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96543">
      <w:pPr>
        <w:spacing w:line="360" w:lineRule="auto"/>
        <w:jc w:val="center"/>
        <w:rPr>
          <w:rFonts w:hint="eastAsia" w:ascii="宋体" w:hAnsi="宋体" w:eastAsia="宋体" w:cs="宋体"/>
          <w:b/>
          <w:sz w:val="24"/>
          <w:szCs w:val="24"/>
          <w:highlight w:val="none"/>
        </w:rPr>
      </w:pPr>
      <w:bookmarkStart w:id="213" w:name="_GoBack"/>
      <w:bookmarkEnd w:id="213"/>
    </w:p>
    <w:p w14:paraId="0A605210">
      <w:pPr>
        <w:bidi w:val="0"/>
        <w:rPr>
          <w:rFonts w:hint="eastAsia" w:ascii="宋体" w:hAnsi="宋体" w:eastAsia="宋体" w:cs="宋体"/>
          <w:sz w:val="24"/>
          <w:szCs w:val="24"/>
          <w:highlight w:val="none"/>
        </w:rPr>
      </w:pPr>
      <w:bookmarkStart w:id="0" w:name="_Toc27571"/>
    </w:p>
    <w:p w14:paraId="71C96766">
      <w:pPr>
        <w:adjustRightInd/>
        <w:spacing w:line="360" w:lineRule="auto"/>
        <w:jc w:val="center"/>
        <w:outlineLvl w:val="0"/>
        <w:rPr>
          <w:rFonts w:hint="eastAsia" w:ascii="宋体" w:hAnsi="宋体" w:eastAsia="宋体" w:cs="宋体"/>
          <w:w w:val="80"/>
          <w:sz w:val="24"/>
          <w:szCs w:val="24"/>
          <w:highlight w:val="none"/>
          <w:lang w:eastAsia="zh-CN" w:bidi="th-TH"/>
        </w:rPr>
      </w:pPr>
    </w:p>
    <w:p w14:paraId="1C126374">
      <w:pPr>
        <w:adjustRightInd/>
        <w:spacing w:line="360" w:lineRule="auto"/>
        <w:jc w:val="center"/>
        <w:outlineLvl w:val="0"/>
        <w:rPr>
          <w:rFonts w:hint="eastAsia" w:ascii="宋体" w:hAnsi="宋体" w:eastAsia="宋体" w:cs="宋体"/>
          <w:w w:val="80"/>
          <w:sz w:val="72"/>
          <w:szCs w:val="72"/>
          <w:highlight w:val="none"/>
          <w:lang w:eastAsia="zh-CN" w:bidi="th-TH"/>
        </w:rPr>
      </w:pPr>
    </w:p>
    <w:p w14:paraId="200FA129">
      <w:pPr>
        <w:adjustRightInd/>
        <w:spacing w:line="360" w:lineRule="auto"/>
        <w:jc w:val="center"/>
        <w:outlineLvl w:val="0"/>
        <w:rPr>
          <w:rFonts w:hint="eastAsia" w:ascii="宋体" w:hAnsi="宋体" w:eastAsia="宋体" w:cs="宋体"/>
          <w:b/>
          <w:sz w:val="72"/>
          <w:szCs w:val="72"/>
          <w:highlight w:val="none"/>
        </w:rPr>
      </w:pPr>
      <w:r>
        <w:rPr>
          <w:rFonts w:hint="eastAsia" w:ascii="宋体" w:hAnsi="宋体" w:eastAsia="宋体" w:cs="宋体"/>
          <w:spacing w:val="40"/>
          <w:w w:val="80"/>
          <w:sz w:val="72"/>
          <w:szCs w:val="72"/>
          <w:highlight w:val="none"/>
          <w:lang w:val="zh-CN" w:bidi="th-TH"/>
        </w:rPr>
        <w:t>竞争性磋商</w:t>
      </w:r>
      <w:r>
        <w:rPr>
          <w:rFonts w:hint="eastAsia" w:ascii="宋体" w:hAnsi="宋体" w:eastAsia="宋体" w:cs="宋体"/>
          <w:spacing w:val="40"/>
          <w:w w:val="80"/>
          <w:sz w:val="72"/>
          <w:szCs w:val="72"/>
          <w:highlight w:val="none"/>
          <w:lang w:bidi="th-TH"/>
        </w:rPr>
        <w:t>文件</w:t>
      </w:r>
      <w:bookmarkEnd w:id="0"/>
    </w:p>
    <w:p w14:paraId="3B16D8DF">
      <w:pPr>
        <w:adjustRightInd/>
        <w:snapToGrid w:val="0"/>
        <w:spacing w:line="360" w:lineRule="auto"/>
        <w:jc w:val="center"/>
        <w:rPr>
          <w:rFonts w:hint="eastAsia" w:ascii="宋体" w:hAnsi="宋体" w:eastAsia="宋体" w:cs="宋体"/>
          <w:w w:val="80"/>
          <w:sz w:val="72"/>
          <w:szCs w:val="72"/>
          <w:highlight w:val="none"/>
          <w:lang w:val="zh-CN" w:bidi="th-TH"/>
        </w:rPr>
      </w:pPr>
      <w:r>
        <w:rPr>
          <w:rFonts w:hint="eastAsia" w:ascii="宋体" w:hAnsi="宋体" w:eastAsia="宋体" w:cs="宋体"/>
          <w:w w:val="80"/>
          <w:sz w:val="72"/>
          <w:szCs w:val="72"/>
          <w:highlight w:val="none"/>
          <w:lang w:val="zh-CN" w:bidi="th-TH"/>
        </w:rPr>
        <w:t>（电子标文件）</w:t>
      </w:r>
    </w:p>
    <w:p w14:paraId="52C421DD">
      <w:pPr>
        <w:adjustRightInd/>
        <w:snapToGrid w:val="0"/>
        <w:spacing w:line="360" w:lineRule="auto"/>
        <w:jc w:val="center"/>
        <w:rPr>
          <w:rFonts w:hint="eastAsia" w:ascii="宋体" w:hAnsi="宋体" w:eastAsia="宋体" w:cs="宋体"/>
          <w:w w:val="80"/>
          <w:sz w:val="24"/>
          <w:szCs w:val="24"/>
          <w:highlight w:val="none"/>
          <w:lang w:bidi="th-TH"/>
        </w:rPr>
      </w:pPr>
    </w:p>
    <w:p w14:paraId="4B554BFF">
      <w:pPr>
        <w:adjustRightInd/>
        <w:snapToGrid w:val="0"/>
        <w:spacing w:line="360" w:lineRule="auto"/>
        <w:jc w:val="center"/>
        <w:rPr>
          <w:rFonts w:hint="eastAsia" w:ascii="宋体" w:hAnsi="宋体" w:eastAsia="宋体" w:cs="宋体"/>
          <w:w w:val="80"/>
          <w:sz w:val="24"/>
          <w:szCs w:val="24"/>
          <w:highlight w:val="none"/>
          <w:lang w:bidi="th-TH"/>
        </w:rPr>
      </w:pPr>
    </w:p>
    <w:p w14:paraId="2175419B">
      <w:pPr>
        <w:adjustRightInd/>
        <w:snapToGrid w:val="0"/>
        <w:spacing w:line="360" w:lineRule="auto"/>
        <w:jc w:val="center"/>
        <w:rPr>
          <w:rFonts w:hint="eastAsia" w:ascii="宋体" w:hAnsi="宋体" w:eastAsia="宋体" w:cs="宋体"/>
          <w:w w:val="80"/>
          <w:sz w:val="24"/>
          <w:szCs w:val="24"/>
          <w:highlight w:val="none"/>
          <w:lang w:bidi="th-TH"/>
        </w:rPr>
      </w:pPr>
    </w:p>
    <w:p w14:paraId="128648DF">
      <w:pPr>
        <w:adjustRightInd/>
        <w:snapToGrid w:val="0"/>
        <w:spacing w:line="360" w:lineRule="auto"/>
        <w:jc w:val="center"/>
        <w:rPr>
          <w:rFonts w:hint="eastAsia" w:ascii="宋体" w:hAnsi="宋体" w:eastAsia="宋体" w:cs="宋体"/>
          <w:w w:val="80"/>
          <w:sz w:val="36"/>
          <w:szCs w:val="36"/>
          <w:highlight w:val="none"/>
          <w:lang w:eastAsia="zh-CN" w:bidi="th-TH"/>
        </w:rPr>
      </w:pPr>
      <w:r>
        <w:rPr>
          <w:rFonts w:hint="eastAsia" w:ascii="宋体" w:hAnsi="宋体" w:eastAsia="宋体" w:cs="宋体"/>
          <w:w w:val="80"/>
          <w:sz w:val="36"/>
          <w:szCs w:val="36"/>
          <w:highlight w:val="none"/>
          <w:lang w:val="en-US" w:eastAsia="zh-CN" w:bidi="th-TH"/>
        </w:rPr>
        <w:t>项目</w:t>
      </w:r>
      <w:r>
        <w:rPr>
          <w:rFonts w:hint="eastAsia" w:ascii="宋体" w:hAnsi="宋体" w:eastAsia="宋体" w:cs="宋体"/>
          <w:w w:val="80"/>
          <w:sz w:val="36"/>
          <w:szCs w:val="36"/>
          <w:highlight w:val="none"/>
          <w:lang w:bidi="th-TH"/>
        </w:rPr>
        <w:t>编号:</w:t>
      </w:r>
      <w:r>
        <w:rPr>
          <w:rFonts w:hint="eastAsia" w:ascii="宋体" w:hAnsi="宋体" w:cs="宋体"/>
          <w:w w:val="80"/>
          <w:sz w:val="36"/>
          <w:szCs w:val="36"/>
          <w:highlight w:val="none"/>
          <w:lang w:eastAsia="zh-CN" w:bidi="th-TH"/>
        </w:rPr>
        <w:t>XJZH-CG-202510-1</w:t>
      </w:r>
    </w:p>
    <w:p w14:paraId="0E436592">
      <w:pPr>
        <w:snapToGrid w:val="0"/>
        <w:spacing w:line="360" w:lineRule="auto"/>
        <w:jc w:val="center"/>
        <w:rPr>
          <w:rFonts w:hint="eastAsia" w:ascii="宋体" w:hAnsi="宋体" w:eastAsia="宋体" w:cs="宋体"/>
          <w:sz w:val="24"/>
          <w:szCs w:val="24"/>
          <w:highlight w:val="none"/>
        </w:rPr>
      </w:pPr>
    </w:p>
    <w:p w14:paraId="23CEA7BD">
      <w:pPr>
        <w:adjustRightInd/>
        <w:spacing w:line="360" w:lineRule="auto"/>
        <w:rPr>
          <w:rFonts w:hint="eastAsia" w:ascii="宋体" w:hAnsi="宋体" w:eastAsia="宋体" w:cs="宋体"/>
          <w:sz w:val="24"/>
          <w:szCs w:val="24"/>
          <w:highlight w:val="none"/>
        </w:rPr>
      </w:pPr>
    </w:p>
    <w:p w14:paraId="39650555">
      <w:pPr>
        <w:spacing w:line="360" w:lineRule="auto"/>
        <w:jc w:val="center"/>
        <w:rPr>
          <w:rFonts w:hint="eastAsia" w:ascii="宋体" w:hAnsi="宋体" w:eastAsia="宋体" w:cs="宋体"/>
          <w:sz w:val="24"/>
          <w:szCs w:val="24"/>
          <w:highlight w:val="none"/>
        </w:rPr>
      </w:pPr>
    </w:p>
    <w:p w14:paraId="7CF5958F">
      <w:pPr>
        <w:pStyle w:val="186"/>
        <w:widowControl w:val="0"/>
        <w:spacing w:before="0" w:beforeAutospacing="0" w:after="0" w:afterAutospacing="0" w:line="360" w:lineRule="auto"/>
        <w:textAlignment w:val="auto"/>
        <w:rPr>
          <w:rFonts w:hint="eastAsia" w:ascii="宋体" w:hAnsi="宋体" w:eastAsia="宋体" w:cs="宋体"/>
          <w:kern w:val="2"/>
          <w:sz w:val="24"/>
          <w:szCs w:val="24"/>
          <w:highlight w:val="none"/>
        </w:rPr>
      </w:pPr>
    </w:p>
    <w:p w14:paraId="4B54ED59">
      <w:pPr>
        <w:pStyle w:val="186"/>
        <w:widowControl w:val="0"/>
        <w:spacing w:before="0" w:beforeAutospacing="0" w:after="0" w:afterAutospacing="0" w:line="360" w:lineRule="auto"/>
        <w:textAlignment w:val="auto"/>
        <w:rPr>
          <w:rFonts w:hint="eastAsia" w:ascii="宋体" w:hAnsi="宋体" w:eastAsia="宋体" w:cs="宋体"/>
          <w:kern w:val="2"/>
          <w:sz w:val="24"/>
          <w:szCs w:val="24"/>
          <w:highlight w:val="none"/>
        </w:rPr>
      </w:pPr>
    </w:p>
    <w:p w14:paraId="198DFD91">
      <w:pPr>
        <w:spacing w:line="360" w:lineRule="auto"/>
        <w:rPr>
          <w:rFonts w:hint="eastAsia" w:ascii="宋体" w:hAnsi="宋体" w:eastAsia="宋体" w:cs="宋体"/>
          <w:sz w:val="24"/>
          <w:szCs w:val="24"/>
          <w:highlight w:val="none"/>
          <w:lang w:eastAsia="zh-CN"/>
        </w:rPr>
      </w:pPr>
    </w:p>
    <w:p w14:paraId="6BAD466C">
      <w:pPr>
        <w:spacing w:line="360" w:lineRule="auto"/>
        <w:rPr>
          <w:rFonts w:hint="eastAsia" w:ascii="宋体" w:hAnsi="宋体" w:eastAsia="宋体" w:cs="宋体"/>
          <w:sz w:val="24"/>
          <w:szCs w:val="24"/>
          <w:highlight w:val="none"/>
        </w:rPr>
      </w:pPr>
    </w:p>
    <w:tbl>
      <w:tblPr>
        <w:tblStyle w:val="61"/>
        <w:tblW w:w="0" w:type="auto"/>
        <w:jc w:val="center"/>
        <w:tblLayout w:type="fixed"/>
        <w:tblCellMar>
          <w:top w:w="0" w:type="dxa"/>
          <w:left w:w="57" w:type="dxa"/>
          <w:bottom w:w="0" w:type="dxa"/>
          <w:right w:w="57" w:type="dxa"/>
        </w:tblCellMar>
      </w:tblPr>
      <w:tblGrid>
        <w:gridCol w:w="2032"/>
        <w:gridCol w:w="306"/>
        <w:gridCol w:w="4477"/>
      </w:tblGrid>
      <w:tr w14:paraId="7CEDC049">
        <w:tblPrEx>
          <w:tblCellMar>
            <w:top w:w="0" w:type="dxa"/>
            <w:left w:w="57" w:type="dxa"/>
            <w:bottom w:w="0" w:type="dxa"/>
            <w:right w:w="57" w:type="dxa"/>
          </w:tblCellMar>
        </w:tblPrEx>
        <w:trPr>
          <w:trHeight w:val="680" w:hRule="atLeast"/>
          <w:jc w:val="center"/>
        </w:trPr>
        <w:tc>
          <w:tcPr>
            <w:tcW w:w="2032" w:type="dxa"/>
            <w:vAlign w:val="center"/>
          </w:tcPr>
          <w:p w14:paraId="0D280DA9">
            <w:pPr>
              <w:snapToGrid w:val="0"/>
              <w:jc w:val="distribute"/>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rPr>
              <w:t>采购人</w:t>
            </w:r>
          </w:p>
        </w:tc>
        <w:tc>
          <w:tcPr>
            <w:tcW w:w="306" w:type="dxa"/>
            <w:vAlign w:val="center"/>
          </w:tcPr>
          <w:p w14:paraId="6FD993C9">
            <w:pPr>
              <w:snapToGrid w:val="0"/>
              <w:jc w:val="distribute"/>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rPr>
              <w:t>:</w:t>
            </w:r>
          </w:p>
        </w:tc>
        <w:tc>
          <w:tcPr>
            <w:tcW w:w="4477" w:type="dxa"/>
            <w:vAlign w:val="center"/>
          </w:tcPr>
          <w:p w14:paraId="424CD6CF">
            <w:pPr>
              <w:snapToGrid w:val="0"/>
              <w:jc w:val="distribute"/>
              <w:rPr>
                <w:rFonts w:hint="eastAsia" w:ascii="宋体" w:hAnsi="宋体" w:eastAsia="宋体" w:cs="宋体"/>
                <w:kern w:val="21"/>
                <w:sz w:val="24"/>
                <w:szCs w:val="24"/>
                <w:highlight w:val="none"/>
                <w:lang w:eastAsia="zh-CN"/>
              </w:rPr>
            </w:pPr>
            <w:r>
              <w:rPr>
                <w:rFonts w:hint="eastAsia" w:ascii="宋体" w:hAnsi="宋体" w:eastAsia="宋体" w:cs="宋体"/>
                <w:kern w:val="21"/>
                <w:sz w:val="24"/>
                <w:szCs w:val="24"/>
                <w:highlight w:val="none"/>
                <w:lang w:eastAsia="zh-CN"/>
              </w:rPr>
              <w:t>新疆维吾尔自治区妇幼保健院（新疆维吾尔自治区第八人民医院）</w:t>
            </w:r>
          </w:p>
        </w:tc>
      </w:tr>
      <w:tr w14:paraId="0CBF1998">
        <w:tblPrEx>
          <w:tblCellMar>
            <w:top w:w="0" w:type="dxa"/>
            <w:left w:w="57" w:type="dxa"/>
            <w:bottom w:w="0" w:type="dxa"/>
            <w:right w:w="57" w:type="dxa"/>
          </w:tblCellMar>
        </w:tblPrEx>
        <w:trPr>
          <w:trHeight w:val="297" w:hRule="atLeast"/>
          <w:jc w:val="center"/>
        </w:trPr>
        <w:tc>
          <w:tcPr>
            <w:tcW w:w="2032" w:type="dxa"/>
            <w:vAlign w:val="center"/>
          </w:tcPr>
          <w:p w14:paraId="47B65E50">
            <w:pPr>
              <w:snapToGrid w:val="0"/>
              <w:jc w:val="distribute"/>
              <w:rPr>
                <w:rFonts w:hint="eastAsia" w:ascii="宋体" w:hAnsi="宋体" w:eastAsia="宋体" w:cs="宋体"/>
                <w:kern w:val="21"/>
                <w:sz w:val="24"/>
                <w:szCs w:val="24"/>
                <w:highlight w:val="none"/>
              </w:rPr>
            </w:pPr>
          </w:p>
        </w:tc>
        <w:tc>
          <w:tcPr>
            <w:tcW w:w="306" w:type="dxa"/>
            <w:vAlign w:val="center"/>
          </w:tcPr>
          <w:p w14:paraId="3867FD82">
            <w:pPr>
              <w:snapToGrid w:val="0"/>
              <w:jc w:val="distribute"/>
              <w:rPr>
                <w:rFonts w:hint="eastAsia" w:ascii="宋体" w:hAnsi="宋体" w:eastAsia="宋体" w:cs="宋体"/>
                <w:kern w:val="21"/>
                <w:sz w:val="24"/>
                <w:szCs w:val="24"/>
                <w:highlight w:val="none"/>
              </w:rPr>
            </w:pPr>
          </w:p>
        </w:tc>
        <w:tc>
          <w:tcPr>
            <w:tcW w:w="4477" w:type="dxa"/>
            <w:vAlign w:val="center"/>
          </w:tcPr>
          <w:p w14:paraId="28297D02">
            <w:pPr>
              <w:snapToGrid w:val="0"/>
              <w:jc w:val="distribute"/>
              <w:rPr>
                <w:rFonts w:hint="eastAsia" w:ascii="宋体" w:hAnsi="宋体" w:eastAsia="宋体" w:cs="宋体"/>
                <w:kern w:val="21"/>
                <w:sz w:val="24"/>
                <w:szCs w:val="24"/>
                <w:highlight w:val="none"/>
              </w:rPr>
            </w:pPr>
          </w:p>
        </w:tc>
      </w:tr>
      <w:tr w14:paraId="40CB5E93">
        <w:tblPrEx>
          <w:tblCellMar>
            <w:top w:w="0" w:type="dxa"/>
            <w:left w:w="57" w:type="dxa"/>
            <w:bottom w:w="0" w:type="dxa"/>
            <w:right w:w="57" w:type="dxa"/>
          </w:tblCellMar>
        </w:tblPrEx>
        <w:trPr>
          <w:trHeight w:val="680" w:hRule="atLeast"/>
          <w:jc w:val="center"/>
        </w:trPr>
        <w:tc>
          <w:tcPr>
            <w:tcW w:w="2032" w:type="dxa"/>
            <w:vAlign w:val="center"/>
          </w:tcPr>
          <w:p w14:paraId="53B750AE">
            <w:pPr>
              <w:snapToGrid w:val="0"/>
              <w:jc w:val="distribute"/>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rPr>
              <w:t>采购代理机构</w:t>
            </w:r>
          </w:p>
        </w:tc>
        <w:tc>
          <w:tcPr>
            <w:tcW w:w="306" w:type="dxa"/>
            <w:vAlign w:val="center"/>
          </w:tcPr>
          <w:p w14:paraId="419AE136">
            <w:pPr>
              <w:snapToGrid w:val="0"/>
              <w:jc w:val="distribute"/>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rPr>
              <w:t>:</w:t>
            </w:r>
          </w:p>
        </w:tc>
        <w:tc>
          <w:tcPr>
            <w:tcW w:w="4477" w:type="dxa"/>
            <w:vAlign w:val="center"/>
          </w:tcPr>
          <w:p w14:paraId="148281F9">
            <w:pPr>
              <w:snapToGrid w:val="0"/>
              <w:jc w:val="distribute"/>
              <w:rPr>
                <w:rFonts w:hint="eastAsia" w:ascii="宋体" w:hAnsi="宋体" w:eastAsia="宋体" w:cs="宋体"/>
                <w:kern w:val="21"/>
                <w:sz w:val="24"/>
                <w:szCs w:val="24"/>
                <w:highlight w:val="none"/>
                <w:lang w:eastAsia="zh-CN"/>
              </w:rPr>
            </w:pPr>
            <w:r>
              <w:rPr>
                <w:rFonts w:hint="eastAsia" w:ascii="宋体" w:hAnsi="宋体" w:eastAsia="宋体" w:cs="宋体"/>
                <w:kern w:val="21"/>
                <w:sz w:val="24"/>
                <w:szCs w:val="24"/>
                <w:highlight w:val="none"/>
                <w:lang w:val="zh-CN" w:eastAsia="zh-CN"/>
              </w:rPr>
              <w:t>新疆卓恒工程项目管理有限公司</w:t>
            </w:r>
          </w:p>
        </w:tc>
      </w:tr>
      <w:tr w14:paraId="249E0E0C">
        <w:tblPrEx>
          <w:tblCellMar>
            <w:top w:w="0" w:type="dxa"/>
            <w:left w:w="57" w:type="dxa"/>
            <w:bottom w:w="0" w:type="dxa"/>
            <w:right w:w="57" w:type="dxa"/>
          </w:tblCellMar>
        </w:tblPrEx>
        <w:trPr>
          <w:trHeight w:val="680" w:hRule="atLeast"/>
          <w:jc w:val="center"/>
        </w:trPr>
        <w:tc>
          <w:tcPr>
            <w:tcW w:w="6815" w:type="dxa"/>
            <w:gridSpan w:val="3"/>
            <w:vAlign w:val="center"/>
          </w:tcPr>
          <w:p w14:paraId="027051B5">
            <w:pPr>
              <w:snapToGrid w:val="0"/>
              <w:jc w:val="center"/>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2025</w:t>
            </w:r>
            <w:r>
              <w:rPr>
                <w:rFonts w:hint="eastAsia" w:ascii="宋体" w:hAnsi="宋体" w:eastAsia="宋体" w:cs="宋体"/>
                <w:kern w:val="21"/>
                <w:sz w:val="24"/>
                <w:szCs w:val="24"/>
                <w:highlight w:val="none"/>
              </w:rPr>
              <w:t>年</w:t>
            </w:r>
            <w:r>
              <w:rPr>
                <w:rFonts w:hint="eastAsia" w:ascii="宋体" w:hAnsi="宋体" w:cs="宋体"/>
                <w:kern w:val="21"/>
                <w:sz w:val="24"/>
                <w:szCs w:val="24"/>
                <w:highlight w:val="none"/>
                <w:lang w:val="en-US" w:eastAsia="zh-CN"/>
              </w:rPr>
              <w:t>6</w:t>
            </w:r>
            <w:r>
              <w:rPr>
                <w:rFonts w:hint="eastAsia" w:ascii="宋体" w:hAnsi="宋体" w:eastAsia="宋体" w:cs="宋体"/>
                <w:kern w:val="21"/>
                <w:sz w:val="24"/>
                <w:szCs w:val="24"/>
                <w:highlight w:val="none"/>
              </w:rPr>
              <w:t>月</w:t>
            </w:r>
          </w:p>
        </w:tc>
      </w:tr>
    </w:tbl>
    <w:p w14:paraId="76792133">
      <w:pPr>
        <w:snapToGrid w:val="0"/>
        <w:spacing w:line="360" w:lineRule="auto"/>
        <w:jc w:val="center"/>
        <w:rPr>
          <w:rFonts w:hint="eastAsia" w:ascii="宋体" w:hAnsi="宋体" w:eastAsia="宋体" w:cs="宋体"/>
          <w:bCs/>
          <w:sz w:val="24"/>
          <w:szCs w:val="24"/>
          <w:highlight w:val="none"/>
        </w:rPr>
      </w:pPr>
    </w:p>
    <w:p w14:paraId="0C5AEEAA">
      <w:pPr>
        <w:tabs>
          <w:tab w:val="left" w:pos="2268"/>
        </w:tabs>
        <w:spacing w:line="360" w:lineRule="auto"/>
        <w:jc w:val="center"/>
        <w:rPr>
          <w:rFonts w:hint="eastAsia" w:ascii="宋体" w:hAnsi="宋体" w:eastAsia="宋体" w:cs="宋体"/>
          <w:sz w:val="24"/>
          <w:szCs w:val="24"/>
          <w:highlight w:val="none"/>
        </w:rPr>
        <w:sectPr>
          <w:headerReference r:id="rId5" w:type="first"/>
          <w:footerReference r:id="rId7" w:type="first"/>
          <w:headerReference r:id="rId3" w:type="default"/>
          <w:headerReference r:id="rId4" w:type="even"/>
          <w:footerReference r:id="rId6" w:type="even"/>
          <w:pgSz w:w="11906" w:h="16838"/>
          <w:pgMar w:top="1174" w:right="1418" w:bottom="1151" w:left="1418" w:header="851" w:footer="992" w:gutter="0"/>
          <w:cols w:space="720" w:num="1"/>
          <w:titlePg/>
          <w:docGrid w:linePitch="312" w:charSpace="0"/>
        </w:sectPr>
      </w:pPr>
    </w:p>
    <w:sdt>
      <w:sdtPr>
        <w:rPr>
          <w:rFonts w:hint="eastAsia" w:ascii="宋体" w:hAnsi="宋体" w:eastAsia="宋体" w:cs="宋体"/>
          <w:sz w:val="24"/>
          <w:szCs w:val="24"/>
          <w:highlight w:val="none"/>
        </w:rPr>
        <w:id w:val="147458442"/>
        <w:docPartObj>
          <w:docPartGallery w:val="Table of Contents"/>
          <w:docPartUnique/>
        </w:docPartObj>
      </w:sdtPr>
      <w:sdtEndPr>
        <w:rPr>
          <w:rFonts w:hint="eastAsia" w:ascii="宋体" w:hAnsi="宋体" w:eastAsia="宋体" w:cs="宋体"/>
          <w:sz w:val="24"/>
          <w:szCs w:val="24"/>
          <w:highlight w:val="none"/>
        </w:rPr>
      </w:sdtEndPr>
      <w:sdtContent>
        <w:p w14:paraId="1C03E9DB">
          <w:pPr>
            <w:spacing w:line="480" w:lineRule="auto"/>
            <w:jc w:val="center"/>
            <w:rPr>
              <w:rFonts w:hint="eastAsia" w:ascii="宋体" w:hAnsi="宋体" w:eastAsia="宋体" w:cs="宋体"/>
              <w:b/>
              <w:bCs/>
              <w:sz w:val="24"/>
              <w:szCs w:val="24"/>
              <w:highlight w:val="none"/>
            </w:rPr>
          </w:pPr>
          <w:bookmarkStart w:id="1" w:name="_Toc91899869"/>
          <w:r>
            <w:rPr>
              <w:rFonts w:hint="eastAsia" w:ascii="宋体" w:hAnsi="宋体" w:eastAsia="宋体" w:cs="宋体"/>
              <w:b/>
              <w:bCs/>
              <w:sz w:val="24"/>
              <w:szCs w:val="24"/>
              <w:highlight w:val="none"/>
            </w:rPr>
            <w:t>目录</w:t>
          </w:r>
        </w:p>
        <w:p w14:paraId="589CC318">
          <w:pPr>
            <w:pStyle w:val="41"/>
            <w:tabs>
              <w:tab w:val="right" w:leader="dot" w:pos="9070"/>
            </w:tabs>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"1-1" \h \u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"_Toc3829"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第一部分邀请供应商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_Toc3829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7F5E813">
          <w:pPr>
            <w:pStyle w:val="41"/>
            <w:tabs>
              <w:tab w:val="right" w:leader="dot" w:pos="9070"/>
            </w:tabs>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"_Toc23245"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竞争性磋商邀请公告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_Toc23245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F4C352E">
          <w:pPr>
            <w:pStyle w:val="41"/>
            <w:tabs>
              <w:tab w:val="right" w:leader="dot" w:pos="9070"/>
            </w:tabs>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"_Toc1370"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第二部分竞争性磋商流程</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_Toc1370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43DC0E7">
          <w:pPr>
            <w:pStyle w:val="41"/>
            <w:tabs>
              <w:tab w:val="right" w:leader="dot" w:pos="9070"/>
            </w:tabs>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"_Toc3754"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第三部分供应商须知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_Toc3754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8B8083F">
          <w:pPr>
            <w:pStyle w:val="41"/>
            <w:tabs>
              <w:tab w:val="right" w:leader="dot" w:pos="9070"/>
            </w:tabs>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"_Toc20290"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第四部分采购需求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_Toc20290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B35AFC6">
          <w:pPr>
            <w:pStyle w:val="41"/>
            <w:tabs>
              <w:tab w:val="right" w:leader="dot" w:pos="9070"/>
            </w:tabs>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"_Toc31602"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第五部分评审方法及评审标准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_Toc31602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272CD4C">
          <w:pPr>
            <w:pStyle w:val="41"/>
            <w:tabs>
              <w:tab w:val="right" w:leader="dot" w:pos="9070"/>
            </w:tabs>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"_Toc28107"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第六部分拟签订的合同文本</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_Toc28107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B044249">
          <w:pPr>
            <w:pStyle w:val="41"/>
            <w:tabs>
              <w:tab w:val="right" w:leader="dot" w:pos="9070"/>
            </w:tabs>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第七部分应提交的有关格式范例</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C777411">
          <w:pPr>
            <w:pStyle w:val="41"/>
            <w:tabs>
              <w:tab w:val="right" w:leader="dot" w:pos="9070"/>
            </w:tabs>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"_Toc15534" </w:instrText>
          </w:r>
          <w:r>
            <w:rPr>
              <w:rFonts w:hint="eastAsia" w:ascii="宋体" w:hAnsi="宋体" w:eastAsia="宋体" w:cs="宋体"/>
              <w:sz w:val="24"/>
              <w:szCs w:val="24"/>
              <w:highlight w:val="none"/>
            </w:rPr>
            <w:fldChar w:fldCharType="separate"/>
          </w:r>
          <w:r>
            <w:rPr>
              <w:rFonts w:hint="eastAsia" w:ascii="宋体" w:hAnsi="宋体" w:eastAsia="宋体" w:cs="宋体"/>
              <w:kern w:val="0"/>
              <w:sz w:val="24"/>
              <w:szCs w:val="24"/>
              <w:highlight w:val="none"/>
            </w:rPr>
            <w:t>资格文件部分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_Toc15534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5990B15">
          <w:pPr>
            <w:pStyle w:val="41"/>
            <w:tabs>
              <w:tab w:val="right" w:leader="dot" w:pos="9070"/>
            </w:tabs>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"_Toc4067" </w:instrText>
          </w:r>
          <w:r>
            <w:rPr>
              <w:rFonts w:hint="eastAsia" w:ascii="宋体" w:hAnsi="宋体" w:eastAsia="宋体" w:cs="宋体"/>
              <w:sz w:val="24"/>
              <w:szCs w:val="24"/>
              <w:highlight w:val="none"/>
            </w:rPr>
            <w:fldChar w:fldCharType="separate"/>
          </w:r>
          <w:r>
            <w:rPr>
              <w:rFonts w:hint="eastAsia" w:ascii="宋体" w:hAnsi="宋体" w:eastAsia="宋体" w:cs="宋体"/>
              <w:kern w:val="0"/>
              <w:sz w:val="24"/>
              <w:szCs w:val="24"/>
              <w:highlight w:val="none"/>
            </w:rPr>
            <w:t>商务技术文件部分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_Toc4067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7C0B114">
          <w:pPr>
            <w:pStyle w:val="41"/>
            <w:tabs>
              <w:tab w:val="right" w:leader="dot" w:pos="9070"/>
            </w:tabs>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"_Toc17614" </w:instrText>
          </w:r>
          <w:r>
            <w:rPr>
              <w:rFonts w:hint="eastAsia" w:ascii="宋体" w:hAnsi="宋体" w:eastAsia="宋体" w:cs="宋体"/>
              <w:sz w:val="24"/>
              <w:szCs w:val="24"/>
              <w:highlight w:val="none"/>
            </w:rPr>
            <w:fldChar w:fldCharType="separate"/>
          </w:r>
          <w:r>
            <w:rPr>
              <w:rFonts w:hint="eastAsia" w:ascii="宋体" w:hAnsi="宋体" w:eastAsia="宋体" w:cs="宋体"/>
              <w:kern w:val="0"/>
              <w:sz w:val="24"/>
              <w:szCs w:val="24"/>
              <w:highlight w:val="none"/>
            </w:rPr>
            <w:t>报价文件部分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_Toc17614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52E3BC2">
          <w:pPr>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end"/>
          </w:r>
        </w:p>
      </w:sdtContent>
    </w:sdt>
    <w:bookmarkEnd w:id="1"/>
    <w:p w14:paraId="3CEAF9B2">
      <w:pPr>
        <w:adjustRightInd/>
        <w:spacing w:line="360" w:lineRule="auto"/>
        <w:jc w:val="center"/>
        <w:outlineLvl w:val="0"/>
        <w:rPr>
          <w:rFonts w:hint="eastAsia" w:ascii="宋体" w:hAnsi="宋体" w:eastAsia="宋体" w:cs="宋体"/>
          <w:b/>
          <w:sz w:val="24"/>
          <w:szCs w:val="24"/>
          <w:highlight w:val="none"/>
        </w:rPr>
        <w:sectPr>
          <w:footerReference r:id="rId8" w:type="default"/>
          <w:pgSz w:w="11906" w:h="16838"/>
          <w:pgMar w:top="1247" w:right="1588" w:bottom="1089" w:left="1588" w:header="851" w:footer="992" w:gutter="0"/>
          <w:cols w:space="720" w:num="1"/>
          <w:docGrid w:linePitch="312" w:charSpace="0"/>
        </w:sectPr>
      </w:pPr>
      <w:bookmarkStart w:id="2" w:name="_Hlt74728647"/>
      <w:bookmarkEnd w:id="2"/>
      <w:bookmarkStart w:id="3" w:name="_Hlt74729822"/>
      <w:bookmarkEnd w:id="3"/>
      <w:bookmarkStart w:id="4" w:name="_Hlt74707423"/>
      <w:bookmarkEnd w:id="4"/>
      <w:bookmarkStart w:id="5" w:name="_Hlt74649545"/>
      <w:bookmarkEnd w:id="5"/>
      <w:bookmarkStart w:id="6" w:name="_Toc3829"/>
      <w:bookmarkStart w:id="7" w:name="第二部分"/>
      <w:bookmarkStart w:id="8" w:name="_Toc91899870"/>
      <w:bookmarkStart w:id="9" w:name="_Toc91899871"/>
    </w:p>
    <w:p w14:paraId="4D9ACB0D">
      <w:pPr>
        <w:adjustRightInd/>
        <w:spacing w:line="360" w:lineRule="auto"/>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第一部分邀请供应商</w:t>
      </w:r>
      <w:bookmarkEnd w:id="6"/>
    </w:p>
    <w:p w14:paraId="4FD3F5D4">
      <w:pPr>
        <w:adjustRightInd/>
        <w:spacing w:line="360" w:lineRule="auto"/>
        <w:jc w:val="center"/>
        <w:outlineLvl w:val="0"/>
        <w:rPr>
          <w:rFonts w:hint="eastAsia" w:ascii="宋体" w:hAnsi="宋体" w:eastAsia="宋体" w:cs="宋体"/>
          <w:b/>
          <w:sz w:val="24"/>
          <w:szCs w:val="24"/>
          <w:highlight w:val="none"/>
        </w:rPr>
      </w:pPr>
      <w:bookmarkStart w:id="10" w:name="_Toc23245"/>
      <w:r>
        <w:rPr>
          <w:rFonts w:hint="eastAsia" w:ascii="宋体" w:hAnsi="宋体" w:eastAsia="宋体" w:cs="宋体"/>
          <w:b/>
          <w:sz w:val="24"/>
          <w:szCs w:val="24"/>
          <w:highlight w:val="none"/>
        </w:rPr>
        <w:t>竞争性磋商公告</w:t>
      </w:r>
      <w:bookmarkEnd w:id="10"/>
    </w:p>
    <w:p w14:paraId="529B7972">
      <w:pPr>
        <w:pStyle w:val="56"/>
        <w:spacing w:before="75" w:beforeAutospacing="0" w:after="150" w:afterAutospacing="0"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项目概况</w:t>
      </w:r>
    </w:p>
    <w:p w14:paraId="0BAE608A">
      <w:pPr>
        <w:pStyle w:val="56"/>
        <w:numPr>
          <w:ilvl w:val="0"/>
          <w:numId w:val="0"/>
        </w:numPr>
        <w:spacing w:before="255" w:beforeAutospacing="0" w:after="255" w:afterAutospacing="0"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新疆维吾尔自治区妇幼保健院信息化服务招标采购</w:t>
      </w:r>
      <w:r>
        <w:rPr>
          <w:rFonts w:hint="eastAsia" w:ascii="宋体" w:hAnsi="宋体" w:eastAsia="宋体" w:cs="宋体"/>
          <w:sz w:val="24"/>
          <w:szCs w:val="24"/>
          <w:highlight w:val="none"/>
        </w:rPr>
        <w:t>的潜在供应商应在政采云平台线上获取采购文件，并于</w:t>
      </w:r>
      <w:r>
        <w:rPr>
          <w:rFonts w:hint="eastAsia" w:cs="宋体"/>
          <w:sz w:val="24"/>
          <w:szCs w:val="24"/>
          <w:highlight w:val="none"/>
          <w:lang w:val="en-US" w:eastAsia="zh-CN"/>
        </w:rPr>
        <w:t>2025年07月11日11:00</w:t>
      </w:r>
      <w:r>
        <w:rPr>
          <w:rFonts w:hint="eastAsia" w:ascii="宋体" w:hAnsi="宋体" w:eastAsia="宋体" w:cs="宋体"/>
          <w:sz w:val="24"/>
          <w:szCs w:val="24"/>
          <w:highlight w:val="none"/>
          <w:lang w:eastAsia="zh-CN"/>
        </w:rPr>
        <w:t>（北京时间）</w:t>
      </w:r>
      <w:r>
        <w:rPr>
          <w:rFonts w:hint="eastAsia" w:ascii="宋体" w:hAnsi="宋体" w:eastAsia="宋体" w:cs="宋体"/>
          <w:sz w:val="24"/>
          <w:szCs w:val="24"/>
          <w:highlight w:val="none"/>
        </w:rPr>
        <w:t>前提交响应文件。</w:t>
      </w:r>
    </w:p>
    <w:p w14:paraId="2FD4BA2E">
      <w:pPr>
        <w:pStyle w:val="56"/>
        <w:numPr>
          <w:ilvl w:val="0"/>
          <w:numId w:val="7"/>
        </w:numPr>
        <w:spacing w:before="255" w:beforeAutospacing="0" w:after="255" w:afterAutospacing="0" w:line="360" w:lineRule="auto"/>
        <w:jc w:val="both"/>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项目基本情况</w:t>
      </w:r>
    </w:p>
    <w:p w14:paraId="4616F54C">
      <w:pPr>
        <w:pStyle w:val="56"/>
        <w:numPr>
          <w:ilvl w:val="0"/>
          <w:numId w:val="0"/>
        </w:numPr>
        <w:spacing w:before="255" w:beforeAutospacing="0" w:after="255" w:afterAutospacing="0"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项目名称：新疆维吾尔自治区妇幼保健院信息化服务招标采购</w:t>
      </w:r>
    </w:p>
    <w:p w14:paraId="527EFF4E">
      <w:pPr>
        <w:pStyle w:val="56"/>
        <w:numPr>
          <w:ilvl w:val="0"/>
          <w:numId w:val="0"/>
        </w:numPr>
        <w:spacing w:before="255" w:beforeAutospacing="0" w:after="255" w:afterAutospacing="0"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项目编号：</w:t>
      </w:r>
      <w:r>
        <w:rPr>
          <w:rFonts w:hint="eastAsia" w:cs="宋体"/>
          <w:sz w:val="24"/>
          <w:szCs w:val="24"/>
          <w:highlight w:val="none"/>
          <w:lang w:eastAsia="zh-CN"/>
        </w:rPr>
        <w:t>XJZH-CG-202510-1</w:t>
      </w:r>
    </w:p>
    <w:p w14:paraId="5EA38CC4">
      <w:pPr>
        <w:pStyle w:val="56"/>
        <w:numPr>
          <w:ilvl w:val="0"/>
          <w:numId w:val="0"/>
        </w:numPr>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标项</w:t>
      </w:r>
      <w:r>
        <w:rPr>
          <w:rFonts w:hint="eastAsia" w:ascii="宋体" w:hAnsi="宋体" w:eastAsia="宋体" w:cs="宋体"/>
          <w:sz w:val="24"/>
          <w:szCs w:val="24"/>
          <w:highlight w:val="none"/>
          <w:lang w:val="en-US" w:eastAsia="zh-CN"/>
        </w:rPr>
        <w:t>一项目名称:</w:t>
      </w:r>
      <w:r>
        <w:rPr>
          <w:rFonts w:hint="eastAsia" w:ascii="宋体" w:hAnsi="宋体" w:eastAsia="宋体" w:cs="宋体"/>
          <w:sz w:val="24"/>
          <w:szCs w:val="24"/>
          <w:highlight w:val="none"/>
          <w:lang w:eastAsia="zh-CN"/>
        </w:rPr>
        <w:t>新疆维吾尔自治区妇幼保健院6个信息系统等级保护测评的招标采购</w:t>
      </w:r>
    </w:p>
    <w:p w14:paraId="5344B512">
      <w:pPr>
        <w:pStyle w:val="56"/>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采购方式：竞争性磋商</w:t>
      </w:r>
    </w:p>
    <w:p w14:paraId="58CEFCCD">
      <w:pPr>
        <w:pStyle w:val="56"/>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预算金额（元）：</w:t>
      </w:r>
      <w:r>
        <w:rPr>
          <w:rFonts w:hint="eastAsia" w:ascii="宋体" w:hAnsi="宋体" w:eastAsia="宋体" w:cs="宋体"/>
          <w:sz w:val="24"/>
          <w:szCs w:val="24"/>
          <w:highlight w:val="none"/>
          <w:lang w:eastAsia="zh-CN"/>
        </w:rPr>
        <w:t>标项</w:t>
      </w:r>
      <w:r>
        <w:rPr>
          <w:rFonts w:hint="eastAsia" w:ascii="宋体" w:hAnsi="宋体" w:eastAsia="宋体" w:cs="宋体"/>
          <w:sz w:val="24"/>
          <w:szCs w:val="24"/>
          <w:highlight w:val="none"/>
          <w:lang w:val="en-US" w:eastAsia="zh-CN"/>
        </w:rPr>
        <w:t>一170000.00</w:t>
      </w:r>
    </w:p>
    <w:p w14:paraId="734022B7">
      <w:pPr>
        <w:pStyle w:val="56"/>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合同履约期限：自签订合同并测评合格后免费提供技术支持1年</w:t>
      </w:r>
    </w:p>
    <w:p w14:paraId="6CF9BB71">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简要规格描述或项目基本概况介绍、用途：</w:t>
      </w:r>
      <w:r>
        <w:rPr>
          <w:rFonts w:hint="eastAsia" w:ascii="宋体" w:hAnsi="宋体" w:eastAsia="宋体" w:cs="宋体"/>
          <w:sz w:val="24"/>
          <w:szCs w:val="24"/>
          <w:highlight w:val="none"/>
          <w:lang w:eastAsia="zh-CN"/>
        </w:rPr>
        <w:t>新疆维吾尔自治区妇幼保健院6个信息系统等级保护测评的招标采购</w:t>
      </w:r>
    </w:p>
    <w:p w14:paraId="3E58CF22">
      <w:pPr>
        <w:spacing w:line="480" w:lineRule="exact"/>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lang w:val="en-US" w:eastAsia="zh-CN" w:bidi="ar-SA"/>
        </w:rPr>
        <w:t>标项</w:t>
      </w:r>
      <w:r>
        <w:rPr>
          <w:rFonts w:hint="eastAsia" w:ascii="宋体" w:hAnsi="宋体" w:cs="宋体"/>
          <w:kern w:val="0"/>
          <w:sz w:val="24"/>
          <w:szCs w:val="24"/>
          <w:highlight w:val="none"/>
          <w:lang w:val="en-US" w:eastAsia="zh-CN" w:bidi="ar-SA"/>
        </w:rPr>
        <w:t>一</w:t>
      </w:r>
      <w:r>
        <w:rPr>
          <w:rFonts w:hint="eastAsia" w:ascii="宋体" w:hAnsi="宋体" w:eastAsia="宋体" w:cs="宋体"/>
          <w:kern w:val="0"/>
          <w:sz w:val="24"/>
          <w:szCs w:val="24"/>
          <w:highlight w:val="none"/>
          <w:lang w:val="en-US" w:eastAsia="zh-CN" w:bidi="ar-SA"/>
        </w:rPr>
        <w:t>：新疆维吾尔自治区妇幼保健院6个信息系统等级保护测评的招标采购（具体详见竞争性磋商文件第四部分采购需求）。</w:t>
      </w:r>
    </w:p>
    <w:p w14:paraId="42A63870">
      <w:pPr>
        <w:pStyle w:val="56"/>
        <w:numPr>
          <w:ilvl w:val="0"/>
          <w:numId w:val="0"/>
        </w:numPr>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标项</w:t>
      </w:r>
      <w:r>
        <w:rPr>
          <w:rFonts w:hint="eastAsia" w:ascii="宋体" w:hAnsi="宋体" w:eastAsia="宋体" w:cs="宋体"/>
          <w:sz w:val="24"/>
          <w:szCs w:val="24"/>
          <w:highlight w:val="none"/>
          <w:lang w:val="en-US" w:eastAsia="zh-CN"/>
        </w:rPr>
        <w:t>二项目名称:辖区妇幼健康平台登陆用短信招标采购</w:t>
      </w:r>
    </w:p>
    <w:p w14:paraId="503E9E93">
      <w:pPr>
        <w:pStyle w:val="56"/>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采购方式：竞争性磋商</w:t>
      </w:r>
    </w:p>
    <w:p w14:paraId="02E41373">
      <w:pPr>
        <w:pStyle w:val="56"/>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预算金额（元）：</w:t>
      </w:r>
      <w:r>
        <w:rPr>
          <w:rFonts w:hint="eastAsia" w:ascii="宋体" w:hAnsi="宋体" w:eastAsia="宋体" w:cs="宋体"/>
          <w:sz w:val="24"/>
          <w:szCs w:val="24"/>
          <w:highlight w:val="none"/>
          <w:lang w:eastAsia="zh-CN"/>
        </w:rPr>
        <w:t>标项</w:t>
      </w:r>
      <w:r>
        <w:rPr>
          <w:rFonts w:hint="eastAsia" w:ascii="宋体" w:hAnsi="宋体" w:eastAsia="宋体" w:cs="宋体"/>
          <w:sz w:val="24"/>
          <w:szCs w:val="24"/>
          <w:highlight w:val="none"/>
          <w:lang w:val="en-US" w:eastAsia="zh-CN"/>
        </w:rPr>
        <w:t>二90000.00</w:t>
      </w:r>
    </w:p>
    <w:p w14:paraId="7408B1E4">
      <w:pPr>
        <w:pStyle w:val="56"/>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合同履约期限：自合同签订之日起1年</w:t>
      </w:r>
    </w:p>
    <w:p w14:paraId="4A72BCD5">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简要规格描述或项目基本概况介绍、用途：</w:t>
      </w:r>
      <w:r>
        <w:rPr>
          <w:rFonts w:hint="eastAsia" w:ascii="宋体" w:hAnsi="宋体" w:eastAsia="宋体" w:cs="宋体"/>
          <w:sz w:val="24"/>
          <w:szCs w:val="24"/>
          <w:highlight w:val="none"/>
          <w:lang w:val="en-US" w:eastAsia="zh-CN"/>
        </w:rPr>
        <w:t>辖区妇幼健康平台登陆用短信招标采购</w:t>
      </w:r>
    </w:p>
    <w:p w14:paraId="5BB6ED4B">
      <w:pPr>
        <w:spacing w:line="480" w:lineRule="exac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标项二：辖区妇幼健康平台登陆用短信招标采购（具体详见竞争性磋商文件第四部分采购需求）。</w:t>
      </w:r>
    </w:p>
    <w:p w14:paraId="1D5D80EA">
      <w:pPr>
        <w:pStyle w:val="56"/>
        <w:numPr>
          <w:ilvl w:val="0"/>
          <w:numId w:val="0"/>
        </w:numPr>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标项</w:t>
      </w:r>
      <w:r>
        <w:rPr>
          <w:rFonts w:hint="eastAsia" w:ascii="宋体" w:hAnsi="宋体" w:eastAsia="宋体" w:cs="宋体"/>
          <w:sz w:val="24"/>
          <w:szCs w:val="24"/>
          <w:highlight w:val="none"/>
          <w:lang w:val="en-US" w:eastAsia="zh-CN"/>
        </w:rPr>
        <w:t>三项目名称:辖区妇幼健康平台网络及安全托管维护服务招标采购</w:t>
      </w:r>
    </w:p>
    <w:p w14:paraId="7D231917">
      <w:pPr>
        <w:pStyle w:val="56"/>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采购方式：竞争性磋商</w:t>
      </w:r>
    </w:p>
    <w:p w14:paraId="4ACED0EC">
      <w:pPr>
        <w:pStyle w:val="56"/>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预算金额（元）：</w:t>
      </w:r>
      <w:r>
        <w:rPr>
          <w:rFonts w:hint="eastAsia" w:ascii="宋体" w:hAnsi="宋体" w:eastAsia="宋体" w:cs="宋体"/>
          <w:sz w:val="24"/>
          <w:szCs w:val="24"/>
          <w:highlight w:val="none"/>
          <w:lang w:eastAsia="zh-CN"/>
        </w:rPr>
        <w:t>标项</w:t>
      </w:r>
      <w:r>
        <w:rPr>
          <w:rFonts w:hint="eastAsia" w:ascii="宋体" w:hAnsi="宋体" w:eastAsia="宋体" w:cs="宋体"/>
          <w:sz w:val="24"/>
          <w:szCs w:val="24"/>
          <w:highlight w:val="none"/>
          <w:lang w:val="en-US" w:eastAsia="zh-CN"/>
        </w:rPr>
        <w:t>三70000.00</w:t>
      </w:r>
    </w:p>
    <w:p w14:paraId="1A321DD6">
      <w:pPr>
        <w:pStyle w:val="56"/>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合同履约期限：自合同签订之日起1年</w:t>
      </w:r>
    </w:p>
    <w:p w14:paraId="5CCFF6D0">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简要规格描述或项目基本概况介绍、用途：</w:t>
      </w:r>
      <w:r>
        <w:rPr>
          <w:rFonts w:hint="eastAsia" w:ascii="宋体" w:hAnsi="宋体" w:eastAsia="宋体" w:cs="宋体"/>
          <w:sz w:val="24"/>
          <w:szCs w:val="24"/>
          <w:highlight w:val="none"/>
          <w:lang w:val="en-US" w:eastAsia="zh-CN"/>
        </w:rPr>
        <w:t>辖区妇幼健康平台网络及安全托管维护服务招标采购</w:t>
      </w:r>
    </w:p>
    <w:p w14:paraId="1A60F268">
      <w:pPr>
        <w:spacing w:line="480" w:lineRule="exac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标项三：辖区妇幼健康平台安全信息技术运维服务项目（具体详见竞争性磋商文件第四部分采购需求）。</w:t>
      </w:r>
    </w:p>
    <w:p w14:paraId="73CF12DD">
      <w:pPr>
        <w:pStyle w:val="56"/>
        <w:numPr>
          <w:ilvl w:val="0"/>
          <w:numId w:val="0"/>
        </w:numPr>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标项</w:t>
      </w:r>
      <w:r>
        <w:rPr>
          <w:rFonts w:hint="eastAsia" w:ascii="宋体" w:hAnsi="宋体" w:eastAsia="宋体" w:cs="宋体"/>
          <w:sz w:val="24"/>
          <w:szCs w:val="24"/>
          <w:highlight w:val="none"/>
          <w:lang w:val="en-US" w:eastAsia="zh-CN"/>
        </w:rPr>
        <w:t>四项目名称:国免孕优系统互联网专线服务招标采购</w:t>
      </w:r>
    </w:p>
    <w:p w14:paraId="50E3F61D">
      <w:pPr>
        <w:pStyle w:val="56"/>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采购方式：竞争性磋商</w:t>
      </w:r>
    </w:p>
    <w:p w14:paraId="6B46A321">
      <w:pPr>
        <w:pStyle w:val="56"/>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预算金额（元）：</w:t>
      </w:r>
      <w:r>
        <w:rPr>
          <w:rFonts w:hint="eastAsia" w:ascii="宋体" w:hAnsi="宋体" w:eastAsia="宋体" w:cs="宋体"/>
          <w:sz w:val="24"/>
          <w:szCs w:val="24"/>
          <w:highlight w:val="none"/>
          <w:lang w:eastAsia="zh-CN"/>
        </w:rPr>
        <w:t>标项</w:t>
      </w:r>
      <w:r>
        <w:rPr>
          <w:rFonts w:hint="eastAsia" w:ascii="宋体" w:hAnsi="宋体" w:eastAsia="宋体" w:cs="宋体"/>
          <w:sz w:val="24"/>
          <w:szCs w:val="24"/>
          <w:highlight w:val="none"/>
          <w:lang w:val="en-US" w:eastAsia="zh-CN"/>
        </w:rPr>
        <w:t>四75000.00</w:t>
      </w:r>
    </w:p>
    <w:p w14:paraId="5CF02B5E">
      <w:pPr>
        <w:pStyle w:val="56"/>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合同履约期限：自合同签订之日起3年（一年一签）</w:t>
      </w:r>
    </w:p>
    <w:p w14:paraId="2E3D1615">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简要规格描述或项目基本概况介绍、用途：</w:t>
      </w:r>
      <w:r>
        <w:rPr>
          <w:rFonts w:hint="eastAsia" w:ascii="宋体" w:hAnsi="宋体" w:eastAsia="宋体" w:cs="宋体"/>
          <w:sz w:val="24"/>
          <w:szCs w:val="24"/>
          <w:highlight w:val="none"/>
          <w:lang w:val="en-US" w:eastAsia="zh-CN"/>
        </w:rPr>
        <w:t>国免孕优系统互联网专线服务招标采购</w:t>
      </w:r>
    </w:p>
    <w:p w14:paraId="3D8AEF43">
      <w:pPr>
        <w:spacing w:line="480" w:lineRule="exac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标项四：国免孕优系统互联网专线服务招标参数（具体详见竞争性磋商文件第四部分采购需求）。</w:t>
      </w:r>
    </w:p>
    <w:p w14:paraId="48076DD2">
      <w:pPr>
        <w:pStyle w:val="56"/>
        <w:numPr>
          <w:ilvl w:val="0"/>
          <w:numId w:val="0"/>
        </w:numPr>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标项</w:t>
      </w:r>
      <w:r>
        <w:rPr>
          <w:rFonts w:hint="eastAsia" w:ascii="宋体" w:hAnsi="宋体" w:eastAsia="宋体" w:cs="宋体"/>
          <w:sz w:val="24"/>
          <w:szCs w:val="24"/>
          <w:highlight w:val="none"/>
          <w:lang w:val="en-US" w:eastAsia="zh-CN"/>
        </w:rPr>
        <w:t>五项目名称:</w:t>
      </w:r>
      <w:r>
        <w:rPr>
          <w:rFonts w:hint="eastAsia" w:ascii="宋体" w:hAnsi="宋体" w:eastAsia="宋体" w:cs="宋体"/>
          <w:sz w:val="24"/>
          <w:szCs w:val="24"/>
          <w:highlight w:val="none"/>
          <w:lang w:eastAsia="zh-CN"/>
        </w:rPr>
        <w:t>国家云上妇幼远程医疗(新疆)平台流量服务招标采购</w:t>
      </w:r>
    </w:p>
    <w:p w14:paraId="163B415E">
      <w:pPr>
        <w:pStyle w:val="56"/>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采购方式：竞争性磋商</w:t>
      </w:r>
    </w:p>
    <w:p w14:paraId="4347142D">
      <w:pPr>
        <w:pStyle w:val="56"/>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预算金额（元）：</w:t>
      </w:r>
      <w:r>
        <w:rPr>
          <w:rFonts w:hint="eastAsia" w:ascii="宋体" w:hAnsi="宋体" w:eastAsia="宋体" w:cs="宋体"/>
          <w:sz w:val="24"/>
          <w:szCs w:val="24"/>
          <w:highlight w:val="none"/>
          <w:lang w:eastAsia="zh-CN"/>
        </w:rPr>
        <w:t>标项</w:t>
      </w:r>
      <w:r>
        <w:rPr>
          <w:rFonts w:hint="eastAsia" w:ascii="宋体" w:hAnsi="宋体" w:eastAsia="宋体" w:cs="宋体"/>
          <w:sz w:val="24"/>
          <w:szCs w:val="24"/>
          <w:highlight w:val="none"/>
          <w:lang w:val="en-US" w:eastAsia="zh-CN"/>
        </w:rPr>
        <w:t>四80000.00</w:t>
      </w:r>
    </w:p>
    <w:p w14:paraId="048AD83B">
      <w:pPr>
        <w:pStyle w:val="56"/>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合同履约期限：自合同签订之日起3年（一年一签）</w:t>
      </w:r>
    </w:p>
    <w:p w14:paraId="57E83D47">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简要规格描述或项目基本概况介绍、用途：</w:t>
      </w:r>
      <w:r>
        <w:rPr>
          <w:rFonts w:hint="eastAsia" w:ascii="宋体" w:hAnsi="宋体" w:eastAsia="宋体" w:cs="宋体"/>
          <w:sz w:val="24"/>
          <w:szCs w:val="24"/>
          <w:highlight w:val="none"/>
          <w:lang w:eastAsia="zh-CN"/>
        </w:rPr>
        <w:t>国家云上妇幼远程医疗(新疆)平台流量服务招标采购</w:t>
      </w:r>
    </w:p>
    <w:p w14:paraId="37730DD4">
      <w:pPr>
        <w:spacing w:line="480" w:lineRule="exac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标项五：国家云上妇幼远程医疗(新疆)平台流量服务招标采购（具体详见竞争性磋商文件第四部分采购需求）。</w:t>
      </w:r>
    </w:p>
    <w:p w14:paraId="41C8BE8F">
      <w:pPr>
        <w:pStyle w:val="56"/>
        <w:numPr>
          <w:ilvl w:val="0"/>
          <w:numId w:val="0"/>
        </w:numPr>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标项</w:t>
      </w:r>
      <w:r>
        <w:rPr>
          <w:rFonts w:hint="eastAsia" w:ascii="宋体" w:hAnsi="宋体" w:eastAsia="宋体" w:cs="宋体"/>
          <w:sz w:val="24"/>
          <w:szCs w:val="24"/>
          <w:highlight w:val="none"/>
          <w:lang w:val="en-US" w:eastAsia="zh-CN"/>
        </w:rPr>
        <w:t>六项目名称:新疆维吾尔自治区妇幼保健院信息安全维保招标采购</w:t>
      </w:r>
    </w:p>
    <w:p w14:paraId="4229933B">
      <w:pPr>
        <w:pStyle w:val="56"/>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采购方式：竞争性磋商</w:t>
      </w:r>
    </w:p>
    <w:p w14:paraId="1DBF67DB">
      <w:pPr>
        <w:pStyle w:val="56"/>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预算金额（元）：</w:t>
      </w:r>
      <w:r>
        <w:rPr>
          <w:rFonts w:hint="eastAsia" w:ascii="宋体" w:hAnsi="宋体" w:eastAsia="宋体" w:cs="宋体"/>
          <w:sz w:val="24"/>
          <w:szCs w:val="24"/>
          <w:highlight w:val="none"/>
          <w:lang w:eastAsia="zh-CN"/>
        </w:rPr>
        <w:t>标项</w:t>
      </w:r>
      <w:r>
        <w:rPr>
          <w:rFonts w:hint="eastAsia" w:ascii="宋体" w:hAnsi="宋体" w:eastAsia="宋体" w:cs="宋体"/>
          <w:sz w:val="24"/>
          <w:szCs w:val="24"/>
          <w:highlight w:val="none"/>
          <w:lang w:val="en-US" w:eastAsia="zh-CN"/>
        </w:rPr>
        <w:t>四150000.00</w:t>
      </w:r>
    </w:p>
    <w:p w14:paraId="5675539F">
      <w:pPr>
        <w:pStyle w:val="56"/>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合同履约期限：自合同签订之日起1年</w:t>
      </w:r>
    </w:p>
    <w:p w14:paraId="4FDEA1A1">
      <w:pPr>
        <w:pStyle w:val="56"/>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简要规格描述或项目基本概况介绍、用途：</w:t>
      </w:r>
      <w:r>
        <w:rPr>
          <w:rFonts w:hint="eastAsia" w:ascii="宋体" w:hAnsi="宋体" w:eastAsia="宋体" w:cs="宋体"/>
          <w:sz w:val="24"/>
          <w:szCs w:val="24"/>
          <w:highlight w:val="none"/>
          <w:lang w:val="en-US" w:eastAsia="zh-CN"/>
        </w:rPr>
        <w:t>新疆维吾尔自治区妇幼保健院信息安全维保招标采购</w:t>
      </w:r>
    </w:p>
    <w:p w14:paraId="4EAF52B5">
      <w:pPr>
        <w:spacing w:line="480" w:lineRule="exac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标项六：</w:t>
      </w:r>
      <w:r>
        <w:rPr>
          <w:rFonts w:hint="eastAsia" w:ascii="宋体" w:hAnsi="宋体" w:eastAsia="宋体" w:cs="宋体"/>
          <w:sz w:val="24"/>
          <w:szCs w:val="24"/>
          <w:highlight w:val="none"/>
          <w:lang w:val="en-US" w:eastAsia="zh-CN"/>
        </w:rPr>
        <w:t>新疆维吾尔自治区妇幼保健院信息安全维保招标采购</w:t>
      </w:r>
      <w:r>
        <w:rPr>
          <w:rFonts w:hint="eastAsia" w:ascii="宋体" w:hAnsi="宋体" w:eastAsia="宋体" w:cs="宋体"/>
          <w:kern w:val="0"/>
          <w:sz w:val="24"/>
          <w:szCs w:val="24"/>
          <w:highlight w:val="none"/>
          <w:lang w:val="en-US" w:eastAsia="zh-CN" w:bidi="ar-SA"/>
        </w:rPr>
        <w:t>（具体详见竞争性磋商文件第四部分采购需求）。</w:t>
      </w:r>
    </w:p>
    <w:p w14:paraId="7021DEA9">
      <w:pPr>
        <w:pStyle w:val="56"/>
        <w:numPr>
          <w:ilvl w:val="0"/>
          <w:numId w:val="0"/>
        </w:numPr>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标项</w:t>
      </w:r>
      <w:r>
        <w:rPr>
          <w:rFonts w:hint="eastAsia" w:ascii="宋体" w:hAnsi="宋体" w:eastAsia="宋体" w:cs="宋体"/>
          <w:sz w:val="24"/>
          <w:szCs w:val="24"/>
          <w:highlight w:val="none"/>
          <w:lang w:val="en-US" w:eastAsia="zh-CN"/>
        </w:rPr>
        <w:t>七项目名称:新疆维吾尔自治区妇幼保健院网络安全设备维保服务招标采购</w:t>
      </w:r>
    </w:p>
    <w:p w14:paraId="244FD92B">
      <w:pPr>
        <w:pStyle w:val="56"/>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采购方式：竞争性磋商</w:t>
      </w:r>
    </w:p>
    <w:p w14:paraId="400E17B8">
      <w:pPr>
        <w:pStyle w:val="56"/>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预算金额（元）：</w:t>
      </w:r>
      <w:r>
        <w:rPr>
          <w:rFonts w:hint="eastAsia" w:ascii="宋体" w:hAnsi="宋体" w:eastAsia="宋体" w:cs="宋体"/>
          <w:sz w:val="24"/>
          <w:szCs w:val="24"/>
          <w:highlight w:val="none"/>
          <w:lang w:eastAsia="zh-CN"/>
        </w:rPr>
        <w:t>标项</w:t>
      </w:r>
      <w:r>
        <w:rPr>
          <w:rFonts w:hint="eastAsia" w:ascii="宋体" w:hAnsi="宋体" w:eastAsia="宋体" w:cs="宋体"/>
          <w:sz w:val="24"/>
          <w:szCs w:val="24"/>
          <w:highlight w:val="none"/>
          <w:lang w:val="en-US" w:eastAsia="zh-CN"/>
        </w:rPr>
        <w:t>四450000.00</w:t>
      </w:r>
    </w:p>
    <w:p w14:paraId="32429149">
      <w:pPr>
        <w:pStyle w:val="56"/>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合同履约期限：自合同签订之日起1年</w:t>
      </w:r>
    </w:p>
    <w:p w14:paraId="4B76C93C">
      <w:pPr>
        <w:pStyle w:val="56"/>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简要规格描述或项目基本概况介绍、用途：</w:t>
      </w:r>
      <w:r>
        <w:rPr>
          <w:rFonts w:hint="eastAsia" w:ascii="宋体" w:hAnsi="宋体" w:eastAsia="宋体" w:cs="宋体"/>
          <w:sz w:val="24"/>
          <w:szCs w:val="24"/>
          <w:highlight w:val="none"/>
          <w:lang w:val="en-US" w:eastAsia="zh-CN"/>
        </w:rPr>
        <w:t>新疆维吾尔自治区妇幼保健院网络安全设备维保服务招标采购</w:t>
      </w:r>
    </w:p>
    <w:p w14:paraId="56FD0FC7">
      <w:pPr>
        <w:spacing w:line="480" w:lineRule="exac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标项七：新疆维吾尔自治区妇幼保健院网络安全设备维保服务招标采购（具体详见竞争性磋商文件第四部分采购需求）。</w:t>
      </w:r>
    </w:p>
    <w:p w14:paraId="5A6FC29B">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备注：</w:t>
      </w:r>
    </w:p>
    <w:p w14:paraId="4B943936">
      <w:pPr>
        <w:pStyle w:val="56"/>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本项目（否）接受联合体投标。</w:t>
      </w:r>
    </w:p>
    <w:p w14:paraId="2C4A0FA9">
      <w:pPr>
        <w:pStyle w:val="56"/>
        <w:spacing w:before="255" w:beforeAutospacing="0" w:after="255" w:afterAutospacing="0" w:line="360" w:lineRule="auto"/>
        <w:jc w:val="both"/>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二、申请人的资格要求：</w:t>
      </w:r>
    </w:p>
    <w:p w14:paraId="1C3443F4">
      <w:pPr>
        <w:pStyle w:val="56"/>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5A7C69B8">
      <w:pPr>
        <w:pStyle w:val="56"/>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w:t>
      </w:r>
    </w:p>
    <w:p w14:paraId="26662214">
      <w:pPr>
        <w:pStyle w:val="56"/>
        <w:spacing w:before="75" w:beforeAutospacing="0" w:after="75" w:afterAutospacing="0" w:line="360" w:lineRule="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lang w:val="en-US" w:eastAsia="zh-CN"/>
        </w:rPr>
        <w:t>标项一：本项目专门面向</w:t>
      </w:r>
      <w:r>
        <w:rPr>
          <w:rFonts w:hint="eastAsia" w:ascii="宋体" w:hAnsi="宋体" w:eastAsia="宋体" w:cs="宋体"/>
          <w:sz w:val="24"/>
          <w:szCs w:val="24"/>
          <w:highlight w:val="none"/>
          <w:u w:val="none"/>
          <w:lang w:val="en-US" w:eastAsia="zh-CN"/>
        </w:rPr>
        <w:t>中小企业</w:t>
      </w:r>
      <w:r>
        <w:rPr>
          <w:rFonts w:hint="eastAsia" w:ascii="宋体" w:hAnsi="宋体" w:eastAsia="宋体" w:cs="宋体"/>
          <w:sz w:val="24"/>
          <w:szCs w:val="24"/>
          <w:highlight w:val="none"/>
          <w:u w:val="none"/>
          <w:lang w:eastAsia="zh-CN"/>
        </w:rPr>
        <w:t>；</w:t>
      </w:r>
    </w:p>
    <w:p w14:paraId="2B086775">
      <w:pPr>
        <w:pStyle w:val="56"/>
        <w:spacing w:before="75" w:beforeAutospacing="0" w:after="75" w:afterAutospacing="0" w:line="360" w:lineRule="auto"/>
        <w:rPr>
          <w:rFonts w:hint="eastAsia" w:ascii="宋体" w:hAnsi="宋体" w:eastAsia="宋体" w:cs="宋体"/>
          <w:sz w:val="24"/>
          <w:szCs w:val="24"/>
          <w:highlight w:val="none"/>
          <w:u w:val="none"/>
          <w:lang w:eastAsia="zh-CN"/>
        </w:rPr>
      </w:pPr>
      <w:r>
        <w:rPr>
          <w:rFonts w:hint="eastAsia" w:ascii="宋体" w:hAnsi="宋体" w:eastAsia="宋体" w:cs="宋体"/>
          <w:sz w:val="24"/>
          <w:szCs w:val="24"/>
          <w:highlight w:val="none"/>
          <w:u w:val="none"/>
          <w:lang w:val="en-US" w:eastAsia="zh-CN"/>
        </w:rPr>
        <w:t>标项二：本标项专门面向小微企业</w:t>
      </w:r>
      <w:r>
        <w:rPr>
          <w:rFonts w:hint="eastAsia" w:ascii="宋体" w:hAnsi="宋体" w:eastAsia="宋体" w:cs="宋体"/>
          <w:sz w:val="24"/>
          <w:szCs w:val="24"/>
          <w:highlight w:val="none"/>
          <w:u w:val="none"/>
          <w:lang w:eastAsia="zh-CN"/>
        </w:rPr>
        <w:t>；</w:t>
      </w:r>
    </w:p>
    <w:p w14:paraId="2D32FA2C">
      <w:pPr>
        <w:pStyle w:val="56"/>
        <w:spacing w:before="75" w:beforeAutospacing="0" w:after="75" w:afterAutospacing="0" w:line="360" w:lineRule="auto"/>
        <w:rPr>
          <w:rFonts w:hint="eastAsia" w:ascii="宋体" w:hAnsi="宋体" w:eastAsia="宋体" w:cs="宋体"/>
          <w:sz w:val="24"/>
          <w:szCs w:val="24"/>
          <w:highlight w:val="none"/>
          <w:u w:val="none"/>
          <w:lang w:eastAsia="zh-CN"/>
        </w:rPr>
      </w:pPr>
      <w:r>
        <w:rPr>
          <w:rFonts w:hint="eastAsia" w:ascii="宋体" w:hAnsi="宋体" w:eastAsia="宋体" w:cs="宋体"/>
          <w:sz w:val="24"/>
          <w:szCs w:val="24"/>
          <w:highlight w:val="none"/>
          <w:u w:val="none"/>
          <w:lang w:val="en-US" w:eastAsia="zh-CN"/>
        </w:rPr>
        <w:t>标项三：本标项专门面向小微企业</w:t>
      </w:r>
      <w:r>
        <w:rPr>
          <w:rFonts w:hint="eastAsia" w:ascii="宋体" w:hAnsi="宋体" w:eastAsia="宋体" w:cs="宋体"/>
          <w:sz w:val="24"/>
          <w:szCs w:val="24"/>
          <w:highlight w:val="none"/>
          <w:u w:val="none"/>
          <w:lang w:eastAsia="zh-CN"/>
        </w:rPr>
        <w:t>；</w:t>
      </w:r>
    </w:p>
    <w:p w14:paraId="487454EF">
      <w:pPr>
        <w:pStyle w:val="56"/>
        <w:spacing w:before="75" w:beforeAutospacing="0" w:after="75" w:afterAutospacing="0" w:line="360" w:lineRule="auto"/>
        <w:rPr>
          <w:rFonts w:hint="eastAsia" w:ascii="宋体" w:hAnsi="宋体" w:eastAsia="宋体" w:cs="宋体"/>
          <w:sz w:val="24"/>
          <w:szCs w:val="24"/>
          <w:highlight w:val="none"/>
          <w:u w:val="none"/>
          <w:lang w:eastAsia="zh-CN"/>
        </w:rPr>
      </w:pPr>
      <w:r>
        <w:rPr>
          <w:rFonts w:hint="eastAsia" w:ascii="宋体" w:hAnsi="宋体" w:eastAsia="宋体" w:cs="宋体"/>
          <w:sz w:val="24"/>
          <w:szCs w:val="24"/>
          <w:highlight w:val="none"/>
          <w:u w:val="none"/>
          <w:lang w:val="en-US" w:eastAsia="zh-CN"/>
        </w:rPr>
        <w:t>标项四：本标项不专门面向中小企业</w:t>
      </w:r>
      <w:r>
        <w:rPr>
          <w:rFonts w:hint="eastAsia" w:ascii="宋体" w:hAnsi="宋体" w:eastAsia="宋体" w:cs="宋体"/>
          <w:sz w:val="24"/>
          <w:szCs w:val="24"/>
          <w:highlight w:val="none"/>
          <w:u w:val="none"/>
          <w:lang w:eastAsia="zh-CN"/>
        </w:rPr>
        <w:t>；</w:t>
      </w:r>
    </w:p>
    <w:p w14:paraId="02DF7E3C">
      <w:pPr>
        <w:pStyle w:val="56"/>
        <w:spacing w:before="75" w:beforeAutospacing="0" w:after="75" w:afterAutospacing="0" w:line="360" w:lineRule="auto"/>
        <w:rPr>
          <w:rFonts w:hint="eastAsia" w:ascii="宋体" w:hAnsi="宋体" w:eastAsia="宋体" w:cs="宋体"/>
          <w:sz w:val="24"/>
          <w:szCs w:val="24"/>
          <w:highlight w:val="none"/>
          <w:u w:val="none"/>
          <w:lang w:eastAsia="zh-CN"/>
        </w:rPr>
      </w:pPr>
      <w:r>
        <w:rPr>
          <w:rFonts w:hint="eastAsia" w:ascii="宋体" w:hAnsi="宋体" w:eastAsia="宋体" w:cs="宋体"/>
          <w:sz w:val="24"/>
          <w:szCs w:val="24"/>
          <w:highlight w:val="none"/>
          <w:u w:val="none"/>
          <w:lang w:val="en-US" w:eastAsia="zh-CN"/>
        </w:rPr>
        <w:t>标项五：本标项专门面向小微企业</w:t>
      </w:r>
      <w:r>
        <w:rPr>
          <w:rFonts w:hint="eastAsia" w:ascii="宋体" w:hAnsi="宋体" w:eastAsia="宋体" w:cs="宋体"/>
          <w:sz w:val="24"/>
          <w:szCs w:val="24"/>
          <w:highlight w:val="none"/>
          <w:u w:val="none"/>
          <w:lang w:eastAsia="zh-CN"/>
        </w:rPr>
        <w:t>；</w:t>
      </w:r>
    </w:p>
    <w:p w14:paraId="15ABDE5C">
      <w:pPr>
        <w:pStyle w:val="56"/>
        <w:spacing w:before="75" w:beforeAutospacing="0" w:after="75" w:afterAutospacing="0" w:line="360" w:lineRule="auto"/>
        <w:rPr>
          <w:rFonts w:hint="eastAsia" w:ascii="宋体" w:hAnsi="宋体" w:eastAsia="宋体" w:cs="宋体"/>
          <w:sz w:val="24"/>
          <w:szCs w:val="24"/>
          <w:highlight w:val="none"/>
          <w:u w:val="none"/>
          <w:lang w:eastAsia="zh-CN"/>
        </w:rPr>
      </w:pPr>
      <w:r>
        <w:rPr>
          <w:rFonts w:hint="eastAsia" w:ascii="宋体" w:hAnsi="宋体" w:eastAsia="宋体" w:cs="宋体"/>
          <w:sz w:val="24"/>
          <w:szCs w:val="24"/>
          <w:highlight w:val="none"/>
          <w:u w:val="none"/>
          <w:lang w:val="en-US" w:eastAsia="zh-CN"/>
        </w:rPr>
        <w:t>标项六：本标项专门面向小微企业</w:t>
      </w:r>
      <w:r>
        <w:rPr>
          <w:rFonts w:hint="eastAsia" w:ascii="宋体" w:hAnsi="宋体" w:eastAsia="宋体" w:cs="宋体"/>
          <w:sz w:val="24"/>
          <w:szCs w:val="24"/>
          <w:highlight w:val="none"/>
          <w:u w:val="none"/>
          <w:lang w:eastAsia="zh-CN"/>
        </w:rPr>
        <w:t>；</w:t>
      </w:r>
    </w:p>
    <w:p w14:paraId="35FCF5F8">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u w:val="none"/>
          <w:lang w:val="en-US" w:eastAsia="zh-CN"/>
        </w:rPr>
        <w:t>标项七：本标项专门面向小微企业</w:t>
      </w:r>
      <w:r>
        <w:rPr>
          <w:rFonts w:hint="eastAsia" w:ascii="宋体" w:hAnsi="宋体" w:eastAsia="宋体" w:cs="宋体"/>
          <w:sz w:val="24"/>
          <w:szCs w:val="24"/>
          <w:highlight w:val="none"/>
          <w:lang w:eastAsia="zh-CN"/>
        </w:rPr>
        <w:t>；</w:t>
      </w:r>
    </w:p>
    <w:p w14:paraId="37D1F34C">
      <w:pPr>
        <w:pStyle w:val="56"/>
        <w:numPr>
          <w:ilvl w:val="0"/>
          <w:numId w:val="8"/>
        </w:numPr>
        <w:spacing w:before="75" w:beforeAutospacing="0" w:after="75" w:afterAutospacing="0"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本项目的特定资格要求：</w:t>
      </w:r>
      <w:r>
        <w:rPr>
          <w:rFonts w:hint="eastAsia" w:ascii="宋体" w:hAnsi="宋体" w:eastAsia="宋体" w:cs="宋体"/>
          <w:sz w:val="24"/>
          <w:szCs w:val="24"/>
          <w:highlight w:val="none"/>
          <w:lang w:val="en-US" w:eastAsia="zh-CN"/>
        </w:rPr>
        <w:t>无</w:t>
      </w:r>
    </w:p>
    <w:p w14:paraId="640CD492">
      <w:pPr>
        <w:pStyle w:val="56"/>
        <w:spacing w:before="255" w:beforeAutospacing="0" w:after="255" w:afterAutospacing="0" w:line="360" w:lineRule="auto"/>
        <w:jc w:val="both"/>
        <w:rPr>
          <w:rFonts w:hint="eastAsia" w:ascii="宋体" w:hAnsi="宋体" w:eastAsia="宋体" w:cs="宋体"/>
          <w:sz w:val="24"/>
          <w:szCs w:val="24"/>
          <w:highlight w:val="none"/>
        </w:rPr>
      </w:pPr>
      <w:r>
        <w:rPr>
          <w:rStyle w:val="64"/>
          <w:rFonts w:hint="eastAsia" w:ascii="宋体" w:hAnsi="宋体" w:eastAsia="宋体" w:cs="宋体"/>
          <w:sz w:val="24"/>
          <w:szCs w:val="24"/>
          <w:highlight w:val="none"/>
        </w:rPr>
        <w:t>三、获取采购文件</w:t>
      </w:r>
    </w:p>
    <w:p w14:paraId="0C97FD4B">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时间：</w:t>
      </w:r>
      <w:r>
        <w:rPr>
          <w:rFonts w:hint="eastAsia" w:ascii="宋体" w:hAnsi="宋体" w:eastAsia="宋体" w:cs="宋体"/>
          <w:sz w:val="24"/>
          <w:szCs w:val="24"/>
          <w:highlight w:val="none"/>
          <w:lang w:val="en-US" w:eastAsia="zh-CN"/>
        </w:rPr>
        <w:t>2025</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0</w:t>
      </w:r>
      <w:r>
        <w:rPr>
          <w:rFonts w:hint="eastAsia" w:cs="宋体"/>
          <w:sz w:val="24"/>
          <w:szCs w:val="24"/>
          <w:highlight w:val="none"/>
          <w:lang w:val="en-US" w:eastAsia="zh-CN"/>
        </w:rPr>
        <w:t>7</w:t>
      </w:r>
      <w:r>
        <w:rPr>
          <w:rFonts w:hint="eastAsia" w:ascii="宋体" w:hAnsi="宋体" w:eastAsia="宋体" w:cs="宋体"/>
          <w:sz w:val="24"/>
          <w:szCs w:val="24"/>
          <w:highlight w:val="none"/>
          <w:lang w:eastAsia="zh-CN"/>
        </w:rPr>
        <w:t>月</w:t>
      </w:r>
      <w:r>
        <w:rPr>
          <w:rFonts w:hint="eastAsia" w:cs="宋体"/>
          <w:sz w:val="24"/>
          <w:szCs w:val="24"/>
          <w:highlight w:val="none"/>
          <w:lang w:val="en-US" w:eastAsia="zh-CN"/>
        </w:rPr>
        <w:t>01</w:t>
      </w:r>
      <w:r>
        <w:rPr>
          <w:rFonts w:hint="eastAsia" w:ascii="宋体" w:hAnsi="宋体" w:eastAsia="宋体" w:cs="宋体"/>
          <w:sz w:val="24"/>
          <w:szCs w:val="24"/>
          <w:highlight w:val="none"/>
          <w:lang w:eastAsia="zh-CN"/>
        </w:rPr>
        <w:t>日至</w:t>
      </w:r>
      <w:r>
        <w:rPr>
          <w:rFonts w:hint="eastAsia" w:ascii="宋体" w:hAnsi="宋体" w:eastAsia="宋体" w:cs="宋体"/>
          <w:sz w:val="24"/>
          <w:szCs w:val="24"/>
          <w:highlight w:val="none"/>
          <w:lang w:val="en-US" w:eastAsia="zh-CN"/>
        </w:rPr>
        <w:t>2025</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0</w:t>
      </w:r>
      <w:r>
        <w:rPr>
          <w:rFonts w:hint="eastAsia" w:cs="宋体"/>
          <w:sz w:val="24"/>
          <w:szCs w:val="24"/>
          <w:highlight w:val="none"/>
          <w:lang w:val="en-US" w:eastAsia="zh-CN"/>
        </w:rPr>
        <w:t>7</w:t>
      </w:r>
      <w:r>
        <w:rPr>
          <w:rFonts w:hint="eastAsia" w:ascii="宋体" w:hAnsi="宋体" w:eastAsia="宋体" w:cs="宋体"/>
          <w:sz w:val="24"/>
          <w:szCs w:val="24"/>
          <w:highlight w:val="none"/>
          <w:lang w:eastAsia="zh-CN"/>
        </w:rPr>
        <w:t>月</w:t>
      </w:r>
      <w:r>
        <w:rPr>
          <w:rFonts w:hint="eastAsia" w:cs="宋体"/>
          <w:sz w:val="24"/>
          <w:szCs w:val="24"/>
          <w:highlight w:val="none"/>
          <w:lang w:val="en-US" w:eastAsia="zh-CN"/>
        </w:rPr>
        <w:t>10</w:t>
      </w:r>
      <w:r>
        <w:rPr>
          <w:rFonts w:hint="eastAsia" w:ascii="宋体" w:hAnsi="宋体" w:eastAsia="宋体" w:cs="宋体"/>
          <w:sz w:val="24"/>
          <w:szCs w:val="24"/>
          <w:highlight w:val="none"/>
          <w:lang w:eastAsia="zh-CN"/>
        </w:rPr>
        <w:t>日，每天上午00:00至1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:00，下午1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:00至23:59（北京时间，法定节假日除外）</w:t>
      </w:r>
    </w:p>
    <w:p w14:paraId="4229E98B">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地点：政采云平台线上获取。</w:t>
      </w:r>
    </w:p>
    <w:p w14:paraId="3E73412C">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方式：供应商登录政采云平台https://www.zcygov.cn/在线申请获取采购文件（进入“项目采购”应用，在获取采购文件菜单中选择项目，申请获取采购文件）。</w:t>
      </w:r>
    </w:p>
    <w:p w14:paraId="54A8F242">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售价（元）：</w:t>
      </w:r>
      <w:r>
        <w:rPr>
          <w:rFonts w:hint="eastAsia" w:ascii="宋体" w:hAnsi="宋体" w:eastAsia="宋体" w:cs="宋体"/>
          <w:sz w:val="24"/>
          <w:szCs w:val="24"/>
          <w:highlight w:val="none"/>
          <w:lang w:val="en-US" w:eastAsia="zh-CN"/>
        </w:rPr>
        <w:t>0</w:t>
      </w:r>
    </w:p>
    <w:p w14:paraId="15F62355">
      <w:pPr>
        <w:pStyle w:val="56"/>
        <w:spacing w:before="255" w:beforeAutospacing="0" w:after="255" w:afterAutospacing="0" w:line="360" w:lineRule="auto"/>
        <w:jc w:val="both"/>
        <w:rPr>
          <w:rFonts w:hint="eastAsia" w:ascii="宋体" w:hAnsi="宋体" w:eastAsia="宋体" w:cs="宋体"/>
          <w:sz w:val="24"/>
          <w:szCs w:val="24"/>
          <w:highlight w:val="none"/>
          <w:lang w:eastAsia="zh-CN"/>
        </w:rPr>
      </w:pPr>
      <w:r>
        <w:rPr>
          <w:rStyle w:val="64"/>
          <w:rFonts w:hint="eastAsia" w:ascii="宋体" w:hAnsi="宋体" w:eastAsia="宋体" w:cs="宋体"/>
          <w:sz w:val="24"/>
          <w:szCs w:val="24"/>
          <w:highlight w:val="none"/>
        </w:rPr>
        <w:t>四、响应文件提交</w:t>
      </w:r>
      <w:r>
        <w:rPr>
          <w:rFonts w:hint="eastAsia" w:ascii="宋体" w:hAnsi="宋体" w:eastAsia="宋体" w:cs="宋体"/>
          <w:sz w:val="24"/>
          <w:szCs w:val="24"/>
          <w:highlight w:val="none"/>
          <w:lang w:eastAsia="zh-CN"/>
        </w:rPr>
        <w:t>。</w:t>
      </w:r>
    </w:p>
    <w:p w14:paraId="748E33C6">
      <w:pPr>
        <w:pStyle w:val="56"/>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截止时间：</w:t>
      </w:r>
      <w:r>
        <w:rPr>
          <w:rFonts w:hint="eastAsia" w:cs="宋体"/>
          <w:sz w:val="24"/>
          <w:szCs w:val="24"/>
          <w:highlight w:val="none"/>
          <w:lang w:val="en-US" w:eastAsia="zh-CN"/>
        </w:rPr>
        <w:t>2025年07月11日11:00</w:t>
      </w:r>
      <w:r>
        <w:rPr>
          <w:rFonts w:hint="eastAsia" w:ascii="宋体" w:hAnsi="宋体" w:eastAsia="宋体" w:cs="宋体"/>
          <w:sz w:val="24"/>
          <w:szCs w:val="24"/>
          <w:highlight w:val="none"/>
          <w:lang w:eastAsia="zh-CN"/>
        </w:rPr>
        <w:t>（北京时间）</w:t>
      </w:r>
    </w:p>
    <w:p w14:paraId="4D721129">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地点：政采云平台（https://www.zcygov.cn/）</w:t>
      </w:r>
    </w:p>
    <w:p w14:paraId="2A684B16">
      <w:pPr>
        <w:pStyle w:val="56"/>
        <w:spacing w:before="255" w:beforeAutospacing="0" w:after="255" w:afterAutospacing="0" w:line="360" w:lineRule="auto"/>
        <w:jc w:val="both"/>
        <w:rPr>
          <w:rFonts w:hint="eastAsia" w:ascii="宋体" w:hAnsi="宋体" w:eastAsia="宋体" w:cs="宋体"/>
          <w:sz w:val="24"/>
          <w:szCs w:val="24"/>
          <w:highlight w:val="none"/>
          <w:lang w:eastAsia="zh-CN"/>
        </w:rPr>
      </w:pPr>
      <w:r>
        <w:rPr>
          <w:rStyle w:val="64"/>
          <w:rFonts w:hint="eastAsia" w:ascii="宋体" w:hAnsi="宋体" w:eastAsia="宋体" w:cs="宋体"/>
          <w:sz w:val="24"/>
          <w:szCs w:val="24"/>
          <w:highlight w:val="none"/>
        </w:rPr>
        <w:t>五、响应文件开启</w:t>
      </w:r>
      <w:r>
        <w:rPr>
          <w:rFonts w:hint="eastAsia" w:ascii="宋体" w:hAnsi="宋体" w:eastAsia="宋体" w:cs="宋体"/>
          <w:sz w:val="24"/>
          <w:szCs w:val="24"/>
          <w:highlight w:val="none"/>
          <w:lang w:eastAsia="zh-CN"/>
        </w:rPr>
        <w:t>。</w:t>
      </w:r>
    </w:p>
    <w:p w14:paraId="3D95BE29">
      <w:pPr>
        <w:pStyle w:val="56"/>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开启时间：</w:t>
      </w:r>
      <w:r>
        <w:rPr>
          <w:rFonts w:hint="eastAsia" w:cs="宋体"/>
          <w:sz w:val="24"/>
          <w:szCs w:val="24"/>
          <w:highlight w:val="none"/>
          <w:lang w:val="en-US" w:eastAsia="zh-CN"/>
        </w:rPr>
        <w:t>2025年07月11日11:00</w:t>
      </w:r>
      <w:r>
        <w:rPr>
          <w:rFonts w:hint="eastAsia" w:ascii="宋体" w:hAnsi="宋体" w:eastAsia="宋体" w:cs="宋体"/>
          <w:sz w:val="24"/>
          <w:szCs w:val="24"/>
          <w:highlight w:val="none"/>
          <w:lang w:eastAsia="zh-CN"/>
        </w:rPr>
        <w:t>（北京时间）</w:t>
      </w:r>
    </w:p>
    <w:p w14:paraId="22BBEEEE">
      <w:pPr>
        <w:pStyle w:val="56"/>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地点：政采云平台（https://www.zcygov.cn/）</w:t>
      </w:r>
    </w:p>
    <w:p w14:paraId="255F8142">
      <w:pPr>
        <w:pStyle w:val="56"/>
        <w:spacing w:before="255" w:beforeAutospacing="0" w:after="255" w:afterAutospacing="0" w:line="360" w:lineRule="auto"/>
        <w:jc w:val="both"/>
        <w:rPr>
          <w:rFonts w:hint="eastAsia" w:ascii="宋体" w:hAnsi="宋体" w:eastAsia="宋体" w:cs="宋体"/>
          <w:sz w:val="24"/>
          <w:szCs w:val="24"/>
          <w:highlight w:val="none"/>
        </w:rPr>
      </w:pPr>
      <w:r>
        <w:rPr>
          <w:rStyle w:val="64"/>
          <w:rFonts w:hint="eastAsia" w:ascii="宋体" w:hAnsi="宋体" w:eastAsia="宋体" w:cs="宋体"/>
          <w:sz w:val="24"/>
          <w:szCs w:val="24"/>
          <w:highlight w:val="none"/>
        </w:rPr>
        <w:t>六、公告期限</w:t>
      </w:r>
    </w:p>
    <w:p w14:paraId="727191F2">
      <w:pPr>
        <w:pStyle w:val="56"/>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自本公告发布之日起3个工作日。</w:t>
      </w:r>
    </w:p>
    <w:p w14:paraId="383DF890">
      <w:pPr>
        <w:pStyle w:val="56"/>
        <w:spacing w:before="255" w:beforeAutospacing="0" w:after="255" w:afterAutospacing="0" w:line="360" w:lineRule="auto"/>
        <w:jc w:val="both"/>
        <w:rPr>
          <w:rFonts w:hint="eastAsia" w:ascii="宋体" w:hAnsi="宋体" w:eastAsia="宋体" w:cs="宋体"/>
          <w:sz w:val="24"/>
          <w:szCs w:val="24"/>
          <w:highlight w:val="none"/>
          <w:lang w:eastAsia="zh-CN"/>
        </w:rPr>
      </w:pPr>
      <w:r>
        <w:rPr>
          <w:rStyle w:val="64"/>
          <w:rFonts w:hint="eastAsia" w:ascii="宋体" w:hAnsi="宋体" w:eastAsia="宋体" w:cs="宋体"/>
          <w:sz w:val="24"/>
          <w:szCs w:val="24"/>
          <w:highlight w:val="none"/>
        </w:rPr>
        <w:t>七、其他补充事宜</w:t>
      </w:r>
      <w:r>
        <w:rPr>
          <w:rFonts w:hint="eastAsia" w:ascii="宋体" w:hAnsi="宋体" w:eastAsia="宋体" w:cs="宋体"/>
          <w:sz w:val="24"/>
          <w:szCs w:val="24"/>
          <w:highlight w:val="none"/>
          <w:lang w:eastAsia="zh-CN"/>
        </w:rPr>
        <w:t>。</w:t>
      </w:r>
    </w:p>
    <w:p w14:paraId="3E7D1FBA">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本次采购采用电子交易方式，电子交易平台为“政府采购云平台（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400-881-7190进行咨询。</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3、加密的电子响应文件（.jmbs格式）应在响应文件递交截止时间前通过政采云平台上传完成。逾期上传或者未上传指定地点的响应文件，采购人不予受理。</w:t>
      </w:r>
    </w:p>
    <w:p w14:paraId="5A01E098">
      <w:pPr>
        <w:pStyle w:val="56"/>
        <w:spacing w:before="255" w:beforeAutospacing="0" w:after="255" w:afterAutospacing="0" w:line="240" w:lineRule="auto"/>
        <w:jc w:val="both"/>
        <w:rPr>
          <w:rFonts w:hint="eastAsia" w:ascii="宋体" w:hAnsi="宋体" w:eastAsia="宋体" w:cs="宋体"/>
          <w:sz w:val="24"/>
          <w:szCs w:val="24"/>
          <w:highlight w:val="none"/>
        </w:rPr>
      </w:pPr>
      <w:r>
        <w:rPr>
          <w:rStyle w:val="64"/>
          <w:rFonts w:hint="eastAsia" w:ascii="宋体" w:hAnsi="宋体" w:eastAsia="宋体" w:cs="宋体"/>
          <w:sz w:val="24"/>
          <w:szCs w:val="24"/>
          <w:highlight w:val="none"/>
        </w:rPr>
        <w:t>八、凡对本次招标提出询问，请按以下方式联系</w:t>
      </w:r>
    </w:p>
    <w:p w14:paraId="43A027DE">
      <w:pPr>
        <w:pStyle w:val="56"/>
        <w:spacing w:before="75" w:beforeAutospacing="0" w:after="75" w:afterAutospacing="0" w:line="24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73F1CB8A">
      <w:pPr>
        <w:pStyle w:val="56"/>
        <w:spacing w:before="75" w:beforeAutospacing="0" w:after="75" w:afterAutospacing="0" w:line="240" w:lineRule="auto"/>
        <w:ind w:firstLine="4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名称：新疆维吾尔自治区妇幼保健院（新疆维吾尔自治区第八人民医院）</w:t>
      </w:r>
    </w:p>
    <w:p w14:paraId="3687FA1D">
      <w:pPr>
        <w:pStyle w:val="56"/>
        <w:spacing w:before="75" w:beforeAutospacing="0" w:after="75" w:afterAutospacing="0" w:line="240" w:lineRule="auto"/>
        <w:ind w:firstLine="4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eastAsia="zh-CN"/>
        </w:rPr>
        <w:t>乌鲁木齐市沙依巴克区友好北路789号</w:t>
      </w:r>
    </w:p>
    <w:p w14:paraId="24C25432">
      <w:pPr>
        <w:pStyle w:val="56"/>
        <w:spacing w:before="75" w:beforeAutospacing="0" w:after="75" w:afterAutospacing="0" w:line="240" w:lineRule="auto"/>
        <w:ind w:firstLine="42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val="en-US" w:eastAsia="zh-CN"/>
        </w:rPr>
        <w:t>陈老师</w:t>
      </w:r>
      <w:r>
        <w:rPr>
          <w:rFonts w:hint="eastAsia" w:ascii="宋体" w:hAnsi="宋体" w:eastAsia="宋体" w:cs="宋体"/>
          <w:sz w:val="24"/>
          <w:szCs w:val="24"/>
          <w:highlight w:val="none"/>
          <w:lang w:eastAsia="zh-CN"/>
        </w:rPr>
        <w:t>0991-</w:t>
      </w:r>
      <w:r>
        <w:rPr>
          <w:rFonts w:hint="eastAsia" w:ascii="宋体" w:hAnsi="宋体" w:eastAsia="宋体" w:cs="宋体"/>
          <w:sz w:val="24"/>
          <w:szCs w:val="24"/>
          <w:highlight w:val="none"/>
          <w:lang w:val="en-US" w:eastAsia="zh-CN"/>
        </w:rPr>
        <w:t>7518118</w:t>
      </w:r>
    </w:p>
    <w:p w14:paraId="6C8BA091">
      <w:pPr>
        <w:pStyle w:val="56"/>
        <w:spacing w:before="75" w:beforeAutospacing="0" w:after="75" w:afterAutospacing="0" w:line="240" w:lineRule="auto"/>
        <w:ind w:firstLine="420"/>
        <w:rPr>
          <w:rFonts w:hint="eastAsia" w:ascii="宋体" w:hAnsi="宋体" w:eastAsia="宋体" w:cs="宋体"/>
          <w:sz w:val="24"/>
          <w:szCs w:val="24"/>
          <w:highlight w:val="none"/>
          <w:lang w:val="en-US" w:eastAsia="zh-CN"/>
        </w:rPr>
      </w:pPr>
    </w:p>
    <w:p w14:paraId="0C31892F">
      <w:pPr>
        <w:pStyle w:val="56"/>
        <w:spacing w:before="75" w:beforeAutospacing="0" w:after="75" w:afterAutospacing="0" w:line="24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14:paraId="752B006B">
      <w:pPr>
        <w:pStyle w:val="56"/>
        <w:spacing w:before="75" w:beforeAutospacing="0" w:after="75" w:afterAutospacing="0" w:line="240" w:lineRule="auto"/>
        <w:ind w:firstLine="4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val="zh-CN"/>
        </w:rPr>
        <w:t>新疆卓恒工程项目管理有限公司</w:t>
      </w:r>
    </w:p>
    <w:p w14:paraId="79183613">
      <w:pPr>
        <w:pStyle w:val="56"/>
        <w:spacing w:before="75" w:beforeAutospacing="0" w:after="75" w:afterAutospacing="0" w:line="240" w:lineRule="auto"/>
        <w:ind w:firstLine="42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eastAsia="zh-CN"/>
        </w:rPr>
        <w:t>新疆乌鲁木齐市水磨沟区龙盛街万科中央公园商住小区S2座10楼</w:t>
      </w:r>
    </w:p>
    <w:p w14:paraId="0316135A">
      <w:pPr>
        <w:pStyle w:val="56"/>
        <w:spacing w:before="75" w:beforeAutospacing="0" w:after="75" w:afterAutospacing="0" w:line="240" w:lineRule="auto"/>
        <w:ind w:firstLine="42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val="en-US" w:eastAsia="zh-CN"/>
        </w:rPr>
        <w:t>13579615540</w:t>
      </w:r>
    </w:p>
    <w:p w14:paraId="5D78F137">
      <w:pPr>
        <w:pStyle w:val="56"/>
        <w:spacing w:before="75" w:beforeAutospacing="0" w:after="75" w:afterAutospacing="0" w:line="240" w:lineRule="auto"/>
        <w:ind w:firstLine="420"/>
        <w:rPr>
          <w:rFonts w:hint="eastAsia" w:ascii="宋体" w:hAnsi="宋体" w:eastAsia="宋体" w:cs="宋体"/>
          <w:sz w:val="24"/>
          <w:szCs w:val="24"/>
          <w:highlight w:val="none"/>
          <w:lang w:val="en-US" w:eastAsia="zh-CN"/>
        </w:rPr>
      </w:pPr>
    </w:p>
    <w:p w14:paraId="580EFE7C">
      <w:pPr>
        <w:pStyle w:val="56"/>
        <w:spacing w:before="75" w:beforeAutospacing="0" w:after="75" w:afterAutospacing="0" w:line="24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14:paraId="2C2BEFD5">
      <w:pPr>
        <w:pStyle w:val="56"/>
        <w:spacing w:before="75" w:beforeAutospacing="0" w:after="75" w:afterAutospacing="0" w:line="240" w:lineRule="auto"/>
        <w:ind w:firstLine="42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项目联系人：</w:t>
      </w:r>
      <w:r>
        <w:rPr>
          <w:rFonts w:hint="eastAsia" w:ascii="宋体" w:hAnsi="宋体" w:eastAsia="宋体" w:cs="宋体"/>
          <w:sz w:val="24"/>
          <w:szCs w:val="24"/>
          <w:highlight w:val="none"/>
          <w:lang w:val="en-US" w:eastAsia="zh-CN"/>
        </w:rPr>
        <w:t>杨巧红、邵转兄、王工</w:t>
      </w:r>
    </w:p>
    <w:p w14:paraId="4FB8C42F">
      <w:pPr>
        <w:pStyle w:val="56"/>
        <w:spacing w:before="75" w:beforeAutospacing="0" w:after="75" w:afterAutospacing="0" w:line="240" w:lineRule="auto"/>
        <w:ind w:firstLine="420"/>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val="en-US" w:eastAsia="zh-CN"/>
        </w:rPr>
        <w:t>0991-8891887、13579615540</w:t>
      </w:r>
    </w:p>
    <w:p w14:paraId="18ACAAB0">
      <w:pPr>
        <w:rPr>
          <w:rFonts w:hint="eastAsia" w:ascii="宋体" w:hAnsi="宋体" w:eastAsia="宋体" w:cs="宋体"/>
          <w:b/>
          <w:sz w:val="24"/>
          <w:szCs w:val="24"/>
          <w:highlight w:val="none"/>
        </w:rPr>
      </w:pPr>
      <w:bookmarkStart w:id="11" w:name="_Toc1370"/>
      <w:r>
        <w:rPr>
          <w:rFonts w:hint="eastAsia" w:ascii="宋体" w:hAnsi="宋体" w:eastAsia="宋体" w:cs="宋体"/>
          <w:b/>
          <w:sz w:val="24"/>
          <w:szCs w:val="24"/>
          <w:highlight w:val="none"/>
        </w:rPr>
        <w:br w:type="page"/>
      </w:r>
    </w:p>
    <w:p w14:paraId="2650094A">
      <w:pPr>
        <w:pStyle w:val="32"/>
        <w:tabs>
          <w:tab w:val="left" w:pos="6023"/>
        </w:tabs>
        <w:spacing w:line="240" w:lineRule="auto"/>
        <w:ind w:firstLine="482" w:firstLineChars="2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第二部分竞争性磋商流程</w:t>
      </w:r>
      <w:bookmarkEnd w:id="11"/>
    </w:p>
    <w:p w14:paraId="1EBC8B11">
      <w:pPr>
        <w:pStyle w:val="396"/>
        <w:numPr>
          <w:ilvl w:val="0"/>
          <w:numId w:val="9"/>
        </w:numPr>
        <w:tabs>
          <w:tab w:val="left" w:pos="210"/>
          <w:tab w:val="left" w:pos="420"/>
          <w:tab w:val="clear" w:pos="397"/>
        </w:tabs>
        <w:spacing w:before="0"/>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征集供应商</w:t>
      </w:r>
    </w:p>
    <w:p w14:paraId="0C191D74">
      <w:pPr>
        <w:pStyle w:val="396"/>
        <w:numPr>
          <w:ilvl w:val="1"/>
          <w:numId w:val="10"/>
        </w:numPr>
        <w:spacing w:before="0"/>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邀请供应商。</w:t>
      </w:r>
    </w:p>
    <w:p w14:paraId="4BD3376E">
      <w:pPr>
        <w:pStyle w:val="396"/>
        <w:numPr>
          <w:ilvl w:val="2"/>
          <w:numId w:val="11"/>
        </w:numPr>
        <w:spacing w:before="0"/>
        <w:ind w:left="408" w:firstLine="392" w:firstLineChars="0"/>
        <w:rPr>
          <w:rFonts w:hint="eastAsia" w:ascii="宋体" w:hAnsi="宋体" w:eastAsia="宋体" w:cs="宋体"/>
          <w:sz w:val="24"/>
          <w:szCs w:val="24"/>
          <w:highlight w:val="none"/>
        </w:rPr>
      </w:pPr>
      <w:r>
        <w:rPr>
          <w:rFonts w:hint="eastAsia" w:ascii="宋体" w:hAnsi="宋体" w:eastAsia="宋体" w:cs="宋体"/>
          <w:b/>
          <w:sz w:val="24"/>
          <w:szCs w:val="24"/>
          <w:highlight w:val="none"/>
        </w:rPr>
        <w:t>采用公告方式邀请供应商的，</w:t>
      </w:r>
      <w:r>
        <w:rPr>
          <w:rFonts w:hint="eastAsia" w:ascii="宋体" w:hAnsi="宋体" w:eastAsia="宋体" w:cs="宋体"/>
          <w:sz w:val="24"/>
          <w:szCs w:val="24"/>
          <w:highlight w:val="none"/>
        </w:rPr>
        <w:t>由采购人、采购代理机构在省级以上人民政府财政部门指定的政府采购信息发布媒体上发布磋商公告，邀请符合相应资格条件的供应商参与竞争性磋商采购活动</w:t>
      </w:r>
      <w:r>
        <w:rPr>
          <w:rFonts w:hint="eastAsia" w:ascii="宋体" w:hAnsi="宋体" w:eastAsia="宋体" w:cs="宋体"/>
          <w:b/>
          <w:bCs/>
          <w:sz w:val="24"/>
          <w:szCs w:val="24"/>
          <w:highlight w:val="none"/>
        </w:rPr>
        <w:t>（本项目采用此方式）</w:t>
      </w:r>
      <w:r>
        <w:rPr>
          <w:rFonts w:hint="eastAsia" w:ascii="宋体" w:hAnsi="宋体" w:eastAsia="宋体" w:cs="宋体"/>
          <w:sz w:val="24"/>
          <w:szCs w:val="24"/>
          <w:highlight w:val="none"/>
        </w:rPr>
        <w:t>。</w:t>
      </w:r>
    </w:p>
    <w:p w14:paraId="4C6ABD6F">
      <w:pPr>
        <w:pStyle w:val="396"/>
        <w:numPr>
          <w:ilvl w:val="2"/>
          <w:numId w:val="11"/>
        </w:numPr>
        <w:spacing w:before="0"/>
        <w:ind w:left="408" w:firstLine="392" w:firstLineChars="0"/>
        <w:rPr>
          <w:rFonts w:hint="eastAsia" w:ascii="宋体" w:hAnsi="宋体" w:eastAsia="宋体" w:cs="宋体"/>
          <w:sz w:val="24"/>
          <w:szCs w:val="24"/>
          <w:highlight w:val="none"/>
        </w:rPr>
      </w:pPr>
      <w:r>
        <w:rPr>
          <w:rFonts w:hint="eastAsia" w:ascii="宋体" w:hAnsi="宋体" w:eastAsia="宋体" w:cs="宋体"/>
          <w:b/>
          <w:sz w:val="24"/>
          <w:szCs w:val="24"/>
          <w:highlight w:val="none"/>
        </w:rPr>
        <w:t>采用随机抽取方式邀请供应商的，</w:t>
      </w:r>
      <w:r>
        <w:rPr>
          <w:rFonts w:hint="eastAsia" w:ascii="宋体" w:hAnsi="宋体" w:eastAsia="宋体" w:cs="宋体"/>
          <w:sz w:val="24"/>
          <w:szCs w:val="24"/>
          <w:highlight w:val="none"/>
        </w:rPr>
        <w:t>由采购人、采购代理机构从省级以上财政部门建立的供应商库中随机抽取不少于3家符合相应资格条件的供应商参与竞争性磋商采购活动。</w:t>
      </w:r>
    </w:p>
    <w:p w14:paraId="33E53033">
      <w:pPr>
        <w:pStyle w:val="396"/>
        <w:numPr>
          <w:ilvl w:val="2"/>
          <w:numId w:val="11"/>
        </w:numPr>
        <w:spacing w:before="0"/>
        <w:ind w:left="408" w:firstLine="392" w:firstLineChars="0"/>
        <w:rPr>
          <w:rFonts w:hint="eastAsia" w:ascii="宋体" w:hAnsi="宋体" w:eastAsia="宋体" w:cs="宋体"/>
          <w:sz w:val="24"/>
          <w:szCs w:val="24"/>
          <w:highlight w:val="none"/>
        </w:rPr>
      </w:pPr>
      <w:r>
        <w:rPr>
          <w:rFonts w:hint="eastAsia" w:ascii="宋体" w:hAnsi="宋体" w:eastAsia="宋体" w:cs="宋体"/>
          <w:b/>
          <w:sz w:val="24"/>
          <w:szCs w:val="24"/>
          <w:highlight w:val="none"/>
        </w:rPr>
        <w:t>采用书面推荐方式邀请供应商的，</w:t>
      </w:r>
      <w:r>
        <w:rPr>
          <w:rFonts w:hint="eastAsia" w:ascii="宋体" w:hAnsi="宋体" w:eastAsia="宋体" w:cs="宋体"/>
          <w:sz w:val="24"/>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CE0DB23">
      <w:pPr>
        <w:pStyle w:val="396"/>
        <w:numPr>
          <w:ilvl w:val="1"/>
          <w:numId w:val="10"/>
        </w:numPr>
        <w:spacing w:before="0"/>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供应商获取磋商文件。</w:t>
      </w:r>
    </w:p>
    <w:p w14:paraId="3A65B2D9">
      <w:pPr>
        <w:pStyle w:val="396"/>
        <w:numPr>
          <w:ilvl w:val="1"/>
          <w:numId w:val="10"/>
        </w:numPr>
        <w:spacing w:before="0"/>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组织现场考察或召开答疑会（如果有）。</w:t>
      </w:r>
    </w:p>
    <w:p w14:paraId="5E356A01">
      <w:pPr>
        <w:pStyle w:val="396"/>
        <w:numPr>
          <w:ilvl w:val="1"/>
          <w:numId w:val="10"/>
        </w:numPr>
        <w:spacing w:before="0"/>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发布更正（延期）公告，澄清或修改磋商文件（如果有）。</w:t>
      </w:r>
    </w:p>
    <w:p w14:paraId="6EB0E789">
      <w:pPr>
        <w:pStyle w:val="396"/>
        <w:numPr>
          <w:ilvl w:val="1"/>
          <w:numId w:val="10"/>
        </w:numPr>
        <w:spacing w:before="0"/>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供应商按磋商文件要求编制响应文件。</w:t>
      </w:r>
    </w:p>
    <w:p w14:paraId="190A1A9D">
      <w:pPr>
        <w:pStyle w:val="396"/>
        <w:spacing w:before="0"/>
        <w:ind w:left="397" w:firstLine="0" w:firstLineChars="0"/>
        <w:rPr>
          <w:rFonts w:hint="eastAsia" w:ascii="宋体" w:hAnsi="宋体" w:eastAsia="宋体" w:cs="宋体"/>
          <w:sz w:val="24"/>
          <w:szCs w:val="24"/>
          <w:highlight w:val="none"/>
        </w:rPr>
      </w:pPr>
    </w:p>
    <w:p w14:paraId="68BCEED7">
      <w:pPr>
        <w:pStyle w:val="396"/>
        <w:numPr>
          <w:ilvl w:val="0"/>
          <w:numId w:val="9"/>
        </w:numPr>
        <w:tabs>
          <w:tab w:val="left" w:pos="210"/>
          <w:tab w:val="left" w:pos="420"/>
          <w:tab w:val="clear" w:pos="397"/>
        </w:tabs>
        <w:spacing w:before="0"/>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响应文件开启与信用信息查询</w:t>
      </w:r>
    </w:p>
    <w:p w14:paraId="3D6B35A5">
      <w:pPr>
        <w:pStyle w:val="396"/>
        <w:numPr>
          <w:ilvl w:val="1"/>
          <w:numId w:val="12"/>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供应商依据“提交响应文件的截止时间与地点”通过政采云平台在线提交响应文件。供应商在提交响应文件的截止时间前，可以补充、修改或撤回响应文件。</w:t>
      </w:r>
    </w:p>
    <w:p w14:paraId="1F6E3387">
      <w:pPr>
        <w:pStyle w:val="396"/>
        <w:numPr>
          <w:ilvl w:val="1"/>
          <w:numId w:val="12"/>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采购代理机构将通过“信用中国”网站(</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"http://www.creditchina.gov.cn"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www.creditchina.gov.cn</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)和中国政府采购网(www.ccgp.gov.cn)渠道查询供应商响应截止时间当日的信用记录。</w:t>
      </w:r>
    </w:p>
    <w:p w14:paraId="11D4FBB4">
      <w:pPr>
        <w:pStyle w:val="396"/>
        <w:spacing w:before="0"/>
        <w:ind w:left="397" w:firstLine="0" w:firstLineChars="0"/>
        <w:rPr>
          <w:rFonts w:hint="eastAsia" w:ascii="宋体" w:hAnsi="宋体" w:eastAsia="宋体" w:cs="宋体"/>
          <w:sz w:val="24"/>
          <w:szCs w:val="24"/>
          <w:highlight w:val="none"/>
        </w:rPr>
      </w:pPr>
    </w:p>
    <w:p w14:paraId="267B9F57">
      <w:pPr>
        <w:pStyle w:val="396"/>
        <w:numPr>
          <w:ilvl w:val="0"/>
          <w:numId w:val="9"/>
        </w:numPr>
        <w:tabs>
          <w:tab w:val="left" w:pos="210"/>
          <w:tab w:val="left" w:pos="420"/>
          <w:tab w:val="clear" w:pos="397"/>
        </w:tabs>
        <w:spacing w:before="0"/>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磋商与评审</w:t>
      </w:r>
    </w:p>
    <w:p w14:paraId="6830D755">
      <w:pPr>
        <w:pStyle w:val="396"/>
        <w:numPr>
          <w:ilvl w:val="1"/>
          <w:numId w:val="1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磋商小组签到。</w:t>
      </w:r>
    </w:p>
    <w:p w14:paraId="314C6509">
      <w:pPr>
        <w:pStyle w:val="396"/>
        <w:numPr>
          <w:ilvl w:val="1"/>
          <w:numId w:val="1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采购代理机构宣布有关纪律以及磋商、评审工作程序。</w:t>
      </w:r>
    </w:p>
    <w:p w14:paraId="242ECDCD">
      <w:pPr>
        <w:pStyle w:val="396"/>
        <w:numPr>
          <w:ilvl w:val="1"/>
          <w:numId w:val="1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磋商小组审查确认磋商文件。磋商文件内容违反国家有关强制性规定的，磋商小组应当停止评审并向采购代理机构说明情况。</w:t>
      </w:r>
    </w:p>
    <w:p w14:paraId="65EF58E9">
      <w:pPr>
        <w:pStyle w:val="396"/>
        <w:numPr>
          <w:ilvl w:val="1"/>
          <w:numId w:val="1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采购人或采购代理机构对供应商的资格进行审查。</w:t>
      </w:r>
    </w:p>
    <w:p w14:paraId="07F30DCB">
      <w:pPr>
        <w:pStyle w:val="396"/>
        <w:numPr>
          <w:ilvl w:val="1"/>
          <w:numId w:val="1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磋商小组审查响应文件。</w:t>
      </w:r>
    </w:p>
    <w:p w14:paraId="44A821D3">
      <w:pPr>
        <w:pStyle w:val="396"/>
        <w:numPr>
          <w:ilvl w:val="1"/>
          <w:numId w:val="1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对于未实质性响应磋商文件的响应文件由磋商小组认定响应无效，并告知该供应商。</w:t>
      </w:r>
    </w:p>
    <w:p w14:paraId="4D2618A3">
      <w:pPr>
        <w:pStyle w:val="396"/>
        <w:numPr>
          <w:ilvl w:val="1"/>
          <w:numId w:val="1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w:t>
      </w:r>
      <w:r>
        <w:rPr>
          <w:rFonts w:hint="eastAsia" w:ascii="宋体" w:hAnsi="宋体" w:eastAsia="宋体" w:cs="宋体"/>
          <w:b/>
          <w:bCs/>
          <w:sz w:val="24"/>
          <w:szCs w:val="24"/>
          <w:highlight w:val="none"/>
        </w:rPr>
        <w:t>不得少于半小时</w:t>
      </w:r>
      <w:r>
        <w:rPr>
          <w:rFonts w:hint="eastAsia" w:ascii="宋体" w:hAnsi="宋体" w:eastAsia="宋体" w:cs="宋体"/>
          <w:sz w:val="24"/>
          <w:szCs w:val="24"/>
          <w:highlight w:val="none"/>
        </w:rPr>
        <w:t>，供应商已经明确表示澄清说明或补正完毕的除外。供应商的澄清、说明或者更正不得超出响应文件的范围或者改变响应文件的实质性内容。</w:t>
      </w:r>
    </w:p>
    <w:p w14:paraId="304454DA">
      <w:pPr>
        <w:pStyle w:val="396"/>
        <w:numPr>
          <w:ilvl w:val="1"/>
          <w:numId w:val="1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与符合要求的供应商进行磋商。磋商小组所有成员按照响应文件解密次序集中与单一供应商分别进行磋商，并给予所有参加磋商的供应商平等的磋商机会。磋商过程中，磋商小组可以根据磋商情况调整轮次。在磋商过程中，磋商小组可以根据磋商文件和磋商情况实质性变动采购需求中的技术、服务要求以及合同草案条款，但不得变动磋商文件中的其他内容。</w:t>
      </w:r>
    </w:p>
    <w:p w14:paraId="4789723D">
      <w:pPr>
        <w:pStyle w:val="396"/>
        <w:spacing w:before="0"/>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磋商形式：</w:t>
      </w:r>
    </w:p>
    <w:p w14:paraId="4F439A60">
      <w:pPr>
        <w:pStyle w:val="396"/>
        <w:spacing w:before="0"/>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远程在线视频磋商：磋商时由采购代理机构利用政采云平台发起磋商邀请，供应商通过政采云“在线评审室”进行远程视频磋商。供应商使用CA数字证书登陆政采云平台——收到视频评审邀请——点击“视频评审”进入“视频评审系统”——开始远程磋商活动;</w:t>
      </w:r>
    </w:p>
    <w:p w14:paraId="743F3042">
      <w:pPr>
        <w:pStyle w:val="396"/>
        <w:spacing w:before="0"/>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远程在线非视频磋商：磋商时由采购代理机构利用政采云平台发起磋商邀请，磋商小组在线（以书面形式完成的需扫描上传）将磋商问题通知所有参加磋商的供应商，供应商按照磋商小组的要求对问题进行答复，并由授权代表签字或者加盖公章后扫描上传（或直接在线加盖电子签章后提交）；</w:t>
      </w:r>
    </w:p>
    <w:p w14:paraId="1B312687">
      <w:pPr>
        <w:pStyle w:val="396"/>
        <w:spacing w:before="0"/>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□评审现场磋商：对于要求到采购代理机构现场进行磋商的供应商，需在采购代理机构指定会议室开展磋商活动，磋商小组在现场集中与单一供应商分别进行磋商。</w:t>
      </w:r>
    </w:p>
    <w:p w14:paraId="5B075F65">
      <w:pPr>
        <w:pStyle w:val="396"/>
        <w:numPr>
          <w:ilvl w:val="1"/>
          <w:numId w:val="1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经磋商确定磋商文件的变动情况。对磋商文件作出的实质性变动是磋商文件的有效组成部分，磋商小组应当及时通过政采云平台通知所有参加磋商的供应商。</w:t>
      </w:r>
    </w:p>
    <w:p w14:paraId="4681ED55">
      <w:pPr>
        <w:pStyle w:val="396"/>
        <w:numPr>
          <w:ilvl w:val="1"/>
          <w:numId w:val="1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B37C8DF">
      <w:pPr>
        <w:pStyle w:val="396"/>
        <w:numPr>
          <w:ilvl w:val="1"/>
          <w:numId w:val="1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磋商小组按照下列方式确定提交最后报价的供应商，有特殊规定的从其规定：</w:t>
      </w:r>
    </w:p>
    <w:p w14:paraId="1C151C65">
      <w:pPr>
        <w:pStyle w:val="396"/>
        <w:spacing w:before="0"/>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磋商文件能够详细列明采购标的的技术、服务要求的，磋商结束后，磋商小组应当要求所有实质性响应的供应商在规定时间内在电子交易平台提交最后报价，提交最后报价的供应商不得少于</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家。</w:t>
      </w:r>
    </w:p>
    <w:p w14:paraId="0E37E2B0">
      <w:pPr>
        <w:pStyle w:val="396"/>
        <w:spacing w:before="0"/>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D44C034">
      <w:pPr>
        <w:pStyle w:val="396"/>
        <w:numPr>
          <w:ilvl w:val="1"/>
          <w:numId w:val="1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确定进入最后报价的供应商在规定时间内提交最后报价。</w:t>
      </w:r>
    </w:p>
    <w:p w14:paraId="5791229B">
      <w:pPr>
        <w:pStyle w:val="396"/>
        <w:numPr>
          <w:ilvl w:val="1"/>
          <w:numId w:val="1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采购代理机构唱价。</w:t>
      </w:r>
    </w:p>
    <w:p w14:paraId="253294EB">
      <w:pPr>
        <w:pStyle w:val="396"/>
        <w:numPr>
          <w:ilvl w:val="1"/>
          <w:numId w:val="1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03B26F5">
      <w:pPr>
        <w:pStyle w:val="396"/>
        <w:numPr>
          <w:ilvl w:val="1"/>
          <w:numId w:val="1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磋商小组应当根据综合评分情况，按照评审得分由高到低顺序推荐3名以上成交候选供应商，并编写评审报告。</w:t>
      </w:r>
    </w:p>
    <w:p w14:paraId="19E94D69">
      <w:pPr>
        <w:pStyle w:val="396"/>
        <w:numPr>
          <w:ilvl w:val="0"/>
          <w:numId w:val="9"/>
        </w:numPr>
        <w:tabs>
          <w:tab w:val="left" w:pos="210"/>
          <w:tab w:val="left" w:pos="420"/>
          <w:tab w:val="clear" w:pos="397"/>
        </w:tabs>
        <w:spacing w:before="0"/>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成交</w:t>
      </w:r>
    </w:p>
    <w:p w14:paraId="26D775A9">
      <w:pPr>
        <w:pStyle w:val="396"/>
        <w:numPr>
          <w:ilvl w:val="1"/>
          <w:numId w:val="14"/>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采购代理机构应当在评审结束后2个工作日内，将评审报告送采购人确认。</w:t>
      </w:r>
    </w:p>
    <w:p w14:paraId="5AA1CE39">
      <w:pPr>
        <w:pStyle w:val="396"/>
        <w:numPr>
          <w:ilvl w:val="1"/>
          <w:numId w:val="14"/>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从评审报告提出的成交候选供应商中，按照排序由高到低的原则确定成交供应商，采购人也可以书面授权磋商小组直接确定成交供应商。成交通知书和结果公告应当在规定时间内同时发出。</w:t>
      </w:r>
    </w:p>
    <w:p w14:paraId="42003E6A">
      <w:pPr>
        <w:pStyle w:val="396"/>
        <w:numPr>
          <w:ilvl w:val="1"/>
          <w:numId w:val="14"/>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在收到采购人对评审报告的确认意见和对成交供应商的确定结果后，应当在2个工作日内，在新疆政府采购网（政采云）上公告成交结果，同时向成交供应商发出成交通知书，并将磋商文件随成交结果同时公告。</w:t>
      </w:r>
    </w:p>
    <w:p w14:paraId="2BD84949">
      <w:pPr>
        <w:pStyle w:val="396"/>
        <w:numPr>
          <w:ilvl w:val="0"/>
          <w:numId w:val="9"/>
        </w:numPr>
        <w:tabs>
          <w:tab w:val="left" w:pos="210"/>
          <w:tab w:val="left" w:pos="420"/>
          <w:tab w:val="clear" w:pos="397"/>
        </w:tabs>
        <w:spacing w:before="0"/>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合同的签订</w:t>
      </w:r>
    </w:p>
    <w:p w14:paraId="60FC7688">
      <w:pPr>
        <w:pStyle w:val="396"/>
        <w:spacing w:before="0"/>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5.1采购人与中标人应当通过电子交易平台在中标通知书发出之日起三十日内，按照采购文件确定的事项签订政府采购合同，并在签订之日起2个工作日内将政府采购合同在</w:t>
      </w:r>
      <w:r>
        <w:rPr>
          <w:rFonts w:hint="eastAsia" w:ascii="宋体" w:hAnsi="宋体" w:eastAsia="宋体" w:cs="宋体"/>
          <w:sz w:val="24"/>
          <w:szCs w:val="24"/>
          <w:highlight w:val="none"/>
        </w:rPr>
        <w:t>新疆</w:t>
      </w:r>
      <w:r>
        <w:rPr>
          <w:rFonts w:hint="eastAsia" w:ascii="宋体" w:hAnsi="宋体" w:eastAsia="宋体" w:cs="宋体"/>
          <w:sz w:val="24"/>
          <w:szCs w:val="24"/>
          <w:highlight w:val="none"/>
          <w:lang w:val="zh-CN"/>
        </w:rPr>
        <w:t>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766FFA4">
      <w:pPr>
        <w:pStyle w:val="396"/>
        <w:spacing w:before="0"/>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5.2中标人按规定的日期、时间、地点，由法定代表人或其授权代表与采购人代表签订合同。如中标人为联合体的，由联合体成员各方法定代表人或其授权代表与采购人代表签订合同。</w:t>
      </w:r>
    </w:p>
    <w:p w14:paraId="23DCE95A">
      <w:pPr>
        <w:pStyle w:val="396"/>
        <w:spacing w:before="0"/>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5.3如签订合同并生效后，供应商无故拒绝或延期，除按照合同条款处理外，列入不良行为记录一次，并给予通报。</w:t>
      </w:r>
    </w:p>
    <w:p w14:paraId="673A4558">
      <w:pPr>
        <w:pStyle w:val="396"/>
        <w:spacing w:before="0"/>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5.4中标供应商拒绝与采购人签订合同的，采购人可以按照评审报告推荐的中标或者成交候选人名单排序，确定下一候选人为中标供应商，也可以重新开展政府采购活动。</w:t>
      </w:r>
    </w:p>
    <w:p w14:paraId="633E2FC7">
      <w:pPr>
        <w:pStyle w:val="396"/>
        <w:spacing w:before="0"/>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5.5采购合同由采购人与中标供应商根据采购文件、响应文件等内容通过政府采购电子交易平台在线签订，自动备案。</w:t>
      </w:r>
    </w:p>
    <w:p w14:paraId="5A6FE936">
      <w:pPr>
        <w:pStyle w:val="396"/>
        <w:numPr>
          <w:ilvl w:val="0"/>
          <w:numId w:val="9"/>
        </w:numPr>
        <w:tabs>
          <w:tab w:val="left" w:pos="210"/>
          <w:tab w:val="left" w:pos="420"/>
          <w:tab w:val="clear" w:pos="397"/>
        </w:tabs>
        <w:spacing w:before="0"/>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竞争性磋商流程图</w:t>
      </w:r>
    </w:p>
    <w:p w14:paraId="1BD35596">
      <w:pPr>
        <w:rPr>
          <w:rFonts w:hint="eastAsia" w:ascii="宋体" w:hAnsi="宋体" w:eastAsia="宋体" w:cs="宋体"/>
          <w:b/>
          <w:sz w:val="24"/>
          <w:szCs w:val="24"/>
          <w:highlight w:val="none"/>
        </w:rPr>
      </w:pPr>
      <w:r>
        <w:rPr>
          <w:rFonts w:hint="eastAsia" w:ascii="宋体" w:hAnsi="宋体" w:eastAsia="宋体" w:cs="宋体"/>
          <w:b/>
          <w:sz w:val="24"/>
          <w:szCs w:val="24"/>
          <w:highlight w:val="none"/>
        </w:rPr>
        <w:drawing>
          <wp:inline distT="0" distB="0" distL="114300" distR="114300">
            <wp:extent cx="5758180" cy="2319020"/>
            <wp:effectExtent l="0" t="0" r="13970" b="5080"/>
            <wp:docPr id="1" name="ECB019B1-382A-4266-B25C-5B523AA43C14-1" descr="C:/Users/Administrator/AppData/Local/Temp/wps.hNBePf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Administrator/AppData/Local/Temp/wps.hNBePfwps"/>
                    <pic:cNvPicPr>
                      <a:picLocks noChangeAspect="1"/>
                    </pic:cNvPicPr>
                  </pic:nvPicPr>
                  <pic:blipFill>
                    <a:blip r:embed="rId12" cstate="print"/>
                    <a:stretch>
                      <a:fillRect/>
                    </a:stretch>
                  </pic:blipFill>
                  <pic:spPr>
                    <a:xfrm>
                      <a:off x="0" y="0"/>
                      <a:ext cx="5758180" cy="2319020"/>
                    </a:xfrm>
                    <a:prstGeom prst="rect">
                      <a:avLst/>
                    </a:prstGeom>
                  </pic:spPr>
                </pic:pic>
              </a:graphicData>
            </a:graphic>
          </wp:inline>
        </w:drawing>
      </w:r>
    </w:p>
    <w:p w14:paraId="6D13FBB7">
      <w:pPr>
        <w:rPr>
          <w:rFonts w:hint="eastAsia" w:ascii="宋体" w:hAnsi="宋体" w:eastAsia="宋体" w:cs="宋体"/>
          <w:b/>
          <w:sz w:val="24"/>
          <w:szCs w:val="24"/>
          <w:highlight w:val="none"/>
        </w:rPr>
      </w:pPr>
      <w:bookmarkStart w:id="12" w:name="_Toc3754"/>
      <w:r>
        <w:rPr>
          <w:rFonts w:hint="eastAsia" w:ascii="宋体" w:hAnsi="宋体" w:eastAsia="宋体" w:cs="宋体"/>
          <w:b/>
          <w:sz w:val="24"/>
          <w:szCs w:val="24"/>
          <w:highlight w:val="none"/>
        </w:rPr>
        <w:br w:type="page"/>
      </w:r>
    </w:p>
    <w:p w14:paraId="2F261537">
      <w:pPr>
        <w:widowControl/>
        <w:adjustRightInd/>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第三部分</w:t>
      </w:r>
      <w:bookmarkEnd w:id="7"/>
      <w:r>
        <w:rPr>
          <w:rFonts w:hint="eastAsia" w:ascii="宋体" w:hAnsi="宋体" w:eastAsia="宋体" w:cs="宋体"/>
          <w:b/>
          <w:sz w:val="24"/>
          <w:szCs w:val="24"/>
          <w:highlight w:val="none"/>
        </w:rPr>
        <w:t>供应商须知</w:t>
      </w:r>
      <w:bookmarkEnd w:id="8"/>
      <w:bookmarkEnd w:id="12"/>
    </w:p>
    <w:p w14:paraId="0F294ADD">
      <w:pPr>
        <w:adjustRightInd/>
        <w:spacing w:line="360" w:lineRule="auto"/>
        <w:ind w:firstLine="2884" w:firstLineChars="1197"/>
        <w:outlineLvl w:val="0"/>
        <w:rPr>
          <w:rFonts w:hint="eastAsia" w:ascii="宋体" w:hAnsi="宋体" w:eastAsia="宋体" w:cs="宋体"/>
          <w:b/>
          <w:sz w:val="24"/>
          <w:szCs w:val="24"/>
          <w:highlight w:val="none"/>
        </w:rPr>
      </w:pPr>
      <w:bookmarkStart w:id="13" w:name="_Toc32324"/>
      <w:r>
        <w:rPr>
          <w:rFonts w:hint="eastAsia" w:ascii="宋体" w:hAnsi="宋体" w:eastAsia="宋体" w:cs="宋体"/>
          <w:b/>
          <w:sz w:val="24"/>
          <w:szCs w:val="24"/>
          <w:highlight w:val="none"/>
        </w:rPr>
        <w:t>一、前附表</w:t>
      </w:r>
      <w:bookmarkEnd w:id="13"/>
    </w:p>
    <w:tbl>
      <w:tblPr>
        <w:tblStyle w:val="61"/>
        <w:tblW w:w="976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660"/>
        <w:gridCol w:w="7220"/>
      </w:tblGrid>
      <w:tr w14:paraId="347C90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67" w:hRule="atLeast"/>
          <w:jc w:val="center"/>
        </w:trPr>
        <w:tc>
          <w:tcPr>
            <w:tcW w:w="881" w:type="dxa"/>
            <w:noWrap/>
            <w:vAlign w:val="center"/>
          </w:tcPr>
          <w:p w14:paraId="65A0004B">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序号</w:t>
            </w:r>
          </w:p>
        </w:tc>
        <w:tc>
          <w:tcPr>
            <w:tcW w:w="1660" w:type="dxa"/>
            <w:noWrap/>
            <w:vAlign w:val="center"/>
          </w:tcPr>
          <w:p w14:paraId="5E038E58">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名称</w:t>
            </w:r>
          </w:p>
        </w:tc>
        <w:tc>
          <w:tcPr>
            <w:tcW w:w="7220" w:type="dxa"/>
            <w:noWrap/>
            <w:vAlign w:val="center"/>
          </w:tcPr>
          <w:p w14:paraId="43CCDF79">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内容</w:t>
            </w:r>
          </w:p>
        </w:tc>
      </w:tr>
      <w:tr w14:paraId="5390A1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2AA072D4">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w:t>
            </w:r>
          </w:p>
        </w:tc>
        <w:tc>
          <w:tcPr>
            <w:tcW w:w="1660" w:type="dxa"/>
            <w:noWrap/>
            <w:vAlign w:val="center"/>
          </w:tcPr>
          <w:p w14:paraId="2A7249C4">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采购人</w:t>
            </w:r>
          </w:p>
        </w:tc>
        <w:tc>
          <w:tcPr>
            <w:tcW w:w="7220" w:type="dxa"/>
            <w:noWrap/>
            <w:vAlign w:val="center"/>
          </w:tcPr>
          <w:p w14:paraId="575D3882">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采购人信息</w:t>
            </w:r>
          </w:p>
          <w:p w14:paraId="52017237">
            <w:pPr>
              <w:pStyle w:val="162"/>
              <w:spacing w:line="360" w:lineRule="auto"/>
              <w:ind w:firstLine="0"/>
              <w:rPr>
                <w:rFonts w:hint="eastAsia" w:ascii="宋体" w:hAnsi="宋体" w:eastAsia="宋体" w:cs="宋体"/>
                <w:snapToGrid w:val="0"/>
                <w:color w:val="000000" w:themeColor="text1"/>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名称：新疆维吾尔自治区妇幼保健院（新疆维吾尔自治区第八人民医院）</w:t>
            </w:r>
          </w:p>
          <w:p w14:paraId="3593EDEB">
            <w:pPr>
              <w:pStyle w:val="162"/>
              <w:spacing w:line="360" w:lineRule="auto"/>
              <w:ind w:firstLine="0"/>
              <w:rPr>
                <w:rFonts w:hint="eastAsia" w:ascii="宋体" w:hAnsi="宋体" w:eastAsia="宋体" w:cs="宋体"/>
                <w:snapToGrid w:val="0"/>
                <w:color w:val="000000" w:themeColor="text1"/>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地址：</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乌鲁木齐市沙依巴克区友好北路789号</w:t>
            </w:r>
          </w:p>
          <w:p w14:paraId="1B376D37">
            <w:pPr>
              <w:pStyle w:val="162"/>
              <w:spacing w:line="360" w:lineRule="auto"/>
              <w:ind w:firstLine="0"/>
              <w:rPr>
                <w:rFonts w:hint="eastAsia" w:ascii="宋体" w:hAnsi="宋体" w:eastAsia="宋体" w:cs="宋体"/>
                <w:snapToGrid w:val="0"/>
                <w:color w:val="000000" w:themeColor="text1"/>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联系人：陈老师</w:t>
            </w:r>
          </w:p>
          <w:p w14:paraId="6E106498">
            <w:pPr>
              <w:pStyle w:val="162"/>
              <w:spacing w:line="360" w:lineRule="auto"/>
              <w:ind w:firstLine="0"/>
              <w:rPr>
                <w:rFonts w:hint="eastAsia" w:ascii="宋体" w:hAnsi="宋体" w:eastAsia="宋体" w:cs="宋体"/>
                <w:snapToGrid w:val="0"/>
                <w:color w:val="000000" w:themeColor="text1"/>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联系方式：</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0991-7518118</w:t>
            </w:r>
          </w:p>
        </w:tc>
      </w:tr>
      <w:tr w14:paraId="11D86D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71549E8D">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w:t>
            </w:r>
          </w:p>
        </w:tc>
        <w:tc>
          <w:tcPr>
            <w:tcW w:w="1660" w:type="dxa"/>
            <w:noWrap/>
            <w:vAlign w:val="center"/>
          </w:tcPr>
          <w:p w14:paraId="713CD37C">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采购代理机构</w:t>
            </w:r>
          </w:p>
        </w:tc>
        <w:tc>
          <w:tcPr>
            <w:tcW w:w="7220" w:type="dxa"/>
            <w:noWrap/>
            <w:vAlign w:val="center"/>
          </w:tcPr>
          <w:p w14:paraId="6AE3C8F6">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采购代理机构信息</w:t>
            </w:r>
          </w:p>
          <w:p w14:paraId="57D1AEBE">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名称：</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新疆卓恒工程项目管理有限公司</w:t>
            </w:r>
          </w:p>
          <w:p w14:paraId="6453C488">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地址：乌鲁木齐市水磨沟区龙盛街898号万科中央公园S2座10楼</w:t>
            </w:r>
          </w:p>
          <w:p w14:paraId="17A6EAF5">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项目联系人：</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邵转兄、杨巧红、王工</w:t>
            </w:r>
          </w:p>
          <w:p w14:paraId="3F28E0AE">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电话：</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09918891887、13579615540</w:t>
            </w:r>
          </w:p>
          <w:p w14:paraId="2DD8A579">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电子邮箱：</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1057201242@qq.com</w:t>
            </w:r>
          </w:p>
        </w:tc>
      </w:tr>
      <w:tr w14:paraId="251E61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3289CAFF">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w:t>
            </w:r>
          </w:p>
        </w:tc>
        <w:tc>
          <w:tcPr>
            <w:tcW w:w="1660" w:type="dxa"/>
            <w:noWrap/>
            <w:vAlign w:val="center"/>
          </w:tcPr>
          <w:p w14:paraId="7C62FC49">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踏勘现场</w:t>
            </w:r>
          </w:p>
        </w:tc>
        <w:tc>
          <w:tcPr>
            <w:tcW w:w="7220" w:type="dxa"/>
            <w:noWrap/>
            <w:vAlign w:val="center"/>
          </w:tcPr>
          <w:p w14:paraId="078723C1">
            <w:pPr>
              <w:pStyle w:val="408"/>
              <w:spacing w:line="360" w:lineRule="auto"/>
              <w:ind w:firstLine="0" w:firstLineChars="0"/>
              <w:rPr>
                <w:rStyle w:val="623"/>
                <w:rFonts w:hint="eastAsia" w:ascii="宋体" w:hAnsi="宋体" w:eastAsia="宋体" w:cs="宋体"/>
                <w:sz w:val="24"/>
                <w:szCs w:val="24"/>
                <w:highlight w:val="none"/>
              </w:rPr>
            </w:pPr>
            <w:r>
              <w:rPr>
                <w:rStyle w:val="623"/>
                <w:rFonts w:hint="eastAsia" w:ascii="宋体" w:hAnsi="宋体" w:eastAsia="宋体" w:cs="宋体"/>
                <w:sz w:val="24"/>
                <w:szCs w:val="24"/>
                <w:highlight w:val="none"/>
              </w:rPr>
              <w:fldChar w:fldCharType="begin"/>
            </w:r>
            <w:r>
              <w:rPr>
                <w:rStyle w:val="623"/>
                <w:rFonts w:hint="eastAsia" w:ascii="宋体" w:hAnsi="宋体" w:eastAsia="宋体" w:cs="宋体"/>
                <w:sz w:val="24"/>
                <w:szCs w:val="24"/>
                <w:highlight w:val="none"/>
              </w:rPr>
              <w:instrText xml:space="preserve"> eq \o\ac(</w:instrText>
            </w:r>
            <w:r>
              <w:rPr>
                <w:rStyle w:val="623"/>
                <w:rFonts w:hint="eastAsia" w:ascii="宋体" w:hAnsi="宋体" w:eastAsia="宋体" w:cs="宋体"/>
                <w:position w:val="-4"/>
                <w:sz w:val="36"/>
                <w:szCs w:val="24"/>
                <w:highlight w:val="none"/>
              </w:rPr>
              <w:instrText xml:space="preserve">□</w:instrText>
            </w:r>
            <w:r>
              <w:rPr>
                <w:rStyle w:val="623"/>
                <w:rFonts w:hint="eastAsia" w:ascii="宋体" w:hAnsi="宋体" w:eastAsia="宋体" w:cs="宋体"/>
                <w:position w:val="0"/>
                <w:sz w:val="24"/>
                <w:szCs w:val="24"/>
                <w:highlight w:val="none"/>
              </w:rPr>
              <w:instrText xml:space="preserve">,√)</w:instrText>
            </w:r>
            <w:r>
              <w:rPr>
                <w:rStyle w:val="623"/>
                <w:rFonts w:hint="eastAsia" w:ascii="宋体" w:hAnsi="宋体" w:eastAsia="宋体" w:cs="宋体"/>
                <w:sz w:val="24"/>
                <w:szCs w:val="24"/>
                <w:highlight w:val="none"/>
              </w:rPr>
              <w:fldChar w:fldCharType="end"/>
            </w:r>
            <w:r>
              <w:rPr>
                <w:rStyle w:val="623"/>
                <w:rFonts w:hint="eastAsia" w:ascii="宋体" w:hAnsi="宋体" w:eastAsia="宋体" w:cs="宋体"/>
                <w:sz w:val="24"/>
                <w:szCs w:val="24"/>
                <w:highlight w:val="none"/>
              </w:rPr>
              <w:t>否，自行踏勘。</w:t>
            </w:r>
          </w:p>
          <w:p w14:paraId="64D0E36A">
            <w:pPr>
              <w:pStyle w:val="408"/>
              <w:spacing w:line="360" w:lineRule="auto"/>
              <w:ind w:firstLine="0" w:firstLineChars="0"/>
              <w:rPr>
                <w:rStyle w:val="623"/>
                <w:rFonts w:hint="eastAsia" w:ascii="宋体" w:hAnsi="宋体" w:eastAsia="宋体" w:cs="宋体"/>
                <w:sz w:val="24"/>
                <w:szCs w:val="24"/>
                <w:highlight w:val="none"/>
              </w:rPr>
            </w:pPr>
            <w:r>
              <w:rPr>
                <w:rStyle w:val="623"/>
                <w:rFonts w:hint="eastAsia" w:ascii="宋体" w:hAnsi="宋体" w:eastAsia="宋体" w:cs="宋体"/>
                <w:sz w:val="24"/>
                <w:szCs w:val="24"/>
                <w:highlight w:val="none"/>
              </w:rPr>
              <w:fldChar w:fldCharType="begin"/>
            </w:r>
            <w:r>
              <w:rPr>
                <w:rStyle w:val="623"/>
                <w:rFonts w:hint="eastAsia" w:ascii="宋体" w:hAnsi="宋体" w:eastAsia="宋体" w:cs="宋体"/>
                <w:sz w:val="24"/>
                <w:szCs w:val="24"/>
                <w:highlight w:val="none"/>
              </w:rPr>
              <w:instrText xml:space="preserve"> eq \o\ac(</w:instrText>
            </w:r>
            <w:r>
              <w:rPr>
                <w:rStyle w:val="623"/>
                <w:rFonts w:hint="eastAsia" w:ascii="宋体" w:hAnsi="宋体" w:eastAsia="宋体" w:cs="宋体"/>
                <w:position w:val="-4"/>
                <w:sz w:val="36"/>
                <w:szCs w:val="24"/>
                <w:highlight w:val="none"/>
              </w:rPr>
              <w:instrText xml:space="preserve">□</w:instrText>
            </w:r>
            <w:r>
              <w:rPr>
                <w:rStyle w:val="623"/>
                <w:rFonts w:hint="eastAsia" w:ascii="宋体" w:hAnsi="宋体" w:eastAsia="宋体" w:cs="宋体"/>
                <w:position w:val="0"/>
                <w:sz w:val="24"/>
                <w:szCs w:val="24"/>
                <w:highlight w:val="none"/>
              </w:rPr>
              <w:instrText xml:space="preserve">)</w:instrText>
            </w:r>
            <w:r>
              <w:rPr>
                <w:rStyle w:val="623"/>
                <w:rFonts w:hint="eastAsia" w:ascii="宋体" w:hAnsi="宋体" w:eastAsia="宋体" w:cs="宋体"/>
                <w:sz w:val="24"/>
                <w:szCs w:val="24"/>
                <w:highlight w:val="none"/>
              </w:rPr>
              <w:fldChar w:fldCharType="end"/>
            </w:r>
            <w:r>
              <w:rPr>
                <w:rStyle w:val="623"/>
                <w:rFonts w:hint="eastAsia" w:ascii="宋体" w:hAnsi="宋体" w:eastAsia="宋体" w:cs="宋体"/>
                <w:sz w:val="24"/>
                <w:szCs w:val="24"/>
                <w:highlight w:val="none"/>
              </w:rPr>
              <w:t>统一组织。</w:t>
            </w:r>
          </w:p>
          <w:p w14:paraId="039F2639">
            <w:pPr>
              <w:pStyle w:val="408"/>
              <w:spacing w:line="360" w:lineRule="auto"/>
              <w:ind w:firstLine="0" w:firstLineChars="0"/>
              <w:rPr>
                <w:rStyle w:val="623"/>
                <w:rFonts w:hint="eastAsia" w:ascii="宋体" w:hAnsi="宋体" w:eastAsia="宋体" w:cs="宋体"/>
                <w:sz w:val="24"/>
                <w:szCs w:val="24"/>
                <w:highlight w:val="none"/>
              </w:rPr>
            </w:pPr>
            <w:r>
              <w:rPr>
                <w:rStyle w:val="623"/>
                <w:rFonts w:hint="eastAsia" w:ascii="宋体" w:hAnsi="宋体" w:eastAsia="宋体" w:cs="宋体"/>
                <w:sz w:val="24"/>
                <w:szCs w:val="24"/>
                <w:highlight w:val="none"/>
              </w:rPr>
              <w:t>联系人：/联系电话：/</w:t>
            </w:r>
          </w:p>
          <w:p w14:paraId="5FC78641">
            <w:pPr>
              <w:pStyle w:val="162"/>
              <w:spacing w:line="360" w:lineRule="auto"/>
              <w:ind w:firstLine="0"/>
              <w:rPr>
                <w:rFonts w:hint="eastAsia" w:ascii="宋体" w:hAnsi="宋体" w:eastAsia="宋体" w:cs="宋体"/>
                <w:snapToGrid w:val="0"/>
                <w:color w:val="000000" w:themeColor="text1"/>
                <w:sz w:val="24"/>
                <w:szCs w:val="24"/>
                <w:highlight w:val="none"/>
                <w:lang w:eastAsia="zh-CN"/>
                <w14:textFill>
                  <w14:solidFill>
                    <w14:schemeClr w14:val="tx1"/>
                  </w14:solidFill>
                </w14:textFill>
              </w:rPr>
            </w:pPr>
            <w:r>
              <w:rPr>
                <w:rStyle w:val="623"/>
                <w:rFonts w:hint="eastAsia" w:ascii="宋体" w:hAnsi="宋体" w:eastAsia="宋体" w:cs="宋体"/>
                <w:sz w:val="24"/>
                <w:szCs w:val="24"/>
                <w:highlight w:val="none"/>
              </w:rPr>
              <w:t>踏勘时间：/踏勘地点：/</w:t>
            </w:r>
          </w:p>
        </w:tc>
      </w:tr>
      <w:tr w14:paraId="0203C0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0F1BC25F">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4</w:t>
            </w:r>
          </w:p>
        </w:tc>
        <w:tc>
          <w:tcPr>
            <w:tcW w:w="1660" w:type="dxa"/>
            <w:noWrap/>
            <w:vAlign w:val="center"/>
          </w:tcPr>
          <w:p w14:paraId="02B4992F">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资金来源</w:t>
            </w:r>
          </w:p>
        </w:tc>
        <w:tc>
          <w:tcPr>
            <w:tcW w:w="7220" w:type="dxa"/>
            <w:noWrap/>
            <w:vAlign w:val="center"/>
          </w:tcPr>
          <w:p w14:paraId="5F1324D0">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财政资金</w:t>
            </w:r>
          </w:p>
        </w:tc>
      </w:tr>
      <w:tr w14:paraId="6507EE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402621A5">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5</w:t>
            </w:r>
          </w:p>
        </w:tc>
        <w:tc>
          <w:tcPr>
            <w:tcW w:w="1660" w:type="dxa"/>
            <w:noWrap/>
            <w:vAlign w:val="center"/>
          </w:tcPr>
          <w:p w14:paraId="5C8D406F">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环境标志产品节能产品</w:t>
            </w:r>
          </w:p>
        </w:tc>
        <w:tc>
          <w:tcPr>
            <w:tcW w:w="7220" w:type="dxa"/>
            <w:noWrap/>
            <w:vAlign w:val="center"/>
          </w:tcPr>
          <w:p w14:paraId="3116FBB1">
            <w:pPr>
              <w:autoSpaceDE w:val="0"/>
              <w:autoSpaceDN w:val="0"/>
              <w:snapToGrid w:val="0"/>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（1）严格执行《财政部发展改革委生态环境部市场监管总局关于调整优化节能产品、环境标志产品政府采购执行机制的通知》（财库〔2019〕9号）。</w:t>
            </w:r>
          </w:p>
          <w:p w14:paraId="412C43F5">
            <w:pPr>
              <w:autoSpaceDE w:val="0"/>
              <w:autoSpaceDN w:val="0"/>
              <w:snapToGrid w:val="0"/>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7BA91A79">
            <w:pPr>
              <w:autoSpaceDE w:val="0"/>
              <w:autoSpaceDN w:val="0"/>
              <w:snapToGrid w:val="0"/>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▲（3）采购人拟采购的产品属于政府强制采购的节能产品品目清单范围的，供应商未按采购文件要求提供国家确定的认证机构出具的、处于有效期之内的节能产品认证证书，投标无效。</w:t>
            </w:r>
          </w:p>
          <w:p w14:paraId="06D3D3EC">
            <w:pPr>
              <w:numPr>
                <w:ilvl w:val="0"/>
                <w:numId w:val="15"/>
              </w:numPr>
              <w:autoSpaceDE w:val="0"/>
              <w:autoSpaceDN w:val="0"/>
              <w:snapToGrid w:val="0"/>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属于政府优先采购产品类别的，须按照要求提供依据国家确定的认证机构出具的、处于有效期之内的节能产品或环境标志产品认证证书，否则不予认定。</w:t>
            </w:r>
          </w:p>
          <w:p w14:paraId="70791A6E">
            <w:pPr>
              <w:autoSpaceDE w:val="0"/>
              <w:autoSpaceDN w:val="0"/>
              <w:snapToGrid w:val="0"/>
              <w:spacing w:line="360" w:lineRule="auto"/>
              <w:ind w:right="105" w:rightChars="5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lang w:eastAsia="zh-CN"/>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szCs w:val="24"/>
                <w:highlight w:val="none"/>
                <w14:textFill>
                  <w14:solidFill>
                    <w14:schemeClr w14:val="tx1"/>
                  </w14:solidFill>
                </w14:textFill>
              </w:rPr>
              <w:t>适用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不适用</w:t>
            </w:r>
          </w:p>
        </w:tc>
      </w:tr>
      <w:tr w14:paraId="24D3D2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2779A400">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6</w:t>
            </w:r>
          </w:p>
        </w:tc>
        <w:tc>
          <w:tcPr>
            <w:tcW w:w="1660" w:type="dxa"/>
            <w:noWrap/>
            <w:vAlign w:val="center"/>
          </w:tcPr>
          <w:p w14:paraId="0F01D90E">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响应产品主体</w:t>
            </w:r>
          </w:p>
        </w:tc>
        <w:tc>
          <w:tcPr>
            <w:tcW w:w="7220" w:type="dxa"/>
            <w:noWrap/>
            <w:vAlign w:val="center"/>
          </w:tcPr>
          <w:p w14:paraId="13D04EE1">
            <w:pPr>
              <w:autoSpaceDE w:val="0"/>
              <w:autoSpaceDN w:val="0"/>
              <w:snapToGrid w:val="0"/>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14:paraId="1F5F33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3824F87A">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7</w:t>
            </w:r>
          </w:p>
        </w:tc>
        <w:tc>
          <w:tcPr>
            <w:tcW w:w="1660" w:type="dxa"/>
            <w:noWrap/>
            <w:vAlign w:val="center"/>
          </w:tcPr>
          <w:p w14:paraId="6D369308">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投标保证金▲</w:t>
            </w:r>
          </w:p>
        </w:tc>
        <w:tc>
          <w:tcPr>
            <w:tcW w:w="7220" w:type="dxa"/>
            <w:noWrap/>
            <w:vAlign w:val="center"/>
          </w:tcPr>
          <w:p w14:paraId="16B2C9A4">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标项</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投标保证金的金额：</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1700.00元（大写：壹仟柒佰元整）</w:t>
            </w:r>
          </w:p>
          <w:p w14:paraId="7967F25B">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标项</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投标保证金的金额：</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900.00元（大写：玖佰元整）</w:t>
            </w:r>
          </w:p>
          <w:p w14:paraId="190AFF51">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标项</w:t>
            </w:r>
            <w:r>
              <w:rPr>
                <w:rFonts w:hint="eastAsia" w:cs="宋体"/>
                <w:snapToGrid w:val="0"/>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投标保证金的金额：</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700.00元（大写：柒佰元整）</w:t>
            </w:r>
          </w:p>
          <w:p w14:paraId="633412D5">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标项</w:t>
            </w:r>
            <w:r>
              <w:rPr>
                <w:rFonts w:hint="eastAsia" w:cs="宋体"/>
                <w:snapToGrid w:val="0"/>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投标保证金的金额：</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750.00元（大写：柒佰伍拾元整）</w:t>
            </w:r>
          </w:p>
          <w:p w14:paraId="652CA7D2">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标项</w:t>
            </w:r>
            <w:r>
              <w:rPr>
                <w:rFonts w:hint="eastAsia" w:cs="宋体"/>
                <w:snapToGrid w:val="0"/>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投标保证金的金额：</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800.00元（大写：捌佰元整）</w:t>
            </w:r>
          </w:p>
          <w:p w14:paraId="4028866A">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6.</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标项</w:t>
            </w:r>
            <w:r>
              <w:rPr>
                <w:rFonts w:hint="eastAsia" w:cs="宋体"/>
                <w:snapToGrid w:val="0"/>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投标保证金的金额：</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1500.00元（大写：壹仟伍佰元整）</w:t>
            </w:r>
          </w:p>
          <w:p w14:paraId="2E91EAB7">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标项</w:t>
            </w:r>
            <w:r>
              <w:rPr>
                <w:rFonts w:hint="eastAsia" w:cs="宋体"/>
                <w:snapToGrid w:val="0"/>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投标保证金的金额：</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4500.00元（大写：肆仟伍佰元整）</w:t>
            </w:r>
          </w:p>
          <w:p w14:paraId="417F5738">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8</w:t>
            </w:r>
            <w:r>
              <w:rPr>
                <w:rFonts w:hint="eastAsia" w:ascii="宋体" w:hAnsi="宋体" w:eastAsia="宋体" w:cs="宋体"/>
                <w:snapToGrid w:val="0"/>
                <w:color w:val="000000" w:themeColor="text1"/>
                <w:sz w:val="24"/>
                <w:szCs w:val="24"/>
                <w:highlight w:val="none"/>
                <w14:textFill>
                  <w14:solidFill>
                    <w14:schemeClr w14:val="tx1"/>
                  </w14:solidFill>
                </w14:textFill>
              </w:rPr>
              <w:t>.投标保证金的形式：现金/银行汇票/银行支票/银行保函。</w:t>
            </w:r>
          </w:p>
          <w:p w14:paraId="43DA73A5">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如采用银行转账方式，投标人必须在投标截止时间之前从投标人账户中转出；银行汇票/银行支票/银行保函方式须递交原件（银行保函格式见应答文件格式）</w:t>
            </w:r>
          </w:p>
          <w:p w14:paraId="7D3A8213">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snapToGrid w:val="0"/>
                <w:color w:val="000000" w:themeColor="text1"/>
                <w:sz w:val="24"/>
                <w:szCs w:val="24"/>
                <w:highlight w:val="none"/>
                <w14:textFill>
                  <w14:solidFill>
                    <w14:schemeClr w14:val="tx1"/>
                  </w14:solidFill>
                </w14:textFill>
              </w:rPr>
              <w:t>.投标保证金有效期与投标有效期一致。</w:t>
            </w:r>
          </w:p>
          <w:p w14:paraId="495A16A4">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6</w:t>
            </w:r>
            <w:r>
              <w:rPr>
                <w:rFonts w:hint="eastAsia" w:ascii="宋体" w:hAnsi="宋体" w:eastAsia="宋体" w:cs="宋体"/>
                <w:snapToGrid w:val="0"/>
                <w:color w:val="000000" w:themeColor="text1"/>
                <w:sz w:val="24"/>
                <w:szCs w:val="24"/>
                <w:highlight w:val="none"/>
                <w14:textFill>
                  <w14:solidFill>
                    <w14:schemeClr w14:val="tx1"/>
                  </w14:solidFill>
                </w14:textFill>
              </w:rPr>
              <w:t>.提交投标保证金的截止时间为：</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snapToGrid w:val="0"/>
                <w:color w:val="000000" w:themeColor="text1"/>
                <w:sz w:val="24"/>
                <w:szCs w:val="24"/>
                <w:highlight w:val="none"/>
                <w14:textFill>
                  <w14:solidFill>
                    <w14:schemeClr w14:val="tx1"/>
                  </w14:solidFill>
                </w14:textFill>
              </w:rPr>
              <w:t>递交截止时间。</w:t>
            </w:r>
          </w:p>
          <w:p w14:paraId="42C27D61">
            <w:pPr>
              <w:pStyle w:val="162"/>
              <w:spacing w:line="360" w:lineRule="auto"/>
              <w:ind w:firstLine="0"/>
              <w:rPr>
                <w:rFonts w:hint="eastAsia" w:ascii="宋体" w:hAnsi="宋体" w:eastAsia="宋体" w:cs="宋体"/>
                <w:snapToGrid w:val="0"/>
                <w:color w:val="000000" w:themeColor="text1"/>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snapToGrid w:val="0"/>
                <w:color w:val="000000" w:themeColor="text1"/>
                <w:sz w:val="24"/>
                <w:szCs w:val="24"/>
                <w:highlight w:val="none"/>
                <w14:textFill>
                  <w14:solidFill>
                    <w14:schemeClr w14:val="tx1"/>
                  </w14:solidFill>
                </w14:textFill>
              </w:rPr>
              <w:t>.保证金提交账号信息如下：</w:t>
            </w:r>
            <w:r>
              <w:rPr>
                <w:rFonts w:hint="eastAsia" w:ascii="宋体" w:hAnsi="宋体" w:eastAsia="宋体" w:cs="宋体"/>
                <w:snapToGrid w:val="0"/>
                <w:color w:val="000000" w:themeColor="text1"/>
                <w:sz w:val="24"/>
                <w:szCs w:val="24"/>
                <w:highlight w:val="none"/>
                <w14:textFill>
                  <w14:solidFill>
                    <w14:schemeClr w14:val="tx1"/>
                  </w14:solidFill>
                </w14:textFill>
              </w:rPr>
              <w:cr/>
            </w:r>
            <w:r>
              <w:rPr>
                <w:rFonts w:hint="eastAsia" w:ascii="宋体" w:hAnsi="宋体" w:eastAsia="宋体" w:cs="宋体"/>
                <w:snapToGrid w:val="0"/>
                <w:color w:val="000000" w:themeColor="text1"/>
                <w:sz w:val="24"/>
                <w:szCs w:val="24"/>
                <w:highlight w:val="none"/>
                <w14:textFill>
                  <w14:solidFill>
                    <w14:schemeClr w14:val="tx1"/>
                  </w14:solidFill>
                </w14:textFill>
              </w:rPr>
              <w:t>【账户名称】：</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新疆卓恒工程项目管理有限公司</w:t>
            </w:r>
          </w:p>
          <w:p w14:paraId="57933B4F">
            <w:pPr>
              <w:pStyle w:val="162"/>
              <w:spacing w:line="360" w:lineRule="auto"/>
              <w:ind w:firstLine="0"/>
              <w:rPr>
                <w:rFonts w:hint="eastAsia" w:ascii="宋体" w:hAnsi="宋体" w:eastAsia="宋体" w:cs="宋体"/>
                <w:snapToGrid w:val="0"/>
                <w:color w:val="000000" w:themeColor="text1"/>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【开户行】：</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乌鲁木齐银行龙盛街支行</w:t>
            </w:r>
          </w:p>
          <w:p w14:paraId="0165674A">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【帐号】：</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0000020070110083477069</w:t>
            </w:r>
          </w:p>
          <w:p w14:paraId="797853E9">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行</w:t>
            </w:r>
            <w:r>
              <w:rPr>
                <w:rFonts w:hint="eastAsia" w:ascii="宋体" w:hAnsi="宋体" w:eastAsia="宋体" w:cs="宋体"/>
                <w:snapToGrid w:val="0"/>
                <w:color w:val="000000" w:themeColor="text1"/>
                <w:sz w:val="24"/>
                <w:szCs w:val="24"/>
                <w:highlight w:val="none"/>
                <w14:textFill>
                  <w14:solidFill>
                    <w14:schemeClr w14:val="tx1"/>
                  </w14:solidFill>
                </w14:textFill>
              </w:rPr>
              <w:t>号】</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313881000867</w:t>
            </w:r>
          </w:p>
          <w:p w14:paraId="052BE71C">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注：须在汇款单上备注“</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项目名称+单位名称</w:t>
            </w:r>
            <w:r>
              <w:rPr>
                <w:rFonts w:hint="eastAsia" w:ascii="宋体" w:hAnsi="宋体" w:eastAsia="宋体" w:cs="宋体"/>
                <w:snapToGrid w:val="0"/>
                <w:color w:val="000000" w:themeColor="text1"/>
                <w:sz w:val="24"/>
                <w:szCs w:val="24"/>
                <w:highlight w:val="none"/>
                <w14:textFill>
                  <w14:solidFill>
                    <w14:schemeClr w14:val="tx1"/>
                  </w14:solidFill>
                </w14:textFill>
              </w:rPr>
              <w:t>”</w:t>
            </w:r>
          </w:p>
        </w:tc>
      </w:tr>
      <w:tr w14:paraId="509CA8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596C4525">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8</w:t>
            </w:r>
          </w:p>
        </w:tc>
        <w:tc>
          <w:tcPr>
            <w:tcW w:w="1660" w:type="dxa"/>
            <w:noWrap/>
            <w:vAlign w:val="center"/>
          </w:tcPr>
          <w:p w14:paraId="4FB7AE7A">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招标代理服务费</w:t>
            </w:r>
          </w:p>
        </w:tc>
        <w:tc>
          <w:tcPr>
            <w:tcW w:w="7220" w:type="dxa"/>
            <w:noWrap/>
            <w:vAlign w:val="center"/>
          </w:tcPr>
          <w:p w14:paraId="113BDC7A">
            <w:pPr>
              <w:pStyle w:val="162"/>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委托了专业的采购代理机构实施本次招标工作。采购代理服务费的计算收费标准及依据：按照国家计委计价格[2002]1980号文件《招标代理服务收费管理暂行办法》、《发改办价格(2011)534号》和国家发改办价格[2003]857号《关于招标代理服务收费有关问题的通知》的收费执行。</w:t>
            </w:r>
          </w:p>
          <w:p w14:paraId="5582013B">
            <w:pPr>
              <w:pStyle w:val="162"/>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2、代理报酬支付方式：由中标供应商支付。</w:t>
            </w:r>
          </w:p>
          <w:p w14:paraId="3C46E933">
            <w:pPr>
              <w:pStyle w:val="162"/>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napToGrid w:val="0"/>
                <w:color w:val="000000" w:themeColor="text1"/>
                <w:sz w:val="24"/>
                <w:szCs w:val="24"/>
                <w:highlight w:val="none"/>
                <w:lang w:eastAsia="zh-CN"/>
                <w14:textFill>
                  <w14:solidFill>
                    <w14:schemeClr w14:val="tx1"/>
                  </w14:solidFill>
                </w14:textFill>
              </w:rPr>
            </w:pPr>
            <w:r>
              <w:rPr>
                <w:rFonts w:hint="eastAsia" w:ascii="宋体" w:hAnsi="宋体" w:eastAsia="宋体" w:cs="宋体"/>
                <w:sz w:val="24"/>
                <w:szCs w:val="24"/>
                <w:highlight w:val="none"/>
              </w:rPr>
              <w:t>3、代理报酬的支付时间：由中标供应商领取中标通知书前支付。</w:t>
            </w:r>
          </w:p>
        </w:tc>
      </w:tr>
      <w:tr w14:paraId="7F17FB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59236FE0">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9</w:t>
            </w:r>
          </w:p>
        </w:tc>
        <w:tc>
          <w:tcPr>
            <w:tcW w:w="1660" w:type="dxa"/>
            <w:noWrap/>
            <w:vAlign w:val="center"/>
          </w:tcPr>
          <w:p w14:paraId="5ACD270D">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响应文件有效期▲</w:t>
            </w:r>
          </w:p>
        </w:tc>
        <w:tc>
          <w:tcPr>
            <w:tcW w:w="7220" w:type="dxa"/>
            <w:noWrap/>
            <w:vAlign w:val="center"/>
          </w:tcPr>
          <w:p w14:paraId="740E1BA7">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自响应截止时间起90天</w:t>
            </w:r>
          </w:p>
        </w:tc>
      </w:tr>
      <w:tr w14:paraId="6B3E27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59E1C38D">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10</w:t>
            </w:r>
          </w:p>
        </w:tc>
        <w:tc>
          <w:tcPr>
            <w:tcW w:w="1660" w:type="dxa"/>
            <w:noWrap/>
            <w:vAlign w:val="center"/>
          </w:tcPr>
          <w:p w14:paraId="4FCEB2FF">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提交首次响应文件截止时间</w:t>
            </w:r>
            <w:r>
              <w:rPr>
                <w:rFonts w:hint="eastAsia" w:ascii="宋体" w:hAnsi="宋体" w:eastAsia="宋体" w:cs="宋体"/>
                <w:snapToGrid w:val="0"/>
                <w:color w:val="000000" w:themeColor="text1"/>
                <w:sz w:val="24"/>
                <w:szCs w:val="24"/>
                <w:highlight w:val="none"/>
                <w14:textFill>
                  <w14:solidFill>
                    <w14:schemeClr w14:val="tx1"/>
                  </w14:solidFill>
                </w14:textFill>
              </w:rPr>
              <w:t>▲</w:t>
            </w:r>
          </w:p>
        </w:tc>
        <w:tc>
          <w:tcPr>
            <w:tcW w:w="7220" w:type="dxa"/>
            <w:noWrap/>
            <w:vAlign w:val="center"/>
          </w:tcPr>
          <w:p w14:paraId="5A882AAB">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按“竞争性磋商公告”规定</w:t>
            </w:r>
          </w:p>
        </w:tc>
      </w:tr>
      <w:tr w14:paraId="740C3A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4B24D69E">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11</w:t>
            </w:r>
          </w:p>
        </w:tc>
        <w:tc>
          <w:tcPr>
            <w:tcW w:w="1660" w:type="dxa"/>
            <w:noWrap/>
            <w:vAlign w:val="center"/>
          </w:tcPr>
          <w:p w14:paraId="1FCB98D2">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响应文件递交地点▲</w:t>
            </w:r>
          </w:p>
        </w:tc>
        <w:tc>
          <w:tcPr>
            <w:tcW w:w="7220" w:type="dxa"/>
            <w:noWrap/>
            <w:vAlign w:val="center"/>
          </w:tcPr>
          <w:p w14:paraId="43FBA390">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按“竞争性磋商公告”规定</w:t>
            </w:r>
          </w:p>
        </w:tc>
      </w:tr>
      <w:tr w14:paraId="7E274A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13AD3FAF">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12</w:t>
            </w:r>
          </w:p>
        </w:tc>
        <w:tc>
          <w:tcPr>
            <w:tcW w:w="1660" w:type="dxa"/>
            <w:noWrap/>
            <w:vAlign w:val="center"/>
          </w:tcPr>
          <w:p w14:paraId="39912182">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响应文件开启时间▲</w:t>
            </w:r>
          </w:p>
        </w:tc>
        <w:tc>
          <w:tcPr>
            <w:tcW w:w="7220" w:type="dxa"/>
            <w:noWrap/>
            <w:vAlign w:val="center"/>
          </w:tcPr>
          <w:p w14:paraId="7082B103">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按“竞争性磋商公告”规定</w:t>
            </w:r>
          </w:p>
        </w:tc>
      </w:tr>
      <w:tr w14:paraId="44BEC4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6AB38222">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13</w:t>
            </w:r>
          </w:p>
        </w:tc>
        <w:tc>
          <w:tcPr>
            <w:tcW w:w="1660" w:type="dxa"/>
            <w:noWrap/>
            <w:vAlign w:val="center"/>
          </w:tcPr>
          <w:p w14:paraId="3D39EEC9">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合同履约</w:t>
            </w:r>
            <w:r>
              <w:rPr>
                <w:rFonts w:hint="eastAsia" w:ascii="宋体" w:hAnsi="宋体" w:eastAsia="宋体" w:cs="宋体"/>
                <w:snapToGrid w:val="0"/>
                <w:color w:val="000000" w:themeColor="text1"/>
                <w:sz w:val="24"/>
                <w:szCs w:val="24"/>
                <w:highlight w:val="none"/>
                <w14:textFill>
                  <w14:solidFill>
                    <w14:schemeClr w14:val="tx1"/>
                  </w14:solidFill>
                </w14:textFill>
              </w:rPr>
              <w:t>期限</w:t>
            </w:r>
          </w:p>
        </w:tc>
        <w:tc>
          <w:tcPr>
            <w:tcW w:w="7220" w:type="dxa"/>
            <w:noWrap/>
            <w:vAlign w:val="center"/>
          </w:tcPr>
          <w:p w14:paraId="11059CA2">
            <w:pPr>
              <w:pStyle w:val="162"/>
              <w:spacing w:line="360" w:lineRule="auto"/>
              <w:ind w:firstLine="0"/>
              <w:rPr>
                <w:rFonts w:hint="eastAsia" w:ascii="宋体" w:hAnsi="宋体" w:eastAsia="宋体" w:cs="宋体"/>
                <w:kern w:val="0"/>
                <w:sz w:val="24"/>
                <w:szCs w:val="24"/>
                <w:highlight w:val="none"/>
                <w:lang w:val="en-US" w:eastAsia="zh-CN" w:bidi="ar-SA"/>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标项一</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kern w:val="0"/>
                <w:sz w:val="24"/>
                <w:szCs w:val="24"/>
                <w:highlight w:val="none"/>
                <w:lang w:val="en-US" w:eastAsia="zh-CN" w:bidi="ar-SA"/>
              </w:rPr>
              <w:t>自签订合同并测评合格后免费提供技术支持1年</w:t>
            </w:r>
          </w:p>
          <w:p w14:paraId="240212BB">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标项二</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sz w:val="24"/>
                <w:szCs w:val="24"/>
                <w:highlight w:val="none"/>
                <w:lang w:val="en-US" w:eastAsia="zh-CN"/>
              </w:rPr>
              <w:t>自合同签订之日起1年</w:t>
            </w:r>
          </w:p>
          <w:p w14:paraId="295480D6">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标项三</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sz w:val="24"/>
                <w:szCs w:val="24"/>
                <w:highlight w:val="none"/>
                <w:lang w:val="en-US" w:eastAsia="zh-CN"/>
              </w:rPr>
              <w:t>自合同签订之日起1年</w:t>
            </w:r>
          </w:p>
          <w:p w14:paraId="6EDFF6A7">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标项四</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3年（一年一签）</w:t>
            </w:r>
          </w:p>
          <w:p w14:paraId="3D128B70">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标项五</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3年（一年一签）</w:t>
            </w:r>
          </w:p>
          <w:p w14:paraId="6AF14290">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标项六</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sz w:val="24"/>
                <w:szCs w:val="24"/>
                <w:highlight w:val="none"/>
                <w:lang w:val="en-US" w:eastAsia="zh-CN"/>
              </w:rPr>
              <w:t>自合同签订之日起1年</w:t>
            </w:r>
          </w:p>
          <w:p w14:paraId="1D66F4CF">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标项七</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sz w:val="24"/>
                <w:szCs w:val="24"/>
                <w:highlight w:val="none"/>
                <w:lang w:val="en-US" w:eastAsia="zh-CN"/>
              </w:rPr>
              <w:t>自合同签订之日起1年</w:t>
            </w:r>
          </w:p>
        </w:tc>
      </w:tr>
      <w:tr w14:paraId="4FF074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51C045B4">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14</w:t>
            </w:r>
          </w:p>
        </w:tc>
        <w:tc>
          <w:tcPr>
            <w:tcW w:w="1660" w:type="dxa"/>
            <w:noWrap/>
            <w:vAlign w:val="center"/>
          </w:tcPr>
          <w:p w14:paraId="41D87AFA">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交货地点</w:t>
            </w:r>
          </w:p>
        </w:tc>
        <w:tc>
          <w:tcPr>
            <w:tcW w:w="7220" w:type="dxa"/>
            <w:noWrap/>
            <w:vAlign w:val="center"/>
          </w:tcPr>
          <w:p w14:paraId="1A826AE5">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采购人指定地点</w:t>
            </w:r>
          </w:p>
        </w:tc>
      </w:tr>
      <w:tr w14:paraId="5EA2B8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6D83CA93">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15</w:t>
            </w:r>
          </w:p>
        </w:tc>
        <w:tc>
          <w:tcPr>
            <w:tcW w:w="1660" w:type="dxa"/>
            <w:noWrap/>
            <w:vAlign w:val="center"/>
          </w:tcPr>
          <w:p w14:paraId="6A49CF7E">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答疑</w:t>
            </w:r>
          </w:p>
        </w:tc>
        <w:tc>
          <w:tcPr>
            <w:tcW w:w="7220" w:type="dxa"/>
            <w:noWrap/>
            <w:vAlign w:val="center"/>
          </w:tcPr>
          <w:p w14:paraId="75B015E2">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供应商如认为采购文件表述不清晰的，请于投标截止日48小时之前将疑问发送至该电子邮件（邮箱</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1057201242@qq.com</w:t>
            </w:r>
            <w:r>
              <w:rPr>
                <w:rFonts w:hint="eastAsia" w:ascii="宋体" w:hAnsi="宋体" w:eastAsia="宋体" w:cs="宋体"/>
                <w:snapToGrid w:val="0"/>
                <w:color w:val="000000" w:themeColor="text1"/>
                <w:sz w:val="24"/>
                <w:szCs w:val="24"/>
                <w:highlight w:val="none"/>
                <w14:textFill>
                  <w14:solidFill>
                    <w14:schemeClr w14:val="tx1"/>
                  </w14:solidFill>
                </w14:textFill>
              </w:rPr>
              <w:t>）。答疑回复内容是采购文件的组成部份，并将以更正公告的形式在本采购公告发布的同一媒体发布，请供应商密切关注更正公告。</w:t>
            </w:r>
          </w:p>
        </w:tc>
      </w:tr>
      <w:tr w14:paraId="5073EF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5BD9DD34">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16</w:t>
            </w:r>
          </w:p>
        </w:tc>
        <w:tc>
          <w:tcPr>
            <w:tcW w:w="1660" w:type="dxa"/>
            <w:noWrap/>
            <w:vAlign w:val="center"/>
          </w:tcPr>
          <w:p w14:paraId="4E867A9C">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采购文件的澄清与修改</w:t>
            </w:r>
          </w:p>
        </w:tc>
        <w:tc>
          <w:tcPr>
            <w:tcW w:w="7220" w:type="dxa"/>
            <w:noWrap/>
            <w:vAlign w:val="center"/>
          </w:tcPr>
          <w:p w14:paraId="0B50BD28">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采购人或者采购代理机构可以对已发出的采购文件进行必要的澄清或者修改。澄清或者修改的内容可能影响响应文件编制的，采购人或者采购代理机构应当在响应截止时间至少5日前，将以更正公告的形式在采购公告发布的同一媒体发布。采购文件的修改和澄清（答疑）答复的文件作为采购采购文件的补充和组成部分，对所有供应商均有约束力。若后续仍有更正内容，将继续以更正公告形式在本网站发布，请供应商密切关注更正公告。</w:t>
            </w:r>
          </w:p>
        </w:tc>
      </w:tr>
      <w:tr w14:paraId="44FEE5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12EA4626">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17</w:t>
            </w:r>
          </w:p>
        </w:tc>
        <w:tc>
          <w:tcPr>
            <w:tcW w:w="1660" w:type="dxa"/>
            <w:noWrap/>
            <w:vAlign w:val="center"/>
          </w:tcPr>
          <w:p w14:paraId="5E33B3A4">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响应文件形式▲</w:t>
            </w:r>
          </w:p>
        </w:tc>
        <w:tc>
          <w:tcPr>
            <w:tcW w:w="7220" w:type="dxa"/>
            <w:noWrap/>
            <w:vAlign w:val="center"/>
          </w:tcPr>
          <w:p w14:paraId="1FA2EF40">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本项目实行电子投标。</w:t>
            </w:r>
          </w:p>
          <w:p w14:paraId="0308A42F">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响应文件：电子加密响应文件</w:t>
            </w:r>
          </w:p>
          <w:p w14:paraId="702AD961">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（1）“电子加密响应文件”是指通过“政采云电子交易客户端”完成响应文件编制后生成并加密的数据电文形式的响应文件（后缀格式为.jmbs）</w:t>
            </w:r>
          </w:p>
          <w:p w14:paraId="4A0C9E36">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备份响应文件”是指与“电子加密响应文件”同时生成的数据电文形式的电子文件（备份响应文件，用于供应商电子加密响应文件解密异常时应急使用），其他方式编制的备份响应文件视为无效备份响应文件。备份响应文件（后缀格式为.bfbs）以U盘形式提供。备份文件不做强求。</w:t>
            </w:r>
          </w:p>
        </w:tc>
      </w:tr>
      <w:tr w14:paraId="1A017E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22A78780">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18</w:t>
            </w:r>
          </w:p>
        </w:tc>
        <w:tc>
          <w:tcPr>
            <w:tcW w:w="1660" w:type="dxa"/>
            <w:noWrap/>
            <w:vAlign w:val="center"/>
          </w:tcPr>
          <w:p w14:paraId="459F1C95">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响应文件的上传和递交</w:t>
            </w:r>
          </w:p>
        </w:tc>
        <w:tc>
          <w:tcPr>
            <w:tcW w:w="7220" w:type="dxa"/>
            <w:noWrap/>
            <w:vAlign w:val="center"/>
          </w:tcPr>
          <w:p w14:paraId="204E4663">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（1）电子加密响应文件：响应文件制作完成并生成加密文件，在响应截止时间前，供应商需将加密的响应文件上传至新疆政府采购网，到达开标时间后，进行解密。</w:t>
            </w:r>
          </w:p>
          <w:p w14:paraId="69124AC3">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供应商未能在响应截止时间前成功上传电子加密响应文件的响应无效。</w:t>
            </w:r>
          </w:p>
          <w:p w14:paraId="1E26EC0C">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（2）备份响应文件：响应截止时间前，供应商应将备份响应文件递交至开标地点，以便电子加密响应文件解密异常时应急使用。</w:t>
            </w:r>
          </w:p>
          <w:p w14:paraId="7F9F1E8B">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备份响应文件递交要求：供应商须将备份响应文件以U盘形式单独放在密封袋中，密封后并在密封袋上注明项目名称、响应单位名称并加盖公章。未密封包装或者逾期送达的“备份响应文件”将不予接收。</w:t>
            </w:r>
          </w:p>
          <w:p w14:paraId="563F2885">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供应商若选择非开标当天递交，请确保在投标截止日之前1小时，将备份响应文件通过快递形式或直接送达采购代理机构处，以便标书解密异常时应急使用（地址：</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乌鲁木齐市水磨沟区龙盛街898号万科中央公园S2座10楼；</w:t>
            </w:r>
            <w:r>
              <w:rPr>
                <w:rFonts w:hint="eastAsia" w:ascii="宋体" w:hAnsi="宋体" w:eastAsia="宋体" w:cs="宋体"/>
                <w:snapToGrid w:val="0"/>
                <w:color w:val="000000" w:themeColor="text1"/>
                <w:sz w:val="24"/>
                <w:szCs w:val="24"/>
                <w:highlight w:val="none"/>
                <w14:textFill>
                  <w14:solidFill>
                    <w14:schemeClr w14:val="tx1"/>
                  </w14:solidFill>
                </w14:textFill>
              </w:rPr>
              <w:t>接收人：</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杨巧红</w:t>
            </w:r>
            <w:r>
              <w:rPr>
                <w:rFonts w:hint="eastAsia" w:ascii="宋体" w:hAnsi="宋体" w:eastAsia="宋体" w:cs="宋体"/>
                <w:snapToGrid w:val="0"/>
                <w:color w:val="000000" w:themeColor="text1"/>
                <w:sz w:val="24"/>
                <w:szCs w:val="24"/>
                <w:highlight w:val="none"/>
                <w14:textFill>
                  <w14:solidFill>
                    <w14:schemeClr w14:val="tx1"/>
                  </w14:solidFill>
                </w14:textFill>
              </w:rPr>
              <w:t>，电话：</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13579615540</w:t>
            </w:r>
            <w:r>
              <w:rPr>
                <w:rFonts w:hint="eastAsia" w:ascii="宋体" w:hAnsi="宋体" w:eastAsia="宋体" w:cs="宋体"/>
                <w:snapToGrid w:val="0"/>
                <w:color w:val="000000" w:themeColor="text1"/>
                <w:sz w:val="24"/>
                <w:szCs w:val="24"/>
                <w:highlight w:val="none"/>
                <w14:textFill>
                  <w14:solidFill>
                    <w14:schemeClr w14:val="tx1"/>
                  </w14:solidFill>
                </w14:textFill>
              </w:rPr>
              <w:t>）</w:t>
            </w:r>
          </w:p>
        </w:tc>
      </w:tr>
      <w:tr w14:paraId="1AAAD4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3B5FC806">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19</w:t>
            </w:r>
          </w:p>
        </w:tc>
        <w:tc>
          <w:tcPr>
            <w:tcW w:w="1660" w:type="dxa"/>
            <w:noWrap/>
            <w:vAlign w:val="center"/>
          </w:tcPr>
          <w:p w14:paraId="7BE1DBC0">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询标澄清</w:t>
            </w:r>
          </w:p>
        </w:tc>
        <w:tc>
          <w:tcPr>
            <w:tcW w:w="7220" w:type="dxa"/>
            <w:noWrap/>
            <w:vAlign w:val="center"/>
          </w:tcPr>
          <w:p w14:paraId="70A40A8B">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在评标过程中，如评审小组对响应文件有疑问，由评审组长或代理机构代为将问题汇总后发起询标澄清函，供应商应在规定截止时间前回复相关内容并提交。</w:t>
            </w:r>
          </w:p>
        </w:tc>
      </w:tr>
      <w:tr w14:paraId="2C04F3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7C6C789F">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20</w:t>
            </w:r>
          </w:p>
        </w:tc>
        <w:tc>
          <w:tcPr>
            <w:tcW w:w="1660" w:type="dxa"/>
            <w:noWrap/>
            <w:vAlign w:val="center"/>
          </w:tcPr>
          <w:p w14:paraId="54DFD6A0">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质疑</w:t>
            </w:r>
          </w:p>
        </w:tc>
        <w:tc>
          <w:tcPr>
            <w:tcW w:w="7220" w:type="dxa"/>
            <w:noWrap/>
            <w:vAlign w:val="center"/>
          </w:tcPr>
          <w:p w14:paraId="4D76E2A4">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根据《中华人民共和国政府采购法》第五十二条的规定，供应商认为</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snapToGrid w:val="0"/>
                <w:color w:val="000000" w:themeColor="text1"/>
                <w:sz w:val="24"/>
                <w:szCs w:val="24"/>
                <w:highlight w:val="none"/>
                <w14:textFill>
                  <w14:solidFill>
                    <w14:schemeClr w14:val="tx1"/>
                  </w14:solidFill>
                </w14:textFill>
              </w:rPr>
              <w:t>、采购过程和中标、成交结果使自己的权益受到损害的，可以在知道或者应知其权益受到损害之日起七个工作日内，以书面形式向采购人、采购代理机构提出质疑。</w:t>
            </w:r>
          </w:p>
          <w:p w14:paraId="76353399">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政府采购法第五十二条规定的供应商应知其权益受到损害之日，是指：</w:t>
            </w:r>
          </w:p>
          <w:p w14:paraId="3DBF5C6A">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（一）对可以质疑的采购文件提出质疑的，为收到采购文件之日或者采购文件公告期限届满之日；</w:t>
            </w:r>
          </w:p>
          <w:p w14:paraId="1561AA2F">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（二）对采购过程提出质疑的，为各采购程序环节结束之日；</w:t>
            </w:r>
          </w:p>
          <w:p w14:paraId="67A60926">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（三）对中标或者成交结果提出质疑的，为中标或者成交结果公告期限届满之日。</w:t>
            </w:r>
          </w:p>
          <w:p w14:paraId="59116075">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14:paraId="722CF6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4A604A06">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21</w:t>
            </w:r>
          </w:p>
        </w:tc>
        <w:tc>
          <w:tcPr>
            <w:tcW w:w="1660" w:type="dxa"/>
            <w:noWrap/>
            <w:vAlign w:val="center"/>
          </w:tcPr>
          <w:p w14:paraId="752430E6">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投诉</w:t>
            </w:r>
          </w:p>
        </w:tc>
        <w:tc>
          <w:tcPr>
            <w:tcW w:w="7220" w:type="dxa"/>
            <w:noWrap/>
            <w:vAlign w:val="center"/>
          </w:tcPr>
          <w:p w14:paraId="1E66E7BD">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14:paraId="6666D0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43262BCE">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22</w:t>
            </w:r>
          </w:p>
        </w:tc>
        <w:tc>
          <w:tcPr>
            <w:tcW w:w="1660" w:type="dxa"/>
            <w:noWrap/>
            <w:vAlign w:val="center"/>
          </w:tcPr>
          <w:p w14:paraId="6E046D26">
            <w:pPr>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样品</w:t>
            </w:r>
          </w:p>
        </w:tc>
        <w:tc>
          <w:tcPr>
            <w:tcW w:w="7220" w:type="dxa"/>
            <w:noWrap/>
            <w:vAlign w:val="center"/>
          </w:tcPr>
          <w:p w14:paraId="3AFCC6A3">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不提供</w:t>
            </w:r>
          </w:p>
        </w:tc>
      </w:tr>
      <w:tr w14:paraId="47A641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22421FCB">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23</w:t>
            </w:r>
          </w:p>
        </w:tc>
        <w:tc>
          <w:tcPr>
            <w:tcW w:w="1660" w:type="dxa"/>
            <w:noWrap/>
            <w:vAlign w:val="center"/>
          </w:tcPr>
          <w:p w14:paraId="24444BC8">
            <w:pPr>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演示</w:t>
            </w:r>
          </w:p>
        </w:tc>
        <w:tc>
          <w:tcPr>
            <w:tcW w:w="7220" w:type="dxa"/>
            <w:noWrap/>
            <w:vAlign w:val="center"/>
          </w:tcPr>
          <w:p w14:paraId="24C9B5B0">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不要求</w:t>
            </w:r>
          </w:p>
        </w:tc>
      </w:tr>
      <w:tr w14:paraId="5781F7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50488A19">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24</w:t>
            </w:r>
          </w:p>
        </w:tc>
        <w:tc>
          <w:tcPr>
            <w:tcW w:w="1660" w:type="dxa"/>
            <w:noWrap/>
            <w:vAlign w:val="center"/>
          </w:tcPr>
          <w:p w14:paraId="7BF961D6">
            <w:pPr>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支持中小企业</w:t>
            </w:r>
          </w:p>
        </w:tc>
        <w:tc>
          <w:tcPr>
            <w:tcW w:w="7220" w:type="dxa"/>
            <w:noWrap/>
            <w:vAlign w:val="center"/>
          </w:tcPr>
          <w:p w14:paraId="6946A287">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标项一：本项目专门面向中小企业</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277161E">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标项二：本标项专门面向小微企业</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02DA042">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标项三：本标项专门面向小微企业</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7D544A3">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标项四：本标项不专门面向中小企业</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92689A8">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标项五：本标项专门面向小微企业</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9D95578">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标项六：本标项专门面向小微企业</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40A40A9">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标项七：本标项专门面向小微企业</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4810CF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1.说明</w:t>
            </w:r>
          </w:p>
          <w:p w14:paraId="5671E02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（1）中小企业</w:t>
            </w:r>
          </w:p>
          <w:p w14:paraId="2F5A632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E6CA0D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符合中小企业划分标准的个体工商户，在政府采购活动中视同中小企业。</w:t>
            </w:r>
          </w:p>
          <w:p w14:paraId="0925CF0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597342C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在货物采购项目中，供应商提供的货物既有中小企业制造货物，也有大型企业制造货物的，不享受本办法规定的中小企业扶持政策。</w:t>
            </w:r>
          </w:p>
          <w:p w14:paraId="4B85CEC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1EFCFF2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响应文件中须同时出具《政府采购促进中小企业发展管理办法》【财库（2020）46号】规定的《中小企业声明函》，否则不得享受价格扣除。</w:t>
            </w:r>
          </w:p>
          <w:p w14:paraId="5A77E05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（2）残疾人福利性单位</w:t>
            </w:r>
          </w:p>
          <w:p w14:paraId="6492B69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符合《关于促进残疾人就业政府采购政策的通知》（财库〔2017〕141号）规定的条件并提供提供《残疾人福利性单位声明函》的残疾人福利性单位视同小型、微型企业；</w:t>
            </w:r>
          </w:p>
          <w:p w14:paraId="46CF919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（3）监狱企业</w:t>
            </w:r>
          </w:p>
          <w:p w14:paraId="1758485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关于政府采购支持监狱企业发展有关问题的通知》（财库[2014]68号）的规定，供应商提供由省级以上监狱管理局、戒毒管理局（含新疆生产建设兵团）出具的属于监狱企业证明文件的，视同为小型和微型企业。</w:t>
            </w:r>
          </w:p>
          <w:p w14:paraId="0DD8A57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2.价格扣除：</w:t>
            </w:r>
          </w:p>
          <w:p w14:paraId="10D5FBC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本项目对符合规定的小微企业（含小型企业）报价给予</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的扣除。</w:t>
            </w:r>
          </w:p>
          <w:p w14:paraId="13DDBBF8">
            <w:pPr>
              <w:pStyle w:val="639"/>
              <w:spacing w:line="360" w:lineRule="auto"/>
              <w:ind w:left="0" w:leftChars="0" w:firstLine="0" w:firstLine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3.本项目采购标的名称为：</w:t>
            </w:r>
            <w:r>
              <w:rPr>
                <w:rFonts w:hint="eastAsia" w:ascii="宋体" w:hAnsi="宋体" w:eastAsia="宋体" w:cs="宋体"/>
                <w:color w:val="000000" w:themeColor="text1"/>
                <w:sz w:val="24"/>
                <w:szCs w:val="24"/>
                <w:highlight w:val="none"/>
                <w:lang w:eastAsia="zh-CN"/>
                <w14:textFill>
                  <w14:solidFill>
                    <w14:schemeClr w14:val="tx1"/>
                  </w14:solidFill>
                </w14:textFill>
              </w:rPr>
              <w:t>工业</w:t>
            </w:r>
          </w:p>
          <w:p w14:paraId="4B63DDF3">
            <w:pPr>
              <w:pStyle w:val="639"/>
              <w:spacing w:line="360" w:lineRule="auto"/>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4.所属行业为</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14:paraId="0217839A">
            <w:pPr>
              <w:pStyle w:val="639"/>
              <w:spacing w:line="360" w:lineRule="auto"/>
              <w:ind w:left="0" w:leftChars="0" w:firstLine="0" w:firstLineChars="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94407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0032D39D">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w:t>
            </w:r>
          </w:p>
        </w:tc>
        <w:tc>
          <w:tcPr>
            <w:tcW w:w="1660" w:type="dxa"/>
            <w:noWrap/>
            <w:vAlign w:val="center"/>
          </w:tcPr>
          <w:p w14:paraId="18EFFC51">
            <w:pPr>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联合体和分包</w:t>
            </w:r>
          </w:p>
        </w:tc>
        <w:tc>
          <w:tcPr>
            <w:tcW w:w="7220" w:type="dxa"/>
            <w:noWrap/>
            <w:vAlign w:val="center"/>
          </w:tcPr>
          <w:p w14:paraId="7F388E7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对于联合协议约定小微企业（货物由小微企业制造）的合同份额占到合同总金额30%以上的，其报价给予6%的扣除，用扣除后的价格参加评审。组成联合体的小微企业与联合体内其他企业之间存在直接控股、管理关系的，不享受价格扣除优惠政策。</w:t>
            </w:r>
          </w:p>
          <w:p w14:paraId="2A8E60C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对于分包意向协议约定小微企业（货物由小微企业制造）的合同份额占到合同总金额30%以上的，其报价给予6%的扣除，用扣除后的价格参加评审。接受分包的小微企业与分包企业之间存在直接控股、管理关系的，不享受价格扣除优惠政策。</w:t>
            </w:r>
          </w:p>
          <w:p w14:paraId="6EC2741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（3）以联合体形式进行投标的，参加联合体的供应商均应当具备政府采购法第二十二条规定的条件，并应当在</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中提交联合协议，载明联合体各方承担的工作和义务。联合体各方应当共同与采购人签订采购合同，就采购合同约定的事项对采购人承担连带责任。</w:t>
            </w:r>
          </w:p>
          <w:p w14:paraId="1E9A394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（4）联合体中有同类资质的供应商按照联合体分工承担相同工作的，应当按照资质等级较低的供应商确定资质等级。</w:t>
            </w:r>
          </w:p>
          <w:p w14:paraId="2D15502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（5）以联合体形式参加投标的，联合体各方不得再单独参加或者与其他供应商另外组成联合体参加本项目的投标。</w:t>
            </w:r>
          </w:p>
        </w:tc>
      </w:tr>
      <w:tr w14:paraId="4E1078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00F3F7C1">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w:t>
            </w:r>
          </w:p>
        </w:tc>
        <w:tc>
          <w:tcPr>
            <w:tcW w:w="1660" w:type="dxa"/>
            <w:noWrap/>
            <w:vAlign w:val="center"/>
          </w:tcPr>
          <w:p w14:paraId="537D907F">
            <w:pPr>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联合体投标说明</w:t>
            </w:r>
          </w:p>
        </w:tc>
        <w:tc>
          <w:tcPr>
            <w:tcW w:w="7220" w:type="dxa"/>
            <w:noWrap/>
            <w:vAlign w:val="center"/>
          </w:tcPr>
          <w:p w14:paraId="40EBC52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（1）联合体投标的，联合体各方的业绩证明材料均认可。</w:t>
            </w:r>
          </w:p>
          <w:p w14:paraId="38CC967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（2）联合体投标的，联合体中有一方或者联合体成员根据分工按采购文件评标细则要求提供材料的，视为符合了相关要求。</w:t>
            </w:r>
          </w:p>
        </w:tc>
      </w:tr>
      <w:tr w14:paraId="610648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1C513C7D">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27</w:t>
            </w:r>
          </w:p>
        </w:tc>
        <w:tc>
          <w:tcPr>
            <w:tcW w:w="1660" w:type="dxa"/>
            <w:noWrap/>
            <w:vAlign w:val="center"/>
          </w:tcPr>
          <w:p w14:paraId="45FDB81C">
            <w:pPr>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w:t>
            </w:r>
          </w:p>
        </w:tc>
        <w:tc>
          <w:tcPr>
            <w:tcW w:w="7220" w:type="dxa"/>
            <w:noWrap/>
            <w:vAlign w:val="center"/>
          </w:tcPr>
          <w:p w14:paraId="321C74FD">
            <w:pPr>
              <w:pStyle w:val="32"/>
              <w:snapToGrid w:val="0"/>
              <w:spacing w:line="360" w:lineRule="auto"/>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snapToGrid w:val="0"/>
                <w:color w:val="000000" w:themeColor="text1"/>
                <w:sz w:val="24"/>
                <w:szCs w:val="24"/>
                <w:highlight w:val="none"/>
                <w14:textFill>
                  <w14:solidFill>
                    <w14:schemeClr w14:val="tx1"/>
                  </w14:solidFill>
                </w14:textFill>
              </w:rPr>
              <w:t>采购文件中凡标注“▲”的条款均为实质性要求，不响应的响应文件将作无效标处理。</w:t>
            </w:r>
          </w:p>
          <w:p w14:paraId="06BEC0FC">
            <w:pPr>
              <w:pStyle w:val="32"/>
              <w:snapToGrid w:val="0"/>
              <w:spacing w:line="360" w:lineRule="auto"/>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供应商未上传电子加密响应文件，其响应无效。</w:t>
            </w:r>
          </w:p>
          <w:p w14:paraId="496C81D2">
            <w:pPr>
              <w:pStyle w:val="32"/>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（3）供应商上传了</w:t>
            </w:r>
            <w:r>
              <w:rPr>
                <w:rFonts w:hint="eastAsia" w:ascii="宋体" w:hAnsi="宋体" w:eastAsia="宋体" w:cs="宋体"/>
                <w:color w:val="000000" w:themeColor="text1"/>
                <w:sz w:val="24"/>
                <w:szCs w:val="24"/>
                <w:highlight w:val="none"/>
                <w14:textFill>
                  <w14:solidFill>
                    <w14:schemeClr w14:val="tx1"/>
                  </w14:solidFill>
                </w14:textFill>
              </w:rPr>
              <w:t>电子加密响应文件，未提供备份响应文件，解密出现问题后，由此导致对该供应商无法评审的，其后果由该供应商自行承担。</w:t>
            </w:r>
          </w:p>
          <w:p w14:paraId="508B4F22">
            <w:pPr>
              <w:pStyle w:val="32"/>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（4）各供应商自行在新疆政府采购网下载或查阅采购文件和相关更正公告等，不另行通知，如有遗漏采购人、采购代理机构概不负责。</w:t>
            </w:r>
          </w:p>
          <w:p w14:paraId="773C0676">
            <w:pPr>
              <w:pStyle w:val="32"/>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（5）两家或两家以上供应商提供的响应文件出自同一终端设备的，或在相同Internet主机分配地址（相同IP地址）报名或网上投标的，后果由供应商自行承担。</w:t>
            </w:r>
          </w:p>
        </w:tc>
      </w:tr>
      <w:tr w14:paraId="12D0C8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4027F03F">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28</w:t>
            </w:r>
          </w:p>
        </w:tc>
        <w:tc>
          <w:tcPr>
            <w:tcW w:w="1660" w:type="dxa"/>
            <w:noWrap/>
            <w:vAlign w:val="center"/>
          </w:tcPr>
          <w:p w14:paraId="1662AF3E">
            <w:pPr>
              <w:pStyle w:val="32"/>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解密时长▲</w:t>
            </w:r>
          </w:p>
        </w:tc>
        <w:tc>
          <w:tcPr>
            <w:tcW w:w="7220" w:type="dxa"/>
            <w:noWrap/>
            <w:vAlign w:val="center"/>
          </w:tcPr>
          <w:p w14:paraId="724B70DE">
            <w:pPr>
              <w:pStyle w:val="32"/>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30分钟。</w:t>
            </w:r>
          </w:p>
          <w:p w14:paraId="5AA1DEC5">
            <w:pPr>
              <w:pStyle w:val="32"/>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若未在开标时间后30分钟内解密的，视为撤销其</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w:t>
            </w:r>
          </w:p>
        </w:tc>
      </w:tr>
      <w:tr w14:paraId="515E60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7FC0D90B">
            <w:pPr>
              <w:pStyle w:val="162"/>
              <w:spacing w:line="360" w:lineRule="auto"/>
              <w:ind w:firstLine="0"/>
              <w:jc w:val="cente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29</w:t>
            </w:r>
          </w:p>
        </w:tc>
        <w:tc>
          <w:tcPr>
            <w:tcW w:w="1660" w:type="dxa"/>
            <w:noWrap/>
            <w:vAlign w:val="center"/>
          </w:tcPr>
          <w:p w14:paraId="76F72D39">
            <w:pPr>
              <w:pStyle w:val="32"/>
              <w:snapToGrid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其它</w:t>
            </w:r>
          </w:p>
        </w:tc>
        <w:tc>
          <w:tcPr>
            <w:tcW w:w="7220" w:type="dxa"/>
            <w:noWrap/>
            <w:vAlign w:val="center"/>
          </w:tcPr>
          <w:p w14:paraId="6326219A">
            <w:pPr>
              <w:pStyle w:val="32"/>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新财购〔2025〕2号关于做好2025年政府采购脱贫地区农副产品工作的通知（（一）政策要求按照自治区财政厅、农业农村厅、乡村振兴局、供销社、总工会五部门《关于深入持续开展政府采购脱贫地区农副产品工作推进乡村产业振兴的实施意见》（新财购〔2023〕15号）的要求，各级预算单位应当按照不低于10%的比例预留年度食堂食材采购份额，通过“832平台”采购脱贫地区农副产品。）</w:t>
            </w:r>
          </w:p>
          <w:p w14:paraId="31D78F2D">
            <w:pPr>
              <w:pStyle w:val="32"/>
              <w:snapToGrid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各响应单位需遵循此条规定，响应单位报价时请自行考虑成本等问题。</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本项目预留10%。</w:t>
            </w:r>
          </w:p>
        </w:tc>
      </w:tr>
    </w:tbl>
    <w:p w14:paraId="269EB71D">
      <w:pPr>
        <w:rPr>
          <w:rFonts w:hint="eastAsia" w:ascii="宋体" w:hAnsi="宋体" w:eastAsia="宋体" w:cs="宋体"/>
          <w:b/>
          <w:sz w:val="24"/>
          <w:szCs w:val="24"/>
          <w:highlight w:val="none"/>
        </w:rPr>
      </w:pPr>
    </w:p>
    <w:p w14:paraId="1390A7E5">
      <w:pPr>
        <w:rPr>
          <w:rFonts w:hint="eastAsia" w:ascii="宋体" w:hAnsi="宋体" w:eastAsia="宋体" w:cs="宋体"/>
          <w:b/>
          <w:sz w:val="24"/>
          <w:szCs w:val="24"/>
          <w:highlight w:val="none"/>
        </w:rPr>
      </w:pPr>
      <w:bookmarkStart w:id="14" w:name="_Toc22917"/>
      <w:r>
        <w:rPr>
          <w:rFonts w:hint="eastAsia" w:ascii="宋体" w:hAnsi="宋体" w:eastAsia="宋体" w:cs="宋体"/>
          <w:b/>
          <w:sz w:val="24"/>
          <w:szCs w:val="24"/>
          <w:highlight w:val="none"/>
        </w:rPr>
        <w:br w:type="page"/>
      </w:r>
    </w:p>
    <w:p w14:paraId="7F04DE9A">
      <w:pPr>
        <w:adjustRightInd/>
        <w:spacing w:line="360" w:lineRule="auto"/>
        <w:ind w:firstLine="2884" w:firstLineChars="1197"/>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二、总则</w:t>
      </w:r>
      <w:bookmarkEnd w:id="14"/>
    </w:p>
    <w:p w14:paraId="7F270F1D">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适用范围</w:t>
      </w:r>
    </w:p>
    <w:p w14:paraId="2A5E7F2E">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本磋商文件适用于该项目的邀请、响应、开启响应文件、信用信息查询、资格性审查、评审、成交、合同、验收等行为（法律、法规另有规定的，从其规定）。</w:t>
      </w:r>
    </w:p>
    <w:p w14:paraId="6698897C">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定义</w:t>
      </w:r>
    </w:p>
    <w:p w14:paraId="03751AC5">
      <w:pPr>
        <w:numPr>
          <w:ilvl w:val="1"/>
          <w:numId w:val="17"/>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“采购人”系指磋商邀请公告中载明的本项目的采购人。</w:t>
      </w:r>
    </w:p>
    <w:p w14:paraId="6C5A690B">
      <w:pPr>
        <w:numPr>
          <w:ilvl w:val="1"/>
          <w:numId w:val="17"/>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“采购代理机构”系指磋商邀请公告中载明的本项目的采购代理机构。</w:t>
      </w:r>
    </w:p>
    <w:p w14:paraId="55F90B04">
      <w:pPr>
        <w:numPr>
          <w:ilvl w:val="1"/>
          <w:numId w:val="17"/>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“供应商”系指响应磋商、参加本次竞争的法人、其他组织或自然人。</w:t>
      </w:r>
    </w:p>
    <w:p w14:paraId="46C62721">
      <w:pPr>
        <w:numPr>
          <w:ilvl w:val="1"/>
          <w:numId w:val="17"/>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“负责人”系指法人企业的法定负责人，或其他组织为法律、行政法规规定代表单位行使职权的主要负责人，或自然人本人。</w:t>
      </w:r>
    </w:p>
    <w:p w14:paraId="2BBF6CD9">
      <w:pPr>
        <w:numPr>
          <w:ilvl w:val="1"/>
          <w:numId w:val="17"/>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“成交人”系指经评审确定的成交供应商。</w:t>
      </w:r>
    </w:p>
    <w:p w14:paraId="47D758A5">
      <w:pPr>
        <w:numPr>
          <w:ilvl w:val="1"/>
          <w:numId w:val="17"/>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“响应文件”系指供应商提交的商务技术文件。供应商提交最后报价后，最后报价是供应商响应文件的有效组成部分。</w:t>
      </w:r>
    </w:p>
    <w:p w14:paraId="7314C884">
      <w:pPr>
        <w:numPr>
          <w:ilvl w:val="1"/>
          <w:numId w:val="17"/>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“电子交易平台”是指本项目政府采购活动所依托的政府采购云平台（</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"https://www.zcygov.cn/" </w:instrText>
      </w:r>
      <w:r>
        <w:rPr>
          <w:rFonts w:hint="eastAsia" w:ascii="宋体" w:hAnsi="宋体" w:eastAsia="宋体" w:cs="宋体"/>
          <w:sz w:val="24"/>
          <w:szCs w:val="24"/>
          <w:highlight w:val="none"/>
        </w:rPr>
        <w:fldChar w:fldCharType="separate"/>
      </w:r>
      <w:r>
        <w:rPr>
          <w:rStyle w:val="69"/>
          <w:rFonts w:hint="eastAsia" w:ascii="宋体" w:hAnsi="宋体" w:eastAsia="宋体" w:cs="宋体"/>
          <w:snapToGrid/>
          <w:color w:val="auto"/>
          <w:kern w:val="2"/>
          <w:sz w:val="24"/>
          <w:szCs w:val="24"/>
          <w:highlight w:val="none"/>
        </w:rPr>
        <w:t>https://www.zcygov.cn/</w:t>
      </w:r>
      <w:r>
        <w:rPr>
          <w:rStyle w:val="69"/>
          <w:rFonts w:hint="eastAsia" w:ascii="宋体" w:hAnsi="宋体" w:eastAsia="宋体" w:cs="宋体"/>
          <w:snapToGrid/>
          <w:color w:val="auto"/>
          <w:kern w:val="2"/>
          <w:sz w:val="24"/>
          <w:szCs w:val="24"/>
          <w:highlight w:val="none"/>
        </w:rPr>
        <w:fldChar w:fldCharType="end"/>
      </w:r>
      <w:r>
        <w:rPr>
          <w:rFonts w:hint="eastAsia" w:ascii="宋体" w:hAnsi="宋体" w:eastAsia="宋体" w:cs="宋体"/>
          <w:sz w:val="24"/>
          <w:szCs w:val="24"/>
          <w:highlight w:val="none"/>
        </w:rPr>
        <w:t>）。</w:t>
      </w:r>
    </w:p>
    <w:p w14:paraId="5507B51D">
      <w:pPr>
        <w:numPr>
          <w:ilvl w:val="1"/>
          <w:numId w:val="17"/>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5）。</w:t>
      </w:r>
    </w:p>
    <w:p w14:paraId="0932F97C">
      <w:pPr>
        <w:numPr>
          <w:ilvl w:val="1"/>
          <w:numId w:val="17"/>
        </w:numPr>
        <w:spacing w:line="360" w:lineRule="auto"/>
        <w:ind w:left="10" w:firstLine="387"/>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“▲”系指实质性要求条款，“</w:t>
      </w:r>
      <w:sdt>
        <w:sdtPr>
          <w:rPr>
            <w:rFonts w:hint="eastAsia" w:ascii="宋体" w:hAnsi="宋体" w:eastAsia="宋体" w:cs="宋体"/>
            <w:b/>
            <w:bCs/>
            <w:kern w:val="0"/>
            <w:sz w:val="24"/>
            <w:szCs w:val="24"/>
            <w:highlight w:val="none"/>
          </w:rPr>
          <w:id w:val="512970236"/>
        </w:sdtPr>
        <w:sdtEndPr>
          <w:rPr>
            <w:rFonts w:hint="eastAsia" w:ascii="宋体" w:hAnsi="宋体" w:eastAsia="宋体" w:cs="宋体"/>
            <w:b/>
            <w:bCs/>
            <w:kern w:val="0"/>
            <w:sz w:val="24"/>
            <w:szCs w:val="24"/>
            <w:highlight w:val="none"/>
          </w:rPr>
        </w:sdtEndPr>
        <w:sdtContent>
          <w:r>
            <w:rPr>
              <w:rFonts w:hint="eastAsia" w:ascii="宋体" w:hAnsi="宋体" w:eastAsia="宋体" w:cs="宋体"/>
              <w:b/>
              <w:bCs/>
              <w:kern w:val="0"/>
              <w:sz w:val="24"/>
              <w:szCs w:val="24"/>
              <w:highlight w:val="none"/>
            </w:rPr>
            <w:t></w:t>
          </w:r>
        </w:sdtContent>
      </w:sdt>
      <w:r>
        <w:rPr>
          <w:rFonts w:hint="eastAsia" w:ascii="宋体" w:hAnsi="宋体" w:eastAsia="宋体" w:cs="宋体"/>
          <w:b/>
          <w:bCs/>
          <w:sz w:val="24"/>
          <w:szCs w:val="24"/>
          <w:highlight w:val="none"/>
        </w:rPr>
        <w:t>”系指适用本项目的要求，“</w:t>
      </w:r>
      <w:sdt>
        <w:sdtPr>
          <w:rPr>
            <w:rFonts w:hint="eastAsia" w:ascii="宋体" w:hAnsi="宋体" w:eastAsia="宋体" w:cs="宋体"/>
            <w:b/>
            <w:bCs/>
            <w:kern w:val="0"/>
            <w:sz w:val="24"/>
            <w:szCs w:val="24"/>
            <w:highlight w:val="none"/>
          </w:rPr>
          <w:id w:val="404888855"/>
        </w:sdtPr>
        <w:sdtEndPr>
          <w:rPr>
            <w:rFonts w:hint="eastAsia" w:ascii="宋体" w:hAnsi="宋体" w:eastAsia="宋体" w:cs="宋体"/>
            <w:b/>
            <w:bCs/>
            <w:kern w:val="0"/>
            <w:sz w:val="24"/>
            <w:szCs w:val="24"/>
            <w:highlight w:val="none"/>
          </w:rPr>
        </w:sdtEndPr>
        <w:sdtContent>
          <w:r>
            <w:rPr>
              <w:rFonts w:hint="eastAsia" w:ascii="宋体" w:hAnsi="宋体" w:eastAsia="宋体" w:cs="宋体"/>
              <w:b/>
              <w:bCs/>
              <w:kern w:val="0"/>
              <w:sz w:val="24"/>
              <w:szCs w:val="24"/>
              <w:highlight w:val="none"/>
            </w:rPr>
            <w:t>☐</w:t>
          </w:r>
        </w:sdtContent>
      </w:sdt>
      <w:r>
        <w:rPr>
          <w:rFonts w:hint="eastAsia" w:ascii="宋体" w:hAnsi="宋体" w:eastAsia="宋体" w:cs="宋体"/>
          <w:b/>
          <w:bCs/>
          <w:sz w:val="24"/>
          <w:szCs w:val="24"/>
          <w:highlight w:val="none"/>
        </w:rPr>
        <w:t>”系指不适用本项目的要求。</w:t>
      </w:r>
    </w:p>
    <w:p w14:paraId="3F16A5F6">
      <w:pPr>
        <w:pStyle w:val="23"/>
        <w:rPr>
          <w:rFonts w:hint="eastAsia" w:ascii="宋体" w:hAnsi="宋体" w:eastAsia="宋体" w:cs="宋体"/>
          <w:sz w:val="24"/>
          <w:szCs w:val="24"/>
          <w:highlight w:val="none"/>
        </w:rPr>
      </w:pPr>
    </w:p>
    <w:p w14:paraId="6702FBD0">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采购项目需要落实的政府采购政策</w:t>
      </w:r>
    </w:p>
    <w:p w14:paraId="4E9BF32C">
      <w:pPr>
        <w:numPr>
          <w:ilvl w:val="1"/>
          <w:numId w:val="18"/>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10FCAE92">
      <w:pPr>
        <w:numPr>
          <w:ilvl w:val="1"/>
          <w:numId w:val="18"/>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支持绿色发展</w:t>
      </w:r>
    </w:p>
    <w:p w14:paraId="71E27342">
      <w:pPr>
        <w:numPr>
          <w:ilvl w:val="2"/>
          <w:numId w:val="18"/>
        </w:numPr>
        <w:spacing w:line="360" w:lineRule="auto"/>
        <w:ind w:left="8" w:firstLine="632"/>
        <w:rPr>
          <w:rFonts w:hint="eastAsia" w:ascii="宋体" w:hAnsi="宋体" w:eastAsia="宋体" w:cs="宋体"/>
          <w:sz w:val="24"/>
          <w:szCs w:val="24"/>
          <w:highlight w:val="none"/>
        </w:rPr>
      </w:pPr>
      <w:r>
        <w:rPr>
          <w:rFonts w:hint="eastAsia" w:ascii="宋体" w:hAnsi="宋体" w:eastAsia="宋体" w:cs="宋体"/>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磋商文件要求提供相关产品认证证书。</w:t>
      </w:r>
    </w:p>
    <w:p w14:paraId="1CC4B100">
      <w:pPr>
        <w:spacing w:line="360" w:lineRule="auto"/>
        <w:ind w:firstLine="420"/>
        <w:rPr>
          <w:rFonts w:hint="eastAsia" w:ascii="宋体" w:hAnsi="宋体" w:eastAsia="宋体" w:cs="宋体"/>
          <w:b/>
          <w:sz w:val="24"/>
          <w:szCs w:val="24"/>
          <w:highlight w:val="none"/>
        </w:rPr>
      </w:pPr>
      <w:r>
        <w:rPr>
          <w:rFonts w:hint="eastAsia" w:ascii="宋体" w:hAnsi="宋体" w:eastAsia="宋体" w:cs="宋体"/>
          <w:sz w:val="24"/>
          <w:szCs w:val="24"/>
          <w:highlight w:val="none"/>
        </w:rPr>
        <w:t>▲</w:t>
      </w:r>
      <w:r>
        <w:rPr>
          <w:rFonts w:hint="eastAsia" w:ascii="宋体" w:hAnsi="宋体" w:eastAsia="宋体" w:cs="宋体"/>
          <w:b/>
          <w:sz w:val="24"/>
          <w:szCs w:val="24"/>
          <w:highlight w:val="none"/>
        </w:rPr>
        <w:t>采购人拟采购的产品属于政府强制采购的节能产品品目清单范围的，供应商未按磋商文件要求提供国家确定的认证机构出具的、处于有效期之内的节能产品认证证书的，响应无效。</w:t>
      </w:r>
    </w:p>
    <w:p w14:paraId="117B52EE">
      <w:pPr>
        <w:numPr>
          <w:ilvl w:val="2"/>
          <w:numId w:val="18"/>
        </w:numPr>
        <w:spacing w:line="360" w:lineRule="auto"/>
        <w:ind w:left="8" w:firstLine="632"/>
        <w:rPr>
          <w:rFonts w:hint="eastAsia" w:ascii="宋体" w:hAnsi="宋体" w:eastAsia="宋体" w:cs="宋体"/>
          <w:sz w:val="24"/>
          <w:szCs w:val="24"/>
          <w:highlight w:val="none"/>
        </w:rPr>
      </w:pPr>
      <w:r>
        <w:rPr>
          <w:rFonts w:hint="eastAsia" w:ascii="宋体" w:hAnsi="宋体" w:eastAsia="宋体" w:cs="宋体"/>
          <w:sz w:val="24"/>
          <w:szCs w:val="24"/>
          <w:highlight w:val="none"/>
        </w:rPr>
        <w:t>修缮、装修类项目采购建材的，采购人应将绿色建筑和绿色建材性能、指标等作为实质性条件纳入磋商文件和合同。</w:t>
      </w:r>
    </w:p>
    <w:p w14:paraId="0D047266">
      <w:pPr>
        <w:numPr>
          <w:ilvl w:val="2"/>
          <w:numId w:val="18"/>
        </w:numPr>
        <w:spacing w:line="360" w:lineRule="auto"/>
        <w:ind w:left="8" w:firstLine="632"/>
        <w:rPr>
          <w:rFonts w:hint="eastAsia" w:ascii="宋体" w:hAnsi="宋体" w:eastAsia="宋体" w:cs="宋体"/>
          <w:sz w:val="24"/>
          <w:szCs w:val="24"/>
          <w:highlight w:val="none"/>
        </w:rPr>
      </w:pPr>
      <w:r>
        <w:rPr>
          <w:rFonts w:hint="eastAsia" w:ascii="宋体" w:hAnsi="宋体" w:eastAsia="宋体" w:cs="宋体"/>
          <w:sz w:val="24"/>
          <w:szCs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20DCC9E">
      <w:pPr>
        <w:numPr>
          <w:ilvl w:val="1"/>
          <w:numId w:val="18"/>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支持中小企业发展</w:t>
      </w:r>
    </w:p>
    <w:p w14:paraId="1A777906">
      <w:pPr>
        <w:numPr>
          <w:ilvl w:val="2"/>
          <w:numId w:val="18"/>
        </w:numPr>
        <w:spacing w:line="360" w:lineRule="auto"/>
        <w:ind w:left="8" w:firstLine="632"/>
        <w:rPr>
          <w:rFonts w:hint="eastAsia" w:ascii="宋体" w:hAnsi="宋体" w:eastAsia="宋体" w:cs="宋体"/>
          <w:sz w:val="24"/>
          <w:szCs w:val="24"/>
          <w:highlight w:val="none"/>
        </w:rPr>
      </w:pPr>
      <w:r>
        <w:rPr>
          <w:rFonts w:hint="eastAsia" w:ascii="宋体" w:hAnsi="宋体" w:eastAsia="宋体" w:cs="宋体"/>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587EFD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符合中小企业划分标准的个体工商户，在政府采购活动中视同中小企业。</w:t>
      </w:r>
    </w:p>
    <w:p w14:paraId="2174DF30">
      <w:pPr>
        <w:numPr>
          <w:ilvl w:val="2"/>
          <w:numId w:val="18"/>
        </w:numPr>
        <w:spacing w:line="360" w:lineRule="auto"/>
        <w:ind w:left="8" w:firstLine="632"/>
        <w:rPr>
          <w:rFonts w:hint="eastAsia" w:ascii="宋体" w:hAnsi="宋体" w:eastAsia="宋体" w:cs="宋体"/>
          <w:sz w:val="24"/>
          <w:szCs w:val="24"/>
          <w:highlight w:val="none"/>
        </w:rPr>
      </w:pPr>
      <w:r>
        <w:rPr>
          <w:rFonts w:hint="eastAsia" w:ascii="宋体" w:hAnsi="宋体" w:eastAsia="宋体" w:cs="宋体"/>
          <w:sz w:val="24"/>
          <w:szCs w:val="24"/>
          <w:highlight w:val="none"/>
        </w:rPr>
        <w:t>在政府采购活动中，供应商提供的货物、工程或者服务符合下列情形的，享受中小企业扶持政策：</w:t>
      </w:r>
    </w:p>
    <w:p w14:paraId="039E9D96">
      <w:pPr>
        <w:widowControl/>
        <w:numPr>
          <w:ilvl w:val="3"/>
          <w:numId w:val="18"/>
        </w:numPr>
        <w:spacing w:line="360" w:lineRule="auto"/>
        <w:ind w:left="420" w:firstLine="347"/>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在货物采购项目中，货物由中小企业制造，即货物由中小企业生产且使用该中小企业商号或者注册商标；</w:t>
      </w:r>
    </w:p>
    <w:p w14:paraId="04294510">
      <w:pPr>
        <w:widowControl/>
        <w:numPr>
          <w:ilvl w:val="3"/>
          <w:numId w:val="18"/>
        </w:numPr>
        <w:spacing w:line="360" w:lineRule="auto"/>
        <w:ind w:left="420" w:firstLine="347"/>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在工程采购项目中，工程由中小企业承建，即工程施工单位为中小企业；</w:t>
      </w:r>
    </w:p>
    <w:p w14:paraId="15DE0EB5">
      <w:pPr>
        <w:widowControl/>
        <w:numPr>
          <w:ilvl w:val="3"/>
          <w:numId w:val="18"/>
        </w:numPr>
        <w:spacing w:line="360" w:lineRule="auto"/>
        <w:ind w:left="420" w:firstLine="347"/>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在服务采购项目中，服务由中小企业承接，即提供服务的人员为中小企业依照《中华人民共和国劳动合同法》订立劳动合同的从业人员。</w:t>
      </w:r>
    </w:p>
    <w:p w14:paraId="49FFE3E7">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在货物采购项目中，供应商提供的货物既有中小企业制造货物，也有大型企业制造货物的，不享受中小企业扶持政策。</w:t>
      </w:r>
    </w:p>
    <w:p w14:paraId="32FE30B8">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以联合体形式参加政府采购活动，联合体各方均为中小企业的，联合体视同中小企业。其中，联合体各方均为小微企业的，联合体视同小微企业。</w:t>
      </w:r>
    </w:p>
    <w:p w14:paraId="15DEF3C2">
      <w:pPr>
        <w:numPr>
          <w:ilvl w:val="2"/>
          <w:numId w:val="18"/>
        </w:numPr>
        <w:spacing w:line="360" w:lineRule="auto"/>
        <w:ind w:left="8" w:firstLine="632"/>
        <w:rPr>
          <w:rFonts w:hint="eastAsia" w:ascii="宋体" w:hAnsi="宋体" w:eastAsia="宋体" w:cs="宋体"/>
          <w:sz w:val="24"/>
          <w:szCs w:val="24"/>
          <w:highlight w:val="none"/>
        </w:rPr>
      </w:pPr>
      <w:r>
        <w:rPr>
          <w:rFonts w:hint="eastAsia" w:ascii="宋体" w:hAnsi="宋体" w:eastAsia="宋体" w:cs="宋体"/>
          <w:sz w:val="24"/>
          <w:szCs w:val="24"/>
          <w:highlight w:val="none"/>
        </w:rPr>
        <w:t>对于未预留份额专门面向中小企业的政府采购货物或服务或工程项目，以及预留份额政府采购货物或服务项目中的非预留部分标项，对小型和微型企业的最后报价给予10%（工程项目为5%）的扣除，用扣除后的价格参与评审。接受大中型企业与小微企业组成联合体或者允许大中型企业向一家或者多家小微企业分包的政府采购货物或服务或工程项目，对于联合协议或者分包意向协议约定小微企业的合同份额占到合同总金额30%以上的，对联合体或者大中型企业的报价给予6%（工程项目为2%）的扣除，用扣除后的价格参加评审。组成联合体或者接受分包的小微企业与联合体内其他企业、分包企业之间存在直接控股、管理关系的，不享受价格扣除优惠政策。</w:t>
      </w:r>
    </w:p>
    <w:p w14:paraId="438F323B">
      <w:pPr>
        <w:numPr>
          <w:ilvl w:val="2"/>
          <w:numId w:val="18"/>
        </w:numPr>
        <w:spacing w:line="360" w:lineRule="auto"/>
        <w:ind w:left="8" w:firstLine="632"/>
        <w:rPr>
          <w:rFonts w:hint="eastAsia" w:ascii="宋体" w:hAnsi="宋体" w:eastAsia="宋体" w:cs="宋体"/>
          <w:sz w:val="24"/>
          <w:szCs w:val="24"/>
          <w:highlight w:val="none"/>
        </w:rPr>
      </w:pPr>
      <w:r>
        <w:rPr>
          <w:rFonts w:hint="eastAsia" w:ascii="宋体" w:hAnsi="宋体" w:eastAsia="宋体" w:cs="宋体"/>
          <w:sz w:val="24"/>
          <w:szCs w:val="24"/>
          <w:highlight w:val="none"/>
        </w:rPr>
        <w:t>符合《关于促进残疾人就业政府采购政策的通知》（财库〔2017〕141号）规定的条件并提供《残疾人福利性单位声明函》（附件1）的残疾人福利性单位视同小型、微型企业；</w:t>
      </w:r>
    </w:p>
    <w:p w14:paraId="48236150">
      <w:pPr>
        <w:numPr>
          <w:ilvl w:val="2"/>
          <w:numId w:val="18"/>
        </w:numPr>
        <w:spacing w:line="360" w:lineRule="auto"/>
        <w:ind w:left="8" w:firstLine="632"/>
        <w:rPr>
          <w:rFonts w:hint="eastAsia" w:ascii="宋体" w:hAnsi="宋体" w:eastAsia="宋体" w:cs="宋体"/>
          <w:sz w:val="24"/>
          <w:szCs w:val="24"/>
          <w:highlight w:val="none"/>
        </w:rPr>
      </w:pPr>
      <w:r>
        <w:rPr>
          <w:rFonts w:hint="eastAsia" w:ascii="宋体" w:hAnsi="宋体" w:eastAsia="宋体" w:cs="宋体"/>
          <w:sz w:val="24"/>
          <w:szCs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A321344">
      <w:pPr>
        <w:numPr>
          <w:ilvl w:val="2"/>
          <w:numId w:val="18"/>
        </w:numPr>
        <w:spacing w:line="360" w:lineRule="auto"/>
        <w:ind w:left="8" w:firstLine="632"/>
        <w:rPr>
          <w:rFonts w:hint="eastAsia" w:ascii="宋体" w:hAnsi="宋体" w:eastAsia="宋体" w:cs="宋体"/>
          <w:sz w:val="24"/>
          <w:szCs w:val="24"/>
          <w:highlight w:val="none"/>
        </w:rPr>
      </w:pPr>
      <w:r>
        <w:rPr>
          <w:rFonts w:hint="eastAsia" w:ascii="宋体" w:hAnsi="宋体" w:eastAsia="宋体" w:cs="宋体"/>
          <w:sz w:val="24"/>
          <w:szCs w:val="24"/>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13FA0AF">
      <w:pPr>
        <w:numPr>
          <w:ilvl w:val="2"/>
          <w:numId w:val="18"/>
        </w:numPr>
        <w:spacing w:line="360" w:lineRule="auto"/>
        <w:ind w:left="8" w:firstLine="632"/>
        <w:rPr>
          <w:rFonts w:hint="eastAsia" w:ascii="宋体" w:hAnsi="宋体" w:eastAsia="宋体" w:cs="宋体"/>
          <w:sz w:val="24"/>
          <w:szCs w:val="24"/>
          <w:highlight w:val="none"/>
        </w:rPr>
      </w:pPr>
      <w:r>
        <w:rPr>
          <w:rFonts w:hint="eastAsia" w:ascii="宋体" w:hAnsi="宋体" w:eastAsia="宋体" w:cs="宋体"/>
          <w:sz w:val="24"/>
          <w:szCs w:val="24"/>
          <w:highlight w:val="none"/>
        </w:rPr>
        <w:t>中小企业享受扶持政策获得政府采购合同的，小微企业不得将合同分包给大中型企业，中型企业不得将合同分包给大型企业。</w:t>
      </w:r>
    </w:p>
    <w:p w14:paraId="4310E62D">
      <w:pPr>
        <w:numPr>
          <w:ilvl w:val="1"/>
          <w:numId w:val="18"/>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支持创新发展</w:t>
      </w:r>
    </w:p>
    <w:p w14:paraId="714DAAC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3.4.1采购人优先采购被认定为首台套产品和“制造精品”的自主创新产品。</w:t>
      </w:r>
    </w:p>
    <w:p w14:paraId="7430BD3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3.4.2对省级以上主管部门认定的首台套产品，自纳入《省推广应用指导目录》起三年内参加政府采购活动,视同已具备相应销售业绩,业绩分为满分。产品核心技术高于国内领先水平，并具有明晰自主知识产权的“制造精品”产品，自认定之日起2年内视同已具备相应销售业绩，参加政府采购活动时业绩分值为满分。</w:t>
      </w:r>
    </w:p>
    <w:p w14:paraId="15A9C932">
      <w:pPr>
        <w:numPr>
          <w:ilvl w:val="1"/>
          <w:numId w:val="18"/>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中小企业信用融资</w:t>
      </w:r>
    </w:p>
    <w:p w14:paraId="769E15A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为支持和促进中小企业发展，进一步发挥政府采购政策功能，供应商若有融资意向，详见《政府采购支持中小企业信用融资相关事项通知》，查看信用融资政策文件及各相关银行服务方案。</w:t>
      </w:r>
    </w:p>
    <w:p w14:paraId="1602ABC6">
      <w:pPr>
        <w:numPr>
          <w:ilvl w:val="1"/>
          <w:numId w:val="18"/>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平等对待内外资企业和符合条件的破产重整企业</w:t>
      </w:r>
    </w:p>
    <w:p w14:paraId="0BE73B6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平等对待内外资企业和符合条件的破产重整企业，切实保障企业公平竞争，平等维护企业的合法利益。</w:t>
      </w:r>
    </w:p>
    <w:p w14:paraId="1D7A44C4">
      <w:pPr>
        <w:pStyle w:val="60"/>
        <w:ind w:firstLine="420"/>
        <w:rPr>
          <w:rFonts w:hint="eastAsia" w:ascii="宋体" w:hAnsi="宋体" w:eastAsia="宋体" w:cs="宋体"/>
          <w:sz w:val="24"/>
          <w:szCs w:val="24"/>
          <w:highlight w:val="none"/>
        </w:rPr>
      </w:pPr>
    </w:p>
    <w:p w14:paraId="553ADCDA">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询问、质疑、投诉</w:t>
      </w:r>
    </w:p>
    <w:p w14:paraId="3FCC9960">
      <w:pPr>
        <w:numPr>
          <w:ilvl w:val="1"/>
          <w:numId w:val="19"/>
        </w:numPr>
        <w:spacing w:line="360" w:lineRule="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供应商询问</w:t>
      </w:r>
    </w:p>
    <w:p w14:paraId="4F9B173B">
      <w:pPr>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B0A7C00">
      <w:pPr>
        <w:numPr>
          <w:ilvl w:val="1"/>
          <w:numId w:val="19"/>
        </w:numPr>
        <w:spacing w:line="360" w:lineRule="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供应商质疑</w:t>
      </w:r>
    </w:p>
    <w:p w14:paraId="37BB5A96">
      <w:pPr>
        <w:pStyle w:val="32"/>
        <w:numPr>
          <w:ilvl w:val="2"/>
          <w:numId w:val="19"/>
        </w:numPr>
        <w:spacing w:line="360" w:lineRule="auto"/>
        <w:ind w:left="8" w:firstLine="632"/>
        <w:rPr>
          <w:rFonts w:hint="eastAsia" w:ascii="宋体" w:hAnsi="宋体" w:eastAsia="宋体" w:cs="宋体"/>
          <w:sz w:val="24"/>
          <w:szCs w:val="24"/>
          <w:highlight w:val="none"/>
        </w:rPr>
      </w:pPr>
      <w:r>
        <w:rPr>
          <w:rFonts w:hint="eastAsia" w:ascii="宋体" w:hAnsi="宋体" w:eastAsia="宋体" w:cs="宋体"/>
          <w:sz w:val="24"/>
          <w:szCs w:val="24"/>
          <w:highlight w:val="none"/>
        </w:rPr>
        <w:t>提出质疑的供应商应当是参与所质疑项目采购活动的供应商。潜在供应商已依法获取其可质疑的磋商文件的，可以对该文件提出质疑。</w:t>
      </w:r>
    </w:p>
    <w:p w14:paraId="1814D782">
      <w:pPr>
        <w:pStyle w:val="32"/>
        <w:numPr>
          <w:ilvl w:val="2"/>
          <w:numId w:val="19"/>
        </w:numPr>
        <w:spacing w:line="360" w:lineRule="auto"/>
        <w:ind w:left="8" w:firstLine="632"/>
        <w:rPr>
          <w:rFonts w:hint="eastAsia" w:ascii="宋体" w:hAnsi="宋体" w:eastAsia="宋体" w:cs="宋体"/>
          <w:sz w:val="24"/>
          <w:szCs w:val="24"/>
          <w:highlight w:val="none"/>
        </w:rPr>
      </w:pPr>
      <w:r>
        <w:rPr>
          <w:rFonts w:hint="eastAsia" w:ascii="宋体" w:hAnsi="宋体" w:eastAsia="宋体" w:cs="宋体"/>
          <w:sz w:val="24"/>
          <w:szCs w:val="24"/>
          <w:highlight w:val="none"/>
        </w:rPr>
        <w:t>供应商认为磋商文件、采购过程和采购结果使自己的权益受到损害的，可以在知道或者应知其权益受到损害之日起七个工作日内，以书面形式向采购人或者采购代理机构提出质疑，否则，采购人或者采购代理机构不予受理：</w:t>
      </w:r>
    </w:p>
    <w:p w14:paraId="5650607A">
      <w:pPr>
        <w:pStyle w:val="15"/>
        <w:numPr>
          <w:ilvl w:val="3"/>
          <w:numId w:val="19"/>
        </w:numPr>
        <w:spacing w:line="360" w:lineRule="auto"/>
        <w:ind w:left="13" w:firstLine="627"/>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对磋商文件提出质疑的，质疑期限为供应商获得磋商文件之日或者磋商公告期限届满之日起计算。</w:t>
      </w:r>
    </w:p>
    <w:p w14:paraId="5E64901B">
      <w:pPr>
        <w:pStyle w:val="32"/>
        <w:numPr>
          <w:ilvl w:val="3"/>
          <w:numId w:val="19"/>
        </w:numPr>
        <w:spacing w:line="360" w:lineRule="auto"/>
        <w:ind w:left="13" w:firstLine="627"/>
        <w:rPr>
          <w:rFonts w:hint="eastAsia" w:ascii="宋体" w:hAnsi="宋体" w:eastAsia="宋体" w:cs="宋体"/>
          <w:sz w:val="24"/>
          <w:szCs w:val="24"/>
          <w:highlight w:val="none"/>
        </w:rPr>
      </w:pPr>
      <w:r>
        <w:rPr>
          <w:rFonts w:hint="eastAsia" w:ascii="宋体" w:hAnsi="宋体" w:eastAsia="宋体" w:cs="宋体"/>
          <w:sz w:val="24"/>
          <w:szCs w:val="24"/>
          <w:highlight w:val="none"/>
        </w:rPr>
        <w:t>对采购过程提出质疑的，质疑期限为各采购程序环节结束之日起计算。</w:t>
      </w:r>
    </w:p>
    <w:p w14:paraId="60A133BE">
      <w:pPr>
        <w:pStyle w:val="32"/>
        <w:numPr>
          <w:ilvl w:val="3"/>
          <w:numId w:val="19"/>
        </w:numPr>
        <w:spacing w:line="360" w:lineRule="auto"/>
        <w:ind w:left="13" w:firstLine="627"/>
        <w:rPr>
          <w:rFonts w:hint="eastAsia" w:ascii="宋体" w:hAnsi="宋体" w:eastAsia="宋体" w:cs="宋体"/>
          <w:sz w:val="24"/>
          <w:szCs w:val="24"/>
          <w:highlight w:val="none"/>
        </w:rPr>
      </w:pPr>
      <w:r>
        <w:rPr>
          <w:rFonts w:hint="eastAsia" w:ascii="宋体" w:hAnsi="宋体" w:eastAsia="宋体" w:cs="宋体"/>
          <w:sz w:val="24"/>
          <w:szCs w:val="24"/>
          <w:highlight w:val="none"/>
        </w:rPr>
        <w:t>对采购结果提出质疑的，质疑期限自采购结果公告期限届满之日起计算。</w:t>
      </w:r>
    </w:p>
    <w:p w14:paraId="58875482">
      <w:pPr>
        <w:pStyle w:val="32"/>
        <w:numPr>
          <w:ilvl w:val="2"/>
          <w:numId w:val="19"/>
        </w:numPr>
        <w:spacing w:line="360" w:lineRule="auto"/>
        <w:ind w:left="8" w:firstLine="632"/>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供应商提出质疑应当提交质疑函和必要的证明材料。质疑函应当包括下列内容：</w:t>
      </w:r>
    </w:p>
    <w:p w14:paraId="2F798AB7">
      <w:pPr>
        <w:pStyle w:val="32"/>
        <w:numPr>
          <w:ilvl w:val="3"/>
          <w:numId w:val="19"/>
        </w:numPr>
        <w:spacing w:line="360" w:lineRule="auto"/>
        <w:ind w:left="13" w:firstLine="627"/>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供应商的姓名或者名称、地址、邮编、联系人及联系电话；</w:t>
      </w:r>
    </w:p>
    <w:p w14:paraId="6EF6A1A4">
      <w:pPr>
        <w:pStyle w:val="32"/>
        <w:numPr>
          <w:ilvl w:val="3"/>
          <w:numId w:val="19"/>
        </w:numPr>
        <w:spacing w:line="360" w:lineRule="auto"/>
        <w:ind w:left="13" w:firstLine="627"/>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质疑项目的名称、编号；</w:t>
      </w:r>
    </w:p>
    <w:p w14:paraId="0991AA35">
      <w:pPr>
        <w:pStyle w:val="32"/>
        <w:numPr>
          <w:ilvl w:val="3"/>
          <w:numId w:val="19"/>
        </w:numPr>
        <w:spacing w:line="360" w:lineRule="auto"/>
        <w:ind w:left="13" w:firstLine="627"/>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具体、明确的质疑事项和与质疑事项相关的请求；</w:t>
      </w:r>
    </w:p>
    <w:p w14:paraId="65A2E878">
      <w:pPr>
        <w:pStyle w:val="32"/>
        <w:numPr>
          <w:ilvl w:val="3"/>
          <w:numId w:val="19"/>
        </w:numPr>
        <w:spacing w:line="360" w:lineRule="auto"/>
        <w:ind w:left="13" w:firstLine="627"/>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事实依据；</w:t>
      </w:r>
    </w:p>
    <w:p w14:paraId="03714A10">
      <w:pPr>
        <w:pStyle w:val="32"/>
        <w:numPr>
          <w:ilvl w:val="3"/>
          <w:numId w:val="19"/>
        </w:numPr>
        <w:spacing w:line="360" w:lineRule="auto"/>
        <w:ind w:left="13" w:firstLine="627"/>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必要的法律依据；</w:t>
      </w:r>
    </w:p>
    <w:p w14:paraId="411D9DD4">
      <w:pPr>
        <w:pStyle w:val="32"/>
        <w:numPr>
          <w:ilvl w:val="3"/>
          <w:numId w:val="19"/>
        </w:numPr>
        <w:spacing w:line="360" w:lineRule="auto"/>
        <w:ind w:left="13" w:firstLine="627"/>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提出质疑的日期。</w:t>
      </w:r>
    </w:p>
    <w:p w14:paraId="64484C37">
      <w:pPr>
        <w:pStyle w:val="618"/>
        <w:shd w:val="clear" w:color="auto" w:fill="FFFFFF"/>
        <w:snapToGrid w:val="0"/>
        <w:spacing w:after="240" w:afterAutospacing="0" w:line="360" w:lineRule="auto"/>
        <w:ind w:firstLine="4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12B0F086">
      <w:pPr>
        <w:pStyle w:val="618"/>
        <w:shd w:val="clear" w:color="auto" w:fill="FFFFFF"/>
        <w:snapToGrid w:val="0"/>
        <w:spacing w:after="240" w:afterAutospacing="0" w:line="360" w:lineRule="auto"/>
        <w:ind w:firstLine="42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质疑函范本及制作说明详见附件2。</w:t>
      </w:r>
    </w:p>
    <w:p w14:paraId="23F3CEA1">
      <w:pPr>
        <w:pStyle w:val="32"/>
        <w:numPr>
          <w:ilvl w:val="2"/>
          <w:numId w:val="19"/>
        </w:numPr>
        <w:spacing w:line="360" w:lineRule="auto"/>
        <w:ind w:left="8" w:firstLine="632"/>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对同一采购程序环节的质疑，供应商须在法定质疑期内一次性提出。</w:t>
      </w:r>
    </w:p>
    <w:p w14:paraId="1759F73D">
      <w:pPr>
        <w:pStyle w:val="32"/>
        <w:numPr>
          <w:ilvl w:val="2"/>
          <w:numId w:val="19"/>
        </w:numPr>
        <w:spacing w:line="360" w:lineRule="auto"/>
        <w:ind w:left="8" w:firstLine="632"/>
        <w:rPr>
          <w:rFonts w:hint="eastAsia" w:ascii="宋体" w:hAnsi="宋体" w:eastAsia="宋体" w:cs="宋体"/>
          <w:sz w:val="24"/>
          <w:szCs w:val="24"/>
          <w:highlight w:val="none"/>
        </w:rPr>
      </w:pPr>
      <w:r>
        <w:rPr>
          <w:rFonts w:hint="eastAsia" w:ascii="宋体" w:hAnsi="宋体" w:eastAsia="宋体" w:cs="宋体"/>
          <w:sz w:val="24"/>
          <w:szCs w:val="24"/>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质疑函作为附件上传。</w:t>
      </w:r>
    </w:p>
    <w:p w14:paraId="69C86C06">
      <w:pPr>
        <w:pStyle w:val="32"/>
        <w:numPr>
          <w:ilvl w:val="2"/>
          <w:numId w:val="19"/>
        </w:numPr>
        <w:snapToGrid w:val="0"/>
        <w:spacing w:line="360" w:lineRule="auto"/>
        <w:ind w:left="6" w:firstLine="629"/>
        <w:rPr>
          <w:rFonts w:hint="eastAsia" w:ascii="宋体" w:hAnsi="宋体" w:eastAsia="宋体" w:cs="宋体"/>
          <w:sz w:val="24"/>
          <w:szCs w:val="24"/>
          <w:highlight w:val="none"/>
        </w:rPr>
      </w:pPr>
      <w:r>
        <w:rPr>
          <w:rFonts w:hint="eastAsia" w:ascii="宋体" w:hAnsi="宋体" w:eastAsia="宋体" w:cs="宋体"/>
          <w:sz w:val="24"/>
          <w:szCs w:val="24"/>
          <w:highlight w:val="none"/>
        </w:rPr>
        <w:t>询问或者质疑事项可能影响采购结果的，采购人应当暂停签订合同，已经签订合同的，应当中止履行合同。</w:t>
      </w:r>
    </w:p>
    <w:p w14:paraId="6E3D3256">
      <w:pPr>
        <w:numPr>
          <w:ilvl w:val="1"/>
          <w:numId w:val="19"/>
        </w:numPr>
        <w:snapToGrid w:val="0"/>
        <w:spacing w:line="360" w:lineRule="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供应商投诉</w:t>
      </w:r>
    </w:p>
    <w:p w14:paraId="085B47F4">
      <w:pPr>
        <w:pStyle w:val="618"/>
        <w:numPr>
          <w:ilvl w:val="2"/>
          <w:numId w:val="20"/>
        </w:numPr>
        <w:shd w:val="clear" w:color="auto" w:fill="FFFFFF"/>
        <w:adjustRightInd w:val="0"/>
        <w:snapToGrid w:val="0"/>
        <w:spacing w:before="0" w:beforeAutospacing="0" w:after="0" w:afterAutospacing="0" w:line="360" w:lineRule="auto"/>
        <w:ind w:left="6" w:firstLine="629"/>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质疑供应商对采购人、采购代理机构的答复不满意或者采购人、采购代理机构未在规定的时间内作出答复的，可以在答复期满后十五个工作日内向同级政府采购监督管理部门提出投诉。</w:t>
      </w:r>
    </w:p>
    <w:p w14:paraId="35275CFD">
      <w:pPr>
        <w:pStyle w:val="618"/>
        <w:numPr>
          <w:ilvl w:val="2"/>
          <w:numId w:val="20"/>
        </w:numPr>
        <w:shd w:val="clear" w:color="auto" w:fill="FFFFFF"/>
        <w:adjustRightInd w:val="0"/>
        <w:snapToGrid w:val="0"/>
        <w:spacing w:before="0" w:beforeAutospacing="0" w:after="0" w:afterAutospacing="0" w:line="360" w:lineRule="auto"/>
        <w:ind w:left="6" w:firstLine="629"/>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供应商投诉的事项不得超出已质疑事项的范围，基于质疑答复内容提出的投诉事项除外。</w:t>
      </w:r>
    </w:p>
    <w:p w14:paraId="00BAFA4A">
      <w:pPr>
        <w:pStyle w:val="618"/>
        <w:numPr>
          <w:ilvl w:val="2"/>
          <w:numId w:val="20"/>
        </w:numPr>
        <w:shd w:val="clear" w:color="auto" w:fill="FFFFFF"/>
        <w:adjustRightInd w:val="0"/>
        <w:snapToGrid w:val="0"/>
        <w:spacing w:before="0" w:beforeAutospacing="0" w:after="0" w:afterAutospacing="0" w:line="360" w:lineRule="auto"/>
        <w:ind w:left="6" w:firstLine="629"/>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供应商投诉应当有明确的请求和必要的证明材料。</w:t>
      </w:r>
    </w:p>
    <w:p w14:paraId="08CD5526">
      <w:pPr>
        <w:pStyle w:val="618"/>
        <w:numPr>
          <w:ilvl w:val="2"/>
          <w:numId w:val="20"/>
        </w:numPr>
        <w:shd w:val="clear" w:color="auto" w:fill="FFFFFF"/>
        <w:adjustRightInd w:val="0"/>
        <w:snapToGrid w:val="0"/>
        <w:spacing w:before="0" w:beforeAutospacing="0" w:after="0" w:afterAutospacing="0" w:line="360" w:lineRule="auto"/>
        <w:ind w:left="6" w:firstLine="629"/>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以联合体形式参加政府采购活动的，其投诉应当由组成联合体的所有供应商共同提出。</w:t>
      </w:r>
    </w:p>
    <w:p w14:paraId="6D67201F">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投诉书范本及制作说明详见附件3。</w:t>
      </w:r>
    </w:p>
    <w:p w14:paraId="5B6AC75D">
      <w:pPr>
        <w:adjustRightInd/>
        <w:spacing w:line="360" w:lineRule="auto"/>
        <w:jc w:val="center"/>
        <w:outlineLvl w:val="0"/>
        <w:rPr>
          <w:rFonts w:hint="eastAsia" w:ascii="宋体" w:hAnsi="宋体" w:eastAsia="宋体" w:cs="宋体"/>
          <w:b/>
          <w:sz w:val="24"/>
          <w:szCs w:val="24"/>
          <w:highlight w:val="none"/>
        </w:rPr>
      </w:pPr>
      <w:bookmarkStart w:id="15" w:name="_Toc9095"/>
      <w:r>
        <w:rPr>
          <w:rFonts w:hint="eastAsia" w:ascii="宋体" w:hAnsi="宋体" w:eastAsia="宋体" w:cs="宋体"/>
          <w:b/>
          <w:sz w:val="24"/>
          <w:szCs w:val="24"/>
          <w:highlight w:val="none"/>
        </w:rPr>
        <w:t>三、磋商文件构成、修改、解释</w:t>
      </w:r>
      <w:bookmarkEnd w:id="15"/>
    </w:p>
    <w:p w14:paraId="282979A0">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磋商文件的构成</w:t>
      </w:r>
    </w:p>
    <w:p w14:paraId="280D65A4">
      <w:pPr>
        <w:pStyle w:val="32"/>
        <w:numPr>
          <w:ilvl w:val="1"/>
          <w:numId w:val="21"/>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磋商文件包括下列文件及附件</w:t>
      </w:r>
    </w:p>
    <w:p w14:paraId="11A66BFB">
      <w:pPr>
        <w:pStyle w:val="32"/>
        <w:numPr>
          <w:ilvl w:val="2"/>
          <w:numId w:val="21"/>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供应商邀请</w:t>
      </w:r>
    </w:p>
    <w:p w14:paraId="57E3711F">
      <w:pPr>
        <w:pStyle w:val="32"/>
        <w:numPr>
          <w:ilvl w:val="2"/>
          <w:numId w:val="21"/>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竞争性磋商流程</w:t>
      </w:r>
    </w:p>
    <w:p w14:paraId="1DD0630D">
      <w:pPr>
        <w:pStyle w:val="32"/>
        <w:numPr>
          <w:ilvl w:val="2"/>
          <w:numId w:val="21"/>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供应商须知</w:t>
      </w:r>
    </w:p>
    <w:p w14:paraId="3D2347C5">
      <w:pPr>
        <w:pStyle w:val="32"/>
        <w:numPr>
          <w:ilvl w:val="2"/>
          <w:numId w:val="21"/>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采购需求</w:t>
      </w:r>
    </w:p>
    <w:p w14:paraId="57FB21D4">
      <w:pPr>
        <w:pStyle w:val="32"/>
        <w:numPr>
          <w:ilvl w:val="2"/>
          <w:numId w:val="21"/>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评审方法及评审标准</w:t>
      </w:r>
    </w:p>
    <w:p w14:paraId="574082F2">
      <w:pPr>
        <w:pStyle w:val="32"/>
        <w:numPr>
          <w:ilvl w:val="2"/>
          <w:numId w:val="21"/>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拟签订的合同文本</w:t>
      </w:r>
    </w:p>
    <w:p w14:paraId="53D9872B">
      <w:pPr>
        <w:pStyle w:val="32"/>
        <w:numPr>
          <w:ilvl w:val="2"/>
          <w:numId w:val="21"/>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应提交的有关格式范例</w:t>
      </w:r>
    </w:p>
    <w:p w14:paraId="3E55CFD5">
      <w:pPr>
        <w:pStyle w:val="32"/>
        <w:numPr>
          <w:ilvl w:val="2"/>
          <w:numId w:val="21"/>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最后报价格式</w:t>
      </w:r>
    </w:p>
    <w:p w14:paraId="0937BF79">
      <w:pPr>
        <w:pStyle w:val="32"/>
        <w:numPr>
          <w:ilvl w:val="1"/>
          <w:numId w:val="21"/>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与本项目有关的澄清或者修改的内容为磋商文件的组成部分。</w:t>
      </w:r>
    </w:p>
    <w:p w14:paraId="263BA19F">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磋商文件的澄清、修改</w:t>
      </w:r>
    </w:p>
    <w:p w14:paraId="5A520E0D">
      <w:pPr>
        <w:pStyle w:val="396"/>
        <w:numPr>
          <w:ilvl w:val="1"/>
          <w:numId w:val="22"/>
        </w:numPr>
        <w:snapToGrid w:val="0"/>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已获取磋商文件的潜在供应商，若有问题需要澄清，应于提交首次响应文件截止时间前，以书面形式向采购代理机构提出。</w:t>
      </w:r>
    </w:p>
    <w:p w14:paraId="00211B81">
      <w:pPr>
        <w:pStyle w:val="396"/>
        <w:numPr>
          <w:ilvl w:val="1"/>
          <w:numId w:val="22"/>
        </w:numPr>
        <w:snapToGrid w:val="0"/>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如对已发出的磋商文件进行必要澄清或者修改的，将在发布磋商邀请公告的网站上发布更正（延期）公告，同时视情况延长提交首次响应文件截止时间和响应文件开启时间。该澄清或者修改的内容为磋商文件的组成部分。</w:t>
      </w:r>
    </w:p>
    <w:p w14:paraId="6BC9AD2B">
      <w:pPr>
        <w:pStyle w:val="396"/>
        <w:numPr>
          <w:ilvl w:val="1"/>
          <w:numId w:val="22"/>
        </w:numPr>
        <w:snapToGrid w:val="0"/>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14:paraId="1F5B7449">
      <w:pPr>
        <w:pStyle w:val="396"/>
        <w:snapToGrid w:val="0"/>
        <w:spacing w:before="0"/>
        <w:ind w:firstLine="482"/>
        <w:rPr>
          <w:rFonts w:hint="eastAsia" w:ascii="宋体" w:hAnsi="宋体" w:eastAsia="宋体" w:cs="宋体"/>
          <w:sz w:val="24"/>
          <w:szCs w:val="24"/>
          <w:highlight w:val="none"/>
        </w:rPr>
      </w:pPr>
      <w:r>
        <w:rPr>
          <w:rFonts w:hint="eastAsia" w:ascii="宋体" w:hAnsi="宋体" w:eastAsia="宋体" w:cs="宋体"/>
          <w:b/>
          <w:sz w:val="24"/>
          <w:szCs w:val="24"/>
          <w:highlight w:val="none"/>
        </w:rPr>
        <w:t>▲响应文件未按磋商文件的澄清、修改的内容编制，又不符合实质性要求的，响应无效。</w:t>
      </w:r>
    </w:p>
    <w:p w14:paraId="0AEFB22E">
      <w:pPr>
        <w:pStyle w:val="23"/>
        <w:rPr>
          <w:rFonts w:hint="eastAsia" w:ascii="宋体" w:hAnsi="宋体" w:eastAsia="宋体" w:cs="宋体"/>
          <w:sz w:val="24"/>
          <w:szCs w:val="24"/>
          <w:highlight w:val="none"/>
          <w:lang w:val="en-US" w:eastAsia="zh-CN"/>
        </w:rPr>
      </w:pPr>
    </w:p>
    <w:p w14:paraId="47FF48A1">
      <w:pPr>
        <w:adjustRightInd/>
        <w:spacing w:line="360" w:lineRule="auto"/>
        <w:jc w:val="center"/>
        <w:outlineLvl w:val="0"/>
        <w:rPr>
          <w:rFonts w:hint="eastAsia" w:ascii="宋体" w:hAnsi="宋体" w:eastAsia="宋体" w:cs="宋体"/>
          <w:b/>
          <w:sz w:val="24"/>
          <w:szCs w:val="24"/>
          <w:highlight w:val="none"/>
        </w:rPr>
      </w:pPr>
      <w:bookmarkStart w:id="16" w:name="_Toc25694"/>
      <w:r>
        <w:rPr>
          <w:rFonts w:hint="eastAsia" w:ascii="宋体" w:hAnsi="宋体" w:eastAsia="宋体" w:cs="宋体"/>
          <w:b/>
          <w:sz w:val="24"/>
          <w:szCs w:val="24"/>
          <w:highlight w:val="none"/>
        </w:rPr>
        <w:t>四、响应文件的编制</w:t>
      </w:r>
      <w:bookmarkEnd w:id="16"/>
    </w:p>
    <w:p w14:paraId="338BE72A">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磋商文件的获取</w:t>
      </w:r>
    </w:p>
    <w:p w14:paraId="7B366246">
      <w:pPr>
        <w:spacing w:line="360" w:lineRule="auto"/>
        <w:ind w:firstLine="420"/>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详见竞争性磋商邀请公告中获取磋商文件的时间期限、地点、方式。</w:t>
      </w:r>
    </w:p>
    <w:p w14:paraId="4C742F34">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磋商前答疑会或现场考察</w:t>
      </w:r>
    </w:p>
    <w:p w14:paraId="2CF9AB10">
      <w:pPr>
        <w:pStyle w:val="32"/>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采购人组织潜在供应商现场考察或者召开磋商前答疑会的，潜在供应商按第三部分供应商须知前附表的规定参加现场考察或者开标前答疑会。</w:t>
      </w:r>
    </w:p>
    <w:p w14:paraId="7C301191">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磋商保证金</w:t>
      </w:r>
    </w:p>
    <w:p w14:paraId="3DB1A572">
      <w:pPr>
        <w:pStyle w:val="15"/>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按第三部分供应商须知前附表的规定缴纳。</w:t>
      </w:r>
    </w:p>
    <w:p w14:paraId="507BA2DC">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响应文件的语言</w:t>
      </w:r>
    </w:p>
    <w:p w14:paraId="0B1CA802">
      <w:pPr>
        <w:pStyle w:val="32"/>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响应文件及供应商与采购有关的来往通知、函件和文件均应使用中文。</w:t>
      </w:r>
    </w:p>
    <w:p w14:paraId="2B5E4DD3">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响应文件的组成</w:t>
      </w:r>
    </w:p>
    <w:p w14:paraId="34955CF4">
      <w:pPr>
        <w:pStyle w:val="32"/>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响应文件应当包括以下主要内容：</w:t>
      </w:r>
    </w:p>
    <w:p w14:paraId="50671863">
      <w:pPr>
        <w:numPr>
          <w:ilvl w:val="1"/>
          <w:numId w:val="23"/>
        </w:num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资格文件：</w:t>
      </w:r>
    </w:p>
    <w:p w14:paraId="6C6E90DA">
      <w:pPr>
        <w:numPr>
          <w:ilvl w:val="2"/>
          <w:numId w:val="24"/>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符合参加政府采购活动应当具备的一般条件的承诺函；</w:t>
      </w:r>
    </w:p>
    <w:p w14:paraId="5335CB56">
      <w:pPr>
        <w:numPr>
          <w:ilvl w:val="2"/>
          <w:numId w:val="24"/>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落实政府采购政策需满足的资格要求；</w:t>
      </w:r>
    </w:p>
    <w:p w14:paraId="6E7B41C4">
      <w:pPr>
        <w:numPr>
          <w:ilvl w:val="2"/>
          <w:numId w:val="24"/>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本项目的特定资格要求；</w:t>
      </w:r>
    </w:p>
    <w:p w14:paraId="42DC0721">
      <w:pPr>
        <w:numPr>
          <w:ilvl w:val="2"/>
          <w:numId w:val="24"/>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联合协议。（如有）</w:t>
      </w:r>
    </w:p>
    <w:p w14:paraId="3FDEF512">
      <w:pPr>
        <w:numPr>
          <w:ilvl w:val="1"/>
          <w:numId w:val="23"/>
        </w:numPr>
        <w:snapToGrid w:val="0"/>
        <w:spacing w:line="360" w:lineRule="auto"/>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rPr>
        <w:t>商务技术</w:t>
      </w:r>
      <w:r>
        <w:rPr>
          <w:rFonts w:hint="eastAsia" w:ascii="宋体" w:hAnsi="宋体" w:eastAsia="宋体" w:cs="宋体"/>
          <w:b/>
          <w:sz w:val="24"/>
          <w:szCs w:val="24"/>
          <w:highlight w:val="none"/>
          <w:lang w:val="zh-CN"/>
        </w:rPr>
        <w:t>文件：</w:t>
      </w:r>
    </w:p>
    <w:p w14:paraId="4659AF76">
      <w:pPr>
        <w:numPr>
          <w:ilvl w:val="2"/>
          <w:numId w:val="25"/>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响应函；</w:t>
      </w:r>
    </w:p>
    <w:p w14:paraId="4D361C8E">
      <w:pPr>
        <w:numPr>
          <w:ilvl w:val="2"/>
          <w:numId w:val="25"/>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授权委托书或法定代表人（单位负责人、自然人本人）身份证明；</w:t>
      </w:r>
    </w:p>
    <w:p w14:paraId="5E2C3050">
      <w:pPr>
        <w:numPr>
          <w:ilvl w:val="2"/>
          <w:numId w:val="25"/>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分包意向协议；</w:t>
      </w:r>
      <w:r>
        <w:rPr>
          <w:rFonts w:hint="eastAsia" w:ascii="宋体" w:hAnsi="宋体" w:eastAsia="宋体" w:cs="宋体"/>
          <w:bCs/>
          <w:sz w:val="24"/>
          <w:szCs w:val="24"/>
          <w:highlight w:val="none"/>
        </w:rPr>
        <w:t>（如有）</w:t>
      </w:r>
    </w:p>
    <w:p w14:paraId="56B00CDF">
      <w:pPr>
        <w:numPr>
          <w:ilvl w:val="2"/>
          <w:numId w:val="25"/>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符合性审查资料；</w:t>
      </w:r>
    </w:p>
    <w:p w14:paraId="61FE1434">
      <w:pPr>
        <w:numPr>
          <w:ilvl w:val="2"/>
          <w:numId w:val="25"/>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评标标准相应的商务技术资料；</w:t>
      </w:r>
    </w:p>
    <w:p w14:paraId="4BCF55D6">
      <w:pPr>
        <w:numPr>
          <w:ilvl w:val="2"/>
          <w:numId w:val="25"/>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标的清单；</w:t>
      </w:r>
    </w:p>
    <w:p w14:paraId="44F043BD">
      <w:pPr>
        <w:numPr>
          <w:ilvl w:val="2"/>
          <w:numId w:val="25"/>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商务技术偏离表；</w:t>
      </w:r>
    </w:p>
    <w:p w14:paraId="0B89D1A0">
      <w:pPr>
        <w:numPr>
          <w:ilvl w:val="2"/>
          <w:numId w:val="25"/>
        </w:numPr>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政府采购供应商廉洁自律承诺书。</w:t>
      </w:r>
    </w:p>
    <w:p w14:paraId="5F1557E0">
      <w:pPr>
        <w:numPr>
          <w:ilvl w:val="1"/>
          <w:numId w:val="23"/>
        </w:numPr>
        <w:snapToGrid w:val="0"/>
        <w:spacing w:line="360" w:lineRule="auto"/>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报价文件：</w:t>
      </w:r>
    </w:p>
    <w:p w14:paraId="01516D03">
      <w:pPr>
        <w:numPr>
          <w:ilvl w:val="2"/>
          <w:numId w:val="26"/>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初始报价一览表；</w:t>
      </w:r>
    </w:p>
    <w:p w14:paraId="3A78B5C4">
      <w:pPr>
        <w:numPr>
          <w:ilvl w:val="2"/>
          <w:numId w:val="26"/>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报价明细表。</w:t>
      </w:r>
    </w:p>
    <w:p w14:paraId="4D5F55D8">
      <w:pPr>
        <w:spacing w:line="360" w:lineRule="auto"/>
        <w:ind w:firstLine="420"/>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响应文件含有采购人不能接受的附加条件的，磋商无效；</w:t>
      </w:r>
    </w:p>
    <w:p w14:paraId="2CEA328C">
      <w:pPr>
        <w:spacing w:line="360" w:lineRule="auto"/>
        <w:ind w:firstLine="420"/>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供应商提供虚假材料响应的，磋商无效。</w:t>
      </w:r>
    </w:p>
    <w:p w14:paraId="61245B11">
      <w:pPr>
        <w:pStyle w:val="23"/>
        <w:rPr>
          <w:rFonts w:hint="eastAsia" w:ascii="宋体" w:hAnsi="宋体" w:eastAsia="宋体" w:cs="宋体"/>
          <w:sz w:val="24"/>
          <w:szCs w:val="24"/>
          <w:highlight w:val="none"/>
        </w:rPr>
      </w:pPr>
    </w:p>
    <w:p w14:paraId="3858E86F">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响应文件的编制</w:t>
      </w:r>
    </w:p>
    <w:p w14:paraId="6E7CABB6">
      <w:pPr>
        <w:numPr>
          <w:ilvl w:val="1"/>
          <w:numId w:val="27"/>
        </w:numPr>
        <w:spacing w:line="360" w:lineRule="auto"/>
        <w:ind w:left="10" w:firstLine="387"/>
        <w:rPr>
          <w:rFonts w:hint="eastAsia" w:ascii="宋体" w:hAnsi="宋体" w:eastAsia="宋体" w:cs="宋体"/>
          <w:b/>
          <w:sz w:val="24"/>
          <w:szCs w:val="24"/>
          <w:highlight w:val="none"/>
        </w:rPr>
      </w:pPr>
      <w:r>
        <w:rPr>
          <w:rFonts w:hint="eastAsia" w:ascii="宋体" w:hAnsi="宋体" w:eastAsia="宋体" w:cs="宋体"/>
          <w:kern w:val="0"/>
          <w:sz w:val="24"/>
          <w:szCs w:val="24"/>
          <w:highlight w:val="none"/>
          <w:lang w:val="zh-CN"/>
        </w:rPr>
        <w:t>响应文件分为资格文件、商务技术文件、报价文件三部分。各供应商在编制响应文件时请按照磋商文件第七部分规定的格式进行，混乱的编排导致响应文件被误读或磋商小组查找不到有效文件是供应商的风险。</w:t>
      </w:r>
    </w:p>
    <w:p w14:paraId="1C36F306">
      <w:pPr>
        <w:numPr>
          <w:ilvl w:val="1"/>
          <w:numId w:val="27"/>
        </w:numPr>
        <w:spacing w:line="360" w:lineRule="auto"/>
        <w:ind w:left="10" w:firstLine="387"/>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供应商进行电子交易应安装客户端软件—“政采云电子交易客户端”，并按照磋商文件和电子交易平台的要求编制并加密响应文件。供应商未按规定加密的响应文件，电子交易平台将拒收并提示。</w:t>
      </w:r>
    </w:p>
    <w:p w14:paraId="1FDEF81B">
      <w:pPr>
        <w:numPr>
          <w:ilvl w:val="1"/>
          <w:numId w:val="27"/>
        </w:numPr>
        <w:spacing w:line="360" w:lineRule="auto"/>
        <w:ind w:left="10" w:firstLine="387"/>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使用“政采云电子交易客户端”需要提前申领CA数字证书，申领流程请自行前往“新疆政府采购网-下载专区-电子交易客户端-CA驱动和申领流程”进行查阅。</w:t>
      </w:r>
    </w:p>
    <w:p w14:paraId="49423EB9">
      <w:pPr>
        <w:pStyle w:val="23"/>
        <w:rPr>
          <w:rFonts w:hint="eastAsia" w:ascii="宋体" w:hAnsi="宋体" w:eastAsia="宋体" w:cs="宋体"/>
          <w:sz w:val="24"/>
          <w:szCs w:val="24"/>
          <w:highlight w:val="none"/>
        </w:rPr>
      </w:pPr>
    </w:p>
    <w:p w14:paraId="5DB295D6">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响应文件的签署、盖章</w:t>
      </w:r>
    </w:p>
    <w:p w14:paraId="62D66C7F">
      <w:pPr>
        <w:pStyle w:val="396"/>
        <w:numPr>
          <w:ilvl w:val="1"/>
          <w:numId w:val="28"/>
        </w:numPr>
        <w:snapToGrid w:val="0"/>
        <w:spacing w:before="0"/>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响应文件按照磋商文件第七部分格式要求进行签署、盖章。</w:t>
      </w:r>
    </w:p>
    <w:p w14:paraId="4BC8A5AA">
      <w:pPr>
        <w:pStyle w:val="396"/>
        <w:snapToGrid w:val="0"/>
        <w:spacing w:before="0"/>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▲供应商的响应文件未按照磋商文件要求签署、盖章的，其磋商无效</w:t>
      </w:r>
      <w:r>
        <w:rPr>
          <w:rFonts w:hint="eastAsia" w:ascii="宋体" w:hAnsi="宋体" w:eastAsia="宋体" w:cs="宋体"/>
          <w:sz w:val="24"/>
          <w:szCs w:val="24"/>
          <w:highlight w:val="none"/>
        </w:rPr>
        <w:t>。</w:t>
      </w:r>
    </w:p>
    <w:p w14:paraId="694D58D9">
      <w:pPr>
        <w:pStyle w:val="396"/>
        <w:numPr>
          <w:ilvl w:val="1"/>
          <w:numId w:val="28"/>
        </w:numPr>
        <w:snapToGrid w:val="0"/>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为确保网上操作合法、有效和安全，供应商应当在响应截止时间前完成在“政府采购云平台”的身份认证，确保在电子交易过程中能够对相关数据电文进行加密和使用电子签名。</w:t>
      </w:r>
    </w:p>
    <w:p w14:paraId="4D5A38DB">
      <w:pPr>
        <w:pStyle w:val="396"/>
        <w:numPr>
          <w:ilvl w:val="1"/>
          <w:numId w:val="28"/>
        </w:numPr>
        <w:snapToGrid w:val="0"/>
        <w:spacing w:before="0"/>
        <w:ind w:left="10" w:firstLine="387"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磋商文件对响应文件签署、盖章的要求适用于电子签名。</w:t>
      </w:r>
    </w:p>
    <w:p w14:paraId="1EF1653E">
      <w:pPr>
        <w:rPr>
          <w:rFonts w:hint="eastAsia" w:ascii="宋体" w:hAnsi="宋体" w:eastAsia="宋体" w:cs="宋体"/>
          <w:sz w:val="24"/>
          <w:szCs w:val="24"/>
          <w:highlight w:val="none"/>
        </w:rPr>
      </w:pPr>
    </w:p>
    <w:p w14:paraId="08ED233D">
      <w:pPr>
        <w:adjustRightInd/>
        <w:spacing w:line="360" w:lineRule="auto"/>
        <w:jc w:val="center"/>
        <w:outlineLvl w:val="0"/>
        <w:rPr>
          <w:rFonts w:hint="eastAsia" w:ascii="宋体" w:hAnsi="宋体" w:eastAsia="宋体" w:cs="宋体"/>
          <w:b/>
          <w:sz w:val="24"/>
          <w:szCs w:val="24"/>
          <w:highlight w:val="none"/>
        </w:rPr>
      </w:pPr>
      <w:bookmarkStart w:id="17" w:name="_Toc28341"/>
      <w:r>
        <w:rPr>
          <w:rFonts w:hint="eastAsia" w:ascii="宋体" w:hAnsi="宋体" w:eastAsia="宋体" w:cs="宋体"/>
          <w:b/>
          <w:sz w:val="24"/>
          <w:szCs w:val="24"/>
          <w:highlight w:val="none"/>
        </w:rPr>
        <w:t>五、响应文件的提交和备份</w:t>
      </w:r>
      <w:bookmarkEnd w:id="17"/>
    </w:p>
    <w:p w14:paraId="731DC482">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响应文件的提交、补充、修改、撤回</w:t>
      </w:r>
    </w:p>
    <w:p w14:paraId="03D7EA7C">
      <w:pPr>
        <w:pStyle w:val="396"/>
        <w:numPr>
          <w:ilvl w:val="1"/>
          <w:numId w:val="29"/>
        </w:numPr>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6917404F">
      <w:pPr>
        <w:pStyle w:val="396"/>
        <w:numPr>
          <w:ilvl w:val="1"/>
          <w:numId w:val="29"/>
        </w:numPr>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在提交“最后报价一览表”后，供应商不能退出磋商。</w:t>
      </w:r>
    </w:p>
    <w:p w14:paraId="2A5E3EDF">
      <w:pPr>
        <w:numPr>
          <w:ilvl w:val="1"/>
          <w:numId w:val="29"/>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电子交易平台收到响应文件，将妥善保存并即时向供应商发出确认回执通知。在响应截止时间前，除供应商补充、修改或者撤回响应文件外，任何单位和个人不得解密或提取响应文件。</w:t>
      </w:r>
    </w:p>
    <w:p w14:paraId="5FE36258">
      <w:pPr>
        <w:pStyle w:val="396"/>
        <w:numPr>
          <w:ilvl w:val="1"/>
          <w:numId w:val="29"/>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采购人、采购代理机构可以视情况延长响应文件提交的截止时间。在上述情况下，采购代理机构与供应商以前在响应截止期方面的全部权利、责任和义务，将适用于延长至新的响应截止期。</w:t>
      </w:r>
    </w:p>
    <w:p w14:paraId="6BEAA02C">
      <w:pPr>
        <w:pStyle w:val="396"/>
        <w:spacing w:before="0"/>
        <w:ind w:left="397" w:firstLine="0" w:firstLineChars="0"/>
        <w:rPr>
          <w:rFonts w:hint="eastAsia" w:ascii="宋体" w:hAnsi="宋体" w:eastAsia="宋体" w:cs="宋体"/>
          <w:sz w:val="24"/>
          <w:szCs w:val="24"/>
          <w:highlight w:val="none"/>
        </w:rPr>
      </w:pPr>
    </w:p>
    <w:p w14:paraId="3D03CD91">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备份响应文件（如有需要时）</w:t>
      </w:r>
    </w:p>
    <w:p w14:paraId="22517F97">
      <w:pPr>
        <w:pStyle w:val="32"/>
        <w:numPr>
          <w:ilvl w:val="1"/>
          <w:numId w:val="30"/>
        </w:numPr>
        <w:spacing w:line="360" w:lineRule="auto"/>
        <w:ind w:left="10" w:firstLine="387"/>
        <w:rPr>
          <w:rFonts w:hint="eastAsia" w:ascii="宋体" w:hAnsi="宋体" w:eastAsia="宋体" w:cs="宋体"/>
          <w:b/>
          <w:bCs/>
          <w:sz w:val="24"/>
          <w:szCs w:val="24"/>
          <w:highlight w:val="none"/>
        </w:rPr>
      </w:pPr>
      <w:r>
        <w:rPr>
          <w:rFonts w:hint="eastAsia" w:ascii="宋体" w:hAnsi="宋体" w:eastAsia="宋体" w:cs="宋体"/>
          <w:sz w:val="24"/>
          <w:szCs w:val="24"/>
          <w:highlight w:val="none"/>
        </w:rPr>
        <w:t>供应商在电子交易平台传输提交响应文件后，还可以在响应截止时间前直接提交或者以邮政快递方式递交备份响应文件1份，</w:t>
      </w:r>
      <w:r>
        <w:rPr>
          <w:rFonts w:hint="eastAsia" w:ascii="宋体" w:hAnsi="宋体" w:eastAsia="宋体" w:cs="宋体"/>
          <w:b/>
          <w:bCs/>
          <w:sz w:val="24"/>
          <w:szCs w:val="24"/>
          <w:highlight w:val="none"/>
        </w:rPr>
        <w:t>但采购人、采购代理机构不强制或变相强制供应商提交备份响应文件。</w:t>
      </w:r>
    </w:p>
    <w:p w14:paraId="19FDE241">
      <w:pPr>
        <w:pStyle w:val="32"/>
        <w:numPr>
          <w:ilvl w:val="1"/>
          <w:numId w:val="30"/>
        </w:numPr>
        <w:spacing w:line="360" w:lineRule="auto"/>
        <w:ind w:left="10" w:firstLine="387"/>
        <w:rPr>
          <w:rFonts w:hint="eastAsia" w:ascii="宋体" w:hAnsi="宋体" w:eastAsia="宋体" w:cs="宋体"/>
          <w:b/>
          <w:bCs/>
          <w:sz w:val="24"/>
          <w:szCs w:val="24"/>
          <w:highlight w:val="none"/>
        </w:rPr>
      </w:pPr>
      <w:r>
        <w:rPr>
          <w:rFonts w:hint="eastAsia" w:ascii="宋体" w:hAnsi="宋体" w:eastAsia="宋体" w:cs="宋体"/>
          <w:sz w:val="24"/>
          <w:szCs w:val="24"/>
          <w:highlight w:val="none"/>
        </w:rPr>
        <w:t>备份响应文件须在“政采云投标客户端”制作生成，并储存在DVD光盘或U盘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bCs/>
          <w:sz w:val="24"/>
          <w:szCs w:val="24"/>
          <w:highlight w:val="none"/>
        </w:rPr>
        <w:t>不符合上述制作、存储、密封规定的备份响应文件将被视为无效或者被拒绝接收。</w:t>
      </w:r>
    </w:p>
    <w:p w14:paraId="26B29EBC">
      <w:pPr>
        <w:pStyle w:val="32"/>
        <w:numPr>
          <w:ilvl w:val="1"/>
          <w:numId w:val="30"/>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直接提交备份响应文件的，供应商应于响应截止时间前在磋商公告中载明的开启响应文件的地点将备份响应文件提交给采购代理机构，采购代理机构将拒绝接受逾期送达的备份响应文件。</w:t>
      </w:r>
    </w:p>
    <w:p w14:paraId="6BB3C2A5">
      <w:pPr>
        <w:pStyle w:val="32"/>
        <w:numPr>
          <w:ilvl w:val="1"/>
          <w:numId w:val="30"/>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582737B4">
      <w:pPr>
        <w:pStyle w:val="32"/>
        <w:numPr>
          <w:ilvl w:val="1"/>
          <w:numId w:val="30"/>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供应商仅提交备份响应文件，未在电子交易平台传输提交响应文件的，响应无效。</w:t>
      </w:r>
    </w:p>
    <w:p w14:paraId="0BEEE2C6">
      <w:pPr>
        <w:pStyle w:val="32"/>
        <w:spacing w:line="360" w:lineRule="auto"/>
        <w:ind w:left="397"/>
        <w:rPr>
          <w:rFonts w:hint="eastAsia" w:ascii="宋体" w:hAnsi="宋体" w:eastAsia="宋体" w:cs="宋体"/>
          <w:sz w:val="24"/>
          <w:szCs w:val="24"/>
          <w:highlight w:val="none"/>
        </w:rPr>
      </w:pPr>
    </w:p>
    <w:p w14:paraId="303E4AE7">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响应文件的无效处理</w:t>
      </w:r>
    </w:p>
    <w:p w14:paraId="3D1FA33A">
      <w:pPr>
        <w:pStyle w:val="24"/>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有磋商文件第五部分第6.3项规定的情形之一的，响应无效。</w:t>
      </w:r>
    </w:p>
    <w:p w14:paraId="0A783467">
      <w:pPr>
        <w:pStyle w:val="396"/>
        <w:spacing w:before="0"/>
        <w:ind w:firstLine="0" w:firstLineChars="0"/>
        <w:rPr>
          <w:rFonts w:hint="eastAsia" w:ascii="宋体" w:hAnsi="宋体" w:eastAsia="宋体" w:cs="宋体"/>
          <w:b/>
          <w:sz w:val="24"/>
          <w:szCs w:val="24"/>
          <w:highlight w:val="none"/>
        </w:rPr>
      </w:pPr>
    </w:p>
    <w:p w14:paraId="78A5A831">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响应有效期</w:t>
      </w:r>
    </w:p>
    <w:p w14:paraId="08A6CB59">
      <w:pPr>
        <w:numPr>
          <w:ilvl w:val="1"/>
          <w:numId w:val="31"/>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响应有效期为从提交响应文件的截止之日起90天。</w:t>
      </w:r>
    </w:p>
    <w:p w14:paraId="1651D543">
      <w:pPr>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w:t>
      </w:r>
      <w:r>
        <w:rPr>
          <w:rFonts w:hint="eastAsia" w:ascii="宋体" w:hAnsi="宋体" w:eastAsia="宋体" w:cs="宋体"/>
          <w:b/>
          <w:sz w:val="24"/>
          <w:szCs w:val="24"/>
          <w:highlight w:val="none"/>
        </w:rPr>
        <w:t>供应商的响应文件中承诺的响应有效期少于磋商文件中载明的响应有效期的，响应无效。</w:t>
      </w:r>
    </w:p>
    <w:p w14:paraId="5BEA5DBB">
      <w:pPr>
        <w:numPr>
          <w:ilvl w:val="1"/>
          <w:numId w:val="31"/>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响应文件合格投递后，自响应截止日期起，在响应有效期内有效。</w:t>
      </w:r>
    </w:p>
    <w:p w14:paraId="3A813650">
      <w:pPr>
        <w:numPr>
          <w:ilvl w:val="1"/>
          <w:numId w:val="31"/>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14:paraId="5F505D7F">
      <w:pPr>
        <w:rPr>
          <w:rFonts w:hint="eastAsia" w:ascii="宋体" w:hAnsi="宋体" w:eastAsia="宋体" w:cs="宋体"/>
          <w:sz w:val="24"/>
          <w:szCs w:val="24"/>
          <w:highlight w:val="none"/>
        </w:rPr>
      </w:pPr>
    </w:p>
    <w:p w14:paraId="1F3F9023">
      <w:pPr>
        <w:adjustRightInd/>
        <w:spacing w:line="360" w:lineRule="auto"/>
        <w:jc w:val="center"/>
        <w:outlineLvl w:val="0"/>
        <w:rPr>
          <w:rFonts w:hint="eastAsia" w:ascii="宋体" w:hAnsi="宋体" w:eastAsia="宋体" w:cs="宋体"/>
          <w:b/>
          <w:sz w:val="24"/>
          <w:szCs w:val="24"/>
          <w:highlight w:val="none"/>
        </w:rPr>
      </w:pPr>
      <w:bookmarkStart w:id="18" w:name="_Toc11464"/>
      <w:r>
        <w:rPr>
          <w:rFonts w:hint="eastAsia" w:ascii="宋体" w:hAnsi="宋体" w:eastAsia="宋体" w:cs="宋体"/>
          <w:b/>
          <w:sz w:val="24"/>
          <w:szCs w:val="24"/>
          <w:highlight w:val="none"/>
        </w:rPr>
        <w:t>六、开启响应文件、资格审查与信用信息查询</w:t>
      </w:r>
      <w:bookmarkEnd w:id="18"/>
    </w:p>
    <w:p w14:paraId="1C53C5B2">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开启响应文件</w:t>
      </w:r>
    </w:p>
    <w:p w14:paraId="7635253E">
      <w:pPr>
        <w:pStyle w:val="32"/>
        <w:numPr>
          <w:ilvl w:val="1"/>
          <w:numId w:val="32"/>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采购代理机构按照磋商文件规定的时间通过电子交易平台组织响应文件开启，所有供应商均应当准时在线参加。供应商数量不符合规定的，不得开启响应文件。</w:t>
      </w:r>
    </w:p>
    <w:p w14:paraId="28D22FBB">
      <w:pPr>
        <w:pStyle w:val="32"/>
        <w:numPr>
          <w:ilvl w:val="1"/>
          <w:numId w:val="32"/>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开启响应文件时，电子交易平台按开启响应文件时间自动提取所有响应文件。采购代理机构依托电子交易平台发起开始解密指令，供应商按照平台提示和磋商文件的规定在半小时内完成在线解密。</w:t>
      </w:r>
    </w:p>
    <w:p w14:paraId="6C593E90">
      <w:pPr>
        <w:pStyle w:val="32"/>
        <w:numPr>
          <w:ilvl w:val="1"/>
          <w:numId w:val="32"/>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响应文件未在规定时间内成功解密的供应商，如提交了备份响应文件的，以备份响应文件作为依据，否则视为响应文件撤回。响应文件解密成功的供应商，其备份响应文件自动失效。</w:t>
      </w:r>
    </w:p>
    <w:p w14:paraId="76281109">
      <w:pPr>
        <w:pStyle w:val="32"/>
        <w:spacing w:line="360" w:lineRule="auto"/>
        <w:ind w:left="397"/>
        <w:rPr>
          <w:rFonts w:hint="eastAsia" w:ascii="宋体" w:hAnsi="宋体" w:eastAsia="宋体" w:cs="宋体"/>
          <w:b/>
          <w:bCs/>
          <w:sz w:val="24"/>
          <w:szCs w:val="24"/>
          <w:highlight w:val="none"/>
        </w:rPr>
      </w:pPr>
    </w:p>
    <w:p w14:paraId="7816FC5D">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资格审查</w:t>
      </w:r>
    </w:p>
    <w:p w14:paraId="7E4393B5">
      <w:pPr>
        <w:pStyle w:val="396"/>
        <w:numPr>
          <w:ilvl w:val="1"/>
          <w:numId w:val="33"/>
        </w:numPr>
        <w:spacing w:before="0"/>
        <w:ind w:left="10" w:firstLine="387"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响应截止后，采购人或采购代理机构将依法对供应商的资格进行审查。</w:t>
      </w:r>
    </w:p>
    <w:p w14:paraId="38ABFD42">
      <w:pPr>
        <w:numPr>
          <w:ilvl w:val="1"/>
          <w:numId w:val="33"/>
        </w:numPr>
        <w:snapToGrid w:val="0"/>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采购人或采购代理机构依据法律法规和磋商文件的规定，对供应商的基本资格条件、特定资格条件进行审查。</w:t>
      </w:r>
    </w:p>
    <w:p w14:paraId="63F0672C">
      <w:pPr>
        <w:pStyle w:val="396"/>
        <w:numPr>
          <w:ilvl w:val="1"/>
          <w:numId w:val="3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供应商未按照磋商文件要求提供与</w:t>
      </w:r>
      <w:r>
        <w:rPr>
          <w:rFonts w:hint="eastAsia" w:ascii="宋体" w:hAnsi="宋体" w:eastAsia="宋体" w:cs="宋体"/>
          <w:sz w:val="24"/>
          <w:szCs w:val="24"/>
          <w:highlight w:val="none"/>
        </w:rPr>
        <w:t>基本资格条件、特定资格条件相应的</w:t>
      </w:r>
      <w:r>
        <w:rPr>
          <w:rFonts w:hint="eastAsia" w:ascii="宋体" w:hAnsi="宋体" w:eastAsia="宋体" w:cs="宋体"/>
          <w:kern w:val="0"/>
          <w:sz w:val="24"/>
          <w:szCs w:val="24"/>
          <w:highlight w:val="none"/>
        </w:rPr>
        <w:t>有效资格证明材料的，视为</w:t>
      </w:r>
      <w:r>
        <w:rPr>
          <w:rFonts w:hint="eastAsia" w:ascii="宋体" w:hAnsi="宋体" w:eastAsia="宋体" w:cs="宋体"/>
          <w:sz w:val="24"/>
          <w:szCs w:val="24"/>
          <w:highlight w:val="none"/>
        </w:rPr>
        <w:t>供应商不具备磋商文件中规定的资格要求，其响应无效。</w:t>
      </w:r>
    </w:p>
    <w:p w14:paraId="56C0991D">
      <w:pPr>
        <w:pStyle w:val="396"/>
        <w:numPr>
          <w:ilvl w:val="1"/>
          <w:numId w:val="3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对未通过资格审查的供应商，采购人或采购代理机构告知其未通过的原因。</w:t>
      </w:r>
    </w:p>
    <w:p w14:paraId="031FA9D6">
      <w:pPr>
        <w:pStyle w:val="23"/>
        <w:numPr>
          <w:ilvl w:val="1"/>
          <w:numId w:val="33"/>
        </w:numPr>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合格供应商不足</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家的，不再磋商。</w:t>
      </w:r>
    </w:p>
    <w:tbl>
      <w:tblPr>
        <w:tblStyle w:val="61"/>
        <w:tblW w:w="5161" w:type="pct"/>
        <w:tblInd w:w="0" w:type="dxa"/>
        <w:tblLayout w:type="autofit"/>
        <w:tblCellMar>
          <w:top w:w="0" w:type="dxa"/>
          <w:left w:w="108" w:type="dxa"/>
          <w:bottom w:w="0" w:type="dxa"/>
          <w:right w:w="108" w:type="dxa"/>
        </w:tblCellMar>
      </w:tblPr>
      <w:tblGrid>
        <w:gridCol w:w="1015"/>
        <w:gridCol w:w="2114"/>
        <w:gridCol w:w="7042"/>
      </w:tblGrid>
      <w:tr w14:paraId="19BDA28C">
        <w:tblPrEx>
          <w:tblCellMar>
            <w:top w:w="0" w:type="dxa"/>
            <w:left w:w="108" w:type="dxa"/>
            <w:bottom w:w="0" w:type="dxa"/>
            <w:right w:w="108" w:type="dxa"/>
          </w:tblCellMar>
        </w:tblPrEx>
        <w:trPr>
          <w:trHeight w:val="597" w:hRule="atLeast"/>
        </w:trPr>
        <w:tc>
          <w:tcPr>
            <w:tcW w:w="499" w:type="pct"/>
            <w:vMerge w:val="restart"/>
            <w:tcBorders>
              <w:top w:val="single" w:color="auto" w:sz="4" w:space="0"/>
              <w:left w:val="single" w:color="auto" w:sz="4" w:space="0"/>
              <w:bottom w:val="single" w:color="auto" w:sz="4" w:space="0"/>
              <w:right w:val="single" w:color="auto" w:sz="4" w:space="0"/>
            </w:tcBorders>
            <w:noWrap/>
            <w:vAlign w:val="center"/>
          </w:tcPr>
          <w:p w14:paraId="3240D55D">
            <w:pPr>
              <w:widowControl/>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039" w:type="pct"/>
            <w:vMerge w:val="restart"/>
            <w:tcBorders>
              <w:top w:val="single" w:color="auto" w:sz="4" w:space="0"/>
              <w:left w:val="single" w:color="auto" w:sz="4" w:space="0"/>
              <w:bottom w:val="single" w:color="auto" w:sz="4" w:space="0"/>
              <w:right w:val="single" w:color="auto" w:sz="4" w:space="0"/>
            </w:tcBorders>
            <w:noWrap/>
            <w:vAlign w:val="center"/>
          </w:tcPr>
          <w:p w14:paraId="282CBCC3">
            <w:pPr>
              <w:widowControl/>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资格要求</w:t>
            </w:r>
          </w:p>
        </w:tc>
        <w:tc>
          <w:tcPr>
            <w:tcW w:w="3461" w:type="pct"/>
            <w:vMerge w:val="restart"/>
            <w:tcBorders>
              <w:top w:val="single" w:color="auto" w:sz="4" w:space="0"/>
              <w:left w:val="single" w:color="auto" w:sz="4" w:space="0"/>
              <w:bottom w:val="single" w:color="auto" w:sz="4" w:space="0"/>
              <w:right w:val="single" w:color="auto" w:sz="4" w:space="0"/>
            </w:tcBorders>
            <w:noWrap/>
            <w:vAlign w:val="center"/>
          </w:tcPr>
          <w:p w14:paraId="177F8383">
            <w:pPr>
              <w:widowControl/>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评审内容</w:t>
            </w:r>
          </w:p>
        </w:tc>
      </w:tr>
      <w:tr w14:paraId="20C0E86C">
        <w:tblPrEx>
          <w:tblCellMar>
            <w:top w:w="0" w:type="dxa"/>
            <w:left w:w="108" w:type="dxa"/>
            <w:bottom w:w="0" w:type="dxa"/>
            <w:right w:w="108" w:type="dxa"/>
          </w:tblCellMar>
        </w:tblPrEx>
        <w:trPr>
          <w:trHeight w:val="597" w:hRule="atLeast"/>
        </w:trPr>
        <w:tc>
          <w:tcPr>
            <w:tcW w:w="499" w:type="pct"/>
            <w:vMerge w:val="continue"/>
            <w:tcBorders>
              <w:top w:val="single" w:color="auto" w:sz="4" w:space="0"/>
              <w:left w:val="single" w:color="auto" w:sz="4" w:space="0"/>
              <w:bottom w:val="single" w:color="auto" w:sz="4" w:space="0"/>
              <w:right w:val="single" w:color="auto" w:sz="4" w:space="0"/>
            </w:tcBorders>
            <w:vAlign w:val="center"/>
          </w:tcPr>
          <w:p w14:paraId="35241F54">
            <w:pPr>
              <w:widowControl/>
              <w:spacing w:line="360" w:lineRule="auto"/>
              <w:jc w:val="center"/>
              <w:rPr>
                <w:rFonts w:hint="eastAsia" w:ascii="宋体" w:hAnsi="宋体" w:eastAsia="宋体" w:cs="宋体"/>
                <w:sz w:val="24"/>
                <w:szCs w:val="24"/>
                <w:highlight w:val="none"/>
              </w:rPr>
            </w:pPr>
          </w:p>
        </w:tc>
        <w:tc>
          <w:tcPr>
            <w:tcW w:w="1039" w:type="pct"/>
            <w:vMerge w:val="continue"/>
            <w:tcBorders>
              <w:top w:val="single" w:color="auto" w:sz="4" w:space="0"/>
              <w:left w:val="single" w:color="auto" w:sz="4" w:space="0"/>
              <w:bottom w:val="single" w:color="auto" w:sz="4" w:space="0"/>
              <w:right w:val="single" w:color="auto" w:sz="4" w:space="0"/>
            </w:tcBorders>
            <w:vAlign w:val="center"/>
          </w:tcPr>
          <w:p w14:paraId="5F091538">
            <w:pPr>
              <w:widowControl/>
              <w:spacing w:line="360" w:lineRule="auto"/>
              <w:jc w:val="center"/>
              <w:rPr>
                <w:rFonts w:hint="eastAsia" w:ascii="宋体" w:hAnsi="宋体" w:eastAsia="宋体" w:cs="宋体"/>
                <w:sz w:val="24"/>
                <w:szCs w:val="24"/>
                <w:highlight w:val="none"/>
              </w:rPr>
            </w:pPr>
          </w:p>
        </w:tc>
        <w:tc>
          <w:tcPr>
            <w:tcW w:w="3461" w:type="pct"/>
            <w:vMerge w:val="continue"/>
            <w:tcBorders>
              <w:top w:val="single" w:color="auto" w:sz="4" w:space="0"/>
              <w:left w:val="single" w:color="auto" w:sz="4" w:space="0"/>
              <w:bottom w:val="single" w:color="auto" w:sz="4" w:space="0"/>
              <w:right w:val="single" w:color="auto" w:sz="4" w:space="0"/>
            </w:tcBorders>
            <w:vAlign w:val="center"/>
          </w:tcPr>
          <w:p w14:paraId="6760775D">
            <w:pPr>
              <w:widowControl/>
              <w:spacing w:line="360" w:lineRule="auto"/>
              <w:jc w:val="center"/>
              <w:rPr>
                <w:rFonts w:hint="eastAsia" w:ascii="宋体" w:hAnsi="宋体" w:eastAsia="宋体" w:cs="宋体"/>
                <w:sz w:val="24"/>
                <w:szCs w:val="24"/>
                <w:highlight w:val="none"/>
              </w:rPr>
            </w:pPr>
          </w:p>
        </w:tc>
      </w:tr>
      <w:tr w14:paraId="17DF5DE3">
        <w:tblPrEx>
          <w:tblCellMar>
            <w:top w:w="0" w:type="dxa"/>
            <w:left w:w="108" w:type="dxa"/>
            <w:bottom w:w="0" w:type="dxa"/>
            <w:right w:w="108" w:type="dxa"/>
          </w:tblCellMar>
        </w:tblPrEx>
        <w:trPr>
          <w:trHeight w:val="1320" w:hRule="atLeast"/>
        </w:trPr>
        <w:tc>
          <w:tcPr>
            <w:tcW w:w="499" w:type="pct"/>
            <w:tcBorders>
              <w:top w:val="nil"/>
              <w:left w:val="single" w:color="auto" w:sz="4" w:space="0"/>
              <w:bottom w:val="single" w:color="auto" w:sz="4" w:space="0"/>
              <w:right w:val="single" w:color="auto" w:sz="4" w:space="0"/>
            </w:tcBorders>
            <w:vAlign w:val="center"/>
          </w:tcPr>
          <w:p w14:paraId="3D88CF2E">
            <w:pPr>
              <w:widowControl/>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039" w:type="pct"/>
            <w:tcBorders>
              <w:top w:val="nil"/>
              <w:left w:val="nil"/>
              <w:bottom w:val="single" w:color="auto" w:sz="4" w:space="0"/>
              <w:right w:val="single" w:color="auto" w:sz="4" w:space="0"/>
            </w:tcBorders>
            <w:shd w:val="clear" w:color="auto" w:fill="auto"/>
            <w:vAlign w:val="center"/>
          </w:tcPr>
          <w:p w14:paraId="03457D2A">
            <w:pPr>
              <w:pStyle w:val="32"/>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具有独立承担民事责任的能力</w:t>
            </w:r>
          </w:p>
        </w:tc>
        <w:tc>
          <w:tcPr>
            <w:tcW w:w="3461" w:type="pct"/>
            <w:tcBorders>
              <w:top w:val="nil"/>
              <w:left w:val="nil"/>
              <w:bottom w:val="single" w:color="auto" w:sz="4" w:space="0"/>
              <w:right w:val="single" w:color="auto" w:sz="4" w:space="0"/>
            </w:tcBorders>
            <w:shd w:val="clear" w:color="auto" w:fill="auto"/>
            <w:vAlign w:val="center"/>
          </w:tcPr>
          <w:p w14:paraId="1F65471F">
            <w:pPr>
              <w:pStyle w:val="32"/>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提供法人或者其他组织的营业执照等证明文件；自然人需提供身份证明；</w:t>
            </w:r>
          </w:p>
        </w:tc>
      </w:tr>
      <w:tr w14:paraId="327C37A1">
        <w:tblPrEx>
          <w:tblCellMar>
            <w:top w:w="0" w:type="dxa"/>
            <w:left w:w="108" w:type="dxa"/>
            <w:bottom w:w="0" w:type="dxa"/>
            <w:right w:w="108" w:type="dxa"/>
          </w:tblCellMar>
        </w:tblPrEx>
        <w:trPr>
          <w:trHeight w:val="1320" w:hRule="atLeast"/>
        </w:trPr>
        <w:tc>
          <w:tcPr>
            <w:tcW w:w="499" w:type="pct"/>
            <w:tcBorders>
              <w:top w:val="nil"/>
              <w:left w:val="single" w:color="auto" w:sz="4" w:space="0"/>
              <w:bottom w:val="single" w:color="auto" w:sz="4" w:space="0"/>
              <w:right w:val="single" w:color="auto" w:sz="4" w:space="0"/>
            </w:tcBorders>
            <w:vAlign w:val="center"/>
          </w:tcPr>
          <w:p w14:paraId="0C61AEC0">
            <w:pPr>
              <w:widowControl/>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039" w:type="pct"/>
            <w:tcBorders>
              <w:top w:val="nil"/>
              <w:left w:val="nil"/>
              <w:bottom w:val="single" w:color="auto" w:sz="4" w:space="0"/>
              <w:right w:val="single" w:color="auto" w:sz="4" w:space="0"/>
            </w:tcBorders>
            <w:shd w:val="clear" w:color="auto" w:fill="auto"/>
            <w:vAlign w:val="center"/>
          </w:tcPr>
          <w:p w14:paraId="776B24BE">
            <w:pPr>
              <w:pStyle w:val="32"/>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健全的财务会计制度</w:t>
            </w:r>
          </w:p>
        </w:tc>
        <w:tc>
          <w:tcPr>
            <w:tcW w:w="3461" w:type="pct"/>
            <w:tcBorders>
              <w:top w:val="nil"/>
              <w:left w:val="nil"/>
              <w:bottom w:val="single" w:color="auto" w:sz="4" w:space="0"/>
              <w:right w:val="single" w:color="auto" w:sz="4" w:space="0"/>
            </w:tcBorders>
            <w:shd w:val="clear" w:color="auto" w:fill="auto"/>
            <w:vAlign w:val="center"/>
          </w:tcPr>
          <w:p w14:paraId="36855FD4">
            <w:pPr>
              <w:pStyle w:val="32"/>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提供半年内任意一个月财务报表或上年度（202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年度）财务审计报告（财务报表应至少包括资产负债表、损益表、现金流量表或财务状况变动表，当月新成立公司不需提供）；</w:t>
            </w:r>
          </w:p>
        </w:tc>
      </w:tr>
      <w:tr w14:paraId="2E3C56E1">
        <w:tblPrEx>
          <w:tblCellMar>
            <w:top w:w="0" w:type="dxa"/>
            <w:left w:w="108" w:type="dxa"/>
            <w:bottom w:w="0" w:type="dxa"/>
            <w:right w:w="108" w:type="dxa"/>
          </w:tblCellMar>
        </w:tblPrEx>
        <w:trPr>
          <w:trHeight w:val="1320" w:hRule="atLeast"/>
        </w:trPr>
        <w:tc>
          <w:tcPr>
            <w:tcW w:w="499" w:type="pct"/>
            <w:tcBorders>
              <w:top w:val="nil"/>
              <w:left w:val="single" w:color="auto" w:sz="4" w:space="0"/>
              <w:bottom w:val="single" w:color="auto" w:sz="4" w:space="0"/>
              <w:right w:val="single" w:color="auto" w:sz="4" w:space="0"/>
            </w:tcBorders>
            <w:vAlign w:val="center"/>
          </w:tcPr>
          <w:p w14:paraId="3D25E007">
            <w:pPr>
              <w:widowControl/>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039" w:type="pct"/>
            <w:tcBorders>
              <w:top w:val="nil"/>
              <w:left w:val="nil"/>
              <w:bottom w:val="single" w:color="auto" w:sz="4" w:space="0"/>
              <w:right w:val="single" w:color="auto" w:sz="4" w:space="0"/>
            </w:tcBorders>
            <w:shd w:val="clear" w:color="auto" w:fill="auto"/>
            <w:vAlign w:val="center"/>
          </w:tcPr>
          <w:p w14:paraId="611ED213">
            <w:pPr>
              <w:pStyle w:val="32"/>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缴纳税收</w:t>
            </w:r>
          </w:p>
        </w:tc>
        <w:tc>
          <w:tcPr>
            <w:tcW w:w="3461" w:type="pct"/>
            <w:tcBorders>
              <w:top w:val="nil"/>
              <w:left w:val="nil"/>
              <w:bottom w:val="single" w:color="auto" w:sz="4" w:space="0"/>
              <w:right w:val="single" w:color="auto" w:sz="4" w:space="0"/>
            </w:tcBorders>
            <w:shd w:val="clear" w:color="auto" w:fill="auto"/>
            <w:vAlign w:val="center"/>
          </w:tcPr>
          <w:p w14:paraId="7370C955">
            <w:pPr>
              <w:pStyle w:val="32"/>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提供依法缴纳税收证明（税款所属期限为近半年内任意一月），当月新成立公司不需提供；无需纳税或免税的也需提供相应证明材料；</w:t>
            </w:r>
          </w:p>
        </w:tc>
      </w:tr>
      <w:tr w14:paraId="105D14AF">
        <w:tblPrEx>
          <w:tblCellMar>
            <w:top w:w="0" w:type="dxa"/>
            <w:left w:w="108" w:type="dxa"/>
            <w:bottom w:w="0" w:type="dxa"/>
            <w:right w:w="108" w:type="dxa"/>
          </w:tblCellMar>
        </w:tblPrEx>
        <w:trPr>
          <w:trHeight w:val="1320" w:hRule="atLeast"/>
        </w:trPr>
        <w:tc>
          <w:tcPr>
            <w:tcW w:w="499" w:type="pct"/>
            <w:tcBorders>
              <w:top w:val="nil"/>
              <w:left w:val="single" w:color="auto" w:sz="4" w:space="0"/>
              <w:bottom w:val="single" w:color="auto" w:sz="4" w:space="0"/>
              <w:right w:val="single" w:color="auto" w:sz="4" w:space="0"/>
            </w:tcBorders>
            <w:vAlign w:val="center"/>
          </w:tcPr>
          <w:p w14:paraId="1ADB4E7C">
            <w:pPr>
              <w:widowControl/>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039" w:type="pct"/>
            <w:tcBorders>
              <w:top w:val="nil"/>
              <w:left w:val="nil"/>
              <w:bottom w:val="single" w:color="auto" w:sz="4" w:space="0"/>
              <w:right w:val="single" w:color="auto" w:sz="4" w:space="0"/>
            </w:tcBorders>
            <w:shd w:val="clear" w:color="auto" w:fill="auto"/>
            <w:vAlign w:val="center"/>
          </w:tcPr>
          <w:p w14:paraId="7C01EC8C">
            <w:pPr>
              <w:pStyle w:val="32"/>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缴纳社会保障资金</w:t>
            </w:r>
          </w:p>
        </w:tc>
        <w:tc>
          <w:tcPr>
            <w:tcW w:w="3461" w:type="pct"/>
            <w:tcBorders>
              <w:top w:val="nil"/>
              <w:left w:val="nil"/>
              <w:bottom w:val="single" w:color="auto" w:sz="4" w:space="0"/>
              <w:right w:val="single" w:color="auto" w:sz="4" w:space="0"/>
            </w:tcBorders>
            <w:shd w:val="clear" w:color="auto" w:fill="auto"/>
            <w:vAlign w:val="center"/>
          </w:tcPr>
          <w:p w14:paraId="172AB907">
            <w:pPr>
              <w:pStyle w:val="32"/>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提供社保缴纳证明（社保缴纳期限为近半年内任意一月，当月新成立公司不需提供）；</w:t>
            </w:r>
          </w:p>
        </w:tc>
      </w:tr>
      <w:tr w14:paraId="62F2A40F">
        <w:tblPrEx>
          <w:tblCellMar>
            <w:top w:w="0" w:type="dxa"/>
            <w:left w:w="108" w:type="dxa"/>
            <w:bottom w:w="0" w:type="dxa"/>
            <w:right w:w="108" w:type="dxa"/>
          </w:tblCellMar>
        </w:tblPrEx>
        <w:trPr>
          <w:trHeight w:val="1320" w:hRule="atLeast"/>
        </w:trPr>
        <w:tc>
          <w:tcPr>
            <w:tcW w:w="499" w:type="pct"/>
            <w:tcBorders>
              <w:top w:val="nil"/>
              <w:left w:val="single" w:color="auto" w:sz="4" w:space="0"/>
              <w:bottom w:val="single" w:color="auto" w:sz="4" w:space="0"/>
              <w:right w:val="single" w:color="auto" w:sz="4" w:space="0"/>
            </w:tcBorders>
            <w:vAlign w:val="center"/>
          </w:tcPr>
          <w:p w14:paraId="2513BAD8">
            <w:pPr>
              <w:widowControl/>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039" w:type="pct"/>
            <w:tcBorders>
              <w:top w:val="nil"/>
              <w:left w:val="nil"/>
              <w:bottom w:val="single" w:color="auto" w:sz="4" w:space="0"/>
              <w:right w:val="single" w:color="auto" w:sz="4" w:space="0"/>
            </w:tcBorders>
            <w:shd w:val="clear" w:color="auto" w:fill="auto"/>
            <w:vAlign w:val="center"/>
          </w:tcPr>
          <w:p w14:paraId="57C9BF5B">
            <w:pPr>
              <w:pStyle w:val="32"/>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履行合同所必需的设备和能力</w:t>
            </w:r>
          </w:p>
        </w:tc>
        <w:tc>
          <w:tcPr>
            <w:tcW w:w="3461" w:type="pct"/>
            <w:tcBorders>
              <w:top w:val="nil"/>
              <w:left w:val="nil"/>
              <w:bottom w:val="single" w:color="auto" w:sz="4" w:space="0"/>
              <w:right w:val="single" w:color="auto" w:sz="4" w:space="0"/>
            </w:tcBorders>
            <w:shd w:val="clear" w:color="auto" w:fill="auto"/>
            <w:vAlign w:val="center"/>
          </w:tcPr>
          <w:p w14:paraId="68B359C9">
            <w:pPr>
              <w:pStyle w:val="32"/>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提供具有履行合同所必需的设备和专业技术能力相关证明材料或声明或承诺；</w:t>
            </w:r>
          </w:p>
        </w:tc>
      </w:tr>
      <w:tr w14:paraId="277D6EDA">
        <w:tblPrEx>
          <w:tblCellMar>
            <w:top w:w="0" w:type="dxa"/>
            <w:left w:w="108" w:type="dxa"/>
            <w:bottom w:w="0" w:type="dxa"/>
            <w:right w:w="108" w:type="dxa"/>
          </w:tblCellMar>
        </w:tblPrEx>
        <w:trPr>
          <w:trHeight w:val="1320" w:hRule="atLeast"/>
        </w:trPr>
        <w:tc>
          <w:tcPr>
            <w:tcW w:w="499" w:type="pct"/>
            <w:tcBorders>
              <w:top w:val="nil"/>
              <w:left w:val="single" w:color="auto" w:sz="4" w:space="0"/>
              <w:bottom w:val="single" w:color="auto" w:sz="4" w:space="0"/>
              <w:right w:val="single" w:color="auto" w:sz="4" w:space="0"/>
            </w:tcBorders>
            <w:vAlign w:val="center"/>
          </w:tcPr>
          <w:p w14:paraId="5B04B687">
            <w:pPr>
              <w:widowControl/>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1039" w:type="pct"/>
            <w:tcBorders>
              <w:top w:val="nil"/>
              <w:left w:val="nil"/>
              <w:bottom w:val="single" w:color="auto" w:sz="4" w:space="0"/>
              <w:right w:val="single" w:color="auto" w:sz="4" w:space="0"/>
            </w:tcBorders>
            <w:shd w:val="clear" w:color="auto" w:fill="auto"/>
            <w:vAlign w:val="center"/>
          </w:tcPr>
          <w:p w14:paraId="0DE23CC3">
            <w:pPr>
              <w:pStyle w:val="32"/>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提供无重大违法记录声明书</w:t>
            </w:r>
          </w:p>
        </w:tc>
        <w:tc>
          <w:tcPr>
            <w:tcW w:w="3461" w:type="pct"/>
            <w:tcBorders>
              <w:top w:val="nil"/>
              <w:left w:val="nil"/>
              <w:bottom w:val="single" w:color="auto" w:sz="4" w:space="0"/>
              <w:right w:val="single" w:color="auto" w:sz="4" w:space="0"/>
            </w:tcBorders>
            <w:shd w:val="clear" w:color="auto" w:fill="auto"/>
            <w:vAlign w:val="center"/>
          </w:tcPr>
          <w:p w14:paraId="5A74857F">
            <w:pPr>
              <w:pStyle w:val="32"/>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提供参加本次政府采购活动前3年内在经营活动中没有重大违法记录声明函（加盖单位公章）；</w:t>
            </w:r>
          </w:p>
        </w:tc>
      </w:tr>
      <w:tr w14:paraId="2AE9D6E8">
        <w:tblPrEx>
          <w:tblCellMar>
            <w:top w:w="0" w:type="dxa"/>
            <w:left w:w="108" w:type="dxa"/>
            <w:bottom w:w="0" w:type="dxa"/>
            <w:right w:w="108" w:type="dxa"/>
          </w:tblCellMar>
        </w:tblPrEx>
        <w:trPr>
          <w:trHeight w:val="883" w:hRule="atLeast"/>
        </w:trPr>
        <w:tc>
          <w:tcPr>
            <w:tcW w:w="499" w:type="pct"/>
            <w:tcBorders>
              <w:top w:val="nil"/>
              <w:left w:val="single" w:color="auto" w:sz="4" w:space="0"/>
              <w:bottom w:val="single" w:color="auto" w:sz="4" w:space="0"/>
              <w:right w:val="single" w:color="auto" w:sz="4" w:space="0"/>
            </w:tcBorders>
            <w:noWrap/>
            <w:vAlign w:val="center"/>
          </w:tcPr>
          <w:p w14:paraId="16C21D46">
            <w:pPr>
              <w:widowControl/>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1039" w:type="pct"/>
            <w:tcBorders>
              <w:top w:val="nil"/>
              <w:left w:val="nil"/>
              <w:bottom w:val="single" w:color="auto" w:sz="4" w:space="0"/>
              <w:right w:val="single" w:color="auto" w:sz="4" w:space="0"/>
            </w:tcBorders>
            <w:vAlign w:val="center"/>
          </w:tcPr>
          <w:p w14:paraId="68E2A4FC">
            <w:pPr>
              <w:widowControl/>
              <w:spacing w:line="36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落实政府采购政策需满足的资格要求</w:t>
            </w:r>
          </w:p>
        </w:tc>
        <w:tc>
          <w:tcPr>
            <w:tcW w:w="3461" w:type="pct"/>
            <w:tcBorders>
              <w:top w:val="nil"/>
              <w:left w:val="nil"/>
              <w:bottom w:val="single" w:color="auto" w:sz="4" w:space="0"/>
              <w:right w:val="single" w:color="auto" w:sz="4" w:space="0"/>
            </w:tcBorders>
            <w:vAlign w:val="center"/>
          </w:tcPr>
          <w:p w14:paraId="250CD311">
            <w:pPr>
              <w:pStyle w:val="56"/>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标项一：本项目专门面向中小企业</w:t>
            </w:r>
            <w:r>
              <w:rPr>
                <w:rFonts w:hint="eastAsia" w:ascii="宋体" w:hAnsi="宋体" w:eastAsia="宋体" w:cs="宋体"/>
                <w:sz w:val="24"/>
                <w:szCs w:val="24"/>
                <w:highlight w:val="none"/>
                <w:lang w:eastAsia="zh-CN"/>
              </w:rPr>
              <w:t>；</w:t>
            </w:r>
          </w:p>
          <w:p w14:paraId="1335A095">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标项二：本标项专门面向小微企业</w:t>
            </w:r>
            <w:r>
              <w:rPr>
                <w:rFonts w:hint="eastAsia" w:ascii="宋体" w:hAnsi="宋体" w:eastAsia="宋体" w:cs="宋体"/>
                <w:sz w:val="24"/>
                <w:szCs w:val="24"/>
                <w:highlight w:val="none"/>
                <w:lang w:eastAsia="zh-CN"/>
              </w:rPr>
              <w:t>；</w:t>
            </w:r>
          </w:p>
          <w:p w14:paraId="7B343714">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标项三：本标项专门面向小微企业</w:t>
            </w:r>
            <w:r>
              <w:rPr>
                <w:rFonts w:hint="eastAsia" w:ascii="宋体" w:hAnsi="宋体" w:eastAsia="宋体" w:cs="宋体"/>
                <w:sz w:val="24"/>
                <w:szCs w:val="24"/>
                <w:highlight w:val="none"/>
                <w:lang w:eastAsia="zh-CN"/>
              </w:rPr>
              <w:t>；</w:t>
            </w:r>
          </w:p>
          <w:p w14:paraId="6F3C429A">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标项四：本标项不专门面向中小企业</w:t>
            </w:r>
            <w:r>
              <w:rPr>
                <w:rFonts w:hint="eastAsia" w:ascii="宋体" w:hAnsi="宋体" w:eastAsia="宋体" w:cs="宋体"/>
                <w:sz w:val="24"/>
                <w:szCs w:val="24"/>
                <w:highlight w:val="none"/>
                <w:lang w:eastAsia="zh-CN"/>
              </w:rPr>
              <w:t>；</w:t>
            </w:r>
          </w:p>
          <w:p w14:paraId="45C37326">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标项五：本标项专门面向小微企业</w:t>
            </w:r>
            <w:r>
              <w:rPr>
                <w:rFonts w:hint="eastAsia" w:ascii="宋体" w:hAnsi="宋体" w:eastAsia="宋体" w:cs="宋体"/>
                <w:sz w:val="24"/>
                <w:szCs w:val="24"/>
                <w:highlight w:val="none"/>
                <w:lang w:eastAsia="zh-CN"/>
              </w:rPr>
              <w:t>；</w:t>
            </w:r>
          </w:p>
          <w:p w14:paraId="3CD73B1A">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标项六：本标项专门面向小微企业</w:t>
            </w:r>
            <w:r>
              <w:rPr>
                <w:rFonts w:hint="eastAsia" w:ascii="宋体" w:hAnsi="宋体" w:eastAsia="宋体" w:cs="宋体"/>
                <w:sz w:val="24"/>
                <w:szCs w:val="24"/>
                <w:highlight w:val="none"/>
                <w:lang w:eastAsia="zh-CN"/>
              </w:rPr>
              <w:t>；</w:t>
            </w:r>
          </w:p>
          <w:p w14:paraId="5138695C">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标项七：本标项专门面向小微企业</w:t>
            </w:r>
            <w:r>
              <w:rPr>
                <w:rFonts w:hint="eastAsia" w:ascii="宋体" w:hAnsi="宋体" w:eastAsia="宋体" w:cs="宋体"/>
                <w:sz w:val="24"/>
                <w:szCs w:val="24"/>
                <w:highlight w:val="none"/>
                <w:lang w:eastAsia="zh-CN"/>
              </w:rPr>
              <w:t>；</w:t>
            </w:r>
          </w:p>
          <w:p w14:paraId="0C4FCAC4">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请根据要求单独上传响应采购文件相关的声明函。</w:t>
            </w:r>
          </w:p>
        </w:tc>
      </w:tr>
      <w:tr w14:paraId="2BABD554">
        <w:tblPrEx>
          <w:tblCellMar>
            <w:top w:w="0" w:type="dxa"/>
            <w:left w:w="108" w:type="dxa"/>
            <w:bottom w:w="0" w:type="dxa"/>
            <w:right w:w="108" w:type="dxa"/>
          </w:tblCellMar>
        </w:tblPrEx>
        <w:trPr>
          <w:trHeight w:val="795" w:hRule="atLeast"/>
        </w:trPr>
        <w:tc>
          <w:tcPr>
            <w:tcW w:w="499" w:type="pct"/>
            <w:tcBorders>
              <w:top w:val="nil"/>
              <w:left w:val="single" w:color="auto" w:sz="4" w:space="0"/>
              <w:bottom w:val="single" w:color="auto" w:sz="4" w:space="0"/>
              <w:right w:val="single" w:color="auto" w:sz="4" w:space="0"/>
            </w:tcBorders>
            <w:noWrap/>
            <w:vAlign w:val="center"/>
          </w:tcPr>
          <w:p w14:paraId="634FBB1D">
            <w:pPr>
              <w:widowControl/>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1039" w:type="pct"/>
            <w:tcBorders>
              <w:top w:val="nil"/>
              <w:left w:val="nil"/>
              <w:bottom w:val="single" w:color="auto" w:sz="4" w:space="0"/>
              <w:right w:val="single" w:color="auto" w:sz="4" w:space="0"/>
            </w:tcBorders>
            <w:vAlign w:val="center"/>
          </w:tcPr>
          <w:p w14:paraId="20BD802F">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特定资质</w:t>
            </w:r>
          </w:p>
        </w:tc>
        <w:tc>
          <w:tcPr>
            <w:tcW w:w="3461" w:type="pct"/>
            <w:tcBorders>
              <w:top w:val="nil"/>
              <w:left w:val="nil"/>
              <w:bottom w:val="single" w:color="auto" w:sz="4" w:space="0"/>
              <w:right w:val="single" w:color="auto" w:sz="4" w:space="0"/>
            </w:tcBorders>
            <w:vAlign w:val="center"/>
          </w:tcPr>
          <w:p w14:paraId="0B98E7BB">
            <w:pPr>
              <w:widowControl/>
              <w:spacing w:line="360" w:lineRule="auto"/>
              <w:jc w:val="left"/>
              <w:rPr>
                <w:rFonts w:hint="eastAsia" w:ascii="宋体" w:hAnsi="宋体" w:eastAsia="宋体" w:cs="宋体"/>
                <w:kern w:val="0"/>
                <w:sz w:val="24"/>
                <w:szCs w:val="24"/>
                <w:highlight w:val="none"/>
                <w:lang w:eastAsia="zh-CN"/>
              </w:rPr>
            </w:pPr>
            <w:r>
              <w:rPr>
                <w:rFonts w:hint="eastAsia" w:ascii="宋体" w:hAnsi="宋体" w:eastAsia="宋体" w:cs="宋体"/>
                <w:sz w:val="24"/>
                <w:szCs w:val="24"/>
                <w:highlight w:val="none"/>
                <w:lang w:eastAsia="zh-CN"/>
              </w:rPr>
              <w:t>无</w:t>
            </w:r>
          </w:p>
        </w:tc>
      </w:tr>
      <w:tr w14:paraId="21D6BA3B">
        <w:tblPrEx>
          <w:tblCellMar>
            <w:top w:w="0" w:type="dxa"/>
            <w:left w:w="108" w:type="dxa"/>
            <w:bottom w:w="0" w:type="dxa"/>
            <w:right w:w="108" w:type="dxa"/>
          </w:tblCellMar>
        </w:tblPrEx>
        <w:trPr>
          <w:trHeight w:val="550"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14:paraId="13A2DF9C">
            <w:pPr>
              <w:widowControl/>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结论：是否通过评审（注：供应商有一项未通过不得参与下阶段评审，视为废标。）</w:t>
            </w:r>
          </w:p>
        </w:tc>
      </w:tr>
    </w:tbl>
    <w:p w14:paraId="30311167">
      <w:pPr>
        <w:spacing w:line="360" w:lineRule="auto"/>
        <w:ind w:firstLine="472" w:firstLineChars="196"/>
        <w:rPr>
          <w:rFonts w:hint="eastAsia" w:ascii="宋体" w:hAnsi="宋体" w:eastAsia="宋体" w:cs="宋体"/>
          <w:kern w:val="0"/>
          <w:sz w:val="24"/>
          <w:szCs w:val="24"/>
          <w:highlight w:val="none"/>
        </w:rPr>
      </w:pPr>
      <w:r>
        <w:rPr>
          <w:rFonts w:hint="eastAsia" w:ascii="宋体" w:hAnsi="宋体" w:eastAsia="宋体" w:cs="宋体"/>
          <w:b/>
          <w:bCs/>
          <w:color w:val="000000"/>
          <w:kern w:val="0"/>
          <w:sz w:val="24"/>
          <w:szCs w:val="24"/>
          <w:highlight w:val="none"/>
        </w:rPr>
        <w:t>符合性审查</w:t>
      </w:r>
      <w:r>
        <w:rPr>
          <w:rFonts w:hint="eastAsia" w:ascii="宋体" w:hAnsi="宋体" w:eastAsia="宋体" w:cs="宋体"/>
          <w:b/>
          <w:kern w:val="0"/>
          <w:sz w:val="24"/>
          <w:szCs w:val="24"/>
          <w:highlight w:val="none"/>
          <w:lang w:eastAsia="zh-CN"/>
        </w:rPr>
        <w:t>：</w:t>
      </w:r>
      <w:r>
        <w:rPr>
          <w:rFonts w:hint="eastAsia" w:ascii="宋体" w:hAnsi="宋体" w:eastAsia="宋体" w:cs="宋体"/>
          <w:color w:val="000000"/>
          <w:kern w:val="0"/>
          <w:sz w:val="24"/>
          <w:szCs w:val="24"/>
          <w:highlight w:val="none"/>
        </w:rPr>
        <w:t>评标委员会应当对符合资格的投标人的</w:t>
      </w:r>
      <w:r>
        <w:rPr>
          <w:rFonts w:hint="eastAsia" w:ascii="宋体" w:hAnsi="宋体" w:eastAsia="宋体" w:cs="宋体"/>
          <w:color w:val="000000"/>
          <w:kern w:val="0"/>
          <w:sz w:val="24"/>
          <w:szCs w:val="24"/>
          <w:highlight w:val="none"/>
          <w:lang w:eastAsia="zh-CN"/>
        </w:rPr>
        <w:t>响应文件</w:t>
      </w:r>
      <w:r>
        <w:rPr>
          <w:rFonts w:hint="eastAsia" w:ascii="宋体" w:hAnsi="宋体" w:eastAsia="宋体" w:cs="宋体"/>
          <w:color w:val="000000"/>
          <w:kern w:val="0"/>
          <w:sz w:val="24"/>
          <w:szCs w:val="24"/>
          <w:highlight w:val="none"/>
        </w:rPr>
        <w:t>进行符合性审查，以确定其是否满足</w:t>
      </w:r>
      <w:r>
        <w:rPr>
          <w:rFonts w:hint="eastAsia" w:ascii="宋体" w:hAnsi="宋体" w:eastAsia="宋体" w:cs="宋体"/>
          <w:color w:val="000000"/>
          <w:kern w:val="0"/>
          <w:sz w:val="24"/>
          <w:szCs w:val="24"/>
          <w:highlight w:val="none"/>
          <w:lang w:eastAsia="zh-CN"/>
        </w:rPr>
        <w:t>采购文件</w:t>
      </w:r>
      <w:r>
        <w:rPr>
          <w:rFonts w:hint="eastAsia" w:ascii="宋体" w:hAnsi="宋体" w:eastAsia="宋体" w:cs="宋体"/>
          <w:color w:val="000000"/>
          <w:kern w:val="0"/>
          <w:sz w:val="24"/>
          <w:szCs w:val="24"/>
          <w:highlight w:val="none"/>
        </w:rPr>
        <w:t>的实质性要求。不满足</w:t>
      </w:r>
      <w:r>
        <w:rPr>
          <w:rFonts w:hint="eastAsia" w:ascii="宋体" w:hAnsi="宋体" w:eastAsia="宋体" w:cs="宋体"/>
          <w:color w:val="000000"/>
          <w:kern w:val="0"/>
          <w:sz w:val="24"/>
          <w:szCs w:val="24"/>
          <w:highlight w:val="none"/>
          <w:lang w:eastAsia="zh-CN"/>
        </w:rPr>
        <w:t>采购文件</w:t>
      </w:r>
      <w:r>
        <w:rPr>
          <w:rFonts w:hint="eastAsia" w:ascii="宋体" w:hAnsi="宋体" w:eastAsia="宋体" w:cs="宋体"/>
          <w:color w:val="000000"/>
          <w:kern w:val="0"/>
          <w:sz w:val="24"/>
          <w:szCs w:val="24"/>
          <w:highlight w:val="none"/>
        </w:rPr>
        <w:t>的实质性要求的，投标无效。</w:t>
      </w:r>
    </w:p>
    <w:p w14:paraId="19893F48">
      <w:pPr>
        <w:widowControl/>
        <w:spacing w:line="360" w:lineRule="auto"/>
        <w:ind w:firstLine="482" w:firstLineChars="20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符合性审查表</w:t>
      </w:r>
    </w:p>
    <w:tbl>
      <w:tblPr>
        <w:tblStyle w:val="61"/>
        <w:tblW w:w="5162" w:type="pct"/>
        <w:tblInd w:w="0" w:type="dxa"/>
        <w:tblLayout w:type="autofit"/>
        <w:tblCellMar>
          <w:top w:w="0" w:type="dxa"/>
          <w:left w:w="108" w:type="dxa"/>
          <w:bottom w:w="0" w:type="dxa"/>
          <w:right w:w="108" w:type="dxa"/>
        </w:tblCellMar>
      </w:tblPr>
      <w:tblGrid>
        <w:gridCol w:w="1032"/>
        <w:gridCol w:w="2101"/>
        <w:gridCol w:w="7040"/>
      </w:tblGrid>
      <w:tr w14:paraId="74E64AFE">
        <w:tblPrEx>
          <w:tblCellMar>
            <w:top w:w="0" w:type="dxa"/>
            <w:left w:w="108" w:type="dxa"/>
            <w:bottom w:w="0" w:type="dxa"/>
            <w:right w:w="108" w:type="dxa"/>
          </w:tblCellMar>
        </w:tblPrEx>
        <w:trPr>
          <w:trHeight w:val="567" w:hRule="atLeast"/>
        </w:trPr>
        <w:tc>
          <w:tcPr>
            <w:tcW w:w="5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7321AD">
            <w:pPr>
              <w:widowControl/>
              <w:spacing w:line="36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序号</w:t>
            </w:r>
          </w:p>
        </w:tc>
        <w:tc>
          <w:tcPr>
            <w:tcW w:w="10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99519">
            <w:pPr>
              <w:widowControl/>
              <w:spacing w:line="36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审查事项</w:t>
            </w:r>
          </w:p>
        </w:tc>
        <w:tc>
          <w:tcPr>
            <w:tcW w:w="3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E51A0">
            <w:pPr>
              <w:widowControl/>
              <w:spacing w:line="36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审查内容</w:t>
            </w:r>
          </w:p>
        </w:tc>
      </w:tr>
      <w:tr w14:paraId="5C64174F">
        <w:tblPrEx>
          <w:tblCellMar>
            <w:top w:w="0" w:type="dxa"/>
            <w:left w:w="108" w:type="dxa"/>
            <w:bottom w:w="0" w:type="dxa"/>
            <w:right w:w="108" w:type="dxa"/>
          </w:tblCellMar>
        </w:tblPrEx>
        <w:trPr>
          <w:trHeight w:val="567" w:hRule="atLeast"/>
        </w:trPr>
        <w:tc>
          <w:tcPr>
            <w:tcW w:w="5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70721">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0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F0697">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响应函</w:t>
            </w:r>
          </w:p>
        </w:tc>
        <w:tc>
          <w:tcPr>
            <w:tcW w:w="3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AB653">
            <w:pPr>
              <w:widowControl/>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响应函是否按规定格式填写，且投标有效期满足</w:t>
            </w:r>
            <w:r>
              <w:rPr>
                <w:rFonts w:hint="eastAsia" w:ascii="宋体" w:hAnsi="宋体" w:eastAsia="宋体" w:cs="宋体"/>
                <w:color w:val="000000"/>
                <w:kern w:val="0"/>
                <w:sz w:val="24"/>
                <w:szCs w:val="24"/>
                <w:highlight w:val="none"/>
                <w:lang w:eastAsia="zh-CN"/>
              </w:rPr>
              <w:t>采购文件</w:t>
            </w:r>
            <w:r>
              <w:rPr>
                <w:rFonts w:hint="eastAsia" w:ascii="宋体" w:hAnsi="宋体" w:eastAsia="宋体" w:cs="宋体"/>
                <w:color w:val="000000"/>
                <w:kern w:val="0"/>
                <w:sz w:val="24"/>
                <w:szCs w:val="24"/>
                <w:highlight w:val="none"/>
              </w:rPr>
              <w:t>要求；</w:t>
            </w:r>
          </w:p>
        </w:tc>
      </w:tr>
      <w:tr w14:paraId="51FC9F72">
        <w:tblPrEx>
          <w:tblCellMar>
            <w:top w:w="0" w:type="dxa"/>
            <w:left w:w="108" w:type="dxa"/>
            <w:bottom w:w="0" w:type="dxa"/>
            <w:right w:w="108" w:type="dxa"/>
          </w:tblCellMar>
        </w:tblPrEx>
        <w:trPr>
          <w:trHeight w:val="567" w:hRule="atLeast"/>
        </w:trPr>
        <w:tc>
          <w:tcPr>
            <w:tcW w:w="5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743DC">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0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79A4F">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投标保证金</w:t>
            </w:r>
          </w:p>
        </w:tc>
        <w:tc>
          <w:tcPr>
            <w:tcW w:w="3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1ED62">
            <w:pPr>
              <w:widowControl/>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保证金按</w:t>
            </w:r>
            <w:r>
              <w:rPr>
                <w:rFonts w:hint="eastAsia" w:ascii="宋体" w:hAnsi="宋体" w:eastAsia="宋体" w:cs="宋体"/>
                <w:color w:val="000000"/>
                <w:kern w:val="0"/>
                <w:sz w:val="24"/>
                <w:szCs w:val="24"/>
                <w:highlight w:val="none"/>
                <w:lang w:eastAsia="zh-CN"/>
              </w:rPr>
              <w:t>采购文件</w:t>
            </w:r>
            <w:r>
              <w:rPr>
                <w:rFonts w:hint="eastAsia" w:ascii="宋体" w:hAnsi="宋体" w:eastAsia="宋体" w:cs="宋体"/>
                <w:color w:val="000000"/>
                <w:kern w:val="0"/>
                <w:sz w:val="24"/>
                <w:szCs w:val="24"/>
                <w:highlight w:val="none"/>
              </w:rPr>
              <w:t>要求递交</w:t>
            </w:r>
          </w:p>
        </w:tc>
      </w:tr>
      <w:tr w14:paraId="6E7D43C7">
        <w:tblPrEx>
          <w:tblCellMar>
            <w:top w:w="0" w:type="dxa"/>
            <w:left w:w="108" w:type="dxa"/>
            <w:bottom w:w="0" w:type="dxa"/>
            <w:right w:w="108" w:type="dxa"/>
          </w:tblCellMar>
        </w:tblPrEx>
        <w:trPr>
          <w:trHeight w:val="567" w:hRule="atLeast"/>
        </w:trPr>
        <w:tc>
          <w:tcPr>
            <w:tcW w:w="5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DE5B9">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10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774A7">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授权委托书</w:t>
            </w:r>
          </w:p>
        </w:tc>
        <w:tc>
          <w:tcPr>
            <w:tcW w:w="3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55692">
            <w:pPr>
              <w:widowControl/>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按要求提供法定代表人身份证明或法定代表人授权委托书；</w:t>
            </w:r>
          </w:p>
        </w:tc>
      </w:tr>
      <w:tr w14:paraId="2DCF4225">
        <w:tblPrEx>
          <w:tblCellMar>
            <w:top w:w="0" w:type="dxa"/>
            <w:left w:w="108" w:type="dxa"/>
            <w:bottom w:w="0" w:type="dxa"/>
            <w:right w:w="108" w:type="dxa"/>
          </w:tblCellMar>
        </w:tblPrEx>
        <w:trPr>
          <w:trHeight w:val="567" w:hRule="atLeast"/>
        </w:trPr>
        <w:tc>
          <w:tcPr>
            <w:tcW w:w="5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2830D">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10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41E2C">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响应</w:t>
            </w:r>
            <w:r>
              <w:rPr>
                <w:rFonts w:hint="eastAsia" w:ascii="宋体" w:hAnsi="宋体" w:eastAsia="宋体" w:cs="宋体"/>
                <w:color w:val="000000"/>
                <w:kern w:val="0"/>
                <w:sz w:val="24"/>
                <w:szCs w:val="24"/>
                <w:highlight w:val="none"/>
              </w:rPr>
              <w:t>文件签字盖章</w:t>
            </w:r>
          </w:p>
        </w:tc>
        <w:tc>
          <w:tcPr>
            <w:tcW w:w="3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D4917">
            <w:pPr>
              <w:widowControl/>
              <w:spacing w:line="360" w:lineRule="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响应</w:t>
            </w:r>
            <w:r>
              <w:rPr>
                <w:rFonts w:hint="eastAsia" w:ascii="宋体" w:hAnsi="宋体" w:eastAsia="宋体" w:cs="宋体"/>
                <w:color w:val="000000"/>
                <w:kern w:val="0"/>
                <w:sz w:val="24"/>
                <w:szCs w:val="24"/>
                <w:highlight w:val="none"/>
              </w:rPr>
              <w:t>文件按要求签字</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盖章</w:t>
            </w:r>
            <w:r>
              <w:rPr>
                <w:rFonts w:hint="eastAsia" w:ascii="宋体" w:hAnsi="宋体" w:eastAsia="宋体" w:cs="宋体"/>
                <w:color w:val="000000"/>
                <w:kern w:val="0"/>
                <w:sz w:val="24"/>
                <w:szCs w:val="24"/>
                <w:highlight w:val="none"/>
                <w:lang w:eastAsia="zh-CN"/>
              </w:rPr>
              <w:t>；</w:t>
            </w:r>
          </w:p>
        </w:tc>
      </w:tr>
      <w:tr w14:paraId="2B95C03D">
        <w:tblPrEx>
          <w:tblCellMar>
            <w:top w:w="0" w:type="dxa"/>
            <w:left w:w="108" w:type="dxa"/>
            <w:bottom w:w="0" w:type="dxa"/>
            <w:right w:w="108" w:type="dxa"/>
          </w:tblCellMar>
        </w:tblPrEx>
        <w:trPr>
          <w:trHeight w:val="567" w:hRule="atLeast"/>
        </w:trPr>
        <w:tc>
          <w:tcPr>
            <w:tcW w:w="507" w:type="pct"/>
            <w:tcBorders>
              <w:top w:val="single" w:color="000000" w:sz="4" w:space="0"/>
              <w:left w:val="single" w:color="000000" w:sz="4" w:space="0"/>
              <w:bottom w:val="single" w:color="000000" w:sz="4" w:space="0"/>
              <w:right w:val="single" w:color="000000" w:sz="4" w:space="0"/>
            </w:tcBorders>
            <w:vAlign w:val="center"/>
          </w:tcPr>
          <w:p w14:paraId="255014B0">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1032" w:type="pct"/>
            <w:tcBorders>
              <w:top w:val="single" w:color="000000" w:sz="4" w:space="0"/>
              <w:left w:val="single" w:color="000000" w:sz="4" w:space="0"/>
              <w:bottom w:val="single" w:color="000000" w:sz="4" w:space="0"/>
              <w:right w:val="single" w:color="000000" w:sz="4" w:space="0"/>
            </w:tcBorders>
            <w:vAlign w:val="center"/>
          </w:tcPr>
          <w:p w14:paraId="297582E7">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有效报价</w:t>
            </w:r>
          </w:p>
        </w:tc>
        <w:tc>
          <w:tcPr>
            <w:tcW w:w="3459" w:type="pct"/>
            <w:tcBorders>
              <w:top w:val="single" w:color="000000" w:sz="4" w:space="0"/>
              <w:left w:val="single" w:color="000000" w:sz="4" w:space="0"/>
              <w:bottom w:val="single" w:color="000000" w:sz="4" w:space="0"/>
              <w:right w:val="single" w:color="000000" w:sz="4" w:space="0"/>
            </w:tcBorders>
            <w:vAlign w:val="center"/>
          </w:tcPr>
          <w:p w14:paraId="0E1FDDBA">
            <w:pPr>
              <w:widowControl/>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按照</w:t>
            </w:r>
            <w:r>
              <w:rPr>
                <w:rFonts w:hint="eastAsia" w:ascii="宋体" w:hAnsi="宋体" w:eastAsia="宋体" w:cs="宋体"/>
                <w:color w:val="000000"/>
                <w:kern w:val="0"/>
                <w:sz w:val="24"/>
                <w:szCs w:val="24"/>
                <w:highlight w:val="none"/>
                <w:lang w:eastAsia="zh-CN"/>
              </w:rPr>
              <w:t>采购文件</w:t>
            </w:r>
            <w:r>
              <w:rPr>
                <w:rFonts w:hint="eastAsia" w:ascii="宋体" w:hAnsi="宋体" w:eastAsia="宋体" w:cs="宋体"/>
                <w:color w:val="000000"/>
                <w:kern w:val="0"/>
                <w:sz w:val="24"/>
                <w:szCs w:val="24"/>
                <w:highlight w:val="none"/>
              </w:rPr>
              <w:t>要求进行有效报价，不存在高于最高限价或低于成本价，不存在恶意报价损害采购人利益的行为；</w:t>
            </w:r>
          </w:p>
        </w:tc>
      </w:tr>
      <w:tr w14:paraId="62D13F3D">
        <w:tblPrEx>
          <w:tblCellMar>
            <w:top w:w="0" w:type="dxa"/>
            <w:left w:w="108" w:type="dxa"/>
            <w:bottom w:w="0" w:type="dxa"/>
            <w:right w:w="108" w:type="dxa"/>
          </w:tblCellMar>
        </w:tblPrEx>
        <w:trPr>
          <w:trHeight w:val="567" w:hRule="atLeast"/>
        </w:trPr>
        <w:tc>
          <w:tcPr>
            <w:tcW w:w="5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A7B0B">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c>
          <w:tcPr>
            <w:tcW w:w="10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AB9FA">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其他</w:t>
            </w:r>
          </w:p>
        </w:tc>
        <w:tc>
          <w:tcPr>
            <w:tcW w:w="3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D7F4B2">
            <w:pPr>
              <w:widowControl/>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1.不存在串通投标、弄虚作假、行贿等违法行为；</w:t>
            </w:r>
          </w:p>
          <w:p w14:paraId="52935CA0">
            <w:pPr>
              <w:widowControl/>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2.符合国家及</w:t>
            </w:r>
            <w:r>
              <w:rPr>
                <w:rFonts w:hint="eastAsia" w:ascii="宋体" w:hAnsi="宋体" w:eastAsia="宋体" w:cs="宋体"/>
                <w:color w:val="000000"/>
                <w:kern w:val="0"/>
                <w:sz w:val="24"/>
                <w:szCs w:val="24"/>
                <w:highlight w:val="none"/>
                <w:lang w:eastAsia="zh-CN"/>
              </w:rPr>
              <w:t>采购文件</w:t>
            </w:r>
            <w:r>
              <w:rPr>
                <w:rFonts w:hint="eastAsia" w:ascii="宋体" w:hAnsi="宋体" w:eastAsia="宋体" w:cs="宋体"/>
                <w:color w:val="000000"/>
                <w:kern w:val="0"/>
                <w:sz w:val="24"/>
                <w:szCs w:val="24"/>
                <w:highlight w:val="none"/>
              </w:rPr>
              <w:t>规定的其他要求；</w:t>
            </w:r>
          </w:p>
          <w:p w14:paraId="16D2C94A">
            <w:pPr>
              <w:widowControl/>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3.不存在单位负责人为同一人或者存在直接控股、管理关系的不同投标人；</w:t>
            </w:r>
          </w:p>
          <w:p w14:paraId="51254469">
            <w:pPr>
              <w:widowControl/>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4.未出现采购人不能接受的附加条件。</w:t>
            </w:r>
          </w:p>
        </w:tc>
      </w:tr>
    </w:tbl>
    <w:p w14:paraId="0E67CC73">
      <w:pPr>
        <w:pStyle w:val="23"/>
        <w:ind w:left="397"/>
        <w:rPr>
          <w:rFonts w:hint="eastAsia" w:ascii="宋体" w:hAnsi="宋体" w:eastAsia="宋体" w:cs="宋体"/>
          <w:sz w:val="24"/>
          <w:szCs w:val="24"/>
          <w:highlight w:val="none"/>
        </w:rPr>
      </w:pPr>
    </w:p>
    <w:p w14:paraId="54EC5EEF">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信用信息查询</w:t>
      </w:r>
    </w:p>
    <w:p w14:paraId="561346A2">
      <w:pPr>
        <w:pStyle w:val="396"/>
        <w:numPr>
          <w:ilvl w:val="1"/>
          <w:numId w:val="34"/>
        </w:numPr>
        <w:spacing w:before="0"/>
        <w:ind w:left="10" w:firstLine="387"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信用信息查询渠道及截止时间：采购代理机构将通过“信用中国”网站(</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"http://www.creditchina.gov.cn" </w:instrText>
      </w:r>
      <w:r>
        <w:rPr>
          <w:rFonts w:hint="eastAsia" w:ascii="宋体" w:hAnsi="宋体" w:eastAsia="宋体" w:cs="宋体"/>
          <w:sz w:val="24"/>
          <w:szCs w:val="24"/>
          <w:highlight w:val="none"/>
        </w:rPr>
        <w:fldChar w:fldCharType="separate"/>
      </w:r>
      <w:r>
        <w:rPr>
          <w:rStyle w:val="69"/>
          <w:rFonts w:hint="eastAsia" w:ascii="宋体" w:hAnsi="宋体" w:eastAsia="宋体" w:cs="宋体"/>
          <w:snapToGrid/>
          <w:color w:val="auto"/>
          <w:sz w:val="24"/>
          <w:szCs w:val="24"/>
          <w:highlight w:val="none"/>
        </w:rPr>
        <w:t>www.creditchina.gov.cn</w:t>
      </w:r>
      <w:r>
        <w:rPr>
          <w:rStyle w:val="69"/>
          <w:rFonts w:hint="eastAsia" w:ascii="宋体" w:hAnsi="宋体" w:eastAsia="宋体" w:cs="宋体"/>
          <w:snapToGrid/>
          <w:color w:val="auto"/>
          <w:sz w:val="24"/>
          <w:szCs w:val="24"/>
          <w:highlight w:val="none"/>
        </w:rPr>
        <w:fldChar w:fldCharType="end"/>
      </w:r>
      <w:r>
        <w:rPr>
          <w:rFonts w:hint="eastAsia" w:ascii="宋体" w:hAnsi="宋体" w:eastAsia="宋体" w:cs="宋体"/>
          <w:kern w:val="0"/>
          <w:sz w:val="24"/>
          <w:szCs w:val="24"/>
          <w:highlight w:val="none"/>
        </w:rPr>
        <w:t>)、中国政府采购网(www.ccgp.gov.cn)渠道查询供应商响应截止时间前的信用记录。</w:t>
      </w:r>
    </w:p>
    <w:p w14:paraId="3ADD527F">
      <w:pPr>
        <w:pStyle w:val="396"/>
        <w:numPr>
          <w:ilvl w:val="1"/>
          <w:numId w:val="34"/>
        </w:numPr>
        <w:spacing w:before="0"/>
        <w:ind w:left="10" w:firstLine="387"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信用信息查询记录和证据留存的具体方式：现场查询的供应商的信用记录、查询结果经确认后将与磋商文件一起存档。</w:t>
      </w:r>
    </w:p>
    <w:p w14:paraId="400DBD8F">
      <w:pPr>
        <w:pStyle w:val="396"/>
        <w:numPr>
          <w:ilvl w:val="1"/>
          <w:numId w:val="34"/>
        </w:numPr>
        <w:spacing w:before="0"/>
        <w:ind w:left="10" w:firstLine="387"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信用信息的使用规则：经查询列入失信被执行人名单、重大税收违法案件当事人名单、政府采购严重违法失信行为记录名单的供应商将被拒绝参与政府采购活动。</w:t>
      </w:r>
    </w:p>
    <w:p w14:paraId="3F9C0E1E">
      <w:pPr>
        <w:pStyle w:val="396"/>
        <w:numPr>
          <w:ilvl w:val="1"/>
          <w:numId w:val="34"/>
        </w:numPr>
        <w:spacing w:before="0"/>
        <w:ind w:left="10" w:firstLine="387"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8D0288A">
      <w:pPr>
        <w:adjustRightInd/>
        <w:spacing w:line="360" w:lineRule="auto"/>
        <w:jc w:val="center"/>
        <w:outlineLvl w:val="0"/>
        <w:rPr>
          <w:rFonts w:hint="eastAsia" w:ascii="宋体" w:hAnsi="宋体" w:eastAsia="宋体" w:cs="宋体"/>
          <w:b/>
          <w:sz w:val="24"/>
          <w:szCs w:val="24"/>
          <w:highlight w:val="none"/>
        </w:rPr>
      </w:pPr>
      <w:bookmarkStart w:id="19" w:name="_Toc20533"/>
      <w:r>
        <w:rPr>
          <w:rFonts w:hint="eastAsia" w:ascii="宋体" w:hAnsi="宋体" w:eastAsia="宋体" w:cs="宋体"/>
          <w:b/>
          <w:sz w:val="24"/>
          <w:szCs w:val="24"/>
          <w:highlight w:val="none"/>
        </w:rPr>
        <w:t>七、提交最后报价</w:t>
      </w:r>
      <w:bookmarkEnd w:id="19"/>
    </w:p>
    <w:p w14:paraId="13939670">
      <w:pPr>
        <w:numPr>
          <w:ilvl w:val="0"/>
          <w:numId w:val="16"/>
        </w:numPr>
        <w:snapToGrid w:val="0"/>
        <w:spacing w:line="360" w:lineRule="auto"/>
        <w:jc w:val="left"/>
        <w:outlineLvl w:val="1"/>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提交最后报价</w:t>
      </w:r>
    </w:p>
    <w:p w14:paraId="5616E5C9">
      <w:pPr>
        <w:pStyle w:val="32"/>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供应商应在规定时间内提交最后报价一览表。</w:t>
      </w:r>
    </w:p>
    <w:p w14:paraId="3E4CE14C">
      <w:pPr>
        <w:rPr>
          <w:rFonts w:hint="eastAsia" w:ascii="宋体" w:hAnsi="宋体" w:eastAsia="宋体" w:cs="宋体"/>
          <w:sz w:val="24"/>
          <w:szCs w:val="24"/>
          <w:highlight w:val="none"/>
        </w:rPr>
      </w:pPr>
    </w:p>
    <w:p w14:paraId="54658BF9">
      <w:pPr>
        <w:adjustRightInd/>
        <w:spacing w:line="360" w:lineRule="auto"/>
        <w:jc w:val="center"/>
        <w:outlineLvl w:val="0"/>
        <w:rPr>
          <w:rFonts w:hint="eastAsia" w:ascii="宋体" w:hAnsi="宋体" w:eastAsia="宋体" w:cs="宋体"/>
          <w:b/>
          <w:sz w:val="24"/>
          <w:szCs w:val="24"/>
          <w:highlight w:val="none"/>
        </w:rPr>
      </w:pPr>
      <w:bookmarkStart w:id="20" w:name="_Toc11819"/>
      <w:r>
        <w:rPr>
          <w:rFonts w:hint="eastAsia" w:ascii="宋体" w:hAnsi="宋体" w:eastAsia="宋体" w:cs="宋体"/>
          <w:b/>
          <w:sz w:val="24"/>
          <w:szCs w:val="24"/>
          <w:highlight w:val="none"/>
        </w:rPr>
        <w:t>八、评审</w:t>
      </w:r>
      <w:bookmarkEnd w:id="20"/>
    </w:p>
    <w:p w14:paraId="6F0471E1">
      <w:pPr>
        <w:numPr>
          <w:ilvl w:val="0"/>
          <w:numId w:val="16"/>
        </w:numPr>
        <w:snapToGrid w:val="0"/>
        <w:spacing w:line="360" w:lineRule="auto"/>
        <w:jc w:val="left"/>
        <w:outlineLvl w:val="1"/>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评审</w:t>
      </w:r>
    </w:p>
    <w:p w14:paraId="6A1B4244">
      <w:pPr>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将根据磋商文件和有关规定，履行评标工作职责，并按照评标方法及评分标准，全面衡量各供应商对磋商文件的响应情况。对实质上响应磋商文件的供应商，按照评审因素的量化指标排出推荐成交的供应商的先后顺序，并按顺序提出授标建议。</w:t>
      </w:r>
      <w:r>
        <w:rPr>
          <w:rFonts w:hint="eastAsia" w:ascii="宋体" w:hAnsi="宋体" w:eastAsia="宋体" w:cs="宋体"/>
          <w:b/>
          <w:sz w:val="24"/>
          <w:szCs w:val="24"/>
          <w:highlight w:val="none"/>
        </w:rPr>
        <w:t>详见磋商文件第五部分评审方法及评审标准。</w:t>
      </w:r>
    </w:p>
    <w:p w14:paraId="27711A5A">
      <w:pPr>
        <w:rPr>
          <w:rFonts w:hint="eastAsia" w:ascii="宋体" w:hAnsi="宋体" w:eastAsia="宋体" w:cs="宋体"/>
          <w:sz w:val="24"/>
          <w:szCs w:val="24"/>
          <w:highlight w:val="none"/>
        </w:rPr>
      </w:pPr>
    </w:p>
    <w:p w14:paraId="29B08B1B">
      <w:pPr>
        <w:adjustRightInd/>
        <w:spacing w:line="360" w:lineRule="auto"/>
        <w:jc w:val="center"/>
        <w:outlineLvl w:val="0"/>
        <w:rPr>
          <w:rFonts w:hint="eastAsia" w:ascii="宋体" w:hAnsi="宋体" w:eastAsia="宋体" w:cs="宋体"/>
          <w:b/>
          <w:sz w:val="24"/>
          <w:szCs w:val="24"/>
          <w:highlight w:val="none"/>
        </w:rPr>
      </w:pPr>
      <w:bookmarkStart w:id="21" w:name="_Toc22532"/>
      <w:r>
        <w:rPr>
          <w:rFonts w:hint="eastAsia" w:ascii="宋体" w:hAnsi="宋体" w:eastAsia="宋体" w:cs="宋体"/>
          <w:b/>
          <w:sz w:val="24"/>
          <w:szCs w:val="24"/>
          <w:highlight w:val="none"/>
        </w:rPr>
        <w:t>九、成交</w:t>
      </w:r>
      <w:bookmarkEnd w:id="21"/>
    </w:p>
    <w:p w14:paraId="5827D786">
      <w:pPr>
        <w:numPr>
          <w:ilvl w:val="0"/>
          <w:numId w:val="16"/>
        </w:numPr>
        <w:snapToGrid w:val="0"/>
        <w:spacing w:line="360" w:lineRule="auto"/>
        <w:jc w:val="left"/>
        <w:outlineLvl w:val="1"/>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推荐成交候选供应商</w:t>
      </w:r>
    </w:p>
    <w:p w14:paraId="1965BF24">
      <w:pPr>
        <w:spacing w:line="360" w:lineRule="auto"/>
        <w:ind w:firstLine="465" w:firstLineChars="194"/>
        <w:rPr>
          <w:rFonts w:hint="eastAsia" w:ascii="宋体" w:hAnsi="宋体" w:eastAsia="宋体" w:cs="宋体"/>
          <w:sz w:val="24"/>
          <w:szCs w:val="24"/>
          <w:highlight w:val="none"/>
        </w:rPr>
      </w:pPr>
      <w:r>
        <w:rPr>
          <w:rFonts w:hint="eastAsia" w:ascii="宋体" w:hAnsi="宋体" w:eastAsia="宋体" w:cs="宋体"/>
          <w:sz w:val="24"/>
          <w:szCs w:val="24"/>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A90F370">
      <w:pPr>
        <w:numPr>
          <w:ilvl w:val="0"/>
          <w:numId w:val="16"/>
        </w:numPr>
        <w:snapToGrid w:val="0"/>
        <w:spacing w:line="360" w:lineRule="auto"/>
        <w:jc w:val="left"/>
        <w:outlineLvl w:val="1"/>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确定成交供应商</w:t>
      </w:r>
    </w:p>
    <w:p w14:paraId="25E88E27">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通过电子交易平台，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2EB7A20">
      <w:pPr>
        <w:numPr>
          <w:ilvl w:val="0"/>
          <w:numId w:val="16"/>
        </w:numPr>
        <w:snapToGrid w:val="0"/>
        <w:spacing w:line="360" w:lineRule="auto"/>
        <w:jc w:val="left"/>
        <w:outlineLvl w:val="1"/>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成交通知及成交结果公告</w:t>
      </w:r>
    </w:p>
    <w:p w14:paraId="4E2E21D7">
      <w:pPr>
        <w:pStyle w:val="396"/>
        <w:numPr>
          <w:ilvl w:val="1"/>
          <w:numId w:val="35"/>
        </w:numPr>
        <w:spacing w:before="0"/>
        <w:ind w:left="10" w:firstLine="387"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代理机构将在自成交人确定之日起2个工作日内，通过电子交易平台向成交人发出成交通知书，向未成交人发出成交结果通知书，同时在省级以上财政部门指定的政府采购信息发布媒体上公告成交结果。成交结果公告内容包括采购人及其委托的采购代理机构的名称、地址、联系方式，项目名称和项目编号，成交人名称、地址和成交金额，主要成交标的的名称、规格型号、数量、单价、服务要求，成交公告期限以及评审专家名单、评分汇总及明细等。采购代理机构也可以以纸质形式进行成交通知。</w:t>
      </w:r>
    </w:p>
    <w:p w14:paraId="4E025931">
      <w:pPr>
        <w:pStyle w:val="396"/>
        <w:numPr>
          <w:ilvl w:val="1"/>
          <w:numId w:val="35"/>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公告期限为1个工作日。</w:t>
      </w:r>
    </w:p>
    <w:p w14:paraId="7A0A7CB7">
      <w:pPr>
        <w:rPr>
          <w:rFonts w:hint="eastAsia" w:ascii="宋体" w:hAnsi="宋体" w:eastAsia="宋体" w:cs="宋体"/>
          <w:sz w:val="24"/>
          <w:szCs w:val="24"/>
          <w:highlight w:val="none"/>
        </w:rPr>
      </w:pPr>
    </w:p>
    <w:p w14:paraId="05AC12D2">
      <w:pPr>
        <w:snapToGrid w:val="0"/>
        <w:spacing w:line="360" w:lineRule="auto"/>
        <w:jc w:val="center"/>
        <w:outlineLvl w:val="0"/>
        <w:rPr>
          <w:rFonts w:hint="eastAsia" w:ascii="宋体" w:hAnsi="宋体" w:eastAsia="宋体" w:cs="宋体"/>
          <w:b/>
          <w:sz w:val="24"/>
          <w:szCs w:val="24"/>
          <w:highlight w:val="none"/>
        </w:rPr>
      </w:pPr>
      <w:bookmarkStart w:id="22" w:name="_Toc31224"/>
      <w:r>
        <w:rPr>
          <w:rFonts w:hint="eastAsia" w:ascii="宋体" w:hAnsi="宋体" w:eastAsia="宋体" w:cs="宋体"/>
          <w:b/>
          <w:sz w:val="24"/>
          <w:szCs w:val="24"/>
          <w:highlight w:val="none"/>
        </w:rPr>
        <w:t>十、合同授予</w:t>
      </w:r>
      <w:bookmarkEnd w:id="22"/>
    </w:p>
    <w:p w14:paraId="486B5AFE">
      <w:pPr>
        <w:numPr>
          <w:ilvl w:val="0"/>
          <w:numId w:val="16"/>
        </w:numPr>
        <w:snapToGrid w:val="0"/>
        <w:spacing w:line="360" w:lineRule="auto"/>
        <w:jc w:val="left"/>
        <w:outlineLvl w:val="1"/>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合同授予</w:t>
      </w:r>
    </w:p>
    <w:p w14:paraId="57778944">
      <w:pPr>
        <w:pStyle w:val="23"/>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合同主要条款详见第六部分拟签订的合同文本。</w:t>
      </w:r>
    </w:p>
    <w:p w14:paraId="5FD683CB">
      <w:pPr>
        <w:pStyle w:val="23"/>
        <w:ind w:firstLine="480" w:firstLineChars="200"/>
        <w:rPr>
          <w:rFonts w:hint="eastAsia" w:ascii="宋体" w:hAnsi="宋体" w:eastAsia="宋体" w:cs="宋体"/>
          <w:sz w:val="24"/>
          <w:szCs w:val="24"/>
          <w:highlight w:val="none"/>
        </w:rPr>
      </w:pPr>
    </w:p>
    <w:p w14:paraId="2DC27213">
      <w:pPr>
        <w:numPr>
          <w:ilvl w:val="0"/>
          <w:numId w:val="16"/>
        </w:numPr>
        <w:snapToGrid w:val="0"/>
        <w:spacing w:line="360" w:lineRule="auto"/>
        <w:jc w:val="left"/>
        <w:outlineLvl w:val="1"/>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合同的签订</w:t>
      </w:r>
    </w:p>
    <w:p w14:paraId="67C0503C">
      <w:pPr>
        <w:pStyle w:val="396"/>
        <w:numPr>
          <w:ilvl w:val="1"/>
          <w:numId w:val="36"/>
        </w:numPr>
        <w:spacing w:before="0"/>
        <w:ind w:left="10" w:firstLine="387"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与成交供应商应当通过电子交易平台在成交通知书发出之日起三十日内，按照磋商文件确定的事项签订政府采购合同，并在签订之日起2个工作日内将政府采购合同在新疆政府采购网上公告。鼓励有条件的采购人视情缩减采购合同签订时限，提高采购效率，杜绝“冷、硬、横、推”等不当行为。除不可抗力等特殊情况外，原则上应当在成交通知书发出之日起10个工作日内，与成交供应商按照磋商文件确定的事项签订政府采购合同。</w:t>
      </w:r>
    </w:p>
    <w:p w14:paraId="338ACED9">
      <w:pPr>
        <w:pStyle w:val="396"/>
        <w:numPr>
          <w:ilvl w:val="1"/>
          <w:numId w:val="36"/>
        </w:numPr>
        <w:spacing w:before="0"/>
        <w:ind w:left="10" w:firstLine="387"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成交供应商按规定的日期、时间、地点，由法定代表人或其授权代表与采购人代表签订合同。如成交供应商为联合体的，由联合体成员各方法定代表人或其授权代表与采购人代表签订合同。</w:t>
      </w:r>
    </w:p>
    <w:p w14:paraId="4B080E06">
      <w:pPr>
        <w:pStyle w:val="396"/>
        <w:numPr>
          <w:ilvl w:val="1"/>
          <w:numId w:val="36"/>
        </w:numPr>
        <w:spacing w:before="0"/>
        <w:ind w:left="10" w:firstLine="387"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如签订合同并生效后，供应商无故拒绝或延期，除按照合同条款处理外，列入不良行为记录一次，并给予通报。</w:t>
      </w:r>
    </w:p>
    <w:p w14:paraId="0A6E2290">
      <w:pPr>
        <w:pStyle w:val="396"/>
        <w:numPr>
          <w:ilvl w:val="1"/>
          <w:numId w:val="36"/>
        </w:numPr>
        <w:spacing w:before="0"/>
        <w:ind w:left="10" w:firstLine="387"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D07C8FF">
      <w:pPr>
        <w:pStyle w:val="396"/>
        <w:numPr>
          <w:ilvl w:val="1"/>
          <w:numId w:val="36"/>
        </w:numPr>
        <w:spacing w:before="0"/>
        <w:ind w:left="10" w:firstLine="387"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CC3247A">
      <w:pPr>
        <w:pStyle w:val="396"/>
        <w:numPr>
          <w:ilvl w:val="1"/>
          <w:numId w:val="36"/>
        </w:numPr>
        <w:spacing w:before="0"/>
        <w:ind w:left="10" w:firstLine="387"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采购合同由采购人与成交供应商根据磋商文件、响应文件等内容通过政府采购电子交易平台在线签订，自动备案。</w:t>
      </w:r>
    </w:p>
    <w:p w14:paraId="58E5A2B5">
      <w:pPr>
        <w:pStyle w:val="396"/>
        <w:spacing w:before="0"/>
        <w:ind w:left="397" w:firstLine="0" w:firstLineChars="0"/>
        <w:rPr>
          <w:rFonts w:hint="eastAsia" w:ascii="宋体" w:hAnsi="宋体" w:eastAsia="宋体" w:cs="宋体"/>
          <w:kern w:val="0"/>
          <w:sz w:val="24"/>
          <w:szCs w:val="24"/>
          <w:highlight w:val="none"/>
        </w:rPr>
      </w:pPr>
    </w:p>
    <w:p w14:paraId="00CFEA00">
      <w:pPr>
        <w:numPr>
          <w:ilvl w:val="0"/>
          <w:numId w:val="16"/>
        </w:numPr>
        <w:snapToGrid w:val="0"/>
        <w:spacing w:line="360" w:lineRule="auto"/>
        <w:jc w:val="left"/>
        <w:outlineLvl w:val="1"/>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履约保证金</w:t>
      </w:r>
    </w:p>
    <w:p w14:paraId="36381C1A">
      <w:pPr>
        <w:tabs>
          <w:tab w:val="left" w:pos="0"/>
        </w:tabs>
        <w:spacing w:line="360" w:lineRule="auto"/>
        <w:ind w:firstLine="480"/>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rPr>
        <w:t>拟签订的合同文本要求中标供应商提交履约保证金的，供应商应当以支票、汇票、本票或者金融机构、担保机构出具的保函等非现金形式提交。履约保证金的数额不得超过政府采购合同金额的1.0%。鼓励和支持供应商以银行、保险公司出具的保函形式提供履约保证金。</w:t>
      </w:r>
      <w:r>
        <w:rPr>
          <w:rFonts w:hint="eastAsia" w:ascii="宋体" w:hAnsi="宋体" w:eastAsia="宋体" w:cs="宋体"/>
          <w:b/>
          <w:bCs/>
          <w:kern w:val="0"/>
          <w:sz w:val="24"/>
          <w:szCs w:val="24"/>
          <w:highlight w:val="none"/>
        </w:rPr>
        <w:t>采购人不得拒收履约保函。</w:t>
      </w:r>
      <w:r>
        <w:rPr>
          <w:rFonts w:hint="eastAsia" w:ascii="宋体" w:hAnsi="宋体" w:eastAsia="宋体" w:cs="宋体"/>
          <w:bCs/>
          <w:sz w:val="24"/>
          <w:szCs w:val="24"/>
          <w:highlight w:val="none"/>
          <w:lang w:val="zh-CN"/>
        </w:rPr>
        <w:t>项目验收结束后应及时退还，延迟退还的，应当按照合同约定和法律规定承担相应的赔偿责任。</w:t>
      </w:r>
    </w:p>
    <w:p w14:paraId="6826BDB8">
      <w:pPr>
        <w:tabs>
          <w:tab w:val="left" w:pos="0"/>
        </w:tabs>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ab/>
      </w:r>
    </w:p>
    <w:p w14:paraId="2E958B11">
      <w:pPr>
        <w:snapToGrid w:val="0"/>
        <w:spacing w:line="360" w:lineRule="auto"/>
        <w:jc w:val="center"/>
        <w:outlineLvl w:val="0"/>
        <w:rPr>
          <w:rFonts w:hint="eastAsia" w:ascii="宋体" w:hAnsi="宋体" w:eastAsia="宋体" w:cs="宋体"/>
          <w:b/>
          <w:sz w:val="24"/>
          <w:szCs w:val="24"/>
          <w:highlight w:val="none"/>
        </w:rPr>
      </w:pPr>
      <w:bookmarkStart w:id="23" w:name="_Toc13710"/>
      <w:r>
        <w:rPr>
          <w:rFonts w:hint="eastAsia" w:ascii="宋体" w:hAnsi="宋体" w:eastAsia="宋体" w:cs="宋体"/>
          <w:b/>
          <w:sz w:val="24"/>
          <w:szCs w:val="24"/>
          <w:highlight w:val="none"/>
        </w:rPr>
        <w:t>十一、电子交易活动的中止</w:t>
      </w:r>
      <w:bookmarkEnd w:id="23"/>
    </w:p>
    <w:p w14:paraId="00F6CFEC">
      <w:pPr>
        <w:numPr>
          <w:ilvl w:val="0"/>
          <w:numId w:val="16"/>
        </w:numPr>
        <w:snapToGrid w:val="0"/>
        <w:spacing w:line="360" w:lineRule="auto"/>
        <w:jc w:val="left"/>
        <w:outlineLvl w:val="1"/>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电子交易活动的中止。</w:t>
      </w:r>
    </w:p>
    <w:p w14:paraId="7ECD83E2">
      <w:pPr>
        <w:pStyle w:val="396"/>
        <w:snapToGrid w:val="0"/>
        <w:spacing w:before="0"/>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采购过程中出现以下情形，导致电子交易平台无法正常运行，或者无法保证电子交易的公平、公正和安全时，采购代理机构可中止电子交易活动：</w:t>
      </w:r>
    </w:p>
    <w:p w14:paraId="0952CC2C">
      <w:pPr>
        <w:pStyle w:val="396"/>
        <w:numPr>
          <w:ilvl w:val="1"/>
          <w:numId w:val="37"/>
        </w:numPr>
        <w:spacing w:before="0"/>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电子交易平台发生故障而无法登录访问的；</w:t>
      </w:r>
    </w:p>
    <w:p w14:paraId="3614E67D">
      <w:pPr>
        <w:pStyle w:val="396"/>
        <w:numPr>
          <w:ilvl w:val="1"/>
          <w:numId w:val="37"/>
        </w:numPr>
        <w:spacing w:before="0"/>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电子交易平台应用或数据库出现错误，不能进行正常操作的；</w:t>
      </w:r>
    </w:p>
    <w:p w14:paraId="5E3A5ACA">
      <w:pPr>
        <w:pStyle w:val="396"/>
        <w:numPr>
          <w:ilvl w:val="1"/>
          <w:numId w:val="37"/>
        </w:numPr>
        <w:spacing w:before="0"/>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电子交易平台发现严重安全漏洞，有潜在泄密危险的；</w:t>
      </w:r>
    </w:p>
    <w:p w14:paraId="216BD954">
      <w:pPr>
        <w:pStyle w:val="396"/>
        <w:numPr>
          <w:ilvl w:val="1"/>
          <w:numId w:val="37"/>
        </w:numPr>
        <w:spacing w:before="0"/>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病毒发作导致不能进行正常操作的；</w:t>
      </w:r>
    </w:p>
    <w:p w14:paraId="63478F83">
      <w:pPr>
        <w:pStyle w:val="396"/>
        <w:numPr>
          <w:ilvl w:val="1"/>
          <w:numId w:val="37"/>
        </w:numPr>
        <w:spacing w:before="0"/>
        <w:ind w:firstLineChars="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其他无法保证电子交易的公平、公正和安全的情况。</w:t>
      </w:r>
    </w:p>
    <w:p w14:paraId="132293FB">
      <w:pPr>
        <w:numPr>
          <w:ilvl w:val="0"/>
          <w:numId w:val="16"/>
        </w:numPr>
        <w:snapToGrid w:val="0"/>
        <w:spacing w:line="360" w:lineRule="auto"/>
        <w:ind w:left="11" w:firstLine="15"/>
        <w:jc w:val="left"/>
        <w:outlineLvl w:val="1"/>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出现以上情形，不影响采购公平、公正性的，采购组织机构可以待上述情形消除后继续组织电子交易活动，也可以决定某些环节以纸质形式进行；影响或可能影响采购公平、公正性的，应当重新采购。</w:t>
      </w:r>
    </w:p>
    <w:p w14:paraId="4DF51292">
      <w:pPr>
        <w:rPr>
          <w:rFonts w:hint="eastAsia" w:ascii="宋体" w:hAnsi="宋体" w:eastAsia="宋体" w:cs="宋体"/>
          <w:sz w:val="24"/>
          <w:szCs w:val="24"/>
          <w:highlight w:val="none"/>
        </w:rPr>
      </w:pPr>
    </w:p>
    <w:p w14:paraId="0CACFFF7">
      <w:pPr>
        <w:snapToGrid w:val="0"/>
        <w:spacing w:line="360" w:lineRule="auto"/>
        <w:jc w:val="center"/>
        <w:outlineLvl w:val="0"/>
        <w:rPr>
          <w:rFonts w:hint="eastAsia" w:ascii="宋体" w:hAnsi="宋体" w:eastAsia="宋体" w:cs="宋体"/>
          <w:b/>
          <w:sz w:val="24"/>
          <w:szCs w:val="24"/>
          <w:highlight w:val="none"/>
        </w:rPr>
      </w:pPr>
      <w:bookmarkStart w:id="24" w:name="_Toc24231"/>
      <w:r>
        <w:rPr>
          <w:rFonts w:hint="eastAsia" w:ascii="宋体" w:hAnsi="宋体" w:eastAsia="宋体" w:cs="宋体"/>
          <w:b/>
          <w:sz w:val="24"/>
          <w:szCs w:val="24"/>
          <w:highlight w:val="none"/>
        </w:rPr>
        <w:t>十二、验收</w:t>
      </w:r>
      <w:bookmarkEnd w:id="24"/>
    </w:p>
    <w:p w14:paraId="380C43A8">
      <w:pPr>
        <w:numPr>
          <w:ilvl w:val="0"/>
          <w:numId w:val="16"/>
        </w:numPr>
        <w:snapToGrid w:val="0"/>
        <w:spacing w:line="360" w:lineRule="auto"/>
        <w:jc w:val="left"/>
        <w:outlineLvl w:val="1"/>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验收</w:t>
      </w:r>
    </w:p>
    <w:p w14:paraId="01950ED1">
      <w:pPr>
        <w:pStyle w:val="396"/>
        <w:numPr>
          <w:ilvl w:val="1"/>
          <w:numId w:val="38"/>
        </w:numPr>
        <w:spacing w:before="0"/>
        <w:ind w:left="10" w:firstLine="387"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DD6823">
      <w:pPr>
        <w:pStyle w:val="396"/>
        <w:numPr>
          <w:ilvl w:val="1"/>
          <w:numId w:val="38"/>
        </w:numPr>
        <w:spacing w:before="0"/>
        <w:ind w:left="10" w:firstLine="387"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采购人可以邀请参加本项目的其他供应商或者第三方机构参与验收。参与验收的供应商或者第三方机构的意见作为验收书的参考资料一并存档。</w:t>
      </w:r>
    </w:p>
    <w:p w14:paraId="2978EA39">
      <w:pPr>
        <w:pStyle w:val="396"/>
        <w:numPr>
          <w:ilvl w:val="1"/>
          <w:numId w:val="38"/>
        </w:numPr>
        <w:spacing w:before="0"/>
        <w:ind w:left="10" w:firstLine="387"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B91301">
      <w:pPr>
        <w:pStyle w:val="396"/>
        <w:numPr>
          <w:ilvl w:val="1"/>
          <w:numId w:val="38"/>
        </w:numPr>
        <w:spacing w:before="0"/>
        <w:ind w:left="10" w:firstLine="387"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9"/>
    <w:p w14:paraId="211CAFA4">
      <w:pPr>
        <w:widowControl/>
        <w:adjustRightInd/>
        <w:jc w:val="left"/>
        <w:rPr>
          <w:rFonts w:hint="eastAsia" w:ascii="宋体" w:hAnsi="宋体" w:eastAsia="宋体" w:cs="宋体"/>
          <w:b/>
          <w:sz w:val="24"/>
          <w:szCs w:val="24"/>
          <w:highlight w:val="none"/>
        </w:rPr>
      </w:pPr>
      <w:bookmarkStart w:id="25" w:name="_Hlt75236290"/>
      <w:bookmarkEnd w:id="25"/>
      <w:bookmarkStart w:id="26" w:name="_Hlt75236011"/>
      <w:bookmarkEnd w:id="26"/>
      <w:bookmarkStart w:id="27" w:name="_Hlt75236101"/>
      <w:bookmarkEnd w:id="27"/>
      <w:bookmarkStart w:id="28" w:name="_Hlt74714665"/>
      <w:bookmarkEnd w:id="28"/>
      <w:bookmarkStart w:id="29" w:name="_Hlt68057669"/>
      <w:bookmarkEnd w:id="29"/>
      <w:bookmarkStart w:id="30" w:name="_Hlt74729768"/>
      <w:bookmarkEnd w:id="30"/>
      <w:bookmarkStart w:id="31" w:name="_Hlt74730295"/>
      <w:bookmarkEnd w:id="31"/>
      <w:bookmarkStart w:id="32" w:name="_Hlt68072990"/>
      <w:bookmarkEnd w:id="32"/>
      <w:bookmarkStart w:id="33" w:name="_Hlt74707468"/>
      <w:bookmarkEnd w:id="33"/>
      <w:bookmarkStart w:id="34" w:name="第三部分"/>
      <w:bookmarkStart w:id="35" w:name="_Toc164416483"/>
      <w:r>
        <w:rPr>
          <w:rFonts w:hint="eastAsia" w:ascii="宋体" w:hAnsi="宋体" w:eastAsia="宋体" w:cs="宋体"/>
          <w:b/>
          <w:sz w:val="24"/>
          <w:szCs w:val="24"/>
          <w:highlight w:val="none"/>
        </w:rPr>
        <w:br w:type="page"/>
      </w:r>
    </w:p>
    <w:p w14:paraId="36B027A0">
      <w:pPr>
        <w:numPr>
          <w:ilvl w:val="0"/>
          <w:numId w:val="39"/>
        </w:numPr>
        <w:adjustRightInd/>
        <w:spacing w:line="360" w:lineRule="auto"/>
        <w:jc w:val="center"/>
        <w:outlineLvl w:val="0"/>
        <w:rPr>
          <w:rFonts w:hint="eastAsia" w:ascii="宋体" w:hAnsi="宋体" w:eastAsia="宋体" w:cs="宋体"/>
          <w:b/>
          <w:sz w:val="24"/>
          <w:szCs w:val="24"/>
          <w:highlight w:val="none"/>
        </w:rPr>
      </w:pPr>
      <w:bookmarkStart w:id="36" w:name="_Toc20290"/>
      <w:r>
        <w:rPr>
          <w:rFonts w:hint="eastAsia" w:ascii="宋体" w:hAnsi="宋体" w:eastAsia="宋体" w:cs="宋体"/>
          <w:b/>
          <w:sz w:val="24"/>
          <w:szCs w:val="24"/>
          <w:highlight w:val="none"/>
        </w:rPr>
        <w:t>采购需求</w:t>
      </w:r>
      <w:bookmarkEnd w:id="36"/>
    </w:p>
    <w:p w14:paraId="229D17FC">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标项一：采购需求及技术参数</w:t>
      </w:r>
    </w:p>
    <w:p w14:paraId="5FD06E18">
      <w:pPr>
        <w:spacing w:before="44" w:line="382" w:lineRule="auto"/>
        <w:ind w:firstLine="739" w:firstLineChars="308"/>
        <w:rPr>
          <w:rFonts w:hint="eastAsia" w:ascii="宋体" w:hAnsi="宋体" w:eastAsia="宋体" w:cs="宋体"/>
          <w:sz w:val="24"/>
          <w:szCs w:val="24"/>
          <w:highlight w:val="none"/>
        </w:rPr>
      </w:pPr>
      <w:bookmarkStart w:id="37" w:name="OLE_LINK3"/>
      <w:r>
        <w:rPr>
          <w:rFonts w:hint="eastAsia" w:ascii="宋体" w:hAnsi="宋体" w:eastAsia="宋体" w:cs="宋体"/>
          <w:sz w:val="24"/>
          <w:szCs w:val="24"/>
          <w:highlight w:val="none"/>
        </w:rPr>
        <w:t>投标人应配合招标人</w:t>
      </w:r>
      <w:bookmarkEnd w:id="37"/>
      <w:r>
        <w:rPr>
          <w:rFonts w:hint="eastAsia" w:ascii="宋体" w:hAnsi="宋体" w:eastAsia="宋体" w:cs="宋体"/>
          <w:sz w:val="24"/>
          <w:szCs w:val="24"/>
          <w:highlight w:val="none"/>
        </w:rPr>
        <w:t>做好医院信息管理系统安全等级保护和测评工作，协助招标人出具合格的信息系统安全等级测评工作。</w:t>
      </w:r>
    </w:p>
    <w:p w14:paraId="72E84E67">
      <w:pPr>
        <w:spacing w:before="44" w:line="382" w:lineRule="auto"/>
        <w:ind w:firstLine="739" w:firstLineChars="308"/>
        <w:rPr>
          <w:rFonts w:hint="eastAsia" w:ascii="宋体" w:hAnsi="宋体" w:eastAsia="宋体" w:cs="宋体"/>
          <w:sz w:val="24"/>
          <w:szCs w:val="24"/>
          <w:highlight w:val="none"/>
        </w:rPr>
      </w:pPr>
      <w:r>
        <w:rPr>
          <w:rFonts w:hint="eastAsia" w:ascii="宋体" w:hAnsi="宋体" w:eastAsia="宋体" w:cs="宋体"/>
          <w:sz w:val="24"/>
          <w:szCs w:val="24"/>
          <w:highlight w:val="none"/>
        </w:rPr>
        <w:t>本项目主要对医院信息管理系统进行网络安全等级保护工作。为使得医院信息管理系统达到相应等保相关要求，做好系统等级保护测评及整改建设工作。</w:t>
      </w:r>
    </w:p>
    <w:p w14:paraId="74809F9C">
      <w:pPr>
        <w:keepNext/>
        <w:keepLines/>
        <w:tabs>
          <w:tab w:val="left" w:pos="425"/>
        </w:tabs>
        <w:spacing w:before="340" w:after="330" w:line="400" w:lineRule="exact"/>
        <w:outlineLvl w:val="0"/>
        <w:rPr>
          <w:rFonts w:hint="eastAsia" w:ascii="宋体" w:hAnsi="宋体" w:eastAsia="宋体" w:cs="宋体"/>
          <w:b/>
          <w:kern w:val="44"/>
          <w:sz w:val="24"/>
          <w:szCs w:val="24"/>
          <w:highlight w:val="none"/>
        </w:rPr>
      </w:pPr>
      <w:bookmarkStart w:id="38" w:name="OLE_LINK1"/>
      <w:r>
        <w:rPr>
          <w:rFonts w:hint="eastAsia" w:ascii="宋体" w:hAnsi="宋体" w:eastAsia="宋体" w:cs="宋体"/>
          <w:sz w:val="24"/>
          <w:szCs w:val="24"/>
          <w:highlight w:val="none"/>
        </w:rPr>
        <w:t>一、</w:t>
      </w:r>
      <w:r>
        <w:rPr>
          <w:rFonts w:hint="eastAsia" w:ascii="宋体" w:hAnsi="宋体" w:eastAsia="宋体" w:cs="宋体"/>
          <w:b/>
          <w:kern w:val="44"/>
          <w:sz w:val="24"/>
          <w:szCs w:val="24"/>
          <w:highlight w:val="none"/>
        </w:rPr>
        <w:t>技术规范依据</w:t>
      </w:r>
      <w:bookmarkEnd w:id="38"/>
    </w:p>
    <w:p w14:paraId="09A9D4CC">
      <w:pPr>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《中华人民共和国计算机信息系统安全保护条例》（国务院147号令）</w:t>
      </w:r>
    </w:p>
    <w:p w14:paraId="44DFC8D5">
      <w:pPr>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《信息安全等级保护管理办法》（公通字[2007]43号）</w:t>
      </w:r>
    </w:p>
    <w:p w14:paraId="0B032743">
      <w:pPr>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《计算机信息系统安全保护等级划分准则》（GB17859-1999）</w:t>
      </w:r>
    </w:p>
    <w:p w14:paraId="326FE5EF">
      <w:pPr>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《信息安全技术信息系统安全等级保护定级指南》（GB/T22240-2020）</w:t>
      </w:r>
    </w:p>
    <w:p w14:paraId="53329AA7">
      <w:pPr>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《信息安全技术信息系统安全等级保护基本要求》（GB/T22239-2019）</w:t>
      </w:r>
    </w:p>
    <w:p w14:paraId="64E92BD4">
      <w:pPr>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《信息安全技术信息系统安全等级保护实施指南》（GB/T25058-2019）</w:t>
      </w:r>
    </w:p>
    <w:p w14:paraId="4115E8F4">
      <w:pPr>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《信息安全技术信息系统安全等级保护测评要求》（GB/T28448-2012）</w:t>
      </w:r>
    </w:p>
    <w:p w14:paraId="0E37C3B1">
      <w:pPr>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《信息安全技术信息系统安全等级保护测评过程指南》（GB/T28449-2018）</w:t>
      </w:r>
    </w:p>
    <w:p w14:paraId="4A22A0AC">
      <w:pPr>
        <w:spacing w:line="400" w:lineRule="exact"/>
        <w:rPr>
          <w:rFonts w:hint="eastAsia" w:ascii="宋体" w:hAnsi="宋体" w:eastAsia="宋体" w:cs="宋体"/>
          <w:sz w:val="24"/>
          <w:szCs w:val="24"/>
          <w:highlight w:val="none"/>
          <w:lang w:eastAsia="zh-CN"/>
        </w:rPr>
      </w:pPr>
    </w:p>
    <w:p w14:paraId="6C27F4B3">
      <w:pPr>
        <w:spacing w:line="400" w:lineRule="exact"/>
        <w:rPr>
          <w:rFonts w:hint="eastAsia" w:ascii="宋体" w:hAnsi="宋体" w:eastAsia="宋体" w:cs="宋体"/>
          <w:b/>
          <w:color w:val="000000"/>
          <w:sz w:val="24"/>
          <w:szCs w:val="24"/>
          <w:highlight w:val="none"/>
          <w:lang w:val="en-US" w:eastAsia="zh-CN"/>
        </w:rPr>
      </w:pP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w:t>
      </w:r>
      <w:r>
        <w:rPr>
          <w:rFonts w:hint="eastAsia" w:ascii="宋体" w:hAnsi="宋体" w:eastAsia="宋体" w:cs="宋体"/>
          <w:b/>
          <w:color w:val="000000"/>
          <w:sz w:val="24"/>
          <w:szCs w:val="24"/>
          <w:highlight w:val="none"/>
          <w:lang w:eastAsia="zh-CN"/>
        </w:rPr>
        <w:t>测评内容</w:t>
      </w:r>
    </w:p>
    <w:p w14:paraId="67ADDA71">
      <w:pPr>
        <w:spacing w:line="4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 w:val="0"/>
          <w:bCs/>
          <w:color w:val="000000"/>
          <w:sz w:val="24"/>
          <w:szCs w:val="24"/>
          <w:highlight w:val="none"/>
          <w:lang w:val="en-US" w:eastAsia="zh-CN"/>
        </w:rPr>
        <w:t>（一）</w:t>
      </w:r>
      <w:bookmarkStart w:id="39" w:name="OLE_LINK5"/>
      <w:r>
        <w:rPr>
          <w:rFonts w:hint="eastAsia" w:ascii="宋体" w:hAnsi="宋体" w:eastAsia="宋体" w:cs="宋体"/>
          <w:b w:val="0"/>
          <w:bCs/>
          <w:color w:val="000000"/>
          <w:sz w:val="24"/>
          <w:szCs w:val="24"/>
          <w:highlight w:val="none"/>
          <w:lang w:val="en-US" w:eastAsia="zh-CN"/>
        </w:rPr>
        <w:t>测评</w:t>
      </w:r>
      <w:r>
        <w:rPr>
          <w:rFonts w:hint="eastAsia" w:ascii="宋体" w:hAnsi="宋体" w:eastAsia="宋体" w:cs="宋体"/>
          <w:sz w:val="24"/>
          <w:szCs w:val="24"/>
          <w:highlight w:val="none"/>
          <w:lang w:val="en-US" w:eastAsia="zh-CN"/>
        </w:rPr>
        <w:t>定级为三级的4个信息系统</w:t>
      </w:r>
      <w:bookmarkEnd w:id="39"/>
    </w:p>
    <w:p w14:paraId="5B0A2494">
      <w:pPr>
        <w:spacing w:line="4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1.医院信息系统(HIS)</w:t>
      </w:r>
    </w:p>
    <w:p w14:paraId="7C131CFD">
      <w:pPr>
        <w:spacing w:line="4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2.实验室管理系统（LIS）</w:t>
      </w:r>
    </w:p>
    <w:p w14:paraId="0C18AAD8">
      <w:pPr>
        <w:spacing w:line="4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3.影像管理系统（PACS）</w:t>
      </w:r>
    </w:p>
    <w:p w14:paraId="3B152FCE">
      <w:pPr>
        <w:spacing w:line="4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4.电子病历系统（EMR））</w:t>
      </w:r>
    </w:p>
    <w:p w14:paraId="1BB813AE">
      <w:pPr>
        <w:spacing w:line="4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（二）测评定级为二级的2个信息系统</w:t>
      </w:r>
    </w:p>
    <w:p w14:paraId="3AD5C6F4">
      <w:pPr>
        <w:spacing w:line="480" w:lineRule="exact"/>
        <w:ind w:firstLine="480" w:firstLineChars="200"/>
        <w:rPr>
          <w:rFonts w:hint="eastAsia" w:ascii="宋体" w:hAnsi="宋体" w:eastAsia="宋体" w:cs="宋体"/>
          <w:sz w:val="24"/>
          <w:szCs w:val="24"/>
          <w:highlight w:val="none"/>
          <w:lang w:val="en-US" w:eastAsia="zh-CN"/>
        </w:rPr>
      </w:pPr>
      <w:bookmarkStart w:id="40" w:name="OLE_LINK6"/>
      <w:r>
        <w:rPr>
          <w:rFonts w:hint="eastAsia" w:ascii="宋体" w:hAnsi="宋体" w:eastAsia="宋体" w:cs="宋体"/>
          <w:sz w:val="24"/>
          <w:szCs w:val="24"/>
          <w:highlight w:val="none"/>
          <w:lang w:val="en-US" w:eastAsia="zh-CN"/>
        </w:rPr>
        <w:t>1.</w:t>
      </w:r>
      <w:bookmarkStart w:id="41" w:name="OLE_LINK4"/>
      <w:r>
        <w:rPr>
          <w:rFonts w:hint="eastAsia" w:ascii="宋体" w:hAnsi="宋体" w:eastAsia="宋体" w:cs="宋体"/>
          <w:sz w:val="24"/>
          <w:szCs w:val="24"/>
          <w:highlight w:val="none"/>
          <w:lang w:val="en-US" w:eastAsia="zh-CN"/>
        </w:rPr>
        <w:t>新疆维吾尔自治区第八人民医院</w:t>
      </w:r>
      <w:bookmarkEnd w:id="41"/>
      <w:r>
        <w:rPr>
          <w:rFonts w:hint="eastAsia" w:ascii="宋体" w:hAnsi="宋体" w:eastAsia="宋体" w:cs="宋体"/>
          <w:sz w:val="24"/>
          <w:szCs w:val="24"/>
          <w:highlight w:val="none"/>
          <w:lang w:val="en-US" w:eastAsia="zh-CN"/>
        </w:rPr>
        <w:t>微信公众平台服务号</w:t>
      </w:r>
    </w:p>
    <w:bookmarkEnd w:id="40"/>
    <w:p w14:paraId="1B9AF45E">
      <w:pPr>
        <w:spacing w:line="480" w:lineRule="exact"/>
        <w:ind w:firstLine="480" w:firstLineChars="200"/>
        <w:rPr>
          <w:rFonts w:hint="eastAsia" w:ascii="宋体" w:hAnsi="宋体" w:eastAsia="宋体" w:cs="宋体"/>
          <w:sz w:val="24"/>
          <w:szCs w:val="24"/>
          <w:highlight w:val="none"/>
          <w:lang w:val="en-US" w:eastAsia="zh-CN"/>
        </w:rPr>
      </w:pPr>
      <w:bookmarkStart w:id="42" w:name="OLE_LINK7"/>
      <w:r>
        <w:rPr>
          <w:rFonts w:hint="eastAsia" w:ascii="宋体" w:hAnsi="宋体" w:eastAsia="宋体" w:cs="宋体"/>
          <w:sz w:val="24"/>
          <w:szCs w:val="24"/>
          <w:highlight w:val="none"/>
          <w:lang w:val="en-US" w:eastAsia="zh-CN"/>
        </w:rPr>
        <w:t>2.新疆维吾尔自治区第八人民医院微信小程序</w:t>
      </w:r>
      <w:bookmarkEnd w:id="42"/>
    </w:p>
    <w:p w14:paraId="0094969F">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测评过程中</w:t>
      </w:r>
      <w:r>
        <w:rPr>
          <w:rFonts w:hint="eastAsia" w:ascii="宋体" w:hAnsi="宋体" w:eastAsia="宋体" w:cs="宋体"/>
          <w:sz w:val="24"/>
          <w:szCs w:val="24"/>
          <w:highlight w:val="none"/>
        </w:rPr>
        <w:t>投标人应</w:t>
      </w:r>
      <w:r>
        <w:rPr>
          <w:rFonts w:hint="eastAsia" w:ascii="宋体" w:hAnsi="宋体" w:eastAsia="宋体" w:cs="宋体"/>
          <w:sz w:val="24"/>
          <w:szCs w:val="24"/>
          <w:highlight w:val="none"/>
          <w:lang w:eastAsia="zh-CN"/>
        </w:rPr>
        <w:t>保障本项目所涉及到的</w:t>
      </w:r>
      <w:r>
        <w:rPr>
          <w:rFonts w:hint="eastAsia" w:ascii="宋体" w:hAnsi="宋体" w:eastAsia="宋体" w:cs="宋体"/>
          <w:sz w:val="24"/>
          <w:szCs w:val="24"/>
          <w:highlight w:val="none"/>
        </w:rPr>
        <w:t>招标人</w:t>
      </w:r>
      <w:r>
        <w:rPr>
          <w:rFonts w:hint="eastAsia" w:ascii="宋体" w:hAnsi="宋体" w:eastAsia="宋体" w:cs="宋体"/>
          <w:sz w:val="24"/>
          <w:szCs w:val="24"/>
          <w:highlight w:val="none"/>
          <w:lang w:eastAsia="zh-CN"/>
        </w:rPr>
        <w:t>所有软硬件及网络的安全完好，如发生损坏，投标人承担全部责任，测评结束后投标人应在一个月内提交测评报告。</w:t>
      </w:r>
    </w:p>
    <w:p w14:paraId="4FF6D209">
      <w:pPr>
        <w:spacing w:line="480" w:lineRule="exact"/>
        <w:ind w:firstLine="480" w:firstLineChars="200"/>
        <w:rPr>
          <w:rFonts w:hint="eastAsia" w:ascii="宋体" w:hAnsi="宋体" w:eastAsia="宋体" w:cs="宋体"/>
          <w:sz w:val="24"/>
          <w:szCs w:val="24"/>
          <w:highlight w:val="none"/>
          <w:lang w:val="en-US" w:eastAsia="zh-CN"/>
        </w:rPr>
      </w:pPr>
    </w:p>
    <w:p w14:paraId="5509164D">
      <w:pPr>
        <w:spacing w:line="360" w:lineRule="auto"/>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三、项目</w:t>
      </w:r>
      <w:bookmarkStart w:id="43" w:name="OLE_LINK2"/>
      <w:r>
        <w:rPr>
          <w:rFonts w:hint="eastAsia" w:ascii="宋体" w:hAnsi="宋体" w:eastAsia="宋体" w:cs="宋体"/>
          <w:b/>
          <w:color w:val="000000"/>
          <w:sz w:val="24"/>
          <w:szCs w:val="24"/>
          <w:highlight w:val="none"/>
        </w:rPr>
        <w:t>服务</w:t>
      </w:r>
      <w:bookmarkEnd w:id="43"/>
      <w:r>
        <w:rPr>
          <w:rFonts w:hint="eastAsia" w:ascii="宋体" w:hAnsi="宋体" w:eastAsia="宋体" w:cs="宋体"/>
          <w:b/>
          <w:color w:val="000000"/>
          <w:sz w:val="24"/>
          <w:szCs w:val="24"/>
          <w:highlight w:val="none"/>
        </w:rPr>
        <w:t>范围与内容</w:t>
      </w:r>
    </w:p>
    <w:p w14:paraId="2A978A71">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将由投标人协助招标人对医院信息管理系统进行系统定级、备案、差距分析，对不符合信息安全等级保护有关管理规范和技术标准的，提出可行性整改方案并协助整改，在整改完成后对整改项进行测评，测评后经甲方确认并出具至少为合格的信息系统安全等级测评报告，凡不合格的信息系统安全等级测评报告，在整改完成后需再次测评，直至测评合格。自签订合同并测评合格后免费提供技术支持1年。注：所有产生的费用均由投标人负责自理。</w:t>
      </w:r>
    </w:p>
    <w:p w14:paraId="762FF86C">
      <w:pPr>
        <w:spacing w:line="480" w:lineRule="exact"/>
        <w:ind w:firstLine="480" w:firstLineChars="200"/>
        <w:rPr>
          <w:rFonts w:hint="eastAsia" w:ascii="宋体" w:hAnsi="宋体" w:eastAsia="宋体" w:cs="宋体"/>
          <w:spacing w:val="-2"/>
          <w:kern w:val="0"/>
          <w:sz w:val="24"/>
          <w:szCs w:val="24"/>
          <w:highlight w:val="none"/>
        </w:rPr>
      </w:pPr>
      <w:r>
        <w:rPr>
          <w:rFonts w:hint="eastAsia" w:ascii="宋体" w:hAnsi="宋体" w:eastAsia="宋体" w:cs="宋体"/>
          <w:sz w:val="24"/>
          <w:szCs w:val="24"/>
          <w:highlight w:val="none"/>
        </w:rPr>
        <w:t>具体如下：</w:t>
      </w:r>
    </w:p>
    <w:tbl>
      <w:tblPr>
        <w:tblStyle w:val="61"/>
        <w:tblW w:w="9639" w:type="dxa"/>
        <w:tblInd w:w="0" w:type="dxa"/>
        <w:tblLayout w:type="fixed"/>
        <w:tblCellMar>
          <w:top w:w="15" w:type="dxa"/>
          <w:left w:w="15" w:type="dxa"/>
          <w:bottom w:w="15" w:type="dxa"/>
          <w:right w:w="15" w:type="dxa"/>
        </w:tblCellMar>
      </w:tblPr>
      <w:tblGrid>
        <w:gridCol w:w="1366"/>
        <w:gridCol w:w="8273"/>
      </w:tblGrid>
      <w:tr w14:paraId="2FEA6C60">
        <w:tblPrEx>
          <w:tblCellMar>
            <w:top w:w="15" w:type="dxa"/>
            <w:left w:w="15" w:type="dxa"/>
            <w:bottom w:w="15" w:type="dxa"/>
            <w:right w:w="15" w:type="dxa"/>
          </w:tblCellMar>
        </w:tblPrEx>
        <w:trPr>
          <w:trHeight w:val="521" w:hRule="atLeast"/>
        </w:trPr>
        <w:tc>
          <w:tcPr>
            <w:tcW w:w="136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087C771">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工作阶段</w:t>
            </w:r>
          </w:p>
        </w:tc>
        <w:tc>
          <w:tcPr>
            <w:tcW w:w="82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0E00AF7">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具体内容</w:t>
            </w:r>
          </w:p>
        </w:tc>
      </w:tr>
      <w:tr w14:paraId="2FE0349D">
        <w:tblPrEx>
          <w:tblCellMar>
            <w:top w:w="15" w:type="dxa"/>
            <w:left w:w="15" w:type="dxa"/>
            <w:bottom w:w="15" w:type="dxa"/>
            <w:right w:w="15" w:type="dxa"/>
          </w:tblCellMar>
        </w:tblPrEx>
        <w:trPr>
          <w:trHeight w:val="1455" w:hRule="atLeast"/>
        </w:trPr>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98F74">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信息系统定级、协助备案服务</w:t>
            </w:r>
          </w:p>
        </w:tc>
        <w:tc>
          <w:tcPr>
            <w:tcW w:w="82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D9452">
            <w:pPr>
              <w:spacing w:line="48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协助招标人按照《信息安全等级保护定级指南》要求将信息系统准确定级，提供所需的材料模板，指导并协助材料的填写工作，组织召开定级专家评审会，协助完成在本地公安机关的备案工作；</w:t>
            </w:r>
          </w:p>
        </w:tc>
      </w:tr>
      <w:tr w14:paraId="2AD6E5E6">
        <w:tblPrEx>
          <w:tblCellMar>
            <w:top w:w="15" w:type="dxa"/>
            <w:left w:w="15" w:type="dxa"/>
            <w:bottom w:w="15" w:type="dxa"/>
            <w:right w:w="15" w:type="dxa"/>
          </w:tblCellMar>
        </w:tblPrEx>
        <w:trPr>
          <w:trHeight w:val="2399" w:hRule="atLeast"/>
        </w:trPr>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32608">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等级保护</w:t>
            </w:r>
          </w:p>
          <w:p w14:paraId="6D98BAF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差距分析</w:t>
            </w:r>
          </w:p>
        </w:tc>
        <w:tc>
          <w:tcPr>
            <w:tcW w:w="82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B6CC4">
            <w:pPr>
              <w:spacing w:line="48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差距分析：针对信息系统的安全保护现状，从安全物理环境、安全通信网络、安全区域边界、安全计算环境、安全管理制度、安全管理机构、安全管理人员、安全管理中心、安全建设管理、安全运维管理十个方面进行分析，分析各层面安全现状与等级保护基本要求之间的差距，完成《信息系统安全差距分析报告》。</w:t>
            </w:r>
          </w:p>
        </w:tc>
      </w:tr>
      <w:tr w14:paraId="40CFFA1E">
        <w:tblPrEx>
          <w:tblCellMar>
            <w:top w:w="15" w:type="dxa"/>
            <w:left w:w="15" w:type="dxa"/>
            <w:bottom w:w="15" w:type="dxa"/>
            <w:right w:w="15" w:type="dxa"/>
          </w:tblCellMar>
        </w:tblPrEx>
        <w:trPr>
          <w:trHeight w:val="5521" w:hRule="atLeast"/>
        </w:trPr>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E8779">
            <w:pPr>
              <w:spacing w:line="400" w:lineRule="exact"/>
              <w:ind w:right="193"/>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等保测评</w:t>
            </w:r>
          </w:p>
        </w:tc>
        <w:tc>
          <w:tcPr>
            <w:tcW w:w="8273" w:type="dxa"/>
            <w:tcBorders>
              <w:top w:val="single" w:color="000000" w:sz="4" w:space="0"/>
              <w:left w:val="single" w:color="000000" w:sz="4" w:space="0"/>
              <w:bottom w:val="single" w:color="000000" w:sz="4" w:space="0"/>
              <w:right w:val="single" w:color="000000" w:sz="4" w:space="0"/>
            </w:tcBorders>
            <w:shd w:val="clear" w:color="auto" w:fill="FFFFFF"/>
            <w:noWrap/>
          </w:tcPr>
          <w:p w14:paraId="473E13EE">
            <w:pPr>
              <w:spacing w:line="48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依据国家等级保护2.0相关网络安全标准和规范，严格遵循《信息安全技术信息系统安全等级保护测评要求》和《信息安全技术信息系统安全等级保护测评过程指南》文件，根据本项目信息系统已完成的定级备案安全等级，开展相应级别的安全等级测评工作，测评工作包括技术测评和管理测评两部分，分别为：</w:t>
            </w:r>
          </w:p>
          <w:p w14:paraId="4A9D1981">
            <w:pPr>
              <w:spacing w:line="400" w:lineRule="exact"/>
              <w:ind w:right="193"/>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（一）技术测评</w:t>
            </w:r>
          </w:p>
          <w:p w14:paraId="20E2D908">
            <w:pPr>
              <w:spacing w:line="400" w:lineRule="exact"/>
              <w:ind w:right="193"/>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1、安全物理环境：物理位置的选择、物理访问控制、防盗窃和防破坏、防雷击、防火、防水和防潮、防静电、温湿度控制、电力供应、电磁防护。</w:t>
            </w:r>
          </w:p>
          <w:p w14:paraId="33B5FC51">
            <w:pPr>
              <w:spacing w:line="400" w:lineRule="exact"/>
              <w:ind w:right="193"/>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安全通信网络：网络安全测评通过访谈、检查和测试的方式评测信息系统的网络安全保障情况。主要涉及对象为信息系统的网络拓扑结构、通信传输以及可信验证等三大类，具体的测评内容如下所示：网络设备业务处理能力、带宽、网络区域划分；通信中数据完整性、保密性；可基于可信根对通信设备的系统引导程序、系统程序、重要配置参数和通信应用程序等进行可信验证，并在应用程序的关键执行环节进行动态可信验证，在检测到其可信性受到破坏后进行报警，并将验证结果形成审计记录送至安全管理中心。</w:t>
            </w:r>
          </w:p>
          <w:p w14:paraId="18CF519D">
            <w:pPr>
              <w:spacing w:line="400" w:lineRule="exact"/>
              <w:ind w:right="193"/>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安全区域边界：安全区域边界测评通过访谈、检查和测试的方式，测评信息系统主要是对边界防护、入侵防范、安全审计、可信验证情况。具体测评内容包括：边界防护设备部署、访问端口设置、身份鉴别、访问控制、安全审计、剩余信息保护、入侵防范、恶意代码防范、资源控制。</w:t>
            </w:r>
          </w:p>
          <w:p w14:paraId="3ECABF70">
            <w:pPr>
              <w:spacing w:line="400" w:lineRule="exact"/>
              <w:ind w:right="193"/>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4、安全计算环境：安全计算环境测评通过访谈、检查和测试的方式评测信息系统的应用安全保障情况。主要涉及身份鉴别、访问控制、安全审计、入侵防范、可信验证等。</w:t>
            </w:r>
          </w:p>
          <w:p w14:paraId="1963705D">
            <w:pPr>
              <w:spacing w:line="400" w:lineRule="exact"/>
              <w:ind w:right="193"/>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5、安全管理中心：安全管理中心测评通过访谈和检查的方式评估信息系统的数据安全保障情况。重点检测信息系统的数据管理、集中管控、审计管理。</w:t>
            </w:r>
          </w:p>
          <w:p w14:paraId="0A5511DD">
            <w:pPr>
              <w:spacing w:line="400" w:lineRule="exact"/>
              <w:ind w:right="193"/>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（二）管理测评</w:t>
            </w:r>
          </w:p>
          <w:p w14:paraId="648A3809">
            <w:pPr>
              <w:spacing w:line="400" w:lineRule="exact"/>
              <w:ind w:right="193"/>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安全管理制度：安全管理制度测评通过访谈和检查的形式评估安全管理制度的制定、发布、评审和修订等情况。主要涉及的对象为安全主管人员、安全管理人员、其他人员、管理制度、操作规程文件等，具体评内容包括：管理制度、制定和发布、评审和修订。</w:t>
            </w:r>
          </w:p>
          <w:p w14:paraId="26A80986">
            <w:pPr>
              <w:spacing w:line="400" w:lineRule="exact"/>
              <w:ind w:right="193"/>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安全管理机构：安全管理机构测评通过访谈和检查的形式评估安全管理机构的组成情况和机构工作组织情况。主要涉及的对象为安全主管人员、安全管理人员、相关的文件资料和工作记录等，具体测评内容包括：岗位设置、人员配备、授权和审批、沟通和合作、审核和检查。</w:t>
            </w:r>
          </w:p>
          <w:p w14:paraId="160782FB">
            <w:pPr>
              <w:spacing w:line="400" w:lineRule="exact"/>
              <w:ind w:right="193"/>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安全管理人员：人员安全管理测评通过访谈和检查的形式评估机构人员安全控制方面的情况。主要涉及对象为安全主管人员、人事管理人员、相关管理制度、相关工作记录等，具体测评内容包括：人员录用、人员离岗、人员考核、安全意识教育和培训、外部人员访问管理。</w:t>
            </w:r>
          </w:p>
          <w:p w14:paraId="22B77B64">
            <w:pPr>
              <w:spacing w:line="400" w:lineRule="exact"/>
              <w:ind w:right="193"/>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系统建设管理：系统建设管理测评通过访谈和检查的形式评估系统建设管理过程中的安全控制情况。主要涉及对象为安全主管人员、系统建设负责人、管理制度、操作规程文件、执行过程记录等，具体测评内容包括：系统定级、安全方案设计、产品采购和使用、自行软件开发、外包软件开发、工程实施、测试验收、系统交付、系统备案、等级测评、安全服务商选择。</w:t>
            </w:r>
          </w:p>
          <w:p w14:paraId="0AFD8944">
            <w:pPr>
              <w:spacing w:line="400" w:lineRule="exact"/>
              <w:ind w:right="193"/>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系统运维管理：通过访谈和检查的形式评测系统运维管理过程中的安全控制情况。主要涉及人员有安全主管人员、安全管理人员、运维人员，涉及内容有运维管理制度、运维服务团队的管理制度、操作规程文件、执行过程记录等。具体测评内容包括：环境管理、资产管理、介质管理、设备管理、监控管理和安全管理中心、网络安全管理、系统安全管理、恶意代码防范管理、密码管理、变更管理、备份与恢复管理、安全事件处置、应急预案管理。</w:t>
            </w:r>
          </w:p>
        </w:tc>
      </w:tr>
    </w:tbl>
    <w:p w14:paraId="09AACDEB">
      <w:pPr>
        <w:spacing w:line="48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根据以上10个层面的现场测评结果出具相应的单项和整体测评报告，测评报告需得到项目单位的确认，并报有关监管部门审核通过。</w:t>
      </w:r>
    </w:p>
    <w:p w14:paraId="225A5498">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p>
    <w:p w14:paraId="5E035B3C">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p>
    <w:p w14:paraId="2AB46D7A">
      <w:pPr>
        <w:keepNext w:val="0"/>
        <w:keepLines w:val="0"/>
        <w:pageBreakBefore w:val="0"/>
        <w:widowControl w:val="0"/>
        <w:kinsoku/>
        <w:wordWrap/>
        <w:overflowPunct/>
        <w:topLinePunct w:val="0"/>
        <w:autoSpaceDE/>
        <w:autoSpaceDN/>
        <w:bidi w:val="0"/>
        <w:adjustRightInd w:val="0"/>
        <w:snapToGrid/>
        <w:spacing w:line="360" w:lineRule="auto"/>
        <w:ind w:firstLine="84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标项二：采购需求及技术参数</w:t>
      </w:r>
    </w:p>
    <w:p w14:paraId="3C233733">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采购需求：300万条行业短信服务</w:t>
      </w:r>
    </w:p>
    <w:p w14:paraId="153EE301">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技术参数要求：</w:t>
      </w:r>
    </w:p>
    <w:p w14:paraId="0FAC4CF7">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1、覆盖范围为全国，通道资源落地江苏，浙江，福建，广东，山东，山西，陕西，河北，河南，内蒙古、新疆等全国各地，覆盖全国，支持移动，电信，联通和广电运营商。</w:t>
      </w:r>
    </w:p>
    <w:p w14:paraId="047FCE88">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2、Qps=12000+，平均延迟：5~10ms，最大延迟：3~6ms，平均响应时间10MS</w:t>
      </w:r>
    </w:p>
    <w:p w14:paraId="40C04100">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3、具备高可用性和稳定的发送速度，避免发送失败或延迟，保证国内验证码和行业通知短信。</w:t>
      </w:r>
    </w:p>
    <w:p w14:paraId="526E5AF7">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3.1、接口稳定性优化：通过负载均衡、容灾备份等技术手段，确保接口在高并发场景下仍然能够稳定运行，避免由于接口崩溃或响应过慢导致的数据丢失。</w:t>
      </w:r>
    </w:p>
    <w:p w14:paraId="12903171">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3.2、请求重试机制：在客户端实现请求重试逻辑，当接口请求失败时，按照一定的策略（如退避算法）重新发起请求，直至成功或达到最大重试次数。</w:t>
      </w:r>
    </w:p>
    <w:p w14:paraId="74C9A1A4">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3.3、数据校验与确认：在接口设计时，添加数据校验和确认机制，确保发送方和接收方对数据的完整性和一致性有明确的认知。例如，使用消息队列或分布式事务等中间件来确保数据的可靠传输。</w:t>
      </w:r>
    </w:p>
    <w:p w14:paraId="0C096790">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3.4、监控与告警：建立完善的监控体系，实时跟踪接口的请求量、响应时间、成功率等指标，一旦数据到达率低于阈值，立即触发告警，以便及时发现问题并进行处理。</w:t>
      </w:r>
    </w:p>
    <w:p w14:paraId="1A724301">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3.5、网络优化：优化网络环境和配置，减少网络抖动和丢包的可能性，确保请求数据能够稳定地到达接口。</w:t>
      </w:r>
    </w:p>
    <w:p w14:paraId="2101DA51">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3.6、接口协议与规范：遵循标准的接口协议和规范，确保发送方和接收方对数据格式、编码方式等有统一的认知，避免因协议不匹配导致的数据丢失或解析错误。</w:t>
      </w:r>
    </w:p>
    <w:p w14:paraId="3853AB9C">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过采取以上措施，可以有效提高接口数据到达率，确保接口请求的数据能够全部被接受。回执依据运营商返回，72小时之后未知率0.05左右，并且我们也做了每条通道的返回率判断当天返回率低于95%会做预警排查通道状态是否与运营商之间连接异常。</w:t>
      </w:r>
    </w:p>
    <w:p w14:paraId="4B913440">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4、数据接口稳定性（网络、功能）：99.9%，系统与关联系统接口为松耦合、边界清晰的方案是为了确保不同系统之间的交互更加灵活、可靠和易于维护。以下是实现这一目标的几个关键措施：</w:t>
      </w:r>
    </w:p>
    <w:p w14:paraId="1ADC87CA">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4.1.定义清晰的接口：</w:t>
      </w:r>
    </w:p>
    <w:p w14:paraId="30E8FA21">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确定接口的参与方，包括调用方和被调用方。明确接口的输入和输出参数，以及参数的数据类型、格式和范围。规定接口的响应时间、错误码和异常处理机制。</w:t>
      </w:r>
    </w:p>
    <w:p w14:paraId="37146953">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通过协议或标准化的接口描述语言（如Swagger、RESTfulAPI等）进行接口定义和文档化，以便于参与方之间的理解和协作。</w:t>
      </w:r>
    </w:p>
    <w:p w14:paraId="7A648B10">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设计低耦合的接口：减少接口之间的依赖关系，使接口之间保持相对独立。采用事件驱动架构，通过事件触发不同系统之间的交互。使用适配器或中介器模式，将不同系统之间的差异抽象化，实现解耦。避免直接引用其他系统的内部实现细节，减少对其他系统的依赖。</w:t>
      </w:r>
    </w:p>
    <w:p w14:paraId="0FA1092A">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明确的接口边界：对接不同系统之间的工作流程，确保清晰的业务逻辑划分。使用明确定义的协议或消息格式进行通信，避免混淆和歧义。遵循单一职责原则，每个接口只处理特定的业务功能，避免功能冗余和交叉。</w:t>
      </w:r>
    </w:p>
    <w:p w14:paraId="450CDA16">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4.4.接口安全：对接口进行身份验证和授权，确保只有合法的调用方能够访问接口。使用加密技术对传输的数据进行加密，确保数据传输安全。引入日志记录和监控机制，以便及时发现和解决潜在的安全风险。</w:t>
      </w:r>
    </w:p>
    <w:p w14:paraId="23208D4C">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4.5.接口版本控制：</w:t>
      </w:r>
    </w:p>
    <w:p w14:paraId="699D0FEF">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在接口设计之初就要考虑未来可能的变更，并引入版本控制机制。为每个接口版本定义清晰的迁移路径，确保调用方能够平滑过渡到新版本。在新版本发布时，提供兼容性支持，允许调用方逐步迁移到新版本。</w:t>
      </w:r>
    </w:p>
    <w:p w14:paraId="525E393C">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4.6.测试和验证：</w:t>
      </w:r>
    </w:p>
    <w:p w14:paraId="0F2805EB">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接口进行充分的测试，包括单元测试、集成测试和端到端测试。在生产环境之前，在沙箱或模拟环境中进行接口验证，确保与关联系统的兼容性和稳定性。定期对接口进行复查和优化，以应对业务变化和技术更新的需求。</w:t>
      </w:r>
    </w:p>
    <w:p w14:paraId="15C7B67A">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4.7.文档和支持：</w:t>
      </w:r>
    </w:p>
    <w:p w14:paraId="3C2E3BF4">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为接口提供详细的文档说明，包括接口的使用指南、技术规范、示例代码等。提供在线支持平台，为调用方提供及时的技术支持和问题解答。</w:t>
      </w:r>
    </w:p>
    <w:p w14:paraId="023616C5">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4.8.持续改进：</w:t>
      </w:r>
    </w:p>
    <w:p w14:paraId="5D6D47A8">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业务需求和技术发展，定期对接口进行评估和改进。引入敏捷开发方法，持续优化接口设计和实现，以满足不断变化的需求。通过以上措施的实施，可以确保系统与关联系统之间的接口为松耦合、边界清晰，从而提高系统的可维护性、可扩展性和可靠性。</w:t>
      </w:r>
    </w:p>
    <w:p w14:paraId="2690EA9A">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p>
    <w:p w14:paraId="487D44A1">
      <w:pP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br w:type="page"/>
      </w:r>
    </w:p>
    <w:p w14:paraId="0BCE022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标项三：</w:t>
      </w:r>
      <w:bookmarkStart w:id="44" w:name="_Toc14902"/>
      <w:bookmarkStart w:id="45" w:name="_Toc309133988"/>
      <w:r>
        <w:rPr>
          <w:rFonts w:hint="eastAsia" w:ascii="宋体" w:hAnsi="宋体" w:eastAsia="宋体" w:cs="宋体"/>
          <w:b/>
          <w:bCs/>
          <w:kern w:val="2"/>
          <w:sz w:val="24"/>
          <w:szCs w:val="24"/>
          <w:highlight w:val="none"/>
          <w:lang w:val="en-US" w:eastAsia="zh-CN" w:bidi="ar-SA"/>
        </w:rPr>
        <w:t>运维服务需求</w:t>
      </w:r>
      <w:bookmarkEnd w:id="44"/>
    </w:p>
    <w:p w14:paraId="6A92097A">
      <w:pPr>
        <w:pStyle w:val="3"/>
        <w:bidi w:val="0"/>
        <w:rPr>
          <w:rFonts w:hint="eastAsia" w:ascii="宋体" w:hAnsi="宋体" w:eastAsia="宋体" w:cs="宋体"/>
          <w:b/>
          <w:bCs/>
          <w:sz w:val="24"/>
          <w:szCs w:val="24"/>
          <w:highlight w:val="none"/>
          <w:lang w:val="en-US"/>
        </w:rPr>
      </w:pPr>
      <w:bookmarkStart w:id="46" w:name="_Toc9235"/>
      <w:r>
        <w:rPr>
          <w:rFonts w:hint="eastAsia" w:ascii="宋体" w:hAnsi="宋体" w:eastAsia="宋体" w:cs="宋体"/>
          <w:b/>
          <w:bCs/>
          <w:sz w:val="24"/>
          <w:szCs w:val="24"/>
          <w:highlight w:val="none"/>
          <w:lang w:val="en-US" w:eastAsia="zh-CN"/>
        </w:rPr>
        <w:t>运维服务设备清单</w:t>
      </w:r>
      <w:bookmarkEnd w:id="46"/>
    </w:p>
    <w:tbl>
      <w:tblPr>
        <w:tblStyle w:val="6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593"/>
        <w:gridCol w:w="4251"/>
        <w:gridCol w:w="1117"/>
        <w:gridCol w:w="1072"/>
      </w:tblGrid>
      <w:tr w14:paraId="6DDE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jc w:val="center"/>
        </w:trPr>
        <w:tc>
          <w:tcPr>
            <w:tcW w:w="414" w:type="pct"/>
            <w:noWrap w:val="0"/>
            <w:vAlign w:val="center"/>
          </w:tcPr>
          <w:p w14:paraId="46732E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316" w:type="pct"/>
            <w:noWrap w:val="0"/>
            <w:vAlign w:val="center"/>
          </w:tcPr>
          <w:p w14:paraId="4EF00E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2157" w:type="pct"/>
            <w:noWrap w:val="0"/>
            <w:vAlign w:val="center"/>
          </w:tcPr>
          <w:p w14:paraId="7FCAD6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型号</w:t>
            </w:r>
          </w:p>
        </w:tc>
        <w:tc>
          <w:tcPr>
            <w:tcW w:w="567" w:type="pct"/>
            <w:noWrap w:val="0"/>
            <w:vAlign w:val="center"/>
          </w:tcPr>
          <w:p w14:paraId="0D4F3C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544" w:type="pct"/>
            <w:noWrap w:val="0"/>
            <w:vAlign w:val="center"/>
          </w:tcPr>
          <w:p w14:paraId="68E25A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r>
      <w:tr w14:paraId="6826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660443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316" w:type="pct"/>
            <w:noWrap w:val="0"/>
            <w:vAlign w:val="center"/>
          </w:tcPr>
          <w:p w14:paraId="0B6A52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虚拟化软件</w:t>
            </w:r>
          </w:p>
        </w:tc>
        <w:tc>
          <w:tcPr>
            <w:tcW w:w="2157" w:type="pct"/>
            <w:noWrap w:val="0"/>
            <w:vAlign w:val="center"/>
          </w:tcPr>
          <w:p w14:paraId="0E2469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VMwarevSphereEnterprise6.5</w:t>
            </w:r>
          </w:p>
        </w:tc>
        <w:tc>
          <w:tcPr>
            <w:tcW w:w="567" w:type="pct"/>
            <w:noWrap w:val="0"/>
            <w:vAlign w:val="center"/>
          </w:tcPr>
          <w:p w14:paraId="44D9241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44" w:type="pct"/>
            <w:noWrap w:val="0"/>
            <w:vAlign w:val="center"/>
          </w:tcPr>
          <w:p w14:paraId="6D0975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1E6B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427F71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c>
          <w:tcPr>
            <w:tcW w:w="1316" w:type="pct"/>
            <w:noWrap w:val="0"/>
            <w:vAlign w:val="center"/>
          </w:tcPr>
          <w:p w14:paraId="71628A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虚拟化</w:t>
            </w:r>
            <w:r>
              <w:rPr>
                <w:rFonts w:hint="eastAsia" w:ascii="宋体" w:hAnsi="宋体" w:eastAsia="宋体" w:cs="宋体"/>
                <w:color w:val="auto"/>
                <w:kern w:val="0"/>
                <w:sz w:val="24"/>
                <w:szCs w:val="24"/>
                <w:highlight w:val="none"/>
              </w:rPr>
              <w:t>服务器</w:t>
            </w:r>
          </w:p>
        </w:tc>
        <w:tc>
          <w:tcPr>
            <w:tcW w:w="2157" w:type="pct"/>
            <w:noWrap w:val="0"/>
            <w:vAlign w:val="center"/>
          </w:tcPr>
          <w:p w14:paraId="5B49C4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DL580GEN9</w:t>
            </w:r>
          </w:p>
        </w:tc>
        <w:tc>
          <w:tcPr>
            <w:tcW w:w="567" w:type="pct"/>
            <w:noWrap w:val="0"/>
            <w:vAlign w:val="center"/>
          </w:tcPr>
          <w:p w14:paraId="263491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8</w:t>
            </w:r>
          </w:p>
        </w:tc>
        <w:tc>
          <w:tcPr>
            <w:tcW w:w="544" w:type="pct"/>
            <w:noWrap w:val="0"/>
            <w:vAlign w:val="center"/>
          </w:tcPr>
          <w:p w14:paraId="045447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14:paraId="7324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424EE8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p>
        </w:tc>
        <w:tc>
          <w:tcPr>
            <w:tcW w:w="1316" w:type="pct"/>
            <w:noWrap w:val="0"/>
            <w:vAlign w:val="center"/>
          </w:tcPr>
          <w:p w14:paraId="757352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存储宏杉</w:t>
            </w:r>
          </w:p>
        </w:tc>
        <w:tc>
          <w:tcPr>
            <w:tcW w:w="2157" w:type="pct"/>
            <w:noWrap w:val="0"/>
            <w:vAlign w:val="center"/>
          </w:tcPr>
          <w:p w14:paraId="4ED68A4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MS2500G2</w:t>
            </w:r>
          </w:p>
        </w:tc>
        <w:tc>
          <w:tcPr>
            <w:tcW w:w="567" w:type="pct"/>
            <w:noWrap w:val="0"/>
            <w:vAlign w:val="center"/>
          </w:tcPr>
          <w:p w14:paraId="787866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44" w:type="pct"/>
            <w:noWrap w:val="0"/>
            <w:vAlign w:val="center"/>
          </w:tcPr>
          <w:p w14:paraId="721B5B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742D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58A401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p>
        </w:tc>
        <w:tc>
          <w:tcPr>
            <w:tcW w:w="1316" w:type="pct"/>
            <w:noWrap w:val="0"/>
            <w:vAlign w:val="center"/>
          </w:tcPr>
          <w:p w14:paraId="0180FD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光纤交换机博科</w:t>
            </w:r>
          </w:p>
        </w:tc>
        <w:tc>
          <w:tcPr>
            <w:tcW w:w="2157" w:type="pct"/>
            <w:noWrap w:val="0"/>
            <w:vAlign w:val="center"/>
          </w:tcPr>
          <w:p w14:paraId="5335972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BR6505</w:t>
            </w:r>
          </w:p>
        </w:tc>
        <w:tc>
          <w:tcPr>
            <w:tcW w:w="567" w:type="pct"/>
            <w:noWrap w:val="0"/>
            <w:vAlign w:val="center"/>
          </w:tcPr>
          <w:p w14:paraId="29D1F7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544" w:type="pct"/>
            <w:noWrap w:val="0"/>
            <w:vAlign w:val="center"/>
          </w:tcPr>
          <w:p w14:paraId="7C05432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14:paraId="05C3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78A2DE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w:t>
            </w:r>
          </w:p>
        </w:tc>
        <w:tc>
          <w:tcPr>
            <w:tcW w:w="1316" w:type="pct"/>
            <w:noWrap w:val="0"/>
            <w:vAlign w:val="center"/>
          </w:tcPr>
          <w:p w14:paraId="72169BF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防火墙深信服</w:t>
            </w:r>
          </w:p>
        </w:tc>
        <w:tc>
          <w:tcPr>
            <w:tcW w:w="2157" w:type="pct"/>
            <w:noWrap w:val="0"/>
            <w:vAlign w:val="center"/>
          </w:tcPr>
          <w:p w14:paraId="01A4231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AF-1300</w:t>
            </w:r>
          </w:p>
        </w:tc>
        <w:tc>
          <w:tcPr>
            <w:tcW w:w="567" w:type="pct"/>
            <w:noWrap w:val="0"/>
            <w:vAlign w:val="center"/>
          </w:tcPr>
          <w:p w14:paraId="5535B9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44" w:type="pct"/>
            <w:noWrap w:val="0"/>
            <w:vAlign w:val="center"/>
          </w:tcPr>
          <w:p w14:paraId="37213D1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14:paraId="0422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2F4A9B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w:t>
            </w:r>
          </w:p>
        </w:tc>
        <w:tc>
          <w:tcPr>
            <w:tcW w:w="1316" w:type="pct"/>
            <w:noWrap w:val="0"/>
            <w:vAlign w:val="center"/>
          </w:tcPr>
          <w:p w14:paraId="6B5F31D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灾备一体机（虚拟化容灾备份平台）</w:t>
            </w:r>
          </w:p>
        </w:tc>
        <w:tc>
          <w:tcPr>
            <w:tcW w:w="2157" w:type="pct"/>
            <w:noWrap w:val="0"/>
            <w:vAlign w:val="center"/>
          </w:tcPr>
          <w:p w14:paraId="1A39DB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i2BOX</w:t>
            </w:r>
          </w:p>
        </w:tc>
        <w:tc>
          <w:tcPr>
            <w:tcW w:w="567" w:type="pct"/>
            <w:noWrap w:val="0"/>
            <w:vAlign w:val="center"/>
          </w:tcPr>
          <w:p w14:paraId="4F2E22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44" w:type="pct"/>
            <w:noWrap w:val="0"/>
            <w:vAlign w:val="center"/>
          </w:tcPr>
          <w:p w14:paraId="6565E8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6C82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4355E9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7</w:t>
            </w:r>
          </w:p>
        </w:tc>
        <w:tc>
          <w:tcPr>
            <w:tcW w:w="1316" w:type="pct"/>
            <w:noWrap w:val="0"/>
            <w:vAlign w:val="center"/>
          </w:tcPr>
          <w:p w14:paraId="50F7D7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核心交换机（虚拟化平台内部用）</w:t>
            </w:r>
          </w:p>
        </w:tc>
        <w:tc>
          <w:tcPr>
            <w:tcW w:w="2157" w:type="pct"/>
            <w:noWrap w:val="0"/>
            <w:vAlign w:val="center"/>
          </w:tcPr>
          <w:p w14:paraId="4C0C2C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RS5300-52T-4F</w:t>
            </w:r>
          </w:p>
        </w:tc>
        <w:tc>
          <w:tcPr>
            <w:tcW w:w="567" w:type="pct"/>
            <w:noWrap w:val="0"/>
            <w:vAlign w:val="center"/>
          </w:tcPr>
          <w:p w14:paraId="4285D2D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544" w:type="pct"/>
            <w:noWrap w:val="0"/>
            <w:vAlign w:val="center"/>
          </w:tcPr>
          <w:p w14:paraId="25C599A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14:paraId="5C02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0FE889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8</w:t>
            </w:r>
          </w:p>
        </w:tc>
        <w:tc>
          <w:tcPr>
            <w:tcW w:w="1316" w:type="pct"/>
            <w:noWrap w:val="0"/>
            <w:vAlign w:val="center"/>
          </w:tcPr>
          <w:p w14:paraId="791CBA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IPS入侵防御</w:t>
            </w:r>
          </w:p>
        </w:tc>
        <w:tc>
          <w:tcPr>
            <w:tcW w:w="2157" w:type="pct"/>
            <w:noWrap w:val="0"/>
            <w:vAlign w:val="center"/>
          </w:tcPr>
          <w:p w14:paraId="5F8C9D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AF-1000-D420</w:t>
            </w:r>
          </w:p>
        </w:tc>
        <w:tc>
          <w:tcPr>
            <w:tcW w:w="567" w:type="pct"/>
            <w:noWrap w:val="0"/>
            <w:vAlign w:val="center"/>
          </w:tcPr>
          <w:p w14:paraId="101BF5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44" w:type="pct"/>
            <w:noWrap w:val="0"/>
            <w:vAlign w:val="center"/>
          </w:tcPr>
          <w:p w14:paraId="63B45F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14:paraId="556A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47D9A5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9</w:t>
            </w:r>
          </w:p>
        </w:tc>
        <w:tc>
          <w:tcPr>
            <w:tcW w:w="1316" w:type="pct"/>
            <w:noWrap w:val="0"/>
            <w:vAlign w:val="center"/>
          </w:tcPr>
          <w:p w14:paraId="31DF65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上网行为管理</w:t>
            </w:r>
          </w:p>
        </w:tc>
        <w:tc>
          <w:tcPr>
            <w:tcW w:w="2157" w:type="pct"/>
            <w:noWrap w:val="0"/>
            <w:vAlign w:val="center"/>
          </w:tcPr>
          <w:p w14:paraId="28ECC9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AC-1000-C440</w:t>
            </w:r>
          </w:p>
        </w:tc>
        <w:tc>
          <w:tcPr>
            <w:tcW w:w="567" w:type="pct"/>
            <w:noWrap w:val="0"/>
            <w:vAlign w:val="center"/>
          </w:tcPr>
          <w:p w14:paraId="78F702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44" w:type="pct"/>
            <w:noWrap w:val="0"/>
            <w:vAlign w:val="center"/>
          </w:tcPr>
          <w:p w14:paraId="3B9EA43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14:paraId="2087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534B5D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1316" w:type="pct"/>
            <w:noWrap w:val="0"/>
            <w:vAlign w:val="center"/>
          </w:tcPr>
          <w:p w14:paraId="6E1731D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WEB防火墙</w:t>
            </w:r>
          </w:p>
        </w:tc>
        <w:tc>
          <w:tcPr>
            <w:tcW w:w="2157" w:type="pct"/>
            <w:noWrap w:val="0"/>
            <w:vAlign w:val="center"/>
          </w:tcPr>
          <w:p w14:paraId="4CDA5F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WAF-1000-D420</w:t>
            </w:r>
          </w:p>
        </w:tc>
        <w:tc>
          <w:tcPr>
            <w:tcW w:w="567" w:type="pct"/>
            <w:noWrap w:val="0"/>
            <w:vAlign w:val="center"/>
          </w:tcPr>
          <w:p w14:paraId="340BBE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44" w:type="pct"/>
            <w:noWrap w:val="0"/>
            <w:vAlign w:val="center"/>
          </w:tcPr>
          <w:p w14:paraId="03AC5C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14:paraId="4895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5FFAAF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c>
          <w:tcPr>
            <w:tcW w:w="1316" w:type="pct"/>
            <w:noWrap w:val="0"/>
            <w:vAlign w:val="center"/>
          </w:tcPr>
          <w:p w14:paraId="3C8E7D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运维安全审计</w:t>
            </w:r>
          </w:p>
        </w:tc>
        <w:tc>
          <w:tcPr>
            <w:tcW w:w="2157" w:type="pct"/>
            <w:noWrap w:val="0"/>
            <w:vAlign w:val="center"/>
          </w:tcPr>
          <w:p w14:paraId="65D69E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LogBase-B1830P</w:t>
            </w:r>
          </w:p>
        </w:tc>
        <w:tc>
          <w:tcPr>
            <w:tcW w:w="567" w:type="pct"/>
            <w:noWrap w:val="0"/>
            <w:vAlign w:val="center"/>
          </w:tcPr>
          <w:p w14:paraId="0835806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44" w:type="pct"/>
            <w:noWrap w:val="0"/>
            <w:vAlign w:val="center"/>
          </w:tcPr>
          <w:p w14:paraId="1D3055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14:paraId="560D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1A946FF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1316" w:type="pct"/>
            <w:noWrap w:val="0"/>
            <w:vAlign w:val="center"/>
          </w:tcPr>
          <w:p w14:paraId="13BDC11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存储</w:t>
            </w:r>
          </w:p>
        </w:tc>
        <w:tc>
          <w:tcPr>
            <w:tcW w:w="2157" w:type="pct"/>
            <w:noWrap w:val="0"/>
            <w:vAlign w:val="center"/>
          </w:tcPr>
          <w:p w14:paraId="65A9ACB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MS2500G2-16A</w:t>
            </w:r>
          </w:p>
        </w:tc>
        <w:tc>
          <w:tcPr>
            <w:tcW w:w="567" w:type="pct"/>
            <w:noWrap w:val="0"/>
            <w:vAlign w:val="center"/>
          </w:tcPr>
          <w:p w14:paraId="505778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44" w:type="pct"/>
            <w:noWrap w:val="0"/>
            <w:vAlign w:val="center"/>
          </w:tcPr>
          <w:p w14:paraId="4C3D16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14:paraId="2562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246852C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c>
          <w:tcPr>
            <w:tcW w:w="1316" w:type="pct"/>
            <w:noWrap w:val="0"/>
            <w:vAlign w:val="center"/>
          </w:tcPr>
          <w:p w14:paraId="2422574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核心交换机（虚拟化平台局域网使用）</w:t>
            </w:r>
          </w:p>
        </w:tc>
        <w:tc>
          <w:tcPr>
            <w:tcW w:w="2157" w:type="pct"/>
            <w:noWrap w:val="0"/>
            <w:vAlign w:val="center"/>
          </w:tcPr>
          <w:p w14:paraId="7EA361F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H3C7506E-NP</w:t>
            </w:r>
          </w:p>
        </w:tc>
        <w:tc>
          <w:tcPr>
            <w:tcW w:w="567" w:type="pct"/>
            <w:noWrap w:val="0"/>
            <w:vAlign w:val="center"/>
          </w:tcPr>
          <w:p w14:paraId="1A1217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544" w:type="pct"/>
            <w:noWrap w:val="0"/>
            <w:vAlign w:val="center"/>
          </w:tcPr>
          <w:p w14:paraId="05CB149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14:paraId="466B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4" w:type="pct"/>
            <w:noWrap w:val="0"/>
            <w:vAlign w:val="center"/>
          </w:tcPr>
          <w:p w14:paraId="368BA2A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w:t>
            </w:r>
          </w:p>
        </w:tc>
        <w:tc>
          <w:tcPr>
            <w:tcW w:w="1316" w:type="pct"/>
            <w:noWrap w:val="0"/>
            <w:vAlign w:val="center"/>
          </w:tcPr>
          <w:p w14:paraId="2F1E637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态势感知</w:t>
            </w:r>
            <w:r>
              <w:rPr>
                <w:rFonts w:hint="eastAsia" w:ascii="宋体" w:hAnsi="宋体" w:eastAsia="宋体" w:cs="宋体"/>
                <w:color w:val="auto"/>
                <w:kern w:val="0"/>
                <w:sz w:val="24"/>
                <w:szCs w:val="24"/>
                <w:highlight w:val="none"/>
              </w:rPr>
              <w:t>平台</w:t>
            </w:r>
          </w:p>
        </w:tc>
        <w:tc>
          <w:tcPr>
            <w:tcW w:w="2157" w:type="pct"/>
            <w:noWrap w:val="0"/>
            <w:vAlign w:val="center"/>
          </w:tcPr>
          <w:p w14:paraId="7487E9E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SIP-1000-A600</w:t>
            </w:r>
          </w:p>
        </w:tc>
        <w:tc>
          <w:tcPr>
            <w:tcW w:w="567" w:type="pct"/>
            <w:noWrap w:val="0"/>
            <w:vAlign w:val="center"/>
          </w:tcPr>
          <w:p w14:paraId="697E69F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shd w:val="clear" w:color="auto" w:fill="auto"/>
              </w:rPr>
              <w:t>1</w:t>
            </w:r>
          </w:p>
        </w:tc>
        <w:tc>
          <w:tcPr>
            <w:tcW w:w="544" w:type="pct"/>
            <w:noWrap w:val="0"/>
            <w:vAlign w:val="center"/>
          </w:tcPr>
          <w:p w14:paraId="352280F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14:paraId="3F04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14" w:type="pct"/>
            <w:shd w:val="clear" w:color="auto" w:fill="auto"/>
            <w:noWrap w:val="0"/>
            <w:vAlign w:val="center"/>
          </w:tcPr>
          <w:p w14:paraId="7727F90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1316" w:type="pct"/>
            <w:shd w:val="clear" w:color="auto" w:fill="auto"/>
            <w:noWrap w:val="0"/>
            <w:vAlign w:val="center"/>
          </w:tcPr>
          <w:p w14:paraId="0B8459E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探针</w:t>
            </w:r>
          </w:p>
        </w:tc>
        <w:tc>
          <w:tcPr>
            <w:tcW w:w="2157" w:type="pct"/>
            <w:shd w:val="clear" w:color="000000" w:fill="auto"/>
            <w:noWrap w:val="0"/>
            <w:vAlign w:val="center"/>
          </w:tcPr>
          <w:p w14:paraId="64AF398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STA-100-B420</w:t>
            </w:r>
          </w:p>
        </w:tc>
        <w:tc>
          <w:tcPr>
            <w:tcW w:w="567" w:type="pct"/>
            <w:shd w:val="clear" w:color="000000" w:fill="auto"/>
            <w:noWrap w:val="0"/>
            <w:vAlign w:val="center"/>
          </w:tcPr>
          <w:p w14:paraId="300B88F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p>
        </w:tc>
        <w:tc>
          <w:tcPr>
            <w:tcW w:w="544" w:type="pct"/>
            <w:noWrap w:val="0"/>
            <w:vAlign w:val="center"/>
          </w:tcPr>
          <w:p w14:paraId="3027946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14:paraId="0B37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04971C7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w:t>
            </w:r>
          </w:p>
        </w:tc>
        <w:tc>
          <w:tcPr>
            <w:tcW w:w="1316" w:type="pct"/>
            <w:noWrap w:val="0"/>
            <w:vAlign w:val="center"/>
          </w:tcPr>
          <w:p w14:paraId="403FCDD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等保一体机</w:t>
            </w:r>
          </w:p>
        </w:tc>
        <w:tc>
          <w:tcPr>
            <w:tcW w:w="2157" w:type="pct"/>
            <w:noWrap w:val="0"/>
            <w:vAlign w:val="center"/>
          </w:tcPr>
          <w:p w14:paraId="755F9EA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SdSec-1000-A602</w:t>
            </w:r>
          </w:p>
        </w:tc>
        <w:tc>
          <w:tcPr>
            <w:tcW w:w="567" w:type="pct"/>
            <w:noWrap w:val="0"/>
            <w:vAlign w:val="center"/>
          </w:tcPr>
          <w:p w14:paraId="689A233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44" w:type="pct"/>
            <w:noWrap w:val="0"/>
            <w:vAlign w:val="center"/>
          </w:tcPr>
          <w:p w14:paraId="5E0A331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14:paraId="19C8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24B6F7F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17</w:t>
            </w:r>
          </w:p>
        </w:tc>
        <w:tc>
          <w:tcPr>
            <w:tcW w:w="1316" w:type="pct"/>
            <w:noWrap w:val="0"/>
            <w:vAlign w:val="center"/>
          </w:tcPr>
          <w:p w14:paraId="01BCC91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宏杉磁盘柜</w:t>
            </w:r>
          </w:p>
        </w:tc>
        <w:tc>
          <w:tcPr>
            <w:tcW w:w="2157" w:type="pct"/>
            <w:noWrap w:val="0"/>
            <w:vAlign w:val="center"/>
          </w:tcPr>
          <w:p w14:paraId="52FA67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MS2500G2</w:t>
            </w:r>
          </w:p>
        </w:tc>
        <w:tc>
          <w:tcPr>
            <w:tcW w:w="567" w:type="pct"/>
            <w:noWrap w:val="0"/>
            <w:vAlign w:val="center"/>
          </w:tcPr>
          <w:p w14:paraId="6E1B67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44" w:type="pct"/>
            <w:noWrap w:val="0"/>
            <w:vAlign w:val="center"/>
          </w:tcPr>
          <w:p w14:paraId="3BC596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356A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5B60267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w:t>
            </w:r>
          </w:p>
        </w:tc>
        <w:tc>
          <w:tcPr>
            <w:tcW w:w="1316" w:type="pct"/>
            <w:noWrap w:val="0"/>
            <w:vAlign w:val="center"/>
          </w:tcPr>
          <w:p w14:paraId="56A00B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宏杉磁盘柜</w:t>
            </w:r>
          </w:p>
        </w:tc>
        <w:tc>
          <w:tcPr>
            <w:tcW w:w="2157" w:type="pct"/>
            <w:noWrap w:val="0"/>
            <w:vAlign w:val="center"/>
          </w:tcPr>
          <w:p w14:paraId="3F360C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MS2500G2</w:t>
            </w:r>
          </w:p>
        </w:tc>
        <w:tc>
          <w:tcPr>
            <w:tcW w:w="567" w:type="pct"/>
            <w:noWrap w:val="0"/>
            <w:vAlign w:val="center"/>
          </w:tcPr>
          <w:p w14:paraId="182DD62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44" w:type="pct"/>
            <w:noWrap w:val="0"/>
            <w:vAlign w:val="center"/>
          </w:tcPr>
          <w:p w14:paraId="7E6D0C7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067C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41E80F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w:t>
            </w:r>
          </w:p>
        </w:tc>
        <w:tc>
          <w:tcPr>
            <w:tcW w:w="1316" w:type="pct"/>
            <w:noWrap w:val="0"/>
            <w:vAlign w:val="center"/>
          </w:tcPr>
          <w:p w14:paraId="59E0F94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虚拟化平台防护系统</w:t>
            </w:r>
          </w:p>
        </w:tc>
        <w:tc>
          <w:tcPr>
            <w:tcW w:w="2157" w:type="pct"/>
            <w:noWrap w:val="0"/>
            <w:vAlign w:val="center"/>
          </w:tcPr>
          <w:p w14:paraId="13ECB8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亚信安全服务器深度安全防护系统应用软件V10.0</w:t>
            </w:r>
          </w:p>
        </w:tc>
        <w:tc>
          <w:tcPr>
            <w:tcW w:w="567" w:type="pct"/>
            <w:noWrap w:val="0"/>
            <w:vAlign w:val="center"/>
          </w:tcPr>
          <w:p w14:paraId="4754A5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c>
          <w:tcPr>
            <w:tcW w:w="544" w:type="pct"/>
            <w:noWrap w:val="0"/>
            <w:vAlign w:val="center"/>
          </w:tcPr>
          <w:p w14:paraId="0F40F6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0FE8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668891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1316" w:type="pct"/>
            <w:noWrap w:val="0"/>
            <w:vAlign w:val="center"/>
          </w:tcPr>
          <w:p w14:paraId="604626D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主机加固系统</w:t>
            </w:r>
          </w:p>
        </w:tc>
        <w:tc>
          <w:tcPr>
            <w:tcW w:w="2157" w:type="pct"/>
            <w:noWrap w:val="0"/>
            <w:vAlign w:val="center"/>
          </w:tcPr>
          <w:p w14:paraId="2F9BFB6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网防G01</w:t>
            </w:r>
          </w:p>
        </w:tc>
        <w:tc>
          <w:tcPr>
            <w:tcW w:w="567" w:type="pct"/>
            <w:noWrap w:val="0"/>
            <w:vAlign w:val="center"/>
          </w:tcPr>
          <w:p w14:paraId="03CFEF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44" w:type="pct"/>
            <w:noWrap w:val="0"/>
            <w:vAlign w:val="center"/>
          </w:tcPr>
          <w:p w14:paraId="28C227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644E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14" w:type="pct"/>
            <w:noWrap/>
            <w:tcMar>
              <w:top w:w="15" w:type="dxa"/>
              <w:left w:w="15" w:type="dxa"/>
              <w:right w:w="15" w:type="dxa"/>
            </w:tcMar>
            <w:vAlign w:val="center"/>
          </w:tcPr>
          <w:p w14:paraId="0A15F7E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21</w:t>
            </w:r>
          </w:p>
        </w:tc>
        <w:tc>
          <w:tcPr>
            <w:tcW w:w="1316" w:type="pct"/>
            <w:noWrap/>
            <w:tcMar>
              <w:top w:w="15" w:type="dxa"/>
              <w:left w:w="15" w:type="dxa"/>
              <w:right w:w="15" w:type="dxa"/>
            </w:tcMar>
            <w:vAlign w:val="center"/>
          </w:tcPr>
          <w:p w14:paraId="53098E0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VPN网关</w:t>
            </w:r>
          </w:p>
        </w:tc>
        <w:tc>
          <w:tcPr>
            <w:tcW w:w="2157" w:type="pct"/>
            <w:noWrap w:val="0"/>
            <w:tcMar>
              <w:top w:w="15" w:type="dxa"/>
              <w:left w:w="15" w:type="dxa"/>
              <w:right w:w="15" w:type="dxa"/>
            </w:tcMar>
            <w:vAlign w:val="center"/>
          </w:tcPr>
          <w:p w14:paraId="0C8FAD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VPN-1000-S2280</w:t>
            </w:r>
          </w:p>
        </w:tc>
        <w:tc>
          <w:tcPr>
            <w:tcW w:w="567" w:type="pct"/>
            <w:noWrap/>
            <w:tcMar>
              <w:top w:w="15" w:type="dxa"/>
              <w:left w:w="15" w:type="dxa"/>
              <w:right w:w="15" w:type="dxa"/>
            </w:tcMar>
            <w:vAlign w:val="center"/>
          </w:tcPr>
          <w:p w14:paraId="4310D1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44" w:type="pct"/>
            <w:noWrap/>
            <w:tcMar>
              <w:top w:w="15" w:type="dxa"/>
              <w:left w:w="15" w:type="dxa"/>
              <w:right w:w="15" w:type="dxa"/>
            </w:tcMar>
            <w:vAlign w:val="center"/>
          </w:tcPr>
          <w:p w14:paraId="5EA58C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50FE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14" w:type="pct"/>
            <w:noWrap/>
            <w:tcMar>
              <w:top w:w="15" w:type="dxa"/>
              <w:left w:w="15" w:type="dxa"/>
              <w:right w:w="15" w:type="dxa"/>
            </w:tcMar>
            <w:vAlign w:val="center"/>
          </w:tcPr>
          <w:p w14:paraId="780F33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22</w:t>
            </w:r>
          </w:p>
        </w:tc>
        <w:tc>
          <w:tcPr>
            <w:tcW w:w="1316" w:type="pct"/>
            <w:noWrap/>
            <w:tcMar>
              <w:top w:w="15" w:type="dxa"/>
              <w:left w:w="15" w:type="dxa"/>
              <w:right w:w="15" w:type="dxa"/>
            </w:tcMar>
            <w:vAlign w:val="center"/>
          </w:tcPr>
          <w:p w14:paraId="1A8A8C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负载</w:t>
            </w:r>
          </w:p>
        </w:tc>
        <w:tc>
          <w:tcPr>
            <w:tcW w:w="2157" w:type="pct"/>
            <w:noWrap w:val="0"/>
            <w:tcMar>
              <w:top w:w="15" w:type="dxa"/>
              <w:left w:w="15" w:type="dxa"/>
              <w:right w:w="15" w:type="dxa"/>
            </w:tcMar>
            <w:vAlign w:val="center"/>
          </w:tcPr>
          <w:p w14:paraId="565FB4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AD-1000-E640</w:t>
            </w:r>
          </w:p>
        </w:tc>
        <w:tc>
          <w:tcPr>
            <w:tcW w:w="567" w:type="pct"/>
            <w:noWrap w:val="0"/>
            <w:tcMar>
              <w:top w:w="15" w:type="dxa"/>
              <w:left w:w="15" w:type="dxa"/>
              <w:right w:w="15" w:type="dxa"/>
            </w:tcMar>
            <w:vAlign w:val="center"/>
          </w:tcPr>
          <w:p w14:paraId="5AC211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44" w:type="pct"/>
            <w:noWrap/>
            <w:tcMar>
              <w:top w:w="15" w:type="dxa"/>
              <w:left w:w="15" w:type="dxa"/>
              <w:right w:w="15" w:type="dxa"/>
            </w:tcMar>
            <w:vAlign w:val="center"/>
          </w:tcPr>
          <w:p w14:paraId="721CCA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3DB2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14" w:type="pct"/>
            <w:noWrap/>
            <w:tcMar>
              <w:top w:w="15" w:type="dxa"/>
              <w:left w:w="15" w:type="dxa"/>
              <w:right w:w="15" w:type="dxa"/>
            </w:tcMar>
            <w:vAlign w:val="center"/>
          </w:tcPr>
          <w:p w14:paraId="1DFAB3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23</w:t>
            </w:r>
          </w:p>
        </w:tc>
        <w:tc>
          <w:tcPr>
            <w:tcW w:w="1316" w:type="pct"/>
            <w:noWrap/>
            <w:tcMar>
              <w:top w:w="15" w:type="dxa"/>
              <w:left w:w="15" w:type="dxa"/>
              <w:right w:w="15" w:type="dxa"/>
            </w:tcMar>
            <w:vAlign w:val="center"/>
          </w:tcPr>
          <w:p w14:paraId="0D7AE0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防火墙</w:t>
            </w:r>
          </w:p>
        </w:tc>
        <w:tc>
          <w:tcPr>
            <w:tcW w:w="2157" w:type="pct"/>
            <w:noWrap/>
            <w:tcMar>
              <w:top w:w="15" w:type="dxa"/>
              <w:left w:w="15" w:type="dxa"/>
              <w:right w:w="15" w:type="dxa"/>
            </w:tcMar>
            <w:vAlign w:val="center"/>
          </w:tcPr>
          <w:p w14:paraId="51EF7A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AF-1300</w:t>
            </w:r>
          </w:p>
        </w:tc>
        <w:tc>
          <w:tcPr>
            <w:tcW w:w="567" w:type="pct"/>
            <w:noWrap w:val="0"/>
            <w:tcMar>
              <w:top w:w="15" w:type="dxa"/>
              <w:left w:w="15" w:type="dxa"/>
              <w:right w:w="15" w:type="dxa"/>
            </w:tcMar>
            <w:vAlign w:val="center"/>
          </w:tcPr>
          <w:p w14:paraId="03BA22A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44" w:type="pct"/>
            <w:noWrap/>
            <w:tcMar>
              <w:top w:w="15" w:type="dxa"/>
              <w:left w:w="15" w:type="dxa"/>
              <w:right w:w="15" w:type="dxa"/>
            </w:tcMar>
            <w:vAlign w:val="center"/>
          </w:tcPr>
          <w:p w14:paraId="3A799C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6392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7" w:hRule="atLeast"/>
          <w:jc w:val="center"/>
        </w:trPr>
        <w:tc>
          <w:tcPr>
            <w:tcW w:w="414" w:type="pct"/>
            <w:noWrap/>
            <w:tcMar>
              <w:top w:w="15" w:type="dxa"/>
              <w:left w:w="15" w:type="dxa"/>
              <w:right w:w="15" w:type="dxa"/>
            </w:tcMar>
            <w:vAlign w:val="center"/>
          </w:tcPr>
          <w:p w14:paraId="128D42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24</w:t>
            </w:r>
          </w:p>
        </w:tc>
        <w:tc>
          <w:tcPr>
            <w:tcW w:w="1316" w:type="pct"/>
            <w:noWrap/>
            <w:tcMar>
              <w:top w:w="15" w:type="dxa"/>
              <w:left w:w="15" w:type="dxa"/>
              <w:right w:w="15" w:type="dxa"/>
            </w:tcMar>
            <w:vAlign w:val="center"/>
          </w:tcPr>
          <w:p w14:paraId="040075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服务器主机加</w:t>
            </w:r>
          </w:p>
          <w:p w14:paraId="76A49E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固系统</w:t>
            </w:r>
          </w:p>
        </w:tc>
        <w:tc>
          <w:tcPr>
            <w:tcW w:w="2157" w:type="pct"/>
            <w:noWrap/>
            <w:tcMar>
              <w:top w:w="15" w:type="dxa"/>
              <w:left w:w="15" w:type="dxa"/>
              <w:right w:w="15" w:type="dxa"/>
            </w:tcMar>
            <w:vAlign w:val="center"/>
          </w:tcPr>
          <w:p w14:paraId="6A08440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网防G01</w:t>
            </w:r>
          </w:p>
        </w:tc>
        <w:tc>
          <w:tcPr>
            <w:tcW w:w="567" w:type="pct"/>
            <w:noWrap/>
            <w:tcMar>
              <w:top w:w="15" w:type="dxa"/>
              <w:left w:w="15" w:type="dxa"/>
              <w:right w:w="15" w:type="dxa"/>
            </w:tcMar>
            <w:vAlign w:val="center"/>
          </w:tcPr>
          <w:p w14:paraId="7B277E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544" w:type="pct"/>
            <w:noWrap/>
            <w:tcMar>
              <w:top w:w="15" w:type="dxa"/>
              <w:left w:w="15" w:type="dxa"/>
              <w:right w:w="15" w:type="dxa"/>
            </w:tcMar>
            <w:vAlign w:val="center"/>
          </w:tcPr>
          <w:p w14:paraId="22CF27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套</w:t>
            </w:r>
          </w:p>
        </w:tc>
      </w:tr>
    </w:tbl>
    <w:p w14:paraId="762704EB">
      <w:pPr>
        <w:pStyle w:val="3"/>
        <w:bidi w:val="0"/>
        <w:rPr>
          <w:rFonts w:hint="eastAsia" w:ascii="宋体" w:hAnsi="宋体" w:eastAsia="宋体" w:cs="宋体"/>
          <w:b/>
          <w:bCs/>
          <w:sz w:val="24"/>
          <w:szCs w:val="24"/>
          <w:highlight w:val="none"/>
          <w:lang w:val="en-US" w:eastAsia="zh-CN"/>
        </w:rPr>
      </w:pPr>
      <w:bookmarkStart w:id="47" w:name="_Toc2643"/>
      <w:r>
        <w:rPr>
          <w:rFonts w:hint="eastAsia" w:ascii="宋体" w:hAnsi="宋体" w:eastAsia="宋体" w:cs="宋体"/>
          <w:b/>
          <w:bCs/>
          <w:sz w:val="24"/>
          <w:szCs w:val="24"/>
          <w:highlight w:val="none"/>
          <w:lang w:val="en-US" w:eastAsia="zh-CN"/>
        </w:rPr>
        <w:t>运维服务内容</w:t>
      </w:r>
      <w:bookmarkEnd w:id="47"/>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48"/>
        <w:gridCol w:w="7420"/>
      </w:tblGrid>
      <w:tr w14:paraId="7A36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jc w:val="center"/>
        </w:trPr>
        <w:tc>
          <w:tcPr>
            <w:tcW w:w="5000" w:type="pct"/>
            <w:gridSpan w:val="2"/>
            <w:noWrap w:val="0"/>
            <w:tcMar>
              <w:top w:w="15" w:type="dxa"/>
              <w:left w:w="15" w:type="dxa"/>
              <w:right w:w="15" w:type="dxa"/>
            </w:tcMar>
            <w:vAlign w:val="center"/>
          </w:tcPr>
          <w:p w14:paraId="04F59E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bidi="ar"/>
              </w:rPr>
              <w:t>服务内容</w:t>
            </w:r>
          </w:p>
        </w:tc>
      </w:tr>
      <w:tr w14:paraId="66EF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000" w:type="pct"/>
            <w:gridSpan w:val="2"/>
            <w:noWrap w:val="0"/>
            <w:tcMar>
              <w:top w:w="15" w:type="dxa"/>
              <w:left w:w="15" w:type="dxa"/>
              <w:right w:w="15" w:type="dxa"/>
            </w:tcMar>
            <w:vAlign w:val="center"/>
          </w:tcPr>
          <w:p w14:paraId="2F74C38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根据ISO20000IT服务质量管理体系，提供7×24小时安全信息技术运维服务；</w:t>
            </w:r>
          </w:p>
        </w:tc>
      </w:tr>
      <w:tr w14:paraId="39C8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5000" w:type="pct"/>
            <w:gridSpan w:val="2"/>
            <w:noWrap w:val="0"/>
            <w:tcMar>
              <w:top w:w="15" w:type="dxa"/>
              <w:left w:w="15" w:type="dxa"/>
              <w:right w:w="15" w:type="dxa"/>
            </w:tcMar>
            <w:vAlign w:val="center"/>
          </w:tcPr>
          <w:p w14:paraId="7DFAC9F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具有完善的安全运维管理制度；（制度需留存自治区保健院</w:t>
            </w:r>
            <w:r>
              <w:rPr>
                <w:rFonts w:hint="eastAsia" w:ascii="宋体" w:hAnsi="宋体" w:eastAsia="宋体" w:cs="宋体"/>
                <w:color w:val="auto"/>
                <w:kern w:val="0"/>
                <w:sz w:val="24"/>
                <w:szCs w:val="24"/>
                <w:highlight w:val="none"/>
                <w:lang w:eastAsia="zh-CN" w:bidi="ar"/>
              </w:rPr>
              <w:t>信息科</w:t>
            </w:r>
            <w:r>
              <w:rPr>
                <w:rFonts w:hint="eastAsia" w:ascii="宋体" w:hAnsi="宋体" w:eastAsia="宋体" w:cs="宋体"/>
                <w:color w:val="auto"/>
                <w:kern w:val="0"/>
                <w:sz w:val="24"/>
                <w:szCs w:val="24"/>
                <w:highlight w:val="none"/>
                <w:lang w:bidi="ar"/>
              </w:rPr>
              <w:t>一份，更新后同样留存）</w:t>
            </w:r>
          </w:p>
        </w:tc>
      </w:tr>
      <w:tr w14:paraId="076E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00" w:type="pct"/>
            <w:gridSpan w:val="2"/>
            <w:noWrap/>
            <w:tcMar>
              <w:top w:w="15" w:type="dxa"/>
              <w:left w:w="15" w:type="dxa"/>
              <w:right w:w="15" w:type="dxa"/>
            </w:tcMar>
            <w:vAlign w:val="center"/>
          </w:tcPr>
          <w:p w14:paraId="317CCE5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每周五进场进行安全信息技术运维服务；包括但不限于机房环境巡检、硬件设备巡检、网络环境巡检以及发布管理、事件管理、变更管理、问题管理、配置管理等；配合业务系统排查网络安全隐患。每周</w:t>
            </w:r>
            <w:r>
              <w:rPr>
                <w:rFonts w:hint="eastAsia" w:ascii="宋体" w:hAnsi="宋体" w:eastAsia="宋体" w:cs="宋体"/>
                <w:color w:val="auto"/>
                <w:kern w:val="0"/>
                <w:sz w:val="24"/>
                <w:szCs w:val="24"/>
                <w:highlight w:val="none"/>
                <w:lang w:val="en-US" w:eastAsia="zh-CN" w:bidi="ar"/>
              </w:rPr>
              <w:t>的周</w:t>
            </w:r>
            <w:r>
              <w:rPr>
                <w:rFonts w:hint="eastAsia" w:ascii="宋体" w:hAnsi="宋体" w:eastAsia="宋体" w:cs="宋体"/>
                <w:color w:val="auto"/>
                <w:kern w:val="0"/>
                <w:sz w:val="24"/>
                <w:szCs w:val="24"/>
                <w:highlight w:val="none"/>
                <w:lang w:bidi="ar"/>
              </w:rPr>
              <w:t>五</w:t>
            </w:r>
            <w:r>
              <w:rPr>
                <w:rFonts w:hint="eastAsia" w:ascii="宋体" w:hAnsi="宋体" w:eastAsia="宋体" w:cs="宋体"/>
                <w:color w:val="auto"/>
                <w:kern w:val="0"/>
                <w:sz w:val="24"/>
                <w:szCs w:val="24"/>
                <w:highlight w:val="none"/>
                <w:lang w:val="en-US" w:eastAsia="zh-CN" w:bidi="ar"/>
              </w:rPr>
              <w:t>现场巡检，并</w:t>
            </w:r>
            <w:r>
              <w:rPr>
                <w:rFonts w:hint="eastAsia" w:ascii="宋体" w:hAnsi="宋体" w:eastAsia="宋体" w:cs="宋体"/>
                <w:color w:val="auto"/>
                <w:kern w:val="0"/>
                <w:sz w:val="24"/>
                <w:szCs w:val="24"/>
                <w:highlight w:val="none"/>
                <w:lang w:bidi="ar"/>
              </w:rPr>
              <w:t>出具周巡检报告（攻击、风险、对策、整改措施），并打印纸质报告，提交于</w:t>
            </w:r>
            <w:r>
              <w:rPr>
                <w:rFonts w:hint="eastAsia" w:ascii="宋体" w:hAnsi="宋体" w:eastAsia="宋体" w:cs="宋体"/>
                <w:color w:val="auto"/>
                <w:kern w:val="0"/>
                <w:sz w:val="24"/>
                <w:szCs w:val="24"/>
                <w:highlight w:val="none"/>
                <w:lang w:eastAsia="zh-CN" w:bidi="ar"/>
              </w:rPr>
              <w:t>信息科</w:t>
            </w:r>
            <w:r>
              <w:rPr>
                <w:rFonts w:hint="eastAsia" w:ascii="宋体" w:hAnsi="宋体" w:eastAsia="宋体" w:cs="宋体"/>
                <w:color w:val="auto"/>
                <w:kern w:val="0"/>
                <w:sz w:val="24"/>
                <w:szCs w:val="24"/>
                <w:highlight w:val="none"/>
                <w:lang w:bidi="ar"/>
              </w:rPr>
              <w:t>，对报告内容进行说明；</w:t>
            </w:r>
          </w:p>
        </w:tc>
      </w:tr>
      <w:tr w14:paraId="7631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00" w:type="pct"/>
            <w:gridSpan w:val="2"/>
            <w:noWrap/>
            <w:tcMar>
              <w:top w:w="15" w:type="dxa"/>
              <w:left w:w="15" w:type="dxa"/>
              <w:right w:w="15" w:type="dxa"/>
            </w:tcMar>
            <w:vAlign w:val="center"/>
          </w:tcPr>
          <w:p w14:paraId="679CD99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国家两会、自治区两会</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驻场进行巡检</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进行安全信息技术运维服务</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发现问题当场处理</w:t>
            </w:r>
            <w:r>
              <w:rPr>
                <w:rFonts w:hint="eastAsia" w:ascii="宋体" w:hAnsi="宋体" w:eastAsia="宋体" w:cs="宋体"/>
                <w:color w:val="auto"/>
                <w:kern w:val="0"/>
                <w:sz w:val="24"/>
                <w:szCs w:val="24"/>
                <w:highlight w:val="none"/>
                <w:lang w:val="en-US" w:eastAsia="zh-CN" w:bidi="ar"/>
              </w:rPr>
              <w:t>，并出具巡检报告（攻击、风险、对策、整改措施），并打印纸质报告，提交于信息科，对报告内容进行说明</w:t>
            </w:r>
            <w:r>
              <w:rPr>
                <w:rFonts w:hint="eastAsia" w:ascii="宋体" w:hAnsi="宋体" w:eastAsia="宋体" w:cs="宋体"/>
                <w:color w:val="auto"/>
                <w:kern w:val="0"/>
                <w:sz w:val="24"/>
                <w:szCs w:val="24"/>
                <w:highlight w:val="none"/>
                <w:lang w:bidi="ar"/>
              </w:rPr>
              <w:t>。</w:t>
            </w:r>
          </w:p>
        </w:tc>
      </w:tr>
      <w:tr w14:paraId="1D4D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00" w:type="pct"/>
            <w:gridSpan w:val="2"/>
            <w:noWrap/>
            <w:tcMar>
              <w:top w:w="15" w:type="dxa"/>
              <w:left w:w="15" w:type="dxa"/>
              <w:right w:w="15" w:type="dxa"/>
            </w:tcMar>
            <w:vAlign w:val="center"/>
          </w:tcPr>
          <w:p w14:paraId="0613219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重要节假日</w:t>
            </w:r>
            <w:r>
              <w:rPr>
                <w:rFonts w:hint="eastAsia" w:ascii="宋体" w:hAnsi="宋体" w:eastAsia="宋体" w:cs="宋体"/>
                <w:color w:val="auto"/>
                <w:kern w:val="0"/>
                <w:sz w:val="24"/>
                <w:szCs w:val="24"/>
                <w:highlight w:val="none"/>
                <w:lang w:bidi="ar"/>
              </w:rPr>
              <w:t>早晚入场巡检，其余时间远程（安全通道）巡检，巡检期间发现问题20分钟内入场处理。</w:t>
            </w:r>
            <w:r>
              <w:rPr>
                <w:rFonts w:hint="eastAsia" w:ascii="宋体" w:hAnsi="宋体" w:eastAsia="宋体" w:cs="宋体"/>
                <w:color w:val="auto"/>
                <w:kern w:val="0"/>
                <w:sz w:val="24"/>
                <w:szCs w:val="24"/>
                <w:highlight w:val="none"/>
                <w:lang w:val="en-US" w:eastAsia="zh-CN" w:bidi="ar"/>
              </w:rPr>
              <w:t>并出具巡检报告（攻击、风险、对策、整改措施），并打印纸质报告，提交于信息科，对报告内容进行说明</w:t>
            </w:r>
            <w:r>
              <w:rPr>
                <w:rFonts w:hint="eastAsia" w:ascii="宋体" w:hAnsi="宋体" w:eastAsia="宋体" w:cs="宋体"/>
                <w:color w:val="auto"/>
                <w:kern w:val="0"/>
                <w:sz w:val="24"/>
                <w:szCs w:val="24"/>
                <w:highlight w:val="none"/>
                <w:lang w:bidi="ar"/>
              </w:rPr>
              <w:t>。</w:t>
            </w:r>
          </w:p>
        </w:tc>
      </w:tr>
      <w:tr w14:paraId="3E21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00" w:type="pct"/>
            <w:gridSpan w:val="2"/>
            <w:noWrap/>
            <w:tcMar>
              <w:top w:w="15" w:type="dxa"/>
              <w:left w:w="15" w:type="dxa"/>
              <w:right w:w="15" w:type="dxa"/>
            </w:tcMar>
            <w:vAlign w:val="center"/>
          </w:tcPr>
          <w:p w14:paraId="42AD3E7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春节期间前3天用远程（安全通道）巡检，巡检期间发现问题20分钟内入场处理；后4天早晚入场巡检，其余时间远程（安全通道）巡检，巡检期间发现问题20分钟内入场处理。</w:t>
            </w:r>
            <w:r>
              <w:rPr>
                <w:rFonts w:hint="eastAsia" w:ascii="宋体" w:hAnsi="宋体" w:eastAsia="宋体" w:cs="宋体"/>
                <w:color w:val="auto"/>
                <w:kern w:val="0"/>
                <w:sz w:val="24"/>
                <w:szCs w:val="24"/>
                <w:highlight w:val="none"/>
                <w:lang w:val="en-US" w:eastAsia="zh-CN" w:bidi="ar"/>
              </w:rPr>
              <w:t>并出具巡检报告（攻击、风险、对策、整改措施），并打印纸质报告，提交于信息科，对报告内容进行说明</w:t>
            </w:r>
            <w:r>
              <w:rPr>
                <w:rFonts w:hint="eastAsia" w:ascii="宋体" w:hAnsi="宋体" w:eastAsia="宋体" w:cs="宋体"/>
                <w:color w:val="auto"/>
                <w:kern w:val="0"/>
                <w:sz w:val="24"/>
                <w:szCs w:val="24"/>
                <w:highlight w:val="none"/>
                <w:lang w:bidi="ar"/>
              </w:rPr>
              <w:t>。</w:t>
            </w:r>
          </w:p>
        </w:tc>
      </w:tr>
      <w:tr w14:paraId="706D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00" w:type="pct"/>
            <w:gridSpan w:val="2"/>
            <w:noWrap/>
            <w:tcMar>
              <w:top w:w="15" w:type="dxa"/>
              <w:left w:w="15" w:type="dxa"/>
              <w:right w:w="15" w:type="dxa"/>
            </w:tcMar>
            <w:vAlign w:val="center"/>
          </w:tcPr>
          <w:p w14:paraId="63077AD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运维包括各种补丁更新、策略配置、设备部署、安全审计等；</w:t>
            </w:r>
          </w:p>
        </w:tc>
      </w:tr>
      <w:tr w14:paraId="02CF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00" w:type="pct"/>
            <w:gridSpan w:val="2"/>
            <w:noWrap/>
            <w:tcMar>
              <w:top w:w="15" w:type="dxa"/>
              <w:left w:w="15" w:type="dxa"/>
              <w:right w:w="15" w:type="dxa"/>
            </w:tcMar>
            <w:vAlign w:val="center"/>
          </w:tcPr>
          <w:p w14:paraId="7192BA6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巡检人员遵守保密原则，并签署保密协议；</w:t>
            </w:r>
          </w:p>
        </w:tc>
      </w:tr>
      <w:tr w14:paraId="4477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00" w:type="pct"/>
            <w:gridSpan w:val="2"/>
            <w:noWrap/>
            <w:tcMar>
              <w:top w:w="15" w:type="dxa"/>
              <w:left w:w="15" w:type="dxa"/>
              <w:right w:w="15" w:type="dxa"/>
            </w:tcMar>
            <w:vAlign w:val="center"/>
          </w:tcPr>
          <w:p w14:paraId="5702F60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每年</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lang w:bidi="ar"/>
              </w:rPr>
              <w:t>底</w:t>
            </w:r>
            <w:r>
              <w:rPr>
                <w:rFonts w:hint="eastAsia" w:ascii="宋体" w:hAnsi="宋体" w:eastAsia="宋体" w:cs="宋体"/>
                <w:color w:val="auto"/>
                <w:kern w:val="0"/>
                <w:sz w:val="24"/>
                <w:szCs w:val="24"/>
                <w:highlight w:val="none"/>
                <w:lang w:val="en-US" w:eastAsia="zh-CN" w:bidi="ar"/>
              </w:rPr>
              <w:t>12月25日之前</w:t>
            </w:r>
            <w:r>
              <w:rPr>
                <w:rFonts w:hint="eastAsia" w:ascii="宋体" w:hAnsi="宋体" w:eastAsia="宋体" w:cs="宋体"/>
                <w:color w:val="auto"/>
                <w:kern w:val="0"/>
                <w:sz w:val="24"/>
                <w:szCs w:val="24"/>
                <w:highlight w:val="none"/>
                <w:lang w:bidi="ar"/>
              </w:rPr>
              <w:t>出具年报告（攻击、风险、对策、整改措施），并打印纸质报告，提交于妇幼</w:t>
            </w:r>
            <w:r>
              <w:rPr>
                <w:rFonts w:hint="eastAsia" w:ascii="宋体" w:hAnsi="宋体" w:eastAsia="宋体" w:cs="宋体"/>
                <w:color w:val="auto"/>
                <w:kern w:val="0"/>
                <w:sz w:val="24"/>
                <w:szCs w:val="24"/>
                <w:highlight w:val="none"/>
                <w:lang w:eastAsia="zh-CN" w:bidi="ar"/>
              </w:rPr>
              <w:t>信息科</w:t>
            </w:r>
            <w:r>
              <w:rPr>
                <w:rFonts w:hint="eastAsia" w:ascii="宋体" w:hAnsi="宋体" w:eastAsia="宋体" w:cs="宋体"/>
                <w:color w:val="auto"/>
                <w:kern w:val="0"/>
                <w:sz w:val="24"/>
                <w:szCs w:val="24"/>
                <w:highlight w:val="none"/>
                <w:lang w:bidi="ar"/>
              </w:rPr>
              <w:t>，对报告内容进行说明；</w:t>
            </w:r>
          </w:p>
        </w:tc>
      </w:tr>
      <w:tr w14:paraId="464F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00" w:type="pct"/>
            <w:gridSpan w:val="2"/>
            <w:noWrap/>
            <w:tcMar>
              <w:top w:w="15" w:type="dxa"/>
              <w:left w:w="15" w:type="dxa"/>
              <w:right w:w="15" w:type="dxa"/>
            </w:tcMar>
            <w:vAlign w:val="center"/>
          </w:tcPr>
          <w:p w14:paraId="59BE140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巡检进场先后</w:t>
            </w:r>
            <w:r>
              <w:rPr>
                <w:rFonts w:hint="eastAsia" w:ascii="宋体" w:hAnsi="宋体" w:eastAsia="宋体" w:cs="宋体"/>
                <w:color w:val="auto"/>
                <w:kern w:val="0"/>
                <w:sz w:val="24"/>
                <w:szCs w:val="24"/>
                <w:highlight w:val="none"/>
                <w:lang w:val="en-US" w:eastAsia="zh-CN" w:bidi="ar"/>
              </w:rPr>
              <w:t>在</w:t>
            </w:r>
            <w:r>
              <w:rPr>
                <w:rFonts w:hint="eastAsia" w:ascii="宋体" w:hAnsi="宋体" w:eastAsia="宋体" w:cs="宋体"/>
                <w:color w:val="auto"/>
                <w:kern w:val="0"/>
                <w:sz w:val="24"/>
                <w:szCs w:val="24"/>
                <w:highlight w:val="none"/>
                <w:lang w:bidi="ar"/>
              </w:rPr>
              <w:t>信息科进行人员登记，</w:t>
            </w:r>
            <w:r>
              <w:rPr>
                <w:rFonts w:hint="eastAsia" w:ascii="宋体" w:hAnsi="宋体" w:eastAsia="宋体" w:cs="宋体"/>
                <w:color w:val="auto"/>
                <w:kern w:val="0"/>
                <w:sz w:val="24"/>
                <w:szCs w:val="24"/>
                <w:highlight w:val="none"/>
                <w:lang w:eastAsia="zh-CN" w:bidi="ar"/>
              </w:rPr>
              <w:t>信息科</w:t>
            </w:r>
            <w:r>
              <w:rPr>
                <w:rFonts w:hint="eastAsia" w:ascii="宋体" w:hAnsi="宋体" w:eastAsia="宋体" w:cs="宋体"/>
                <w:color w:val="auto"/>
                <w:kern w:val="0"/>
                <w:sz w:val="24"/>
                <w:szCs w:val="24"/>
                <w:highlight w:val="none"/>
                <w:lang w:bidi="ar"/>
              </w:rPr>
              <w:t>人员陪同巡检；巡检人员要佩戴单位工作证。</w:t>
            </w:r>
          </w:p>
        </w:tc>
      </w:tr>
      <w:tr w14:paraId="210B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5000" w:type="pct"/>
            <w:gridSpan w:val="2"/>
            <w:noWrap/>
            <w:tcMar>
              <w:top w:w="15" w:type="dxa"/>
              <w:left w:w="15" w:type="dxa"/>
              <w:right w:w="15" w:type="dxa"/>
            </w:tcMar>
            <w:vAlign w:val="center"/>
          </w:tcPr>
          <w:p w14:paraId="534CC3F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配合自治区妇幼保健院</w:t>
            </w:r>
            <w:r>
              <w:rPr>
                <w:rFonts w:hint="eastAsia" w:ascii="宋体" w:hAnsi="宋体" w:eastAsia="宋体" w:cs="宋体"/>
                <w:color w:val="auto"/>
                <w:kern w:val="0"/>
                <w:sz w:val="24"/>
                <w:szCs w:val="24"/>
                <w:highlight w:val="none"/>
                <w:lang w:val="en-US" w:eastAsia="zh-CN" w:bidi="ar"/>
              </w:rPr>
              <w:t>信息科</w:t>
            </w:r>
            <w:r>
              <w:rPr>
                <w:rFonts w:hint="eastAsia" w:ascii="宋体" w:hAnsi="宋体" w:eastAsia="宋体" w:cs="宋体"/>
                <w:color w:val="auto"/>
                <w:kern w:val="0"/>
                <w:sz w:val="24"/>
                <w:szCs w:val="24"/>
                <w:highlight w:val="none"/>
                <w:lang w:bidi="ar"/>
              </w:rPr>
              <w:t>填报自治区辖区妇幼健康平台相关文件；参加</w:t>
            </w:r>
            <w:r>
              <w:rPr>
                <w:rFonts w:hint="eastAsia" w:ascii="宋体" w:hAnsi="宋体" w:eastAsia="宋体" w:cs="宋体"/>
                <w:color w:val="auto"/>
                <w:kern w:val="0"/>
                <w:sz w:val="24"/>
                <w:szCs w:val="24"/>
                <w:highlight w:val="none"/>
                <w:lang w:val="en-US" w:eastAsia="zh-CN" w:bidi="ar"/>
              </w:rPr>
              <w:t>卫生健康</w:t>
            </w:r>
            <w:r>
              <w:rPr>
                <w:rFonts w:hint="eastAsia" w:ascii="宋体" w:hAnsi="宋体" w:eastAsia="宋体" w:cs="宋体"/>
                <w:color w:val="auto"/>
                <w:kern w:val="0"/>
                <w:sz w:val="24"/>
                <w:szCs w:val="24"/>
                <w:highlight w:val="none"/>
                <w:lang w:bidi="ar"/>
              </w:rPr>
              <w:t>委</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网信办</w:t>
            </w:r>
            <w:r>
              <w:rPr>
                <w:rFonts w:hint="eastAsia" w:ascii="宋体" w:hAnsi="宋体" w:eastAsia="宋体" w:cs="宋体"/>
                <w:color w:val="auto"/>
                <w:kern w:val="0"/>
                <w:sz w:val="24"/>
                <w:szCs w:val="24"/>
                <w:highlight w:val="none"/>
                <w:lang w:bidi="ar"/>
              </w:rPr>
              <w:t>等单位的安全信息相关会议和培训。协助用户开展网络安全自查、安全整改建设、安全规划等日常安全管理工作，提供技术支撑。</w:t>
            </w:r>
          </w:p>
        </w:tc>
      </w:tr>
      <w:tr w14:paraId="6707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00" w:type="pct"/>
            <w:gridSpan w:val="2"/>
            <w:noWrap/>
            <w:tcMar>
              <w:top w:w="15" w:type="dxa"/>
              <w:left w:w="15" w:type="dxa"/>
              <w:right w:w="15" w:type="dxa"/>
            </w:tcMar>
            <w:vAlign w:val="center"/>
          </w:tcPr>
          <w:p w14:paraId="767C456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配合等级保护测评，并对问题进行整改等。</w:t>
            </w:r>
          </w:p>
        </w:tc>
      </w:tr>
      <w:tr w14:paraId="0EAE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00" w:type="pct"/>
            <w:gridSpan w:val="2"/>
            <w:noWrap/>
            <w:tcMar>
              <w:top w:w="15" w:type="dxa"/>
              <w:left w:w="15" w:type="dxa"/>
              <w:right w:w="15" w:type="dxa"/>
            </w:tcMar>
            <w:vAlign w:val="center"/>
          </w:tcPr>
          <w:p w14:paraId="432C8FE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制定修改并完善相关信息安全制度。</w:t>
            </w:r>
          </w:p>
        </w:tc>
      </w:tr>
      <w:tr w14:paraId="77F1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00" w:type="pct"/>
            <w:gridSpan w:val="2"/>
            <w:noWrap/>
            <w:tcMar>
              <w:top w:w="15" w:type="dxa"/>
              <w:left w:w="15" w:type="dxa"/>
              <w:right w:w="15" w:type="dxa"/>
            </w:tcMar>
            <w:vAlign w:val="center"/>
          </w:tcPr>
          <w:p w14:paraId="4018805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制定网络安全应急预案。</w:t>
            </w:r>
          </w:p>
        </w:tc>
      </w:tr>
      <w:tr w14:paraId="2A68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00" w:type="pct"/>
            <w:gridSpan w:val="2"/>
            <w:noWrap/>
            <w:tcMar>
              <w:top w:w="15" w:type="dxa"/>
              <w:left w:w="15" w:type="dxa"/>
              <w:right w:w="15" w:type="dxa"/>
            </w:tcMar>
            <w:vAlign w:val="center"/>
          </w:tcPr>
          <w:p w14:paraId="7B8A902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每年在自治区妇幼保健院进行</w:t>
            </w:r>
            <w:r>
              <w:rPr>
                <w:rFonts w:hint="eastAsia" w:ascii="宋体" w:hAnsi="宋体" w:eastAsia="宋体" w:cs="宋体"/>
                <w:color w:val="auto"/>
                <w:kern w:val="0"/>
                <w:sz w:val="24"/>
                <w:szCs w:val="24"/>
                <w:highlight w:val="none"/>
                <w:lang w:val="en-US" w:eastAsia="zh-CN" w:bidi="ar"/>
              </w:rPr>
              <w:t>至少两次护网值守</w:t>
            </w:r>
            <w:r>
              <w:rPr>
                <w:rFonts w:hint="eastAsia" w:ascii="宋体" w:hAnsi="宋体" w:eastAsia="宋体" w:cs="宋体"/>
                <w:color w:val="auto"/>
                <w:kern w:val="0"/>
                <w:sz w:val="24"/>
                <w:szCs w:val="24"/>
                <w:highlight w:val="none"/>
                <w:lang w:bidi="ar"/>
              </w:rPr>
              <w:t>。提出整改措施，修订完善应急预案。</w:t>
            </w:r>
          </w:p>
        </w:tc>
      </w:tr>
      <w:tr w14:paraId="0620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00" w:type="pct"/>
            <w:gridSpan w:val="2"/>
            <w:noWrap/>
            <w:tcMar>
              <w:top w:w="15" w:type="dxa"/>
              <w:left w:w="15" w:type="dxa"/>
              <w:right w:w="15" w:type="dxa"/>
            </w:tcMar>
            <w:vAlign w:val="center"/>
          </w:tcPr>
          <w:p w14:paraId="7EFB351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配合软件维护商进行相应的硬件虚拟化平台的布局的调整、调试、扩容等。</w:t>
            </w:r>
          </w:p>
        </w:tc>
      </w:tr>
      <w:tr w14:paraId="220D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00" w:type="pct"/>
            <w:gridSpan w:val="2"/>
            <w:noWrap/>
            <w:tcMar>
              <w:top w:w="15" w:type="dxa"/>
              <w:left w:w="15" w:type="dxa"/>
              <w:right w:w="15" w:type="dxa"/>
            </w:tcMar>
            <w:vAlign w:val="center"/>
          </w:tcPr>
          <w:p w14:paraId="3FAF51A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根据客户反馈的系统问题情况，在征得客户同意后，远程连接系统进行故障的分析和判断，并确定解决方案反馈客户，在客户确认后进行故障处理。</w:t>
            </w:r>
          </w:p>
        </w:tc>
      </w:tr>
      <w:tr w14:paraId="2C55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00" w:type="pct"/>
            <w:gridSpan w:val="2"/>
            <w:noWrap/>
            <w:tcMar>
              <w:top w:w="15" w:type="dxa"/>
              <w:left w:w="15" w:type="dxa"/>
              <w:right w:w="15" w:type="dxa"/>
            </w:tcMar>
            <w:vAlign w:val="center"/>
          </w:tcPr>
          <w:p w14:paraId="08DB602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在受理客户反馈的BUG（系统漏洞）问题后，对客户描述的问题在测试环境中进行在线分析并解决问题。</w:t>
            </w:r>
          </w:p>
        </w:tc>
      </w:tr>
      <w:tr w14:paraId="2C8F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7" w:hRule="atLeast"/>
          <w:jc w:val="center"/>
        </w:trPr>
        <w:tc>
          <w:tcPr>
            <w:tcW w:w="1162" w:type="pct"/>
            <w:noWrap/>
            <w:tcMar>
              <w:top w:w="15" w:type="dxa"/>
              <w:left w:w="15" w:type="dxa"/>
              <w:right w:w="15" w:type="dxa"/>
            </w:tcMar>
            <w:vAlign w:val="center"/>
          </w:tcPr>
          <w:p w14:paraId="1AC24FE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系统维护</w:t>
            </w:r>
          </w:p>
        </w:tc>
        <w:tc>
          <w:tcPr>
            <w:tcW w:w="3837" w:type="pct"/>
            <w:noWrap w:val="0"/>
            <w:tcMar>
              <w:top w:w="15" w:type="dxa"/>
              <w:left w:w="15" w:type="dxa"/>
              <w:right w:w="15" w:type="dxa"/>
            </w:tcMar>
            <w:vAlign w:val="center"/>
          </w:tcPr>
          <w:p w14:paraId="1AA4489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帮助用户解决服务器出现的各种故障</w:t>
            </w:r>
            <w:r>
              <w:rPr>
                <w:rStyle w:val="645"/>
                <w:rFonts w:hint="eastAsia" w:ascii="宋体" w:hAnsi="宋体" w:eastAsia="宋体" w:cs="宋体"/>
                <w:color w:val="auto"/>
                <w:sz w:val="24"/>
                <w:szCs w:val="24"/>
                <w:highlight w:val="none"/>
                <w:lang w:bidi="ar"/>
              </w:rPr>
              <w:t>。</w:t>
            </w:r>
          </w:p>
        </w:tc>
      </w:tr>
      <w:tr w14:paraId="1954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1162" w:type="pct"/>
            <w:noWrap/>
            <w:tcMar>
              <w:top w:w="15" w:type="dxa"/>
              <w:left w:w="15" w:type="dxa"/>
              <w:right w:w="15" w:type="dxa"/>
            </w:tcMar>
            <w:vAlign w:val="center"/>
          </w:tcPr>
          <w:p w14:paraId="47AE186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硬件应用故障</w:t>
            </w:r>
          </w:p>
        </w:tc>
        <w:tc>
          <w:tcPr>
            <w:tcW w:w="3837" w:type="pct"/>
            <w:noWrap w:val="0"/>
            <w:tcMar>
              <w:top w:w="15" w:type="dxa"/>
              <w:left w:w="15" w:type="dxa"/>
              <w:right w:w="15" w:type="dxa"/>
            </w:tcMar>
            <w:vAlign w:val="center"/>
          </w:tcPr>
          <w:p w14:paraId="421516E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排除用户正常应用过程中的硬件故障，确保正常运行</w:t>
            </w:r>
          </w:p>
        </w:tc>
      </w:tr>
      <w:tr w14:paraId="1C22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1162" w:type="pct"/>
            <w:noWrap/>
            <w:tcMar>
              <w:top w:w="15" w:type="dxa"/>
              <w:left w:w="15" w:type="dxa"/>
              <w:right w:w="15" w:type="dxa"/>
            </w:tcMar>
            <w:vAlign w:val="center"/>
          </w:tcPr>
          <w:p w14:paraId="57A95691">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软件安装</w:t>
            </w:r>
          </w:p>
        </w:tc>
        <w:tc>
          <w:tcPr>
            <w:tcW w:w="3837" w:type="pct"/>
            <w:noWrap w:val="0"/>
            <w:tcMar>
              <w:top w:w="15" w:type="dxa"/>
              <w:left w:w="15" w:type="dxa"/>
              <w:right w:w="15" w:type="dxa"/>
            </w:tcMar>
            <w:vAlign w:val="center"/>
          </w:tcPr>
          <w:p w14:paraId="43E332A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包括Windows系统及相关补丁的安装</w:t>
            </w:r>
            <w:r>
              <w:rPr>
                <w:rStyle w:val="645"/>
                <w:rFonts w:hint="eastAsia" w:ascii="宋体" w:hAnsi="宋体" w:eastAsia="宋体" w:cs="宋体"/>
                <w:color w:val="auto"/>
                <w:sz w:val="24"/>
                <w:szCs w:val="24"/>
                <w:highlight w:val="none"/>
                <w:lang w:bidi="ar"/>
              </w:rPr>
              <w:t>。</w:t>
            </w:r>
          </w:p>
        </w:tc>
      </w:tr>
      <w:tr w14:paraId="7F15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jc w:val="center"/>
        </w:trPr>
        <w:tc>
          <w:tcPr>
            <w:tcW w:w="1162" w:type="pct"/>
            <w:noWrap/>
            <w:tcMar>
              <w:top w:w="15" w:type="dxa"/>
              <w:left w:w="15" w:type="dxa"/>
              <w:right w:w="15" w:type="dxa"/>
            </w:tcMar>
            <w:vAlign w:val="center"/>
          </w:tcPr>
          <w:p w14:paraId="0D4BB06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数据信息保密</w:t>
            </w:r>
          </w:p>
        </w:tc>
        <w:tc>
          <w:tcPr>
            <w:tcW w:w="3837" w:type="pct"/>
            <w:noWrap w:val="0"/>
            <w:tcMar>
              <w:top w:w="15" w:type="dxa"/>
              <w:left w:w="15" w:type="dxa"/>
              <w:right w:w="15" w:type="dxa"/>
            </w:tcMar>
            <w:vAlign w:val="center"/>
          </w:tcPr>
          <w:p w14:paraId="0774790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托管方不得以任何其他目的或用途为由，直接或间接编排、修改、利用或以其他任何方式使用保密信息。托管方不得将保密信息向任何第三方公开、转让、许可、或以其他方式让无权接触该信息的单位或个人接触该信息。</w:t>
            </w:r>
          </w:p>
        </w:tc>
      </w:tr>
      <w:tr w14:paraId="719B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1162" w:type="pct"/>
            <w:noWrap/>
            <w:tcMar>
              <w:top w:w="15" w:type="dxa"/>
              <w:left w:w="15" w:type="dxa"/>
              <w:right w:w="15" w:type="dxa"/>
            </w:tcMar>
            <w:vAlign w:val="center"/>
          </w:tcPr>
          <w:p w14:paraId="3F182E0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数据迁移</w:t>
            </w:r>
          </w:p>
        </w:tc>
        <w:tc>
          <w:tcPr>
            <w:tcW w:w="3837" w:type="pct"/>
            <w:noWrap w:val="0"/>
            <w:tcMar>
              <w:top w:w="15" w:type="dxa"/>
              <w:left w:w="15" w:type="dxa"/>
              <w:right w:w="15" w:type="dxa"/>
            </w:tcMar>
            <w:vAlign w:val="center"/>
          </w:tcPr>
          <w:p w14:paraId="5A7A830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用户更换机器或网络时，将相关数据迁移到新的机器上。如有数据迁移情况，将免费提供1次数据迁移服务。</w:t>
            </w:r>
          </w:p>
        </w:tc>
      </w:tr>
      <w:tr w14:paraId="329B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jc w:val="center"/>
        </w:trPr>
        <w:tc>
          <w:tcPr>
            <w:tcW w:w="1162" w:type="pct"/>
            <w:noWrap/>
            <w:tcMar>
              <w:top w:w="15" w:type="dxa"/>
              <w:left w:w="15" w:type="dxa"/>
              <w:right w:w="15" w:type="dxa"/>
            </w:tcMar>
            <w:vAlign w:val="center"/>
          </w:tcPr>
          <w:p w14:paraId="34EB946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技术支持</w:t>
            </w:r>
          </w:p>
        </w:tc>
        <w:tc>
          <w:tcPr>
            <w:tcW w:w="3837" w:type="pct"/>
            <w:noWrap w:val="0"/>
            <w:tcMar>
              <w:top w:w="15" w:type="dxa"/>
              <w:left w:w="15" w:type="dxa"/>
              <w:right w:w="15" w:type="dxa"/>
            </w:tcMar>
            <w:vAlign w:val="center"/>
          </w:tcPr>
          <w:p w14:paraId="52D0CBF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对于其他产品之外的应用系统进行问题和故障分析。</w:t>
            </w:r>
          </w:p>
        </w:tc>
      </w:tr>
      <w:tr w14:paraId="78B7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jc w:val="center"/>
        </w:trPr>
        <w:tc>
          <w:tcPr>
            <w:tcW w:w="1162" w:type="pct"/>
            <w:noWrap/>
            <w:tcMar>
              <w:top w:w="15" w:type="dxa"/>
              <w:left w:w="15" w:type="dxa"/>
              <w:right w:w="15" w:type="dxa"/>
            </w:tcMar>
            <w:vAlign w:val="center"/>
          </w:tcPr>
          <w:p w14:paraId="512438A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服务范围</w:t>
            </w:r>
          </w:p>
        </w:tc>
        <w:tc>
          <w:tcPr>
            <w:tcW w:w="3837" w:type="pct"/>
            <w:noWrap w:val="0"/>
            <w:tcMar>
              <w:top w:w="15" w:type="dxa"/>
              <w:left w:w="15" w:type="dxa"/>
              <w:right w:w="15" w:type="dxa"/>
            </w:tcMar>
            <w:vAlign w:val="center"/>
          </w:tcPr>
          <w:p w14:paraId="154A8D4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妇幼健康云平台、妇幼健康信息管理集成平台、云上妇幼远程医疗平台</w:t>
            </w:r>
          </w:p>
        </w:tc>
      </w:tr>
      <w:bookmarkEnd w:id="45"/>
    </w:tbl>
    <w:p w14:paraId="675DD7C3">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p>
    <w:p w14:paraId="4F442989">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p>
    <w:p w14:paraId="4C1F35EA">
      <w:pPr>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sz w:val="24"/>
          <w:szCs w:val="24"/>
          <w:highlight w:val="none"/>
          <w:lang w:val="en-US" w:eastAsia="zh-CN"/>
        </w:rPr>
        <w:t>标项四：</w:t>
      </w:r>
      <w:r>
        <w:rPr>
          <w:rFonts w:hint="eastAsia" w:ascii="宋体" w:hAnsi="宋体" w:eastAsia="宋体" w:cs="宋体"/>
          <w:b/>
          <w:bCs/>
          <w:color w:val="auto"/>
          <w:sz w:val="24"/>
          <w:szCs w:val="24"/>
          <w:highlight w:val="none"/>
        </w:rPr>
        <w:t>国免孕优系统互联网专线服务招标</w:t>
      </w:r>
      <w:r>
        <w:rPr>
          <w:rFonts w:hint="eastAsia" w:ascii="宋体" w:hAnsi="宋体" w:eastAsia="宋体" w:cs="宋体"/>
          <w:b/>
          <w:bCs/>
          <w:color w:val="auto"/>
          <w:sz w:val="24"/>
          <w:szCs w:val="24"/>
          <w:highlight w:val="none"/>
          <w:lang w:val="en-US" w:eastAsia="zh-CN"/>
        </w:rPr>
        <w:t>参数</w:t>
      </w:r>
    </w:p>
    <w:p w14:paraId="05E712E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链路要求:</w:t>
      </w:r>
    </w:p>
    <w:p w14:paraId="4B072A5B">
      <w:pPr>
        <w:numPr>
          <w:ilvl w:val="0"/>
          <w:numId w:val="4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单条端到端链路可用率≥99.90%。</w:t>
      </w:r>
    </w:p>
    <w:p w14:paraId="444FBE09">
      <w:pPr>
        <w:numPr>
          <w:ilvl w:val="0"/>
          <w:numId w:val="4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单条端到端链路误码率，IPRAN链路≤</w:t>
      </w:r>
      <w:r>
        <w:rPr>
          <w:rFonts w:hint="eastAsia" w:ascii="宋体" w:hAnsi="宋体" w:eastAsia="宋体" w:cs="宋体"/>
          <w:i w:val="0"/>
          <w:iCs w:val="0"/>
          <w:caps w:val="0"/>
          <w:color w:val="auto"/>
          <w:spacing w:val="0"/>
          <w:sz w:val="24"/>
          <w:szCs w:val="24"/>
          <w:highlight w:val="none"/>
          <w:shd w:val="clear" w:fill="F9FAFB"/>
        </w:rPr>
        <w:t>10</w:t>
      </w:r>
      <w:r>
        <w:rPr>
          <w:rFonts w:hint="eastAsia" w:ascii="宋体" w:hAnsi="宋体" w:eastAsia="宋体" w:cs="宋体"/>
          <w:i w:val="0"/>
          <w:iCs w:val="0"/>
          <w:caps w:val="0"/>
          <w:color w:val="auto"/>
          <w:spacing w:val="0"/>
          <w:sz w:val="24"/>
          <w:szCs w:val="24"/>
          <w:highlight w:val="none"/>
          <w:shd w:val="clear" w:fill="F9FAFB"/>
          <w:vertAlign w:val="superscript"/>
          <w:lang w:val="en-US" w:eastAsia="zh-CN"/>
        </w:rPr>
        <w:t>-7</w:t>
      </w:r>
      <w:r>
        <w:rPr>
          <w:rFonts w:hint="eastAsia" w:ascii="宋体" w:hAnsi="宋体" w:eastAsia="宋体" w:cs="宋体"/>
          <w:color w:val="auto"/>
          <w:sz w:val="24"/>
          <w:szCs w:val="24"/>
          <w:highlight w:val="none"/>
        </w:rPr>
        <w:t>。</w:t>
      </w:r>
    </w:p>
    <w:p w14:paraId="6A346177">
      <w:pPr>
        <w:numPr>
          <w:ilvl w:val="0"/>
          <w:numId w:val="4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单条端到端链路故障率≤1次/4个月、所有端到端链路累计故障率≤2次/1个月。</w:t>
      </w:r>
    </w:p>
    <w:p w14:paraId="43223989">
      <w:pPr>
        <w:numPr>
          <w:ilvl w:val="0"/>
          <w:numId w:val="4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传输网络具备环路倒换、自愈功能。</w:t>
      </w:r>
    </w:p>
    <w:p w14:paraId="48A5533C">
      <w:pPr>
        <w:numPr>
          <w:ilvl w:val="0"/>
          <w:numId w:val="4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切换时间≤50ms.</w:t>
      </w:r>
    </w:p>
    <w:p w14:paraId="2169E91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传输要求:</w:t>
      </w:r>
    </w:p>
    <w:p w14:paraId="21F493C6">
      <w:pPr>
        <w:numPr>
          <w:ilvl w:val="0"/>
          <w:numId w:val="41"/>
        </w:numPr>
        <w:ind w:left="72"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接入层传输设备可提供10/100/1000M等端口，对于以太网等业务有保护机制。</w:t>
      </w:r>
    </w:p>
    <w:p w14:paraId="5A4E5AEA">
      <w:pPr>
        <w:numPr>
          <w:ilvl w:val="0"/>
          <w:numId w:val="41"/>
        </w:numPr>
        <w:ind w:left="72"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在本期网络链路建设的同时，充分考虑到具有10M向100M、100M向1000M等的平滑升级能力。</w:t>
      </w:r>
    </w:p>
    <w:p w14:paraId="30B9D123">
      <w:pPr>
        <w:numPr>
          <w:ilvl w:val="0"/>
          <w:numId w:val="41"/>
        </w:numPr>
        <w:ind w:left="72"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带宽：上下行带宽一致，为100M</w:t>
      </w:r>
    </w:p>
    <w:p w14:paraId="0386B329">
      <w:pPr>
        <w:rPr>
          <w:rFonts w:hint="eastAsia" w:ascii="宋体" w:hAnsi="宋体" w:eastAsia="宋体" w:cs="宋体"/>
          <w:b/>
          <w:bCs/>
          <w:sz w:val="24"/>
          <w:szCs w:val="24"/>
          <w:highlight w:val="none"/>
          <w:lang w:val="en-US" w:eastAsia="zh-CN"/>
        </w:rPr>
      </w:pPr>
    </w:p>
    <w:p w14:paraId="1FA63423">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p>
    <w:p w14:paraId="3282FB19">
      <w:pPr>
        <w:pStyle w:val="2"/>
        <w:numPr>
          <w:ilvl w:val="0"/>
          <w:numId w:val="0"/>
        </w:numPr>
        <w:spacing w:before="0" w:after="0" w:line="240" w:lineRule="auto"/>
        <w:ind w:leftChars="0"/>
        <w:jc w:val="both"/>
        <w:rPr>
          <w:rFonts w:hint="eastAsia" w:ascii="宋体" w:hAnsi="宋体" w:eastAsia="宋体" w:cs="宋体"/>
          <w:color w:val="auto"/>
          <w:sz w:val="24"/>
          <w:szCs w:val="24"/>
          <w:highlight w:val="none"/>
        </w:rPr>
      </w:pPr>
      <w:r>
        <w:rPr>
          <w:rFonts w:hint="eastAsia" w:ascii="宋体" w:hAnsi="宋体" w:eastAsia="宋体" w:cs="宋体"/>
          <w:b/>
          <w:bCs/>
          <w:sz w:val="24"/>
          <w:szCs w:val="24"/>
          <w:highlight w:val="none"/>
          <w:lang w:val="en-US" w:eastAsia="zh-CN"/>
        </w:rPr>
        <w:t>标项五：</w:t>
      </w:r>
      <w:r>
        <w:rPr>
          <w:rFonts w:hint="eastAsia" w:ascii="宋体" w:hAnsi="宋体" w:eastAsia="宋体" w:cs="宋体"/>
          <w:color w:val="auto"/>
          <w:sz w:val="24"/>
          <w:szCs w:val="24"/>
          <w:highlight w:val="none"/>
        </w:rPr>
        <w:t>新疆自治区妇幼保健院国家云上妇幼远程医疗平台(新疆)</w:t>
      </w:r>
    </w:p>
    <w:p w14:paraId="00A26EE4">
      <w:pPr>
        <w:pStyle w:val="2"/>
        <w:numPr>
          <w:ilvl w:val="0"/>
          <w:numId w:val="0"/>
        </w:numPr>
        <w:spacing w:before="0" w:after="0" w:line="240" w:lineRule="auto"/>
        <w:ind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流量服务费招标参数</w:t>
      </w:r>
    </w:p>
    <w:p w14:paraId="6756CB9D">
      <w:pPr>
        <w:pStyle w:val="3"/>
        <w:numPr>
          <w:ilvl w:val="0"/>
          <w:numId w:val="4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tbl>
      <w:tblPr>
        <w:tblStyle w:val="61"/>
        <w:tblW w:w="10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662"/>
        <w:gridCol w:w="1729"/>
        <w:gridCol w:w="1066"/>
        <w:gridCol w:w="1894"/>
        <w:gridCol w:w="1856"/>
      </w:tblGrid>
      <w:tr w14:paraId="4F67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3A610341">
            <w:pPr>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序号</w:t>
            </w:r>
          </w:p>
        </w:tc>
        <w:tc>
          <w:tcPr>
            <w:tcW w:w="2662" w:type="dxa"/>
            <w:tcBorders>
              <w:top w:val="single" w:color="auto" w:sz="4" w:space="0"/>
              <w:left w:val="single" w:color="auto" w:sz="4" w:space="0"/>
              <w:right w:val="single" w:color="auto" w:sz="4" w:space="0"/>
            </w:tcBorders>
            <w:shd w:val="clear" w:color="auto" w:fill="auto"/>
            <w:vAlign w:val="center"/>
          </w:tcPr>
          <w:p w14:paraId="20711A8B">
            <w:pPr>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产品名称</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14:paraId="0FD55174">
            <w:pPr>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技术要求</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6DF1AFC4">
            <w:pPr>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服务期</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14:paraId="65A0DE23">
            <w:pPr>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交货时间</w:t>
            </w:r>
          </w:p>
        </w:tc>
        <w:tc>
          <w:tcPr>
            <w:tcW w:w="1856" w:type="dxa"/>
            <w:tcBorders>
              <w:top w:val="single" w:color="auto" w:sz="4" w:space="0"/>
              <w:left w:val="single" w:color="auto" w:sz="4" w:space="0"/>
              <w:right w:val="single" w:color="auto" w:sz="4" w:space="0"/>
            </w:tcBorders>
            <w:shd w:val="clear" w:color="auto" w:fill="auto"/>
            <w:vAlign w:val="center"/>
          </w:tcPr>
          <w:p w14:paraId="5E4C6BAA">
            <w:pPr>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备注</w:t>
            </w:r>
          </w:p>
        </w:tc>
      </w:tr>
      <w:tr w14:paraId="5A19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14:paraId="7D1A41B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62" w:type="dxa"/>
            <w:tcBorders>
              <w:top w:val="nil"/>
              <w:left w:val="nil"/>
              <w:bottom w:val="single" w:color="auto" w:sz="4" w:space="0"/>
              <w:right w:val="single" w:color="auto" w:sz="4" w:space="0"/>
            </w:tcBorders>
            <w:shd w:val="clear" w:color="auto" w:fill="auto"/>
            <w:vAlign w:val="center"/>
          </w:tcPr>
          <w:p w14:paraId="041A5BF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Hans"/>
              </w:rPr>
              <w:t>国家云上妇幼远程医疗平台(新疆)流量服务费</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14:paraId="5F50F34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见招标文件技术</w:t>
            </w:r>
            <w:r>
              <w:rPr>
                <w:rFonts w:hint="eastAsia" w:ascii="宋体" w:hAnsi="宋体" w:eastAsia="宋体" w:cs="宋体"/>
                <w:color w:val="auto"/>
                <w:sz w:val="24"/>
                <w:szCs w:val="24"/>
                <w:highlight w:val="none"/>
                <w:lang w:eastAsia="zh-Hans"/>
              </w:rPr>
              <w:t>参数要求</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1FCBB8A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14:paraId="361E4F9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合同生效后6个工作日内</w:t>
            </w:r>
          </w:p>
        </w:tc>
        <w:tc>
          <w:tcPr>
            <w:tcW w:w="1856" w:type="dxa"/>
            <w:tcBorders>
              <w:left w:val="single" w:color="auto" w:sz="4" w:space="0"/>
              <w:right w:val="single" w:color="auto" w:sz="4" w:space="0"/>
            </w:tcBorders>
            <w:shd w:val="clear" w:color="auto" w:fill="auto"/>
            <w:vAlign w:val="center"/>
          </w:tcPr>
          <w:p w14:paraId="528F586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合同一年一签</w:t>
            </w:r>
          </w:p>
        </w:tc>
      </w:tr>
      <w:tr w14:paraId="3E6A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14:paraId="1AFFCD7B">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说明</w:t>
            </w:r>
          </w:p>
        </w:tc>
        <w:tc>
          <w:tcPr>
            <w:tcW w:w="9207" w:type="dxa"/>
            <w:gridSpan w:val="5"/>
            <w:tcBorders>
              <w:top w:val="nil"/>
              <w:left w:val="nil"/>
              <w:bottom w:val="single" w:color="auto" w:sz="4" w:space="0"/>
              <w:right w:val="single" w:color="auto" w:sz="4" w:space="0"/>
            </w:tcBorders>
            <w:shd w:val="clear" w:color="auto" w:fill="auto"/>
            <w:vAlign w:val="center"/>
          </w:tcPr>
          <w:p w14:paraId="0190CB34">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1.投标人须对所投包内所有产品和数量进行投标报价，否则视为无效投标。</w:t>
            </w:r>
          </w:p>
          <w:p w14:paraId="63E40691">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本项目为交钥匙工程，中标方承担项目全过程的所有费用</w:t>
            </w:r>
            <w:r>
              <w:rPr>
                <w:rFonts w:hint="eastAsia" w:ascii="宋体" w:hAnsi="宋体" w:eastAsia="宋体" w:cs="宋体"/>
                <w:color w:val="auto"/>
                <w:sz w:val="24"/>
                <w:szCs w:val="24"/>
                <w:highlight w:val="none"/>
              </w:rPr>
              <w:t>。</w:t>
            </w:r>
          </w:p>
        </w:tc>
      </w:tr>
    </w:tbl>
    <w:p w14:paraId="37BCFA17">
      <w:pPr>
        <w:rPr>
          <w:rFonts w:hint="eastAsia" w:ascii="宋体" w:hAnsi="宋体" w:eastAsia="宋体" w:cs="宋体"/>
          <w:b/>
          <w:bCs/>
          <w:color w:val="auto"/>
          <w:sz w:val="24"/>
          <w:szCs w:val="24"/>
          <w:highlight w:val="none"/>
        </w:rPr>
      </w:pPr>
    </w:p>
    <w:p w14:paraId="665535F7">
      <w:pPr>
        <w:pStyle w:val="3"/>
        <w:numPr>
          <w:ilvl w:val="0"/>
          <w:numId w:val="4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14:paraId="49D44DDC">
      <w:pPr>
        <w:ind w:firstLine="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普通直播流量</w:t>
      </w:r>
    </w:p>
    <w:p w14:paraId="66FB9641">
      <w:pPr>
        <w:numPr>
          <w:ilvl w:val="0"/>
          <w:numId w:val="43"/>
        </w:numPr>
        <w:spacing w:before="120" w:beforeLines="50" w:after="120" w:afterLines="50" w:line="48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流量覆盖：满足项目直播模块的日常流量使用，如健康知识讲座、一般性医疗培训等普通直播活动的数据传输需求。</w:t>
      </w:r>
    </w:p>
    <w:p w14:paraId="0044D846">
      <w:pPr>
        <w:numPr>
          <w:ilvl w:val="0"/>
          <w:numId w:val="43"/>
        </w:numPr>
        <w:spacing w:before="120" w:beforeLines="50" w:after="120" w:afterLines="50" w:line="48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流量质量：网络带宽稳定，确保直播过程中视频播放流畅，，视频分辨率支持至少720p，直播延迟控制在30秒以内，丢包率不超过5%。</w:t>
      </w:r>
    </w:p>
    <w:p w14:paraId="4B340D6A">
      <w:pPr>
        <w:numPr>
          <w:ilvl w:val="0"/>
          <w:numId w:val="43"/>
        </w:numPr>
        <w:spacing w:before="120" w:beforeLines="50" w:after="120" w:afterLines="50" w:line="48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平滑迁移：为保障平台稳定运行和维护，不得改动平台已有的技术方案和代码。</w:t>
      </w:r>
    </w:p>
    <w:p w14:paraId="547C4F14">
      <w:pPr>
        <w:numPr>
          <w:ilvl w:val="0"/>
          <w:numId w:val="43"/>
        </w:numPr>
        <w:spacing w:before="120" w:beforeLines="50" w:after="120" w:afterLines="50" w:line="48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流量范围：支持按照国家云上妇幼远程医疗平台项目建设要求，为国家云上妇幼远程医疗平台（新疆）所有功能提供流量兜底保障，确保流量按需使用无限制，包括远程培训模块、新闻模块、远程会诊/指导模块、线上转诊模块、在线直播模块、交流中心模块、超声指导模块等模块的流量按需使用无限制，禁止恶意消耗流量。</w:t>
      </w:r>
    </w:p>
    <w:p w14:paraId="625A140F">
      <w:pPr>
        <w:numPr>
          <w:ilvl w:val="0"/>
          <w:numId w:val="43"/>
        </w:numPr>
        <w:spacing w:before="120" w:beforeLines="50" w:after="120" w:afterLines="50" w:line="48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项目期：3年</w:t>
      </w:r>
    </w:p>
    <w:p w14:paraId="41D57179">
      <w:pPr>
        <w:ind w:firstLine="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互动直播流量</w:t>
      </w:r>
    </w:p>
    <w:p w14:paraId="65E07162">
      <w:pPr>
        <w:numPr>
          <w:ilvl w:val="0"/>
          <w:numId w:val="44"/>
        </w:numPr>
        <w:spacing w:before="120" w:beforeLines="50" w:after="120" w:afterLines="50" w:line="48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双向数据传输支持：具备强大的双向数据传输能力，满足远程会诊、多方病例讨论等互动直播场景需求。支持至少两方同时在线互动，且互动过程中语音、视频传输清晰稳定。</w:t>
      </w:r>
    </w:p>
    <w:p w14:paraId="20E3F8BD">
      <w:pPr>
        <w:numPr>
          <w:ilvl w:val="0"/>
          <w:numId w:val="44"/>
        </w:numPr>
        <w:spacing w:before="120" w:beforeLines="50" w:after="120" w:afterLines="50"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安全保障：在互动直播流量传输过程中，采用加密技术保障数据安全，防止患者隐私信息泄露，符合行业相关数据安全标准和法规要求。</w:t>
      </w:r>
    </w:p>
    <w:p w14:paraId="1859AD8F">
      <w:pPr>
        <w:numPr>
          <w:ilvl w:val="0"/>
          <w:numId w:val="44"/>
        </w:numPr>
        <w:spacing w:before="120" w:beforeLines="50" w:after="120" w:afterLines="50" w:line="48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平滑迁移：为保障平台稳定运行和维护，不得改动平台已有的技术方案和代码。</w:t>
      </w:r>
    </w:p>
    <w:p w14:paraId="0D0B76EE">
      <w:pPr>
        <w:spacing w:before="120" w:beforeLines="50" w:after="120" w:afterLines="50" w:line="48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流量范围：支持按照国家云上妇幼远程医疗平台项目建设要求，为国家云上妇幼远程医疗平台（新疆）所有功能提供流量兜底保障，确保流量按需使用无限制，包括远程培训模块、新闻模块、远程会诊/指导模块、线上转诊模块、在线直播模块、交流中心模块、超声指导模块等模块的流量按需使用无限制，禁止恶意消耗流量。</w:t>
      </w:r>
    </w:p>
    <w:p w14:paraId="7BB626E2">
      <w:pPr>
        <w:spacing w:before="120" w:beforeLines="50" w:after="120" w:afterLines="50" w:line="48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（5）项目期：3年</w:t>
      </w:r>
    </w:p>
    <w:p w14:paraId="4D9B7B0B">
      <w:pPr>
        <w:ind w:firstLine="42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视频点播流量</w:t>
      </w:r>
    </w:p>
    <w:p w14:paraId="0FA7D502">
      <w:pPr>
        <w:numPr>
          <w:ilvl w:val="0"/>
          <w:numId w:val="45"/>
        </w:numPr>
        <w:spacing w:before="120" w:beforeLines="50" w:after="120" w:afterLines="50" w:line="48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视频点播流量：保障视频点播时的分发流量，支持平台注册用户同时在线流畅观看点播视频。</w:t>
      </w:r>
    </w:p>
    <w:p w14:paraId="3AEDE9F5">
      <w:pPr>
        <w:numPr>
          <w:ilvl w:val="0"/>
          <w:numId w:val="45"/>
        </w:numPr>
        <w:spacing w:before="120" w:beforeLines="50" w:after="120" w:afterLines="50" w:line="48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平滑迁移：为保障平台稳定运行和维护，不得改动平台已有的技术方案和代码。</w:t>
      </w:r>
    </w:p>
    <w:p w14:paraId="6CD216B7">
      <w:pPr>
        <w:spacing w:before="120" w:beforeLines="50" w:after="120" w:afterLines="50" w:line="48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流量范围：支持按照国家云上妇幼远程医疗平台项目建设要求，为国家云上妇幼远程医疗平台（新疆）所有功能提供流量兜底保障，确保流量按需使用无限制，包括远程培训模块、新闻模块、远程会诊/指导模块、线上转诊模块、在线直播模块、交流中心模块、超声指导模块等模块的流量按需使用无限制，禁止恶意消耗流量。</w:t>
      </w:r>
    </w:p>
    <w:p w14:paraId="011A9672">
      <w:pPr>
        <w:spacing w:before="120" w:beforeLines="50" w:after="120" w:afterLines="50" w:line="480" w:lineRule="auto"/>
        <w:ind w:left="48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（4）项目期：3年</w:t>
      </w:r>
    </w:p>
    <w:p w14:paraId="2AEBA0A9">
      <w:pPr>
        <w:ind w:firstLine="42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视频存储流量</w:t>
      </w:r>
    </w:p>
    <w:p w14:paraId="1B4C5704">
      <w:pPr>
        <w:numPr>
          <w:ilvl w:val="0"/>
          <w:numId w:val="46"/>
        </w:numPr>
        <w:spacing w:before="120" w:beforeLines="50" w:after="120" w:afterLines="50" w:line="48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提供充足的录播视频存储空间，确保平台上录制的各类医疗课程、演示视频等能够在合约期内稳定存储。</w:t>
      </w:r>
    </w:p>
    <w:p w14:paraId="442A320D">
      <w:pPr>
        <w:numPr>
          <w:ilvl w:val="0"/>
          <w:numId w:val="46"/>
        </w:numPr>
        <w:spacing w:before="120" w:beforeLines="50" w:after="120" w:afterLines="50"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数据安全与备份：采用高可靠性的数据存储架构，具备多重数据冗余备份机制，确保视频数据的安全性和完整性及流畅性。</w:t>
      </w:r>
    </w:p>
    <w:p w14:paraId="4C06371A">
      <w:pPr>
        <w:numPr>
          <w:ilvl w:val="0"/>
          <w:numId w:val="46"/>
        </w:numPr>
        <w:spacing w:before="120" w:beforeLines="50" w:after="120" w:afterLines="50"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项目期：3年</w:t>
      </w:r>
    </w:p>
    <w:p w14:paraId="465008D2">
      <w:pPr>
        <w:ind w:firstLine="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云上妇幼其他功能产生的访问流量</w:t>
      </w:r>
    </w:p>
    <w:p w14:paraId="7EC05125">
      <w:pPr>
        <w:spacing w:before="120" w:beforeLines="50" w:after="120" w:afterLines="50" w:line="48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（1）综合流量：针对平台上除直播、录播和视频存储外的其他功能产生的访问流量，提供额外的综合流量。</w:t>
      </w:r>
    </w:p>
    <w:p w14:paraId="55DA1E18">
      <w:pPr>
        <w:spacing w:before="120" w:beforeLines="50" w:after="120" w:afterLines="50" w:line="48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流量范围：支持按照国家云上妇幼远程医疗平台项目建设要求，为国家云上妇幼远程医疗平台（新疆）所有功能提供流量兜底保障，确保流量按需使用无限制，包括远程培训模块、新闻模块、远程会诊/指导模块、线上转诊模块、在线直播模块、交流中心模块、超声指导模块等模块的流量按需使用无限制，禁止恶意消耗流量。</w:t>
      </w:r>
    </w:p>
    <w:p w14:paraId="57C3E132">
      <w:pPr>
        <w:spacing w:before="120" w:beforeLines="50" w:after="120" w:afterLines="50" w:line="48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（3）项目期:3年</w:t>
      </w:r>
    </w:p>
    <w:p w14:paraId="2A9EE78C">
      <w:pPr>
        <w:pStyle w:val="3"/>
        <w:numPr>
          <w:ilvl w:val="0"/>
          <w:numId w:val="4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验收标准</w:t>
      </w:r>
    </w:p>
    <w:p w14:paraId="1336E228">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1、中标机构负责产品的配置、调试，并负责本项目产品的安全。</w:t>
      </w:r>
    </w:p>
    <w:p w14:paraId="5AAF6D14">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2、中标机构接到买方通知后6个工作日内完成平台流量配置，达到正常运行要求，保证买方正常使用。所需的费用包括在投标总价格中。</w:t>
      </w:r>
    </w:p>
    <w:p w14:paraId="4CD3D7C2">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3、验收标准以招投标文件技术参数及要求为准。</w:t>
      </w:r>
    </w:p>
    <w:p w14:paraId="0F66AAEA">
      <w:pPr>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支付方式：</w:t>
      </w:r>
    </w:p>
    <w:p w14:paraId="2639E4B2">
      <w:pPr>
        <w:spacing w:line="460" w:lineRule="exact"/>
        <w:ind w:firstLine="480" w:firstLineChars="200"/>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rPr>
        <w:t>甲方在合同签署生效</w:t>
      </w:r>
      <w:r>
        <w:rPr>
          <w:rFonts w:hint="eastAsia" w:ascii="宋体" w:hAnsi="宋体" w:eastAsia="宋体" w:cs="宋体"/>
          <w:color w:val="auto"/>
          <w:sz w:val="24"/>
          <w:szCs w:val="24"/>
          <w:highlight w:val="none"/>
          <w:lang w:eastAsia="zh-Hans"/>
        </w:rPr>
        <w:t>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Hans"/>
        </w:rPr>
        <w:t>甲方负责支付乙方合同价的100%。</w:t>
      </w:r>
    </w:p>
    <w:p w14:paraId="372C1C66">
      <w:pPr>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质保期要求：</w:t>
      </w:r>
    </w:p>
    <w:p w14:paraId="5D5709C3">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质保期3年，在质保期范围内，保证产品的功能和质量，以及产品的数量，并对产品进行维修。</w:t>
      </w:r>
    </w:p>
    <w:p w14:paraId="0BA05BE8">
      <w:pPr>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售后服务及培训要求：</w:t>
      </w:r>
    </w:p>
    <w:p w14:paraId="480020F7">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质量保证期内中标机构为采购人免费提供以下技术支持服务，并提供书面的技术服务承诺，明确售后服务的服务方式、范围、内容：</w:t>
      </w:r>
    </w:p>
    <w:p w14:paraId="30A93204">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1、质量保证期内服务要求</w:t>
      </w:r>
    </w:p>
    <w:p w14:paraId="3DEA4102">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——电话或电子邮件服务</w:t>
      </w:r>
    </w:p>
    <w:p w14:paraId="0D7FF073">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工作日内：电话或电子邮件服务，2小时内做出明确响应和安排，非灾难性问题尽量在5小时内解决，并做出故障诊断报告；</w:t>
      </w:r>
    </w:p>
    <w:p w14:paraId="3D405C08">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非工作日：中标机构也应该尽快响应及解决问题。</w:t>
      </w:r>
    </w:p>
    <w:p w14:paraId="3A9E7893">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——现场响应</w:t>
      </w:r>
    </w:p>
    <w:p w14:paraId="15623275">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用户遇到使用及技术问题，电话咨询不能解决的，中标机构应在五个工作日内提供上门服务，中标机构所产生的差旅费等费用由</w:t>
      </w:r>
      <w:r>
        <w:rPr>
          <w:rFonts w:hint="eastAsia" w:ascii="宋体" w:hAnsi="宋体" w:cs="宋体"/>
          <w:color w:val="auto"/>
          <w:sz w:val="24"/>
          <w:szCs w:val="24"/>
          <w:highlight w:val="none"/>
          <w:lang w:val="en-US" w:eastAsia="zh-CN"/>
        </w:rPr>
        <w:t>乙方承担</w:t>
      </w:r>
      <w:r>
        <w:rPr>
          <w:rFonts w:hint="eastAsia" w:ascii="宋体" w:hAnsi="宋体" w:eastAsia="宋体" w:cs="宋体"/>
          <w:color w:val="auto"/>
          <w:sz w:val="24"/>
          <w:szCs w:val="24"/>
          <w:highlight w:val="none"/>
        </w:rPr>
        <w:t>。</w:t>
      </w:r>
    </w:p>
    <w:p w14:paraId="79C552F8">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——技术升级</w:t>
      </w:r>
    </w:p>
    <w:p w14:paraId="42E6AE48">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在质保期内，如果中标机构的产品技术升级，中标机构将及时通知采购人，如采购人有相应要求，中标机构也将对采购人进行升级服务。</w:t>
      </w:r>
    </w:p>
    <w:p w14:paraId="3536B39A">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2、质保期外服务要求</w:t>
      </w:r>
    </w:p>
    <w:p w14:paraId="730D5A12">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质量保证期过后，中标机构可同样提供免费电话咨询服务；若采购人需要继续由中标机构提供售后服务的，中标机构将以优惠价格提供售后服务。</w:t>
      </w:r>
    </w:p>
    <w:p w14:paraId="1A8762B0">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3、故障响应时间要求</w:t>
      </w:r>
    </w:p>
    <w:p w14:paraId="5CBBD05F">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中标机构接到采购方产品使用出现问题的通知后2小时内做出明确响应和安排，非灾难性问题在尽量5小时内解决，并做出故障诊断报告。</w:t>
      </w:r>
      <w:bookmarkStart w:id="48" w:name="_Toc414955047"/>
      <w:bookmarkEnd w:id="48"/>
    </w:p>
    <w:p w14:paraId="324C5954">
      <w:pPr>
        <w:rPr>
          <w:rFonts w:hint="eastAsia" w:ascii="宋体" w:hAnsi="宋体" w:eastAsia="宋体" w:cs="宋体"/>
          <w:b/>
          <w:bCs/>
          <w:sz w:val="24"/>
          <w:szCs w:val="24"/>
          <w:highlight w:val="none"/>
          <w:lang w:val="en-US" w:eastAsia="zh-CN"/>
        </w:rPr>
      </w:pPr>
    </w:p>
    <w:p w14:paraId="54DD8D34">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p>
    <w:p w14:paraId="3F2DB8FC">
      <w:pPr>
        <w:pStyle w:val="57"/>
        <w:pageBreakBefore w:val="0"/>
        <w:kinsoku/>
        <w:wordWrap/>
        <w:overflowPunct/>
        <w:topLinePunct w:val="0"/>
        <w:autoSpaceDE/>
        <w:autoSpaceDN/>
        <w:bidi w:val="0"/>
        <w:adjustRightInd/>
        <w:spacing w:line="400" w:lineRule="exact"/>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标项六：采购需求</w:t>
      </w:r>
    </w:p>
    <w:p w14:paraId="2C690FBC">
      <w:pPr>
        <w:pStyle w:val="2"/>
        <w:pageBreakBefore w:val="0"/>
        <w:numPr>
          <w:ilvl w:val="0"/>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49" w:name="_Toc19276"/>
      <w:bookmarkStart w:id="50" w:name="_Toc344"/>
      <w:r>
        <w:rPr>
          <w:rFonts w:hint="eastAsia" w:ascii="宋体" w:hAnsi="宋体" w:eastAsia="宋体" w:cs="宋体"/>
          <w:color w:val="auto"/>
          <w:sz w:val="24"/>
          <w:szCs w:val="24"/>
          <w:highlight w:val="none"/>
        </w:rPr>
        <w:t>项目名称</w:t>
      </w:r>
      <w:bookmarkEnd w:id="49"/>
      <w:bookmarkEnd w:id="50"/>
    </w:p>
    <w:p w14:paraId="57635D30">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医院信息系统安全维保服务</w:t>
      </w:r>
    </w:p>
    <w:p w14:paraId="44BAC5AD">
      <w:pPr>
        <w:pStyle w:val="2"/>
        <w:pageBreakBefore w:val="0"/>
        <w:numPr>
          <w:ilvl w:val="0"/>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51" w:name="_Toc6212"/>
      <w:bookmarkStart w:id="52" w:name="_Toc29634"/>
      <w:r>
        <w:rPr>
          <w:rFonts w:hint="eastAsia" w:ascii="宋体" w:hAnsi="宋体" w:eastAsia="宋体" w:cs="宋体"/>
          <w:color w:val="auto"/>
          <w:sz w:val="24"/>
          <w:szCs w:val="24"/>
          <w:highlight w:val="none"/>
        </w:rPr>
        <w:t>建设目标</w:t>
      </w:r>
      <w:bookmarkEnd w:id="51"/>
      <w:bookmarkEnd w:id="52"/>
      <w:bookmarkStart w:id="53" w:name="_Toc8051"/>
      <w:bookmarkEnd w:id="53"/>
    </w:p>
    <w:p w14:paraId="79E981B8">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投标人应编制医院信息系统安全维保工作方案，进行信息安全的风险评估，按照国家有关规定和技术要求，做好现有信息系统安全保护工作。</w:t>
      </w:r>
    </w:p>
    <w:p w14:paraId="2274F23F">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主要实现以下目标：</w:t>
      </w:r>
    </w:p>
    <w:p w14:paraId="4A0619B3">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1、通过专业的安全服务，保证的各个关键业务系统安全运行。</w:t>
      </w:r>
    </w:p>
    <w:p w14:paraId="7381D735">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2、通过专业的技术服务，保证所有的服务器系统、数据库系统、存储系统、安全系统和网络系统的正常运行；保障机房基础设施本身的稳定运行。</w:t>
      </w:r>
    </w:p>
    <w:p w14:paraId="694A94AC">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3、通过紧急应急措施，及时解决系统故障，将故障影响降低到最小程度，恢复系统的正常运行。</w:t>
      </w:r>
    </w:p>
    <w:p w14:paraId="02E4A1EF">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4、保证院内网络及虚拟化平台网络的通畅，出现网络故障及时解决，保障好医院各项业务的顺利开展。</w:t>
      </w:r>
    </w:p>
    <w:p w14:paraId="15FDBFCE">
      <w:pPr>
        <w:pStyle w:val="2"/>
        <w:pageBreakBefore w:val="0"/>
        <w:numPr>
          <w:ilvl w:val="0"/>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54" w:name="_Toc13281"/>
      <w:r>
        <w:rPr>
          <w:rFonts w:hint="eastAsia" w:ascii="宋体" w:hAnsi="宋体" w:eastAsia="宋体" w:cs="宋体"/>
          <w:color w:val="auto"/>
          <w:sz w:val="24"/>
          <w:szCs w:val="24"/>
          <w:highlight w:val="none"/>
        </w:rPr>
        <w:t>服务内容</w:t>
      </w:r>
      <w:bookmarkEnd w:id="54"/>
    </w:p>
    <w:p w14:paraId="284079FC">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巡检服务</w:t>
      </w:r>
    </w:p>
    <w:p w14:paraId="261A3F25">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机房巡检</w:t>
      </w:r>
    </w:p>
    <w:p w14:paraId="4EB555E7">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设备状态检查：</w:t>
      </w:r>
    </w:p>
    <w:p w14:paraId="7C760F18">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(1)服务器硬件:检查服务器的外观、指示灯，确保没有明显的物理损坏。</w:t>
      </w:r>
    </w:p>
    <w:p w14:paraId="285D6EB0">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网络设备:检查路由器、交换机和防火墙等网络设备的运行状态和指示灯。</w:t>
      </w:r>
    </w:p>
    <w:p w14:paraId="6FB0F78C">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(3)电源供应:确保所有设备都正常连接到稳定的电源，并检查UPS（不间断电源）的状态。</w:t>
      </w:r>
    </w:p>
    <w:p w14:paraId="55615DF2">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温度和湿度监测：</w:t>
      </w:r>
    </w:p>
    <w:p w14:paraId="7293E8C7">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使用温度和湿度传感器监测机房内的环境条件，确保设备处于适宜的工作温度和湿度范围。</w:t>
      </w:r>
    </w:p>
    <w:p w14:paraId="38CCA530">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电源系统检查：</w:t>
      </w:r>
    </w:p>
    <w:p w14:paraId="61E89D3F">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(1)检查发电机、UPS和电源配电系统，确保备用电源可用并进行定期测试。</w:t>
      </w:r>
    </w:p>
    <w:p w14:paraId="5FCE2619">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(2)检查电源插座和线缆，确保其安全可靠。</w:t>
      </w:r>
    </w:p>
    <w:p w14:paraId="54233A6B">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网络连接检查：</w:t>
      </w:r>
    </w:p>
    <w:p w14:paraId="0F5A8C83">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(1)检查网络连接和数据链路，确保服务器之间以及服务器与外部网络、院内终端间的通信正常。</w:t>
      </w:r>
    </w:p>
    <w:p w14:paraId="1E790C5F">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(2)检查网络线缆和插头，解决任何可能的断开或连接问题。</w:t>
      </w:r>
    </w:p>
    <w:p w14:paraId="204C4EA5">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（3）对院内虚拟化平台资源池进行定期巡检，并出具相应的巡检报告。虚拟化平台出现任何故障（包括但不限于网络、应用等）。进行及时的问题排查和解决。</w:t>
      </w:r>
    </w:p>
    <w:p w14:paraId="7FD20456">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（4）对医院的内网、办公网以及DMZ区的网络进行定期巡检，对各网络出现的一切网络故障及时进行排查，并解决相关的网络故障，保障院内外网和互联网业务的正常使用。</w:t>
      </w:r>
    </w:p>
    <w:p w14:paraId="5C5F7E33">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服务器健康状况监测：</w:t>
      </w:r>
    </w:p>
    <w:p w14:paraId="78228218">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(1)对我院物理服务器及虚拟化服务器操作系统进行定期巡检，巡检主要包括：CPU、内存、磁盘、网络。对出现的性能问题进行优化和调整。</w:t>
      </w:r>
    </w:p>
    <w:p w14:paraId="5CE54F8B">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(2)确保服务器操作系统和应用程序的更新和安全补丁已经安装。</w:t>
      </w:r>
    </w:p>
    <w:p w14:paraId="692606F2">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安全检查：</w:t>
      </w:r>
    </w:p>
    <w:p w14:paraId="0C001046">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(1)确保机房内部设施的物理安全，防止未经授权的人员进入。</w:t>
      </w:r>
    </w:p>
    <w:p w14:paraId="2E80DCD6">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(2)检查安全摄像头和监控系统的运行状态。</w:t>
      </w:r>
    </w:p>
    <w:p w14:paraId="27B096A9">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备份系统检查：</w:t>
      </w:r>
    </w:p>
    <w:p w14:paraId="51E3940D">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(1)确认备份系统的正常运行，检查备份数据的完整性。(2)定期测试备份的还原过程，确保在需要时能够迅速还原数据。</w:t>
      </w:r>
    </w:p>
    <w:p w14:paraId="12B6D382">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日志和报警检查：</w:t>
      </w:r>
    </w:p>
    <w:p w14:paraId="3C818CEC">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(1)定期审查服务器和网络设备的日志，以便及时发现潜在问题。</w:t>
      </w:r>
    </w:p>
    <w:p w14:paraId="71E265D8">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(2)确认报警系统设置正确，并对任何异常事件进行适当的响应。</w:t>
      </w:r>
    </w:p>
    <w:p w14:paraId="7B62A1CF">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标签和记录更新：</w:t>
      </w:r>
    </w:p>
    <w:p w14:paraId="3ADDA4A4">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(1)更新设备标签和记录，包括设备的位置、规格、维护历史等信息。</w:t>
      </w:r>
    </w:p>
    <w:p w14:paraId="3E2D3A1C">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(2)记录巡检结果，包括发现的问题、解决方案和下一步的维护计划。</w:t>
      </w:r>
    </w:p>
    <w:p w14:paraId="08340719">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安全服务</w:t>
      </w:r>
    </w:p>
    <w:tbl>
      <w:tblPr>
        <w:tblStyle w:val="62"/>
        <w:tblW w:w="9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63"/>
        <w:gridCol w:w="5676"/>
      </w:tblGrid>
      <w:tr w14:paraId="43BB6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3563" w:type="dxa"/>
            <w:shd w:val="clear" w:color="auto" w:fill="auto"/>
            <w:vAlign w:val="center"/>
          </w:tcPr>
          <w:p w14:paraId="4842A973">
            <w:pPr>
              <w:pageBreakBefore w:val="0"/>
              <w:kinsoku/>
              <w:wordWrap/>
              <w:overflowPunct/>
              <w:topLinePunct w:val="0"/>
              <w:autoSpaceDE/>
              <w:autoSpaceDN/>
              <w:bidi w:val="0"/>
              <w:adjustRightInd/>
              <w:snapToGrid w:val="0"/>
              <w:spacing w:line="400" w:lineRule="exact"/>
              <w:ind w:firstLine="442"/>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服务类型</w:t>
            </w:r>
          </w:p>
        </w:tc>
        <w:tc>
          <w:tcPr>
            <w:tcW w:w="5676" w:type="dxa"/>
            <w:shd w:val="clear" w:color="auto" w:fill="auto"/>
            <w:vAlign w:val="center"/>
          </w:tcPr>
          <w:p w14:paraId="7BE0DA7A">
            <w:pPr>
              <w:pageBreakBefore w:val="0"/>
              <w:kinsoku/>
              <w:wordWrap/>
              <w:overflowPunct/>
              <w:topLinePunct w:val="0"/>
              <w:autoSpaceDE/>
              <w:autoSpaceDN/>
              <w:bidi w:val="0"/>
              <w:adjustRightInd/>
              <w:snapToGrid w:val="0"/>
              <w:spacing w:line="400" w:lineRule="exact"/>
              <w:ind w:firstLine="442"/>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周期</w:t>
            </w:r>
          </w:p>
        </w:tc>
      </w:tr>
      <w:tr w14:paraId="08A4B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3563" w:type="dxa"/>
            <w:vAlign w:val="center"/>
          </w:tcPr>
          <w:p w14:paraId="7DDC600B">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机房巡检及各楼层巡检</w:t>
            </w:r>
          </w:p>
        </w:tc>
        <w:tc>
          <w:tcPr>
            <w:tcW w:w="5676" w:type="dxa"/>
            <w:vAlign w:val="center"/>
          </w:tcPr>
          <w:p w14:paraId="2C530247">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每周一次</w:t>
            </w:r>
          </w:p>
        </w:tc>
      </w:tr>
      <w:tr w14:paraId="79CAB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3563" w:type="dxa"/>
            <w:vAlign w:val="center"/>
          </w:tcPr>
          <w:p w14:paraId="2C5D79A9">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安全威胁分析与处置服务</w:t>
            </w:r>
          </w:p>
        </w:tc>
        <w:tc>
          <w:tcPr>
            <w:tcW w:w="5676" w:type="dxa"/>
            <w:vAlign w:val="center"/>
          </w:tcPr>
          <w:p w14:paraId="5EF356F4">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至少一个月一次。</w:t>
            </w:r>
          </w:p>
        </w:tc>
      </w:tr>
      <w:tr w14:paraId="0D7F7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3563" w:type="dxa"/>
            <w:vAlign w:val="center"/>
          </w:tcPr>
          <w:p w14:paraId="0D48C92A">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弱口令扫描服务</w:t>
            </w:r>
          </w:p>
        </w:tc>
        <w:tc>
          <w:tcPr>
            <w:tcW w:w="5676" w:type="dxa"/>
            <w:vAlign w:val="center"/>
          </w:tcPr>
          <w:p w14:paraId="676B7CD7">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至少一个月一次。</w:t>
            </w:r>
          </w:p>
        </w:tc>
      </w:tr>
      <w:tr w14:paraId="7BEF8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3563" w:type="dxa"/>
            <w:vAlign w:val="center"/>
          </w:tcPr>
          <w:p w14:paraId="7792BB65">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安全漏扫服务</w:t>
            </w:r>
          </w:p>
        </w:tc>
        <w:tc>
          <w:tcPr>
            <w:tcW w:w="5676" w:type="dxa"/>
            <w:vAlign w:val="center"/>
          </w:tcPr>
          <w:p w14:paraId="12801F38">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至少一个月一次。</w:t>
            </w:r>
          </w:p>
        </w:tc>
      </w:tr>
      <w:tr w14:paraId="12BB7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3563" w:type="dxa"/>
            <w:vAlign w:val="center"/>
          </w:tcPr>
          <w:p w14:paraId="0EA0861E">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风险评估服务</w:t>
            </w:r>
          </w:p>
        </w:tc>
        <w:tc>
          <w:tcPr>
            <w:tcW w:w="5676" w:type="dxa"/>
            <w:vAlign w:val="center"/>
          </w:tcPr>
          <w:p w14:paraId="7809DAC1">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根据实际等保测评需求而定。</w:t>
            </w:r>
          </w:p>
        </w:tc>
      </w:tr>
      <w:tr w14:paraId="006E8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3563" w:type="dxa"/>
            <w:vAlign w:val="center"/>
          </w:tcPr>
          <w:p w14:paraId="601B20B9">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渗透测试服务</w:t>
            </w:r>
          </w:p>
        </w:tc>
        <w:tc>
          <w:tcPr>
            <w:tcW w:w="5676" w:type="dxa"/>
            <w:vAlign w:val="center"/>
          </w:tcPr>
          <w:p w14:paraId="4F13B12A">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根据实际等保测评需求而定。</w:t>
            </w:r>
          </w:p>
        </w:tc>
      </w:tr>
      <w:tr w14:paraId="51BC0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jc w:val="center"/>
        </w:trPr>
        <w:tc>
          <w:tcPr>
            <w:tcW w:w="3563" w:type="dxa"/>
            <w:vAlign w:val="center"/>
          </w:tcPr>
          <w:p w14:paraId="4154D283">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新业务上线安全检查服务</w:t>
            </w:r>
          </w:p>
        </w:tc>
        <w:tc>
          <w:tcPr>
            <w:tcW w:w="5676" w:type="dxa"/>
            <w:vAlign w:val="center"/>
          </w:tcPr>
          <w:p w14:paraId="739B704D">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提供服务期内新业务系统上线（或系统更新）前安全检查服务。</w:t>
            </w:r>
          </w:p>
        </w:tc>
      </w:tr>
      <w:tr w14:paraId="39BA3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3563" w:type="dxa"/>
            <w:vAlign w:val="center"/>
          </w:tcPr>
          <w:p w14:paraId="033CA21D">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云业务安全加固服务</w:t>
            </w:r>
          </w:p>
        </w:tc>
        <w:tc>
          <w:tcPr>
            <w:tcW w:w="5676" w:type="dxa"/>
            <w:vAlign w:val="center"/>
          </w:tcPr>
          <w:p w14:paraId="3DE274BD">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提供服务期内安全加固服务。</w:t>
            </w:r>
          </w:p>
        </w:tc>
      </w:tr>
      <w:tr w14:paraId="2E537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3563" w:type="dxa"/>
            <w:vAlign w:val="center"/>
          </w:tcPr>
          <w:p w14:paraId="0B676CCE">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应急响应服务</w:t>
            </w:r>
          </w:p>
        </w:tc>
        <w:tc>
          <w:tcPr>
            <w:tcW w:w="5676" w:type="dxa"/>
            <w:vAlign w:val="center"/>
          </w:tcPr>
          <w:p w14:paraId="5B214955">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服务期内发现问题应及时服务。365*7*24小时热线支持。</w:t>
            </w:r>
          </w:p>
        </w:tc>
      </w:tr>
      <w:tr w14:paraId="7E81E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3563" w:type="dxa"/>
            <w:vAlign w:val="center"/>
          </w:tcPr>
          <w:p w14:paraId="23AF9FA5">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安全培训服务</w:t>
            </w:r>
          </w:p>
        </w:tc>
        <w:tc>
          <w:tcPr>
            <w:tcW w:w="5676" w:type="dxa"/>
            <w:vAlign w:val="center"/>
          </w:tcPr>
          <w:p w14:paraId="20423E66">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不少于四次，一次不少于两个小时。</w:t>
            </w:r>
          </w:p>
        </w:tc>
      </w:tr>
      <w:tr w14:paraId="407FA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3563" w:type="dxa"/>
            <w:vAlign w:val="center"/>
          </w:tcPr>
          <w:p w14:paraId="159BDC07">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攻防演练服务</w:t>
            </w:r>
          </w:p>
        </w:tc>
        <w:tc>
          <w:tcPr>
            <w:tcW w:w="5676" w:type="dxa"/>
            <w:vAlign w:val="center"/>
          </w:tcPr>
          <w:p w14:paraId="1DBC999C">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提供服务期内</w:t>
            </w:r>
            <w:r>
              <w:rPr>
                <w:rFonts w:hint="eastAsia" w:ascii="宋体" w:hAnsi="宋体" w:eastAsia="宋体" w:cs="宋体"/>
                <w:color w:val="auto"/>
                <w:sz w:val="24"/>
                <w:szCs w:val="24"/>
                <w:highlight w:val="none"/>
                <w:lang w:eastAsia="zh-Hans"/>
              </w:rPr>
              <w:t>攻防演练</w:t>
            </w:r>
            <w:r>
              <w:rPr>
                <w:rFonts w:hint="eastAsia" w:ascii="宋体" w:hAnsi="宋体" w:eastAsia="宋体" w:cs="宋体"/>
                <w:color w:val="auto"/>
                <w:sz w:val="24"/>
                <w:szCs w:val="24"/>
                <w:highlight w:val="none"/>
              </w:rPr>
              <w:t>服务。</w:t>
            </w:r>
          </w:p>
        </w:tc>
      </w:tr>
      <w:tr w14:paraId="281EE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3563" w:type="dxa"/>
            <w:vAlign w:val="center"/>
          </w:tcPr>
          <w:p w14:paraId="7AC0E357">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核心业务进行网络安全服务</w:t>
            </w:r>
          </w:p>
        </w:tc>
        <w:tc>
          <w:tcPr>
            <w:tcW w:w="5676" w:type="dxa"/>
            <w:vAlign w:val="center"/>
          </w:tcPr>
          <w:p w14:paraId="0E8436B8">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每月一次</w:t>
            </w:r>
          </w:p>
        </w:tc>
      </w:tr>
    </w:tbl>
    <w:p w14:paraId="5C234932">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资产梳理</w:t>
      </w:r>
    </w:p>
    <w:p w14:paraId="54284A40">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部署专业工具、设备、资产探针可以首先进行资产主动发现，也可以通过Excel导入、手工录入等方式收集和梳理资产信息，划分资产重要等级。资产变更核查服务根据主动探测、流量发现、人工上报等多种来源对全网所属资产的变化情况进行管理。对资产历史风险状态进行管理，对资产中威胁实体进行监测和处置，核心资产定期体检，对脆弱性，潜在风险和资产安全基线偏离进行监测响应。</w:t>
      </w:r>
    </w:p>
    <w:p w14:paraId="42F1B69D">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漏洞扫描</w:t>
      </w:r>
    </w:p>
    <w:p w14:paraId="7ABF9172">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系统漏洞扫描工具对数据库、操作系统、中间件等进行漏洞、端口、弱口令扫描；使用web漏洞扫描工具对业务系统进行扫描，通过扫描工具准确识别出注入缺陷、跨站脚本攻击、非法链接跳转、信息泄露、异常处理等安全漏洞、web应用漏洞、主机操作系统漏洞、数据库漏洞、逻辑缺陷、，全面检测并发现业务应用安全隐患。扫描完成后提出整改建议，并跟踪核查整改结果，人工验证所发现的脆弱性问题。</w:t>
      </w:r>
    </w:p>
    <w:p w14:paraId="3E8FA2D7">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此工作周期每月一次。</w:t>
      </w:r>
    </w:p>
    <w:p w14:paraId="58F497EC">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基线检查</w:t>
      </w:r>
    </w:p>
    <w:p w14:paraId="1CB089B5">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确定的检查规范及方法，采用人工检查用表（checklist）、脚本程序或基线扫描工具对评估目标范围内的安全对象进行系统的策略配置、服务配置、保护措施以及系统和软件升级、更新情况，是否存在后门等内容进行检查，提供基线检查报告。</w:t>
      </w:r>
    </w:p>
    <w:p w14:paraId="0349BFFA">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对象包括但不限于：数据中心基础软硬件（服务器、存储、网络设备、安全设备、操作系统、数据库、中间件、大数据软件、各类管理软件等）、应用子系统（包含医保业务经办子系统、公共服务子系统等16个应用子系统）、各类数据（新增数据、历史数据）、数据中心局域网链路、数据中心互联链路、骨干网传输链路、视频会议、监控中心、各类终端等。工作周期每月一次。</w:t>
      </w:r>
    </w:p>
    <w:p w14:paraId="0E21188D">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渗透测试</w:t>
      </w:r>
    </w:p>
    <w:p w14:paraId="3BF38795">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模拟黑客入侵的方式对系统进行模拟入侵测试，评估目标系统是否存在SQL注入、跨站脚本、跨站伪造请求、不安全的数据传输、未授权的访问等脆弱性问题，精准识别服务目标存在的安全风险，提供渗透测试报告和安全加固建议，并跟踪核查加固结果。</w:t>
      </w:r>
    </w:p>
    <w:p w14:paraId="4CFB1809">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信息系统风险评估</w:t>
      </w:r>
    </w:p>
    <w:p w14:paraId="10E7BAAA">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对信息系统的资产价值、潜在威胁、薄弱环节、已采取的防护措施等进行分析，判断安全事件发生的概率以及可能造成的损失，提出风险管理措施。</w:t>
      </w:r>
    </w:p>
    <w:p w14:paraId="23847DEC">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安全通告</w:t>
      </w:r>
    </w:p>
    <w:p w14:paraId="3C6843A5">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集和整理最新安全漏洞、安全事件、安全资讯等信息，定期采取电话告知、Email邮件等方式向甲方信息安全人员发送安全预警通告，遇紧急高危漏洞或重大信息安全事件即时通告。通告内容包含但不限于以下内容：</w:t>
      </w:r>
    </w:p>
    <w:p w14:paraId="10F1CC6D">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（1）系统漏洞信息：定期将各操作系统、应用系统、网络设备等最新安全漏洞编制成册，包括漏洞威胁、影响平台及修补方法等；</w:t>
      </w:r>
    </w:p>
    <w:p w14:paraId="5C64BD01">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（2）病毒信息：将一段时期内，将最具威胁性的病毒信息编制成册，包括病毒危害、感染原理及防护措施等；</w:t>
      </w:r>
    </w:p>
    <w:p w14:paraId="0E666033">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（3）安全预警：一旦出现将可能造成大规模网络攻击事件的安全漏洞或病毒木马，及时通知信息安全人员进行安全预警，积极进行补丁修复和安全防护工作；</w:t>
      </w:r>
    </w:p>
    <w:p w14:paraId="1F65DE87">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（4）信息安全事件：定期将相关信息安全事件编制成册，避免信息系统遭遇同样安全攻击，造成严重损失；</w:t>
      </w:r>
    </w:p>
    <w:p w14:paraId="5FAD2044">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（5）最新攻击方式信息以及防御措施；</w:t>
      </w:r>
    </w:p>
    <w:p w14:paraId="61B09E82">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（6）监管要求：即时通告国家及监管部门对行业的最新要求。</w:t>
      </w:r>
    </w:p>
    <w:p w14:paraId="758E04C2">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安全日志分析</w:t>
      </w:r>
    </w:p>
    <w:p w14:paraId="36C83B42">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围绕信息系统逐步建立、健全事前预警、事中监控、事后审计机制，工程师每月对信息系统内安全设备进行一次日志分析，在监控中发现高危告警事件时，立即以汇报给甲方工作人员，并告知告警事件详细内容，在得到甲方人员确认并同意处理后，工程师协助相关人员对报警事件进行确定、排查、分析和处理,并协助甲方人员进行问题处置。</w:t>
      </w:r>
    </w:p>
    <w:p w14:paraId="5BBF1CDD">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安全加固</w:t>
      </w:r>
    </w:p>
    <w:p w14:paraId="062A315D">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信息系统安全加固</w:t>
      </w:r>
    </w:p>
    <w:p w14:paraId="29068936">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漏洞扫描、渗透测试、风险评估、基线检测的结果对信息系统中的主机系统与网络设备的脆弱性进行分析并修补，包括对主机系统的身份鉴别与认证、访问控制和审计跟踪策略的强化等。针对应用系统的脆弱性情况提供修复建议并配合完成加固工作。</w:t>
      </w:r>
    </w:p>
    <w:p w14:paraId="2F18B1A3">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漏洞通报处置</w:t>
      </w:r>
    </w:p>
    <w:p w14:paraId="6370345B">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针对监管单位发出的通报进行响应处置工作，包括漏洞验证、漏洞整改、安全加固等工作。</w:t>
      </w:r>
    </w:p>
    <w:p w14:paraId="030DEBC6">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应急保障</w:t>
      </w:r>
    </w:p>
    <w:p w14:paraId="78D0B174">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应急保障</w:t>
      </w:r>
    </w:p>
    <w:p w14:paraId="1E55DDB8">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实际情况和招标方要求通过远程和现场支持的方式协助招标方对突发性安全事件，如钓鱼邮件、黑客入侵、APT攻击、漏洞利用、网络攻击、数据外泄、事件通报、攻击溯源、网络异常、网站被黑、非法访问、网站挂马、网站暗链、网站篡改等进行溯源分析、调查取证、提供整体安全解决方案，协助安全加固等。</w:t>
      </w:r>
    </w:p>
    <w:p w14:paraId="0D6661FF">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应急演练</w:t>
      </w:r>
    </w:p>
    <w:p w14:paraId="04DC991D">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根据实际情况和招标方要求配合招标方开展安全应急演练，对演练发现的问题进行总结和指导，帮助招标方提升网络安全应急处置协作能力。</w:t>
      </w:r>
    </w:p>
    <w:p w14:paraId="1147213D">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HW保障</w:t>
      </w:r>
    </w:p>
    <w:p w14:paraId="28ECAC0B">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HW实际情况和招标方要求完成HW保障。包括但不限于事前安全检测：包括资产发现、基础安全评估服务；事中保障值守：做为承办单位，协助监管机构搭建竞演软硬件系统，提供攻击队，同时对竞演的全过程进行保障，最大化地发现被监管单位的安全问题，协助监管机构更好地履行监管职能。配置相应的人员，实现开展应急处置、攻击溯源分析、攻击画像、攻防总结复盘等工作；事后复盘总结。</w:t>
      </w:r>
    </w:p>
    <w:p w14:paraId="0A03A915">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安全培训</w:t>
      </w:r>
    </w:p>
    <w:p w14:paraId="748AD40B">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安全意识培训</w:t>
      </w:r>
    </w:p>
    <w:p w14:paraId="39DBC48C">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包括但不限于信息安全基本概念、原则信息系统安全威胁和风险、信息安全策略和制度、安全习惯等。</w:t>
      </w:r>
    </w:p>
    <w:p w14:paraId="24E05780">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安全管理培训</w:t>
      </w:r>
    </w:p>
    <w:p w14:paraId="4B39AA4D">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包括但不限于安全体系的概念、目的、结构、内容和方法，以及安全体系的运行和维护。对系统管理员进行2人三个月一次的培训。</w:t>
      </w:r>
    </w:p>
    <w:p w14:paraId="652478F3">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安全技术培训</w:t>
      </w:r>
    </w:p>
    <w:p w14:paraId="62BA2F20">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包括但不限于常见WEB应用安全漏洞、服务器安全部署、社会工程学、数据安全等概念、危害、应对措施的介绍。</w:t>
      </w:r>
    </w:p>
    <w:p w14:paraId="7C44B219">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咨询服务</w:t>
      </w:r>
    </w:p>
    <w:p w14:paraId="35D521CE">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要是根据国家政策和国家标准，基于招标单位需求，提供信息安全技术、信息安全管理、网络规划建设等方面的信息安全咨询。</w:t>
      </w:r>
      <w:bookmarkStart w:id="55" w:name="_Toc29459"/>
    </w:p>
    <w:p w14:paraId="33045157">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维护方还为使用方提供如下一些免费的咨询服务：</w:t>
      </w:r>
    </w:p>
    <w:p w14:paraId="5057F7AC">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◆安全产品采购咨询服务</w:t>
      </w:r>
    </w:p>
    <w:p w14:paraId="631080CC">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◆最新网络安全技术服务</w:t>
      </w:r>
    </w:p>
    <w:p w14:paraId="1B96281A">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◆应用系统安全相关的技术咨询服务</w:t>
      </w:r>
    </w:p>
    <w:p w14:paraId="0E34B3FE">
      <w:pPr>
        <w:pStyle w:val="2"/>
        <w:pageBreakBefore w:val="0"/>
        <w:numPr>
          <w:ilvl w:val="0"/>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56" w:name="_Toc456941790"/>
      <w:bookmarkStart w:id="57" w:name="_Toc456689255"/>
      <w:r>
        <w:rPr>
          <w:rFonts w:hint="eastAsia" w:ascii="宋体" w:hAnsi="宋体" w:eastAsia="宋体" w:cs="宋体"/>
          <w:color w:val="auto"/>
          <w:sz w:val="24"/>
          <w:szCs w:val="24"/>
          <w:highlight w:val="none"/>
        </w:rPr>
        <w:t>风险评估服务</w:t>
      </w:r>
    </w:p>
    <w:p w14:paraId="1305957A">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58" w:name="_Toc517972954"/>
      <w:r>
        <w:rPr>
          <w:rFonts w:hint="eastAsia" w:ascii="宋体" w:hAnsi="宋体" w:eastAsia="宋体" w:cs="宋体"/>
          <w:color w:val="auto"/>
          <w:sz w:val="24"/>
          <w:szCs w:val="24"/>
          <w:highlight w:val="none"/>
        </w:rPr>
        <w:t>评估标准</w:t>
      </w:r>
      <w:bookmarkEnd w:id="58"/>
    </w:p>
    <w:p w14:paraId="779B727A">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投标单位需满足《GB/T20984-2007信息安全技术信息安全风险评估规范》和《GB/T31509-2015信息安全技术信息安全风险评估实施指南》的风险管理思想作为贯穿整个风险评估过程的主要指导规范。</w:t>
      </w:r>
    </w:p>
    <w:p w14:paraId="6F4C442B">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其中在评估过程中涉及到的一些技术细节问题，投标单位需严格遵循和执行有关国家的法律法规和行业的管理规范。</w:t>
      </w:r>
    </w:p>
    <w:p w14:paraId="3E2F1F79">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评估需求</w:t>
      </w:r>
    </w:p>
    <w:p w14:paraId="678C52D9">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调查需求</w:t>
      </w:r>
    </w:p>
    <w:p w14:paraId="4C5467B7">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需根据上述标准的要求对招标单位环境和安全需求进行调查，以便准确理解招标单位风险评估的实际需求。风险评估服务需针对招标单位环境中的网络系统、服务器系统、应用系统以及数据系统进行安全审计和操作、修复工作，因此投标单位对招标单位需求调查必须全面和细致地进行。</w:t>
      </w:r>
    </w:p>
    <w:p w14:paraId="278B20C1">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59" w:name="_Toc517972969"/>
      <w:r>
        <w:rPr>
          <w:rFonts w:hint="eastAsia" w:ascii="宋体" w:hAnsi="宋体" w:eastAsia="宋体" w:cs="宋体"/>
          <w:color w:val="auto"/>
          <w:sz w:val="24"/>
          <w:szCs w:val="24"/>
          <w:highlight w:val="none"/>
        </w:rPr>
        <w:t>资产赋值</w:t>
      </w:r>
      <w:bookmarkEnd w:id="59"/>
      <w:r>
        <w:rPr>
          <w:rFonts w:hint="eastAsia" w:ascii="宋体" w:hAnsi="宋体" w:eastAsia="宋体" w:cs="宋体"/>
          <w:color w:val="auto"/>
          <w:sz w:val="24"/>
          <w:szCs w:val="24"/>
          <w:highlight w:val="none"/>
        </w:rPr>
        <w:t>需求</w:t>
      </w:r>
    </w:p>
    <w:p w14:paraId="73BA920A">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产是直接赋予了价值因而需要保护的东西。它是以多种形式存在，有无形的、有有形的，有硬件、有软件，有文档、代码，也有服务等。它们分别具有不同的价值属性和存在特点，存在的弱点、面临的威胁、需要进行的保护和安全控制都各不相同。因此风险评估工作内容，其中信息资产的界定和赋值是整个阶段（现场测试和评估阶段）的前提，是信息资产抽样的基础和重要依据。为此，投标单位必拥有实现信息资产界定和赋值过程的标准化，并可以合适、恰当、完整的应用于此项目中。</w:t>
      </w:r>
    </w:p>
    <w:p w14:paraId="5CE9BB27">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60" w:name="_Toc517972973"/>
      <w:r>
        <w:rPr>
          <w:rFonts w:hint="eastAsia" w:ascii="宋体" w:hAnsi="宋体" w:eastAsia="宋体" w:cs="宋体"/>
          <w:color w:val="auto"/>
          <w:sz w:val="24"/>
          <w:szCs w:val="24"/>
          <w:highlight w:val="none"/>
        </w:rPr>
        <w:t>评估内容</w:t>
      </w:r>
      <w:bookmarkEnd w:id="60"/>
      <w:r>
        <w:rPr>
          <w:rFonts w:hint="eastAsia" w:ascii="宋体" w:hAnsi="宋体" w:eastAsia="宋体" w:cs="宋体"/>
          <w:color w:val="auto"/>
          <w:sz w:val="24"/>
          <w:szCs w:val="24"/>
          <w:highlight w:val="none"/>
        </w:rPr>
        <w:tab/>
      </w:r>
    </w:p>
    <w:p w14:paraId="1D7E45D4">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投标单位需要从物理安全、网络安全、节点安全、应用与数据安全等方面，提出对招标单位信息系统进行安全评估的具体方式和评判原则，并以方式和原则制定风险评估方案，方案内容需包含以下内容。</w:t>
      </w:r>
    </w:p>
    <w:p w14:paraId="08BD9AFE">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61" w:name="_Toc344997594"/>
      <w:r>
        <w:rPr>
          <w:rFonts w:hint="eastAsia" w:ascii="宋体" w:hAnsi="宋体" w:eastAsia="宋体" w:cs="宋体"/>
          <w:color w:val="auto"/>
          <w:sz w:val="24"/>
          <w:szCs w:val="24"/>
          <w:highlight w:val="none"/>
        </w:rPr>
        <w:t>风险评估范围</w:t>
      </w:r>
      <w:bookmarkEnd w:id="61"/>
    </w:p>
    <w:p w14:paraId="3546E66B">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针对基础系统和管理支撑系统的资产进行风险评估，包含但不限于以下设备：网络设备、主机设备、安全设备、存储设备、终端、数据库、中间件、应用系统、招标单位信息、文档、拓扑图。</w:t>
      </w:r>
    </w:p>
    <w:p w14:paraId="113F6C9D">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62" w:name="_Toc344997596"/>
      <w:bookmarkEnd w:id="62"/>
      <w:bookmarkStart w:id="63" w:name="_Toc142197932"/>
      <w:bookmarkEnd w:id="63"/>
      <w:bookmarkStart w:id="64" w:name="_Toc361742151"/>
      <w:bookmarkEnd w:id="64"/>
      <w:bookmarkStart w:id="65" w:name="_Toc329178862"/>
      <w:r>
        <w:rPr>
          <w:rFonts w:hint="eastAsia" w:ascii="宋体" w:hAnsi="宋体" w:eastAsia="宋体" w:cs="宋体"/>
          <w:color w:val="auto"/>
          <w:sz w:val="24"/>
          <w:szCs w:val="24"/>
          <w:highlight w:val="none"/>
        </w:rPr>
        <w:t>风险评估服务内容</w:t>
      </w:r>
      <w:bookmarkEnd w:id="65"/>
    </w:p>
    <w:p w14:paraId="6B6DF272">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方应严格依据相关国家标准、行业标准和国家电子政务工程建设项目管理要求针对范围内的全部建设内容开展信息安全风险评估，评估过程包括但不限于：评估准备、风险要素识别、风险分析和风险处理四个阶段。其中：</w:t>
      </w:r>
    </w:p>
    <w:p w14:paraId="75635B76">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评估准备包括：确定评估目标、范围，组建评估团队，评估工作启动会议，系统调研，确定评估工具，制定评估方案。</w:t>
      </w:r>
    </w:p>
    <w:p w14:paraId="6C6405F4">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风险要素识别包括：资产识别（资产分类、资产调查、资产赋值），威胁识别（威胁分类、威胁调查、威胁赋值），脆弱性识别（安全管理脆弱性核查、安全技术脆弱性核查）。</w:t>
      </w:r>
    </w:p>
    <w:p w14:paraId="5ED3F218">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风险分析阶段包括：核查已有安全措施，风险计算，风险分析与评价。</w:t>
      </w:r>
    </w:p>
    <w:p w14:paraId="4D27B8EB">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风险处理阶段包括：安全整改建议，形成评估报告。</w:t>
      </w:r>
    </w:p>
    <w:p w14:paraId="1A074F5B">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评估准备</w:t>
      </w:r>
    </w:p>
    <w:p w14:paraId="390503ED">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分析待评估对象的目标、范围。</w:t>
      </w:r>
    </w:p>
    <w:p w14:paraId="76077349">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组建评估团队。</w:t>
      </w:r>
    </w:p>
    <w:p w14:paraId="6570959E">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召开评估工作启动会议。</w:t>
      </w:r>
    </w:p>
    <w:p w14:paraId="665173E5">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对待评估对象进行调研和分类，并确认评估边界和评估工具、方法。</w:t>
      </w:r>
    </w:p>
    <w:p w14:paraId="31027CE6">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制定评估方案。</w:t>
      </w:r>
    </w:p>
    <w:p w14:paraId="720CEF0B">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风险要素识别与分析</w:t>
      </w:r>
    </w:p>
    <w:p w14:paraId="301FBE09">
      <w:pPr>
        <w:pStyle w:val="5"/>
        <w:pageBreakBefore w:val="0"/>
        <w:numPr>
          <w:ilvl w:val="3"/>
          <w:numId w:val="47"/>
        </w:numPr>
        <w:kinsoku/>
        <w:wordWrap/>
        <w:overflowPunct/>
        <w:topLinePunct w:val="0"/>
        <w:autoSpaceDE/>
        <w:autoSpaceDN/>
        <w:bidi w:val="0"/>
        <w:adjustRightInd/>
        <w:spacing w:line="400" w:lineRule="exact"/>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资产</w:t>
      </w:r>
    </w:p>
    <w:p w14:paraId="5E354F1C">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（1）资产分类。将评估对象按照软件、硬件、数据、服务、人员和其他等方式进行统计和分类，并做好记录。</w:t>
      </w:r>
    </w:p>
    <w:p w14:paraId="547E97B0">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（2）资产调查。按照分类统计清单，详细调查记录每类资产的详细配置与当前状态。</w:t>
      </w:r>
    </w:p>
    <w:p w14:paraId="5FC88E67">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（3）资产赋值。通过资产的重要性等，对不同分类资产由高至低进行分类，确定级别和赋值。</w:t>
      </w:r>
    </w:p>
    <w:p w14:paraId="18E58C60">
      <w:pPr>
        <w:pStyle w:val="5"/>
        <w:pageBreakBefore w:val="0"/>
        <w:numPr>
          <w:ilvl w:val="3"/>
          <w:numId w:val="47"/>
        </w:numPr>
        <w:kinsoku/>
        <w:wordWrap/>
        <w:overflowPunct/>
        <w:topLinePunct w:val="0"/>
        <w:autoSpaceDE/>
        <w:autoSpaceDN/>
        <w:bidi w:val="0"/>
        <w:adjustRightInd/>
        <w:spacing w:line="400" w:lineRule="exact"/>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威胁</w:t>
      </w:r>
    </w:p>
    <w:p w14:paraId="5A0F765D">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（1）威胁分类。根据实际情况，将面临的威胁分为软硬件故障、物理环境影响、操作失误、管理不到位、恶意代码、网络攻击等若干个级别。</w:t>
      </w:r>
    </w:p>
    <w:p w14:paraId="495CE2F0">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（2）威胁调查。从威胁的渠道、途径、可能性及影响范围等方面，对可能发生的威胁进行识别。</w:t>
      </w:r>
    </w:p>
    <w:p w14:paraId="68D8DFE1">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（3）威胁赋值。通过威胁发生的概率、影响等对不同威胁由高至低进行分类，确定级别和赋值。</w:t>
      </w:r>
    </w:p>
    <w:p w14:paraId="354E0B89">
      <w:pPr>
        <w:pStyle w:val="5"/>
        <w:pageBreakBefore w:val="0"/>
        <w:numPr>
          <w:ilvl w:val="3"/>
          <w:numId w:val="47"/>
        </w:numPr>
        <w:kinsoku/>
        <w:wordWrap/>
        <w:overflowPunct/>
        <w:topLinePunct w:val="0"/>
        <w:autoSpaceDE/>
        <w:autoSpaceDN/>
        <w:bidi w:val="0"/>
        <w:adjustRightInd/>
        <w:spacing w:line="400" w:lineRule="exact"/>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脆弱性</w:t>
      </w:r>
    </w:p>
    <w:p w14:paraId="25E55F69">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（1）管理脆弱性核查。包括安全管理制度、安全管理机构、人员安全管理、信息系统安全管理和管理机制等方面。</w:t>
      </w:r>
    </w:p>
    <w:p w14:paraId="57637328">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（2）技术脆弱性核查。包括总体安全防护体系、物理安全、边界安全、主机安全、网络安全、应用安全、数据安全、终端安全等方面。</w:t>
      </w:r>
    </w:p>
    <w:p w14:paraId="6D99BEBA">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（3）脆弱性赋值。对不同脆弱性由高至低进行分类，确定级别和赋值。</w:t>
      </w:r>
    </w:p>
    <w:p w14:paraId="47CD74D4">
      <w:pPr>
        <w:pStyle w:val="5"/>
        <w:pageBreakBefore w:val="0"/>
        <w:numPr>
          <w:ilvl w:val="3"/>
          <w:numId w:val="47"/>
        </w:numPr>
        <w:kinsoku/>
        <w:wordWrap/>
        <w:overflowPunct/>
        <w:topLinePunct w:val="0"/>
        <w:autoSpaceDE/>
        <w:autoSpaceDN/>
        <w:bidi w:val="0"/>
        <w:adjustRightInd/>
        <w:spacing w:line="400" w:lineRule="exact"/>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已有安全措施有效性</w:t>
      </w:r>
    </w:p>
    <w:p w14:paraId="3E71B2A1">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（1）针对现行业务系统、网络结构、现有安全设备，分析安全策略的有效性。</w:t>
      </w:r>
    </w:p>
    <w:p w14:paraId="5DAB6E19">
      <w:pPr>
        <w:pStyle w:val="5"/>
        <w:pageBreakBefore w:val="0"/>
        <w:numPr>
          <w:ilvl w:val="3"/>
          <w:numId w:val="47"/>
        </w:numPr>
        <w:kinsoku/>
        <w:wordWrap/>
        <w:overflowPunct/>
        <w:topLinePunct w:val="0"/>
        <w:autoSpaceDE/>
        <w:autoSpaceDN/>
        <w:bidi w:val="0"/>
        <w:adjustRightInd/>
        <w:spacing w:line="400" w:lineRule="exact"/>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风险分析</w:t>
      </w:r>
    </w:p>
    <w:p w14:paraId="7300ACEC">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核查已有安全措施。识别已有的操作系统、应用系统、网络、物理环境、制度等安全管理策略。</w:t>
      </w:r>
    </w:p>
    <w:p w14:paraId="424E86E3">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风险计算。根据收集的招标单位数据和特定的方法，进行定性或是定量的风险分析，描述不同资产的风险高低状况。</w:t>
      </w:r>
    </w:p>
    <w:p w14:paraId="0534CEF5">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风险分析与评价。</w:t>
      </w:r>
    </w:p>
    <w:p w14:paraId="1C0413EE">
      <w:pPr>
        <w:pStyle w:val="5"/>
        <w:pageBreakBefore w:val="0"/>
        <w:numPr>
          <w:ilvl w:val="3"/>
          <w:numId w:val="47"/>
        </w:numPr>
        <w:kinsoku/>
        <w:wordWrap/>
        <w:overflowPunct/>
        <w:topLinePunct w:val="0"/>
        <w:autoSpaceDE/>
        <w:autoSpaceDN/>
        <w:bidi w:val="0"/>
        <w:adjustRightInd/>
        <w:spacing w:line="400" w:lineRule="exact"/>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风险处理</w:t>
      </w:r>
    </w:p>
    <w:p w14:paraId="1C2993FD">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提出有针对的解决方案。</w:t>
      </w:r>
    </w:p>
    <w:p w14:paraId="4B941BEF">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形成风险评估报告。</w:t>
      </w:r>
    </w:p>
    <w:p w14:paraId="6C569342">
      <w:pPr>
        <w:pStyle w:val="2"/>
        <w:pageBreakBefore w:val="0"/>
        <w:numPr>
          <w:ilvl w:val="0"/>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66" w:name="_Toc50711574"/>
      <w:bookmarkEnd w:id="66"/>
      <w:bookmarkStart w:id="67" w:name="_Toc329178863"/>
      <w:bookmarkEnd w:id="67"/>
      <w:bookmarkStart w:id="68" w:name="_Toc50711573"/>
      <w:bookmarkEnd w:id="68"/>
      <w:bookmarkStart w:id="69" w:name="_Toc191759609"/>
      <w:bookmarkEnd w:id="69"/>
      <w:r>
        <w:rPr>
          <w:rFonts w:hint="eastAsia" w:ascii="宋体" w:hAnsi="宋体" w:eastAsia="宋体" w:cs="宋体"/>
          <w:color w:val="auto"/>
          <w:sz w:val="24"/>
          <w:szCs w:val="24"/>
          <w:highlight w:val="none"/>
        </w:rPr>
        <w:t>服务方式</w:t>
      </w:r>
      <w:bookmarkEnd w:id="56"/>
      <w:bookmarkEnd w:id="57"/>
    </w:p>
    <w:p w14:paraId="7B3772D0">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val="zh-CN"/>
        </w:rPr>
      </w:pPr>
      <w:bookmarkStart w:id="70" w:name="_Toc456689257"/>
      <w:bookmarkStart w:id="71" w:name="_Toc456941792"/>
      <w:r>
        <w:rPr>
          <w:rFonts w:hint="eastAsia" w:ascii="宋体" w:hAnsi="宋体" w:eastAsia="宋体" w:cs="宋体"/>
          <w:color w:val="auto"/>
          <w:sz w:val="24"/>
          <w:szCs w:val="24"/>
          <w:highlight w:val="none"/>
          <w:lang w:val="zh-CN"/>
        </w:rPr>
        <w:t>巡检</w:t>
      </w:r>
      <w:bookmarkEnd w:id="70"/>
      <w:bookmarkEnd w:id="71"/>
    </w:p>
    <w:p w14:paraId="274AC11B">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内，中标公司将派遣高级工程师提供以月度为单位周期进行整体系统的健康状况检查，按照既定的巡检方案执行，巡检方案根据相关的作业指导书来制作，同时依据招标单位提交的报告来进行重点补充，巡检方案明确后，由相关工程师及质检人员组成的巡检组按巡检程序实施巡检，及时发现目前软件产品和生产数据库已经存在的或潜在的问题，确保整套系统正常运行，并在每次巡检结束后出具巡检报告。</w:t>
      </w:r>
    </w:p>
    <w:p w14:paraId="30DEBB76">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巡检安排：</w:t>
      </w:r>
      <w:r>
        <w:rPr>
          <w:rFonts w:hint="eastAsia" w:ascii="宋体" w:hAnsi="宋体" w:eastAsia="宋体" w:cs="宋体"/>
          <w:color w:val="auto"/>
          <w:sz w:val="24"/>
          <w:szCs w:val="24"/>
          <w:highlight w:val="none"/>
          <w:lang w:val="en-US" w:eastAsia="zh-CN"/>
        </w:rPr>
        <w:t>按照3.2安全服务当中的服务类型和周期进行巡检。</w:t>
      </w:r>
    </w:p>
    <w:p w14:paraId="73C53C07">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巡检结论：《系统巡检报告》</w:t>
      </w:r>
    </w:p>
    <w:p w14:paraId="1DFB7CBC">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val="zh-CN"/>
        </w:rPr>
      </w:pPr>
      <w:bookmarkStart w:id="72" w:name="_Toc456689258"/>
      <w:bookmarkStart w:id="73" w:name="_Toc456941793"/>
      <w:r>
        <w:rPr>
          <w:rFonts w:hint="eastAsia" w:ascii="宋体" w:hAnsi="宋体" w:eastAsia="宋体" w:cs="宋体"/>
          <w:color w:val="auto"/>
          <w:sz w:val="24"/>
          <w:szCs w:val="24"/>
          <w:highlight w:val="none"/>
          <w:lang w:val="zh-CN"/>
        </w:rPr>
        <w:t>热线</w:t>
      </w:r>
      <w:bookmarkEnd w:id="72"/>
      <w:bookmarkEnd w:id="73"/>
    </w:p>
    <w:p w14:paraId="316A521C">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公司提供7*24小时服务以及指定技术支持电话服务，在国家法定节假日，提供技术支持工程师的联系电话，确保随时能够进行有效沟通和咨询。当招标单位发现系统异常、故障或遇到难以解决的系统问题时，首先应由中标公司的技术服务工程师对故障现象、故障信息进行详细的观察记录，然后将观察记录及时通报招标单位，由招标单位技术人员与中标公司技术服务工程师一起进行故障会诊，确认合适的解决方案，然后指导招标单位技术人员进行现场操作，排除故障。</w:t>
      </w:r>
    </w:p>
    <w:p w14:paraId="1B835F96">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val="zh-CN"/>
        </w:rPr>
      </w:pPr>
      <w:bookmarkStart w:id="74" w:name="_Toc456689259"/>
      <w:bookmarkStart w:id="75" w:name="_Toc456941794"/>
      <w:r>
        <w:rPr>
          <w:rFonts w:hint="eastAsia" w:ascii="宋体" w:hAnsi="宋体" w:eastAsia="宋体" w:cs="宋体"/>
          <w:color w:val="auto"/>
          <w:sz w:val="24"/>
          <w:szCs w:val="24"/>
          <w:highlight w:val="none"/>
          <w:lang w:val="zh-CN"/>
        </w:rPr>
        <w:t>远程</w:t>
      </w:r>
      <w:bookmarkEnd w:id="74"/>
      <w:bookmarkEnd w:id="75"/>
    </w:p>
    <w:p w14:paraId="3EDA9A47">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需要查看故障现场，而又无法快速到达现场的情况下，经招标单位授权可通过远程登录到招标单位网络系统进行免费的系统优化、参数调整、故障诊断和故障排除。为了保证系统和招标单位的安全，此方式可以临时申请或使用，并在故障排除后即刻退出系统或取消权限。</w:t>
      </w:r>
    </w:p>
    <w:p w14:paraId="08580A3F">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远程方式也可以通过VPN协助等方式进行。</w:t>
      </w:r>
    </w:p>
    <w:p w14:paraId="4DE7A0B0">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远程方式也可以通过招标单位提出的方式进行。</w:t>
      </w:r>
    </w:p>
    <w:p w14:paraId="01FB2084">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val="zh-CN"/>
        </w:rPr>
      </w:pPr>
      <w:bookmarkStart w:id="76" w:name="_Toc456689260"/>
      <w:bookmarkStart w:id="77" w:name="_Toc456941795"/>
      <w:r>
        <w:rPr>
          <w:rFonts w:hint="eastAsia" w:ascii="宋体" w:hAnsi="宋体" w:eastAsia="宋体" w:cs="宋体"/>
          <w:color w:val="auto"/>
          <w:sz w:val="24"/>
          <w:szCs w:val="24"/>
          <w:highlight w:val="none"/>
          <w:lang w:val="zh-CN"/>
        </w:rPr>
        <w:t>邮件</w:t>
      </w:r>
      <w:bookmarkEnd w:id="76"/>
      <w:bookmarkEnd w:id="77"/>
    </w:p>
    <w:p w14:paraId="31DEB837">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在热线电话中无法解决，需要以电子文件的方式交互的问题，或者是关于本系统的其他技术问题通过E-mail向中标公司咨询，所有招标单位的E-mail咨询应发至中标公司的如下E-mail地址。中标公司在收到以上咨询后的12小时内予以解答。Email响应的内容一般包括：非紧急情况下的升级或更新软件的提供，招标单位需要的产品说明、操作指南等文件。</w:t>
      </w:r>
    </w:p>
    <w:p w14:paraId="55E9F5D2">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val="zh-CN"/>
        </w:rPr>
      </w:pPr>
      <w:bookmarkStart w:id="78" w:name="_Toc456689261"/>
      <w:bookmarkStart w:id="79" w:name="_Toc456941796"/>
      <w:r>
        <w:rPr>
          <w:rFonts w:hint="eastAsia" w:ascii="宋体" w:hAnsi="宋体" w:eastAsia="宋体" w:cs="宋体"/>
          <w:color w:val="auto"/>
          <w:sz w:val="24"/>
          <w:szCs w:val="24"/>
          <w:highlight w:val="none"/>
          <w:lang w:val="zh-CN"/>
        </w:rPr>
        <w:t>技术咨询</w:t>
      </w:r>
      <w:bookmarkEnd w:id="78"/>
      <w:bookmarkEnd w:id="79"/>
    </w:p>
    <w:p w14:paraId="67740C1A">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化服务提供专业化的IT技术咨询服务，针对招标单位需求和实际情况，对招标单位提供帮助和支持，使招标单位获得效率和效益。针对招标单位需求的高级别咨询类服务是专业化服务中最有特色的服务项目，此服务能以中立的角色，从招标单位业务角度，对信息化策略、信息中心管理规划、体系的建立、硬件资源规划、数据库设计等等进行分析并提供咨询，同时，还将根据招标单位的需求，随时向招标单位通报与招标单位系统相关的技术发展趋势及方向。</w:t>
      </w:r>
    </w:p>
    <w:p w14:paraId="0A97FFF3">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val="zh-CN"/>
        </w:rPr>
      </w:pPr>
      <w:bookmarkStart w:id="80" w:name="_Toc456941797"/>
      <w:bookmarkStart w:id="81" w:name="_Toc456689262"/>
      <w:r>
        <w:rPr>
          <w:rFonts w:hint="eastAsia" w:ascii="宋体" w:hAnsi="宋体" w:eastAsia="宋体" w:cs="宋体"/>
          <w:color w:val="auto"/>
          <w:sz w:val="24"/>
          <w:szCs w:val="24"/>
          <w:highlight w:val="none"/>
          <w:lang w:val="zh-CN"/>
        </w:rPr>
        <w:t>建立维护档案</w:t>
      </w:r>
      <w:bookmarkEnd w:id="80"/>
      <w:bookmarkEnd w:id="81"/>
    </w:p>
    <w:p w14:paraId="5F172E79">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中标公司将为所有维保设备建立完整的维护服务档案。该档案包括以下内容：</w:t>
      </w:r>
    </w:p>
    <w:p w14:paraId="7424E83A">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bookmarkStart w:id="82" w:name="_Toc101856951"/>
      <w:r>
        <w:rPr>
          <w:rFonts w:hint="eastAsia" w:ascii="宋体" w:hAnsi="宋体" w:eastAsia="宋体" w:cs="宋体"/>
          <w:color w:val="auto"/>
          <w:sz w:val="24"/>
          <w:szCs w:val="24"/>
          <w:highlight w:val="none"/>
        </w:rPr>
        <w:t>系统设备的运行情况、配置信息等</w:t>
      </w:r>
      <w:bookmarkEnd w:id="82"/>
      <w:r>
        <w:rPr>
          <w:rFonts w:hint="eastAsia" w:ascii="宋体" w:hAnsi="宋体" w:eastAsia="宋体" w:cs="宋体"/>
          <w:color w:val="auto"/>
          <w:sz w:val="24"/>
          <w:szCs w:val="24"/>
          <w:highlight w:val="none"/>
        </w:rPr>
        <w:t>。</w:t>
      </w:r>
    </w:p>
    <w:p w14:paraId="1C06E6FD">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bookmarkStart w:id="83" w:name="_Toc101856952"/>
      <w:r>
        <w:rPr>
          <w:rFonts w:hint="eastAsia" w:ascii="宋体" w:hAnsi="宋体" w:eastAsia="宋体" w:cs="宋体"/>
          <w:color w:val="auto"/>
          <w:sz w:val="24"/>
          <w:szCs w:val="24"/>
          <w:highlight w:val="none"/>
        </w:rPr>
        <w:t>公司及有关服务信息、联系人、联系电话等</w:t>
      </w:r>
      <w:bookmarkEnd w:id="83"/>
      <w:r>
        <w:rPr>
          <w:rFonts w:hint="eastAsia" w:ascii="宋体" w:hAnsi="宋体" w:eastAsia="宋体" w:cs="宋体"/>
          <w:color w:val="auto"/>
          <w:sz w:val="24"/>
          <w:szCs w:val="24"/>
          <w:highlight w:val="none"/>
        </w:rPr>
        <w:t>。</w:t>
      </w:r>
    </w:p>
    <w:p w14:paraId="7E4A91E1">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bookmarkStart w:id="84" w:name="_Toc101856953"/>
      <w:r>
        <w:rPr>
          <w:rFonts w:hint="eastAsia" w:ascii="宋体" w:hAnsi="宋体" w:eastAsia="宋体" w:cs="宋体"/>
          <w:color w:val="auto"/>
          <w:sz w:val="24"/>
          <w:szCs w:val="24"/>
          <w:highlight w:val="none"/>
        </w:rPr>
        <w:t>工程师每次维修、维护服务记录</w:t>
      </w:r>
      <w:bookmarkEnd w:id="84"/>
      <w:r>
        <w:rPr>
          <w:rFonts w:hint="eastAsia" w:ascii="宋体" w:hAnsi="宋体" w:eastAsia="宋体" w:cs="宋体"/>
          <w:color w:val="auto"/>
          <w:sz w:val="24"/>
          <w:szCs w:val="24"/>
          <w:highlight w:val="none"/>
        </w:rPr>
        <w:t>。</w:t>
      </w:r>
    </w:p>
    <w:p w14:paraId="704779FA">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bookmarkStart w:id="85" w:name="_Toc101856954"/>
      <w:r>
        <w:rPr>
          <w:rFonts w:hint="eastAsia" w:ascii="宋体" w:hAnsi="宋体" w:eastAsia="宋体" w:cs="宋体"/>
          <w:color w:val="auto"/>
          <w:sz w:val="24"/>
          <w:szCs w:val="24"/>
          <w:highlight w:val="none"/>
        </w:rPr>
        <w:t>每次系统预防性维护服务的报告</w:t>
      </w:r>
      <w:bookmarkEnd w:id="85"/>
      <w:r>
        <w:rPr>
          <w:rFonts w:hint="eastAsia" w:ascii="宋体" w:hAnsi="宋体" w:eastAsia="宋体" w:cs="宋体"/>
          <w:color w:val="auto"/>
          <w:sz w:val="24"/>
          <w:szCs w:val="24"/>
          <w:highlight w:val="none"/>
        </w:rPr>
        <w:t>。</w:t>
      </w:r>
    </w:p>
    <w:p w14:paraId="6508E1B0">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val="zh-CN"/>
        </w:rPr>
      </w:pPr>
      <w:bookmarkStart w:id="86" w:name="_Toc456689263"/>
      <w:bookmarkStart w:id="87" w:name="_Toc456941798"/>
      <w:r>
        <w:rPr>
          <w:rFonts w:hint="eastAsia" w:ascii="宋体" w:hAnsi="宋体" w:eastAsia="宋体" w:cs="宋体"/>
          <w:color w:val="auto"/>
          <w:sz w:val="24"/>
          <w:szCs w:val="24"/>
          <w:highlight w:val="none"/>
          <w:lang w:val="zh-CN"/>
        </w:rPr>
        <w:t>定期反馈</w:t>
      </w:r>
      <w:bookmarkEnd w:id="86"/>
      <w:bookmarkEnd w:id="87"/>
    </w:p>
    <w:p w14:paraId="0E48097A">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公司定期对服务进行总结分析，对不足的地方加以改进，以确保提供给高质量的服务。同时将定期与招标单位举行系统维护服务质量会议，回顾系统维护服务情况，征求招标单位意见，以满足招标单位需要，使能够更好的为招标单位提供优质服务。</w:t>
      </w:r>
    </w:p>
    <w:p w14:paraId="0C52F9C4">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val="zh-CN"/>
        </w:rPr>
      </w:pPr>
      <w:bookmarkStart w:id="88" w:name="_Toc456689264"/>
      <w:bookmarkStart w:id="89" w:name="_Toc456941799"/>
      <w:r>
        <w:rPr>
          <w:rFonts w:hint="eastAsia" w:ascii="宋体" w:hAnsi="宋体" w:eastAsia="宋体" w:cs="宋体"/>
          <w:color w:val="auto"/>
          <w:sz w:val="24"/>
          <w:szCs w:val="24"/>
          <w:highlight w:val="none"/>
          <w:lang w:val="zh-CN"/>
        </w:rPr>
        <w:t>特殊时段值守服务</w:t>
      </w:r>
      <w:bookmarkEnd w:id="88"/>
      <w:bookmarkEnd w:id="89"/>
    </w:p>
    <w:p w14:paraId="016C4A13">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一定特殊和关键时期，如重保、关基检查、重大政治活动等时段，为了保证信息系统更加安全稳定运行，能够保证特殊时期和关键时期的运行，在技术人员配备、响应、调集等方面有更高的实效，提供招标单位所在地7×24小时驻场值守服务，在故障发生时，立即响应，快速定为故障原因，迅速排除故障。</w:t>
      </w:r>
    </w:p>
    <w:p w14:paraId="6413C192">
      <w:pPr>
        <w:pStyle w:val="2"/>
        <w:pageBreakBefore w:val="0"/>
        <w:numPr>
          <w:ilvl w:val="0"/>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90" w:name="_Toc456941802"/>
      <w:r>
        <w:rPr>
          <w:rFonts w:hint="eastAsia" w:ascii="宋体" w:hAnsi="宋体" w:eastAsia="宋体" w:cs="宋体"/>
          <w:color w:val="auto"/>
          <w:sz w:val="24"/>
          <w:szCs w:val="24"/>
          <w:highlight w:val="none"/>
        </w:rPr>
        <w:t>维保方式</w:t>
      </w:r>
      <w:bookmarkEnd w:id="90"/>
    </w:p>
    <w:p w14:paraId="4AA477F8">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bookmarkStart w:id="91" w:name="_Toc456941803"/>
      <w:r>
        <w:rPr>
          <w:rFonts w:hint="eastAsia" w:ascii="宋体" w:hAnsi="宋体" w:eastAsia="宋体" w:cs="宋体"/>
          <w:color w:val="auto"/>
          <w:sz w:val="24"/>
          <w:szCs w:val="24"/>
          <w:highlight w:val="none"/>
        </w:rPr>
        <w:t>派驻本地技术员每周进行巡检服务及后台本地化服务团队支持服务。</w:t>
      </w:r>
    </w:p>
    <w:p w14:paraId="005D14E1">
      <w:pPr>
        <w:pStyle w:val="2"/>
        <w:pageBreakBefore w:val="0"/>
        <w:numPr>
          <w:ilvl w:val="0"/>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维保时间响应</w:t>
      </w:r>
      <w:bookmarkEnd w:id="91"/>
    </w:p>
    <w:p w14:paraId="2CD14826">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基本时间</w:t>
      </w:r>
    </w:p>
    <w:p w14:paraId="2353C691">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bookmarkStart w:id="92" w:name="_Toc439685845"/>
      <w:bookmarkStart w:id="93" w:name="_Toc456941805"/>
      <w:r>
        <w:rPr>
          <w:rFonts w:hint="eastAsia" w:ascii="宋体" w:hAnsi="宋体" w:eastAsia="宋体" w:cs="宋体"/>
          <w:color w:val="auto"/>
          <w:sz w:val="24"/>
          <w:szCs w:val="24"/>
          <w:highlight w:val="none"/>
        </w:rPr>
        <w:t>基本时间要求：</w:t>
      </w:r>
    </w:p>
    <w:p w14:paraId="60D8780C">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服务期内每周派驻一名工程师提供巡检服务。提供7×24小时畅通的热线联系电话。响应时间指招标单位发现问题或在巡检当中发现问题时开始计算，在1小时内完成以下内容的初步判定：问题级别、影响范围、解决所需资源、解决时长，并尽快完成故障排查和故障处理。如果需要协助更换备件或者驻场工程师无法进行故障处理时，二线工程师现场处理时，协助招标单位完成相关工作及人员的调配安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普通故障4小时内解决，重大故障8小时内解决</w:t>
      </w:r>
      <w:r>
        <w:rPr>
          <w:rFonts w:hint="eastAsia" w:ascii="宋体" w:hAnsi="宋体" w:eastAsia="宋体" w:cs="宋体"/>
          <w:color w:val="auto"/>
          <w:sz w:val="24"/>
          <w:szCs w:val="24"/>
          <w:highlight w:val="none"/>
        </w:rPr>
        <w:t>。</w:t>
      </w:r>
    </w:p>
    <w:p w14:paraId="7909FD9D">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二线工程师到达现场时间</w:t>
      </w:r>
      <w:bookmarkEnd w:id="92"/>
      <w:bookmarkEnd w:id="93"/>
    </w:p>
    <w:p w14:paraId="33BD1290">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当招标单位要求投标单位提供不少于五名拥有技能证书的二线工程师支持服务时，从投标单位接到招标单位电话请求开始，投标单位工程师在1小时内到达现场，并立即开始现场不间断工作支持服务。</w:t>
      </w:r>
    </w:p>
    <w:p w14:paraId="377AA42E">
      <w:pPr>
        <w:pStyle w:val="2"/>
        <w:pageBreakBefore w:val="0"/>
        <w:numPr>
          <w:ilvl w:val="0"/>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94" w:name="_Toc191759612"/>
      <w:bookmarkEnd w:id="94"/>
      <w:r>
        <w:rPr>
          <w:rFonts w:hint="eastAsia" w:ascii="宋体" w:hAnsi="宋体" w:eastAsia="宋体" w:cs="宋体"/>
          <w:color w:val="auto"/>
          <w:sz w:val="24"/>
          <w:szCs w:val="24"/>
          <w:highlight w:val="none"/>
        </w:rPr>
        <w:t>建设周期</w:t>
      </w:r>
      <w:bookmarkEnd w:id="55"/>
    </w:p>
    <w:p w14:paraId="7A74AD71">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服务期限为壹年（365日历日）</w:t>
      </w:r>
      <w:bookmarkStart w:id="95" w:name="_Toc4281"/>
    </w:p>
    <w:p w14:paraId="59DBCBC2">
      <w:pPr>
        <w:pStyle w:val="2"/>
        <w:pageBreakBefore w:val="0"/>
        <w:numPr>
          <w:ilvl w:val="0"/>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总体要求</w:t>
      </w:r>
      <w:bookmarkEnd w:id="95"/>
      <w:bookmarkStart w:id="96" w:name="_Toc30866"/>
      <w:bookmarkStart w:id="97" w:name="_Toc29704"/>
    </w:p>
    <w:p w14:paraId="196A8214">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本项目应符合相关标准和规范，服务内容需满足招标单位的技术要求，具体要求如下：</w:t>
      </w:r>
      <w:bookmarkStart w:id="98" w:name="_Toc456941812"/>
    </w:p>
    <w:p w14:paraId="4DF47B64">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巡检</w:t>
      </w:r>
      <w:bookmarkEnd w:id="98"/>
      <w:bookmarkStart w:id="99" w:name="_Toc456941813"/>
      <w:bookmarkStart w:id="100" w:name="_Toc439685849"/>
      <w:r>
        <w:rPr>
          <w:rFonts w:hint="eastAsia" w:ascii="宋体" w:hAnsi="宋体" w:eastAsia="宋体" w:cs="宋体"/>
          <w:color w:val="auto"/>
          <w:sz w:val="24"/>
          <w:szCs w:val="24"/>
          <w:highlight w:val="none"/>
        </w:rPr>
        <w:t>人员要求</w:t>
      </w:r>
    </w:p>
    <w:p w14:paraId="5B8FD76C">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提供一名本地且有相关技术资质的技术工程师从事巡检工作，巡检人员每周巡检一次。</w:t>
      </w:r>
    </w:p>
    <w:p w14:paraId="16786D1A">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服务管理</w:t>
      </w:r>
      <w:bookmarkEnd w:id="99"/>
    </w:p>
    <w:p w14:paraId="0891D198">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单位所提供的各种服务及派驻的工程技术人员严格遵守招标单位的各项管理及规章制度。所提供的各种服务及派驻人员接受招标单位直接管理，配合信息中心的各项工作。由信息中心对相关服务及驻场人员进行考核、监督及评价。招标单位派驻人员服从管理。</w:t>
      </w:r>
      <w:bookmarkEnd w:id="100"/>
      <w:bookmarkStart w:id="101" w:name="_Toc439685850"/>
      <w:bookmarkStart w:id="102" w:name="_Toc456941815"/>
    </w:p>
    <w:p w14:paraId="4E2E42BF">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网络业务或设备设施出现故障后的紧急</w:t>
      </w:r>
      <w:bookmarkEnd w:id="101"/>
      <w:r>
        <w:rPr>
          <w:rFonts w:hint="eastAsia" w:ascii="宋体" w:hAnsi="宋体" w:eastAsia="宋体" w:cs="宋体"/>
          <w:color w:val="auto"/>
          <w:sz w:val="24"/>
          <w:szCs w:val="24"/>
          <w:highlight w:val="none"/>
        </w:rPr>
        <w:t>处理</w:t>
      </w:r>
      <w:bookmarkEnd w:id="102"/>
    </w:p>
    <w:p w14:paraId="31CACC4A">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时解决网络设备设施和基础环境设施运行过程产生的问题，保障各项系统正常运行。根据故障现象对设备进行故障分析定位、测试、诊断，并制定业务恢复和故障解决技术方案,投标单位保证优先实施业务恢复，在恢复业务的前提下，再进行彻底的故障修复。技术方案经招标人批准后，由投标单位的技术人员具体实施方案；或在招标单位主管人员允许的情况下，由投标单位的技术人员进行具体实施。如果硬件设备出现故障时，排除故障；若是保修期内，协助产品供应商和生产厂家解决问题，保修期外协助招标人协调备件，费用由招标单位承担。投标单位提供书面故障处理日志、软硬件及设备配置变动日志和故障分析报告。</w:t>
      </w:r>
    </w:p>
    <w:p w14:paraId="78E0B25F">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103" w:name="_Toc439685851"/>
      <w:bookmarkStart w:id="104" w:name="_Toc456941817"/>
      <w:r>
        <w:rPr>
          <w:rFonts w:hint="eastAsia" w:ascii="宋体" w:hAnsi="宋体" w:eastAsia="宋体" w:cs="宋体"/>
          <w:color w:val="auto"/>
          <w:sz w:val="24"/>
          <w:szCs w:val="24"/>
          <w:highlight w:val="none"/>
        </w:rPr>
        <w:t>协助招标单位进行系统升级、扩充和优化服务</w:t>
      </w:r>
      <w:bookmarkEnd w:id="103"/>
      <w:bookmarkEnd w:id="104"/>
    </w:p>
    <w:p w14:paraId="585505E5">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单位系统的运行使用情况，投标单位及时向招标单位提出系统安全及系统优化的合理建议，确保招标单位系统安全正常运行。当招标单位的各项系统或设备出现与其它系统或设备或第三方厂家系统或产品需要协调的问题时，招标单位根据信息中心要求派工程师到现场协助协调、解决问题或提出合理化建议。根据信息中心的应用要求，重新配置、优化系统资源，包括网络、服务器、存储、安全设备等设备设施的资源调配和调整，操作系统的安装、配置和升级，基础数据库软件的升级等。</w:t>
      </w:r>
    </w:p>
    <w:p w14:paraId="440EF8C4">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105" w:name="_Toc456941819"/>
      <w:bookmarkStart w:id="106" w:name="_Toc439685852"/>
      <w:r>
        <w:rPr>
          <w:rFonts w:hint="eastAsia" w:ascii="宋体" w:hAnsi="宋体" w:eastAsia="宋体" w:cs="宋体"/>
          <w:color w:val="auto"/>
          <w:sz w:val="24"/>
          <w:szCs w:val="24"/>
          <w:highlight w:val="none"/>
        </w:rPr>
        <w:t>文档管理和信息支持服务</w:t>
      </w:r>
      <w:bookmarkEnd w:id="105"/>
      <w:bookmarkEnd w:id="106"/>
    </w:p>
    <w:p w14:paraId="10CF6F4E">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单位每周及每月对巡检及日常运维中的问题及各种记录、日志进行分析和总结，同时以周报和月报的形式将结果反馈给招标单位。每周提供一份周报，每月提供一份月报，报告本月工作及网络运行情况和运维总结。招标单位建立专门的系统维护档案及日志，投标单位工程师第一次到现场服务巡检时，要核对并记录所负责维护的设备详细配置清单、所使用的操作系统、版本号、系统的使用情况及系统的配置参数。要建立和完善主机系统的技术档案，同时对招标单位系统提供相应的技术支持的电子文档。投标单位对招标单位的所有保修设备，均根据每次的电话记录、预防性维修报告和故障维修报告建立技术文档，详细记录设备型号、故障时间、故障类型、维护措施、维护质量、维护时间及维修人员等信息。</w:t>
      </w:r>
    </w:p>
    <w:p w14:paraId="28A3AF5F">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（2）提供网络设备巡检日志；软硬件及设备配置变动日志；设备维护日志；网络故障处理日志；网络故障受理记录；5*9小时值班日志；网络运行情况分析及汇总报告；周报及月报等。</w:t>
      </w:r>
    </w:p>
    <w:p w14:paraId="48A611FC">
      <w:pPr>
        <w:pStyle w:val="2"/>
        <w:pageBreakBefore w:val="0"/>
        <w:numPr>
          <w:ilvl w:val="0"/>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107" w:name="_Toc439685853"/>
      <w:bookmarkStart w:id="108" w:name="_Toc456941820"/>
      <w:r>
        <w:rPr>
          <w:rFonts w:hint="eastAsia" w:ascii="宋体" w:hAnsi="宋体" w:eastAsia="宋体" w:cs="宋体"/>
          <w:color w:val="auto"/>
          <w:sz w:val="24"/>
          <w:szCs w:val="24"/>
          <w:highlight w:val="none"/>
        </w:rPr>
        <w:t>保密</w:t>
      </w:r>
      <w:bookmarkEnd w:id="107"/>
      <w:r>
        <w:rPr>
          <w:rFonts w:hint="eastAsia" w:ascii="宋体" w:hAnsi="宋体" w:eastAsia="宋体" w:cs="宋体"/>
          <w:color w:val="auto"/>
          <w:sz w:val="24"/>
          <w:szCs w:val="24"/>
          <w:highlight w:val="none"/>
        </w:rPr>
        <w:t>协议</w:t>
      </w:r>
      <w:bookmarkEnd w:id="108"/>
    </w:p>
    <w:p w14:paraId="5D97745A">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内，投标单位与招标单位签订保密协议，承诺严格保护招标人系统、数据、信息的安全，在服务期满后五年内不得泄露招标人所有信息。由于投标单位违反保密协议而导致的泄密或破坏，由投标单位负全责，并由投标单位赔偿招标人所有损失。投标单位提供服务期内保护招标人系统、数据、信息的安全，以及服务期满后五年内保守招标人信息秘密的承诺书。</w:t>
      </w:r>
    </w:p>
    <w:p w14:paraId="7C4AFB1D">
      <w:pPr>
        <w:pStyle w:val="2"/>
        <w:pageBreakBefore w:val="0"/>
        <w:numPr>
          <w:ilvl w:val="0"/>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109" w:name="_Toc456941821"/>
      <w:r>
        <w:rPr>
          <w:rFonts w:hint="eastAsia" w:ascii="宋体" w:hAnsi="宋体" w:eastAsia="宋体" w:cs="宋体"/>
          <w:color w:val="auto"/>
          <w:sz w:val="24"/>
          <w:szCs w:val="24"/>
          <w:highlight w:val="none"/>
        </w:rPr>
        <w:t>监督与投诉受理</w:t>
      </w:r>
      <w:bookmarkEnd w:id="109"/>
    </w:p>
    <w:p w14:paraId="2D72CAF1">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单位对投标单位所提供服务质量及驻场人员工作表现进行监督，结合故障处理的招标单位回访满意率做出综合评价。如因服务质量对招标单位造成重大影响，招标单位根据服务考核表现有权利要求投标单位撤换驻场工程师或改善服务质量，直至要求终止服务合同，并提供相应赔偿，投标单位向招标单位支付合同总额10%的赔偿金。</w:t>
      </w:r>
    </w:p>
    <w:p w14:paraId="425782B7">
      <w:pPr>
        <w:pStyle w:val="2"/>
        <w:pageBreakBefore w:val="0"/>
        <w:numPr>
          <w:ilvl w:val="0"/>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110" w:name="_Toc456941822"/>
      <w:r>
        <w:rPr>
          <w:rFonts w:hint="eastAsia" w:ascii="宋体" w:hAnsi="宋体" w:eastAsia="宋体" w:cs="宋体"/>
          <w:color w:val="auto"/>
          <w:sz w:val="24"/>
          <w:szCs w:val="24"/>
          <w:highlight w:val="none"/>
        </w:rPr>
        <w:t>培训</w:t>
      </w:r>
      <w:bookmarkEnd w:id="110"/>
    </w:p>
    <w:p w14:paraId="0439535B">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建立技术交流、培训机制，根据招标单位要求不定期进行本地及异地培训。培训内容理论兼顾实际操作，培训内容包括日常管理、紧急故障处理办法、相关新技术的介绍及软硬件基础知识等，培训知识点包括但不限于现有各项设备设施。</w:t>
      </w:r>
    </w:p>
    <w:p w14:paraId="5BC54BDD">
      <w:pPr>
        <w:pStyle w:val="2"/>
        <w:pageBreakBefore w:val="0"/>
        <w:numPr>
          <w:ilvl w:val="0"/>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111" w:name="_Toc456941823"/>
      <w:r>
        <w:rPr>
          <w:rFonts w:hint="eastAsia" w:ascii="宋体" w:hAnsi="宋体" w:eastAsia="宋体" w:cs="宋体"/>
          <w:color w:val="auto"/>
          <w:sz w:val="24"/>
          <w:szCs w:val="24"/>
          <w:highlight w:val="none"/>
        </w:rPr>
        <w:t>维保效果</w:t>
      </w:r>
      <w:bookmarkEnd w:id="111"/>
    </w:p>
    <w:p w14:paraId="3972CAA4">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bookmarkStart w:id="112" w:name="_Toc439685858"/>
      <w:r>
        <w:rPr>
          <w:rFonts w:hint="eastAsia" w:ascii="宋体" w:hAnsi="宋体" w:eastAsia="宋体" w:cs="宋体"/>
          <w:color w:val="auto"/>
          <w:sz w:val="24"/>
          <w:szCs w:val="24"/>
          <w:highlight w:val="none"/>
        </w:rPr>
        <w:t>1.系统运行稳定、可靠</w:t>
      </w:r>
      <w:bookmarkEnd w:id="112"/>
      <w:r>
        <w:rPr>
          <w:rFonts w:hint="eastAsia" w:ascii="宋体" w:hAnsi="宋体" w:eastAsia="宋体" w:cs="宋体"/>
          <w:color w:val="auto"/>
          <w:sz w:val="24"/>
          <w:szCs w:val="24"/>
          <w:highlight w:val="none"/>
        </w:rPr>
        <w:t>：通过对系统的合理规划和日常维护，保障招标单位网络设备及系统和主要业务能够稳定、可靠地运转。</w:t>
      </w:r>
    </w:p>
    <w:p w14:paraId="03D912C7">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bookmarkStart w:id="113" w:name="_Toc439685859"/>
      <w:r>
        <w:rPr>
          <w:rFonts w:hint="eastAsia" w:ascii="宋体" w:hAnsi="宋体" w:eastAsia="宋体" w:cs="宋体"/>
          <w:color w:val="auto"/>
          <w:sz w:val="24"/>
          <w:szCs w:val="24"/>
          <w:highlight w:val="none"/>
        </w:rPr>
        <w:t>2.灾难性崩溃的快速响应与恢复</w:t>
      </w:r>
      <w:bookmarkEnd w:id="113"/>
      <w:r>
        <w:rPr>
          <w:rFonts w:hint="eastAsia" w:ascii="宋体" w:hAnsi="宋体" w:eastAsia="宋体" w:cs="宋体"/>
          <w:color w:val="auto"/>
          <w:sz w:val="24"/>
          <w:szCs w:val="24"/>
          <w:highlight w:val="none"/>
        </w:rPr>
        <w:t>：当系统遇到灾难性崩溃时候，投标单位能够快速响应与对系统进行恢复，工程师在1小时内赶赴现场，并在尽可能短的时间里对系统灾难进行恢复。</w:t>
      </w:r>
    </w:p>
    <w:p w14:paraId="6D44143A">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bookmarkStart w:id="114" w:name="_Toc439685860"/>
      <w:r>
        <w:rPr>
          <w:rFonts w:hint="eastAsia" w:ascii="宋体" w:hAnsi="宋体" w:eastAsia="宋体" w:cs="宋体"/>
          <w:color w:val="auto"/>
          <w:sz w:val="24"/>
          <w:szCs w:val="24"/>
          <w:highlight w:val="none"/>
        </w:rPr>
        <w:t>3.投资保护</w:t>
      </w:r>
      <w:bookmarkEnd w:id="114"/>
      <w:r>
        <w:rPr>
          <w:rFonts w:hint="eastAsia" w:ascii="宋体" w:hAnsi="宋体" w:eastAsia="宋体" w:cs="宋体"/>
          <w:color w:val="auto"/>
          <w:sz w:val="24"/>
          <w:szCs w:val="24"/>
          <w:highlight w:val="none"/>
        </w:rPr>
        <w:t>：保障招标单位的系统投资能够得到最大限度的回报。在保障系统正常运行的基础上，对招标单位业务系统提供合理化建议及优化方案，使得招标单位运维设备和系统在现有硬件环境下发挥最优性能。</w:t>
      </w:r>
    </w:p>
    <w:p w14:paraId="7261F9E0">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服务团队要求</w:t>
      </w:r>
    </w:p>
    <w:p w14:paraId="728BEE51">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项目要求整个技术团队需要对网络安全、数据安全有较好的实施能力、运维能力和服务保障能力，投标人员服务团队中需包含如下人员：</w:t>
      </w:r>
    </w:p>
    <w:p w14:paraId="2A7F0209">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1.配置一名项目经理把握整体项目风险（具备相应的信息安全保障人员（CISAW）认证证书）。</w:t>
      </w:r>
    </w:p>
    <w:p w14:paraId="652A1171">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2.配置一名注册渗透测试工程师，（具备注册渗透测试工程师证书或注册渗透测试专家证书）；</w:t>
      </w:r>
    </w:p>
    <w:p w14:paraId="24695620">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3.配置一名信息安全保障人员用于评估应急响应能力，（具备信息安全保障人员（CISAW）认证证书，认证方向为应急服务）；</w:t>
      </w:r>
    </w:p>
    <w:p w14:paraId="749C3D66">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4.配置一名系统架构设计师用于评估对项目整体架构、安全策略进行把控的能力；</w:t>
      </w:r>
    </w:p>
    <w:p w14:paraId="5CEB1481">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5.配置一名安全运维工程师用于评估巡检服务能力，（具备信息安全保障人员（CISAW）认证证书，认证方向为安全运维）；</w:t>
      </w:r>
    </w:p>
    <w:p w14:paraId="41159F14">
      <w:pPr>
        <w:pStyle w:val="2"/>
        <w:pageBreakBefore w:val="0"/>
        <w:numPr>
          <w:ilvl w:val="0"/>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p w14:paraId="4A42D537">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为保障安全服务质量，投标单位自身需通过信息安全管理体系（ISO27001）和质量管理体系（IS09001）认证。</w:t>
      </w:r>
    </w:p>
    <w:p w14:paraId="5614E60E">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为保障安全服务质量投标单位需通过中国网络安全审查技术与认证中心(CCRC)颁发的信息安全服务资质认证范围包含信息安全风险评估服务、信息系统安全集成服务、软件安全开发服务。</w:t>
      </w:r>
    </w:p>
    <w:p w14:paraId="444EA185">
      <w:pPr>
        <w:pStyle w:val="2"/>
        <w:pageBreakBefore w:val="0"/>
        <w:numPr>
          <w:ilvl w:val="0"/>
          <w:numId w:val="47"/>
        </w:numPr>
        <w:kinsoku/>
        <w:wordWrap/>
        <w:overflowPunct/>
        <w:topLinePunct w:val="0"/>
        <w:autoSpaceDE/>
        <w:autoSpaceDN/>
        <w:bidi w:val="0"/>
        <w:adjustRightInd/>
        <w:spacing w:before="0" w:after="0" w:line="240" w:lineRule="auto"/>
        <w:ind w:lef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优惠措施</w:t>
      </w:r>
    </w:p>
    <w:p w14:paraId="316E04DB">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投标单位在举行各项安全技术推广和安全培训活动时，会优先邀请使用方参加。如果是收费培训时，招标单位享有最低折扣优惠，具体优惠折扣根据培训相关事宜确定。</w:t>
      </w:r>
    </w:p>
    <w:p w14:paraId="77F92AD6">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充分利用投标单位的信息安全实验平台，为招标单位提供信息安全技术练习平台。</w:t>
      </w:r>
    </w:p>
    <w:p w14:paraId="0E9A5E60">
      <w:pPr>
        <w:pStyle w:val="256"/>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p>
    <w:p w14:paraId="30C40D72">
      <w:pPr>
        <w:pStyle w:val="2"/>
        <w:pageBreakBefore w:val="0"/>
        <w:numPr>
          <w:ilvl w:val="0"/>
          <w:numId w:val="47"/>
        </w:numPr>
        <w:kinsoku/>
        <w:wordWrap/>
        <w:overflowPunct/>
        <w:topLinePunct w:val="0"/>
        <w:autoSpaceDE/>
        <w:autoSpaceDN/>
        <w:bidi w:val="0"/>
        <w:adjustRightInd/>
        <w:spacing w:before="0" w:after="0" w:line="240" w:lineRule="auto"/>
        <w:ind w:lef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项目需遵循的有关标准和规范</w:t>
      </w:r>
      <w:bookmarkEnd w:id="96"/>
      <w:bookmarkEnd w:id="97"/>
      <w:bookmarkStart w:id="115" w:name="_Toc73110661"/>
      <w:bookmarkStart w:id="116" w:name="_Toc73027349"/>
      <w:bookmarkStart w:id="117" w:name="_Toc29853"/>
      <w:bookmarkStart w:id="118" w:name="_Toc73027713"/>
      <w:bookmarkStart w:id="119" w:name="_Toc73111435"/>
      <w:bookmarkStart w:id="120" w:name="_Toc73110505"/>
      <w:bookmarkStart w:id="121" w:name="_Toc73027561"/>
      <w:bookmarkStart w:id="122" w:name="_Toc697"/>
      <w:bookmarkStart w:id="123" w:name="_Toc2352"/>
    </w:p>
    <w:p w14:paraId="669CC77A">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政策法规</w:t>
      </w:r>
      <w:bookmarkEnd w:id="115"/>
      <w:bookmarkEnd w:id="116"/>
      <w:bookmarkEnd w:id="117"/>
      <w:bookmarkEnd w:id="118"/>
      <w:bookmarkEnd w:id="119"/>
      <w:bookmarkEnd w:id="120"/>
      <w:bookmarkEnd w:id="121"/>
    </w:p>
    <w:p w14:paraId="2BB3892B">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中共中央办公厅、国务院办公厅印发《国家信息化发展战略纲要》；</w:t>
      </w:r>
    </w:p>
    <w:p w14:paraId="5AE2BB9F">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《中华人民共和国国民经济和社会发展第十四个五年规划和2035年远景目标纲要》；</w:t>
      </w:r>
    </w:p>
    <w:p w14:paraId="37EBA48A">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《国家电子政务标准体系建设指南》（市场监管总局办公厅、中共中央办公厅机要局、国务院办公厅电子政务办公室、中央网信办秘书局、国家发展改革委办公厅、工业和信息化部办公厅等六部门印发）；</w:t>
      </w:r>
    </w:p>
    <w:p w14:paraId="63E8856B">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《中华人民共和国网络安全法》（2016年11月7日通过，自2017年6月1日起施行）；</w:t>
      </w:r>
    </w:p>
    <w:p w14:paraId="46F0658A">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《中华人民共和国保守国家秘密法》（2010年4月29日修订通过，自2010年10月1日起施行）；</w:t>
      </w:r>
    </w:p>
    <w:p w14:paraId="237FC1F1">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《中华人民共和国密码法》（2019年10月26日通过，自2020年1月1日起施行）；</w:t>
      </w:r>
    </w:p>
    <w:p w14:paraId="57E770F8">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《中华人民共和国数据安全法》（2021年6月10日通过，自2021年9月1日起施行）；</w:t>
      </w:r>
    </w:p>
    <w:p w14:paraId="034CF294">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《国务院办公厅关于印发国家政务信息化项目建设管理办法的通知》（国办发〔2019〕57号）；</w:t>
      </w:r>
    </w:p>
    <w:p w14:paraId="0FCF6149">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《关于进一步加强政务部门信息共享建设管理的指导意见》（发改高技〔2013〕733号）；</w:t>
      </w:r>
    </w:p>
    <w:p w14:paraId="2B2B1FA2">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《国家电子政务顶层设计总体方案》(中共中央办公厅厅字〔2017〕7号)；</w:t>
      </w:r>
    </w:p>
    <w:p w14:paraId="39645F94">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《电子政务网安全要求》(国家电子政务外网管理中心〔2017〕2号)；</w:t>
      </w:r>
    </w:p>
    <w:p w14:paraId="6CE6A8D4">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《关于印发“互联网+政务服务”技术体系建设指南的通知》(国办函〔2016〕108号)；</w:t>
      </w:r>
    </w:p>
    <w:p w14:paraId="53994DD3">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《国务院关于积极推进“互联网+”行动的指导意见》(国发〔2015〕40号)；</w:t>
      </w:r>
    </w:p>
    <w:p w14:paraId="0A96B0E9">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《政务信息资源共享管理暂行办法》(国发〔2016〕51号)；</w:t>
      </w:r>
    </w:p>
    <w:p w14:paraId="45CDD1B8">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《关于建立国家电子政务工作统筹协调机制的意见》(中网办发〔2016〕6号)；</w:t>
      </w:r>
    </w:p>
    <w:p w14:paraId="070537F0">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《互联网新技术新业务安全评估指南》(工业信息化部〔2016〕)；</w:t>
      </w:r>
    </w:p>
    <w:p w14:paraId="5848991A">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《国务院关于促进云计算创新发展培育信息产业新业态的意见》(国发〔2015〕5号)；</w:t>
      </w:r>
    </w:p>
    <w:p w14:paraId="067ABB0A">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《国务院办公厅关于促进电子政协调发展的指导意见》(国办发〔2014〕）；</w:t>
      </w:r>
    </w:p>
    <w:p w14:paraId="7ACAC14A">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《中央网信办印发关于加强党政部门云计算服务络安全管理的意见》(中网办发文〔2014〕14号)；</w:t>
      </w:r>
    </w:p>
    <w:p w14:paraId="4081B2CF">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《进一步深化“互联网+政务服务”推进政务服务“一网、一门、一次”改革实施方案》（国办发〔2018〕45号）；</w:t>
      </w:r>
    </w:p>
    <w:p w14:paraId="47CBD8F7">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《国务院办公厅关于全面开展工程建设项目审批制度改革的实施意见》（国办发〔2019〕11号）；</w:t>
      </w:r>
    </w:p>
    <w:p w14:paraId="5475EBDD">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《政府购买服务管理办法》(财综〔2020〕96号)；</w:t>
      </w:r>
    </w:p>
    <w:p w14:paraId="345DFC0F">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《国务院办公厅关于政府向社会力量购买服的指导意见》(国办发〔2013〕96号)；</w:t>
      </w:r>
    </w:p>
    <w:p w14:paraId="1DF162F6">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《自治区贯彻&lt;机关事务管理条例&gt;实施意见》；</w:t>
      </w:r>
    </w:p>
    <w:p w14:paraId="2BEB1E56">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《关于进一步推进自治区“互联网+监管”系统建设和应用工作的通知》（新政办明电〔2019〕196号）；</w:t>
      </w:r>
    </w:p>
    <w:p w14:paraId="5EBE4A0D">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《新疆维吾尔自治区全面开展工程建设项目审批制度改革实施方案》（新政办发〔2019〕65号）；</w:t>
      </w:r>
    </w:p>
    <w:p w14:paraId="6408CD17">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《关于印发新疆维吾尔自治区政务信息化项目建设管理办法的通知》（新政办发〔2021〕14号）；</w:t>
      </w:r>
    </w:p>
    <w:p w14:paraId="6C6026F7">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《中华人民共和国计算机信息系统安全保护条例》（中华人民共和国国务院令147号发布）；</w:t>
      </w:r>
    </w:p>
    <w:p w14:paraId="4D71725F">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《中华人民共和国计算机信息网络国际联网管理暂行规定》(国务院令第195号，1996年2月1日施行)；</w:t>
      </w:r>
    </w:p>
    <w:p w14:paraId="13B0E580">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《国家电子政务总体框架》（国信〔2006〕2号）；</w:t>
      </w:r>
    </w:p>
    <w:p w14:paraId="12DB8E18">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《信息安全等级保护管理办法》(公通字〔2007〕43号）；</w:t>
      </w:r>
    </w:p>
    <w:p w14:paraId="6810E09C">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《关于推进新时代机关事务工作的指导意见》；</w:t>
      </w:r>
    </w:p>
    <w:p w14:paraId="6681F143">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bookmarkStart w:id="124" w:name="_Toc73027350"/>
      <w:bookmarkStart w:id="125" w:name="_Toc73110662"/>
      <w:bookmarkStart w:id="126" w:name="_Toc73110506"/>
      <w:bookmarkStart w:id="127" w:name="_Toc73027714"/>
      <w:bookmarkStart w:id="128" w:name="_Toc73027562"/>
      <w:bookmarkStart w:id="129" w:name="_Toc73111436"/>
      <w:r>
        <w:rPr>
          <w:rFonts w:hint="eastAsia" w:ascii="宋体" w:hAnsi="宋体" w:eastAsia="宋体" w:cs="宋体"/>
          <w:color w:val="auto"/>
          <w:sz w:val="24"/>
          <w:szCs w:val="24"/>
          <w:highlight w:val="none"/>
        </w:rPr>
        <w:t>中共中央办公厅国务院办公厅关于印发《党政机关办公用房管理办法》的通知（中办发〔2017〕70号）；</w:t>
      </w:r>
    </w:p>
    <w:p w14:paraId="148A4C04">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中共中央办公厅国务院办公厅关于印发《党政机关公务用车管理办法》的通知（中办发〔2017〕71号）；</w:t>
      </w:r>
    </w:p>
    <w:p w14:paraId="4B38DA81">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自治区党委办公厅自治区人民政府办公厅关于印发《新疆自治区党政机关公务用车管理办法》的通知（新党办发〔2018〕65号）；</w:t>
      </w:r>
    </w:p>
    <w:p w14:paraId="19691414">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自治区党委办公厅自治区人民政府办公厅关于印发《新疆自治区党政机关办公用房管理办法》的通知（新党办发〔2018〕66号）。</w:t>
      </w:r>
    </w:p>
    <w:p w14:paraId="1C491D4A">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b w:val="0"/>
          <w:bCs/>
          <w:color w:val="auto"/>
          <w:sz w:val="24"/>
          <w:szCs w:val="24"/>
          <w:highlight w:val="none"/>
        </w:rPr>
      </w:pPr>
      <w:bookmarkStart w:id="130" w:name="_Toc5345"/>
      <w:r>
        <w:rPr>
          <w:rFonts w:hint="eastAsia" w:ascii="宋体" w:hAnsi="宋体" w:eastAsia="宋体" w:cs="宋体"/>
          <w:b w:val="0"/>
          <w:bCs/>
          <w:color w:val="auto"/>
          <w:sz w:val="24"/>
          <w:szCs w:val="24"/>
          <w:highlight w:val="none"/>
        </w:rPr>
        <w:t>国家标准</w:t>
      </w:r>
      <w:bookmarkEnd w:id="124"/>
      <w:bookmarkEnd w:id="125"/>
      <w:bookmarkEnd w:id="126"/>
      <w:bookmarkEnd w:id="127"/>
      <w:bookmarkEnd w:id="128"/>
      <w:bookmarkEnd w:id="129"/>
      <w:bookmarkEnd w:id="130"/>
    </w:p>
    <w:p w14:paraId="11F75BD8">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bookmarkStart w:id="131" w:name="_Toc73027351"/>
      <w:bookmarkStart w:id="132" w:name="_Toc73027563"/>
      <w:bookmarkStart w:id="133" w:name="_Toc73110507"/>
      <w:bookmarkStart w:id="134" w:name="_Toc18423526"/>
      <w:bookmarkStart w:id="135" w:name="_Toc482197018"/>
      <w:bookmarkStart w:id="136" w:name="_Toc73110663"/>
      <w:bookmarkStart w:id="137" w:name="_Toc73027715"/>
      <w:bookmarkStart w:id="138" w:name="_Toc73111437"/>
      <w:bookmarkStart w:id="139" w:name="_Toc530779168"/>
      <w:r>
        <w:rPr>
          <w:rFonts w:hint="eastAsia" w:ascii="宋体" w:hAnsi="宋体" w:eastAsia="宋体" w:cs="宋体"/>
          <w:color w:val="auto"/>
          <w:sz w:val="24"/>
          <w:szCs w:val="24"/>
          <w:highlight w:val="none"/>
        </w:rPr>
        <w:t>《信息处理数据流程图、程序流程图、系统流程图、程序网络图和系统资源图的文件编制符号及约定》（GB/T1526-1989）；</w:t>
      </w:r>
    </w:p>
    <w:p w14:paraId="3CAF8E56">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《中华人民共和国行政区划代码》（GB/T2260-2007）；</w:t>
      </w:r>
    </w:p>
    <w:p w14:paraId="3F72774B">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《信息分类和编码的基本原则与方法》（GB/T7027-2002）；</w:t>
      </w:r>
    </w:p>
    <w:p w14:paraId="3A94F1E1">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《数据元和交换格式信息交换日期和时间表示法》（GB/T7408-2005）；</w:t>
      </w:r>
    </w:p>
    <w:p w14:paraId="0BBAFFCB">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《信息技术软件生存周期过程》（GB/T8566-2007）；</w:t>
      </w:r>
    </w:p>
    <w:p w14:paraId="5480B823">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《计算机软件文档编制规范》（GB/T8567-2006）；</w:t>
      </w:r>
    </w:p>
    <w:p w14:paraId="525AFD96">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《计算机软件需求规格说明规范》（GB/T9385-2008）；</w:t>
      </w:r>
    </w:p>
    <w:p w14:paraId="3B367E04">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《计算机软件测试文档编制规范》（GB/T9386-2008）；</w:t>
      </w:r>
    </w:p>
    <w:p w14:paraId="0BCBA7C0">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《分类与编码通用术语》（GB/T10113-2003）；</w:t>
      </w:r>
    </w:p>
    <w:p w14:paraId="4CF9E619">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《信息技术软件工程术语》（GB/T11457-2006）；</w:t>
      </w:r>
    </w:p>
    <w:p w14:paraId="5C59A31B">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《全国组织机构代码编制规则》（GB11714-1997）；</w:t>
      </w:r>
    </w:p>
    <w:p w14:paraId="4616CDB7">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《信息技术开放系统互连运输服务定义》（GB/T12453-2008）；</w:t>
      </w:r>
    </w:p>
    <w:p w14:paraId="758A8EFF">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《信息技术开放系统互连提供连接方式运输服务的协议》（GB/T12500-2008）；</w:t>
      </w:r>
    </w:p>
    <w:p w14:paraId="6C65108A">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《信息处理程序构造及其表示的约定》（GB/T13502-1992）；</w:t>
      </w:r>
    </w:p>
    <w:p w14:paraId="79B361E0">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《信息处理系统计算机系统配置图符号及约定》（GB/T14085-1993）；</w:t>
      </w:r>
    </w:p>
    <w:p w14:paraId="75F62933">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《计算机软件可靠性和可维护性管理》（GB/T14394-2008）；</w:t>
      </w:r>
    </w:p>
    <w:p w14:paraId="6ABF5946">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《信息技术开放系统互连网络服务定义》（GB/T15126-2008）；</w:t>
      </w:r>
    </w:p>
    <w:p w14:paraId="486EC9D6">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《计算机软件测试规范》（GB/T15532-2008）；</w:t>
      </w:r>
    </w:p>
    <w:p w14:paraId="20FBAD25">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《信息技术开放系统互连公共管理信息服务》（GB/T16644-2008）；</w:t>
      </w:r>
    </w:p>
    <w:p w14:paraId="29C9F9AF">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《信息技术开放系统互连公共管理信息协议第1部分：规范》（GB/T16645.1-2008）；</w:t>
      </w:r>
    </w:p>
    <w:p w14:paraId="53089CB1">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《系统与软件工程招标单位文档的管理者要求》（GB/T16680-2015）；</w:t>
      </w:r>
    </w:p>
    <w:p w14:paraId="3E56CD01">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《计算机信息系统安全保护等级划分准则》（GB17859-1999）；</w:t>
      </w:r>
    </w:p>
    <w:p w14:paraId="7ED424F7">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《信息技术开放系统互联网络层安全协议》（GB/T17963-2000）；</w:t>
      </w:r>
    </w:p>
    <w:p w14:paraId="4FC05F84">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《信息技术数据元素值表示格式记法》（GB/T18142-2017）；</w:t>
      </w:r>
    </w:p>
    <w:p w14:paraId="6C2D9B8A">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《信息技术CASE工具的评价与选择指南》（GB/T18234-2000）；</w:t>
      </w:r>
    </w:p>
    <w:p w14:paraId="1AFF10F3">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《信息技术元数据注册系统(MDR)第1部分：框架》（GB/T18391.1-2009）；</w:t>
      </w:r>
    </w:p>
    <w:p w14:paraId="20EEF9F4">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《信息技术元数据注册系统(MDR)第2部分：分类》（GB/T18391.2-2009）；</w:t>
      </w:r>
    </w:p>
    <w:p w14:paraId="22F9391B">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《信息技术元数据注册系统(MDR)第3部分：注册系统元模型与基本属性》（GB/T18391.3-2009）；</w:t>
      </w:r>
    </w:p>
    <w:p w14:paraId="500C443F">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《信息技术元数据注册系统(MDR)第4部分：数据定义的形成》（GB/T18391.4-2009）；</w:t>
      </w:r>
    </w:p>
    <w:p w14:paraId="64664C0E">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《信息技术元数据注册系统(MDR)第5部分：命名和标识原则》（GB/T18391.5-2009）；</w:t>
      </w:r>
    </w:p>
    <w:p w14:paraId="481C89D7">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《信息技术元数据注册系统(MDR)第6部分：注册》（GB/T18391.6-2009）；</w:t>
      </w:r>
    </w:p>
    <w:p w14:paraId="3A0C5D0E">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《信息技术系统及软件完整性级别》（GB/T18492-2001）；</w:t>
      </w:r>
    </w:p>
    <w:p w14:paraId="543657C9">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《信息技术软件生存周期过程指南》（GB/Z18493-2001）；</w:t>
      </w:r>
    </w:p>
    <w:p w14:paraId="74837317">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《信息技术可扩展置标语言(XML)1.0》（GB/T18793-2002）；</w:t>
      </w:r>
    </w:p>
    <w:p w14:paraId="3A7D3340">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《软件工程产品评价第6部分:评价模块的文档编制》（GB/T18905.6-2002）；</w:t>
      </w:r>
    </w:p>
    <w:p w14:paraId="43664504">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《信息技术软件工程CASE工具的采用指南》（GB/T18914-2014）；</w:t>
      </w:r>
    </w:p>
    <w:p w14:paraId="7F5788E5">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"http://openstd.samr.gov.cn/bzgk/gb/javascript:void(0)"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软件工程GB/T19001-2000应用于计算机软件的指南</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》（GB/T19003-2008）；</w:t>
      </w:r>
    </w:p>
    <w:p w14:paraId="559E427E">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《电子政务主题词表编制规则》（GB/T19486-2004）；</w:t>
      </w:r>
    </w:p>
    <w:p w14:paraId="4DF91F58">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《电子政务业务流程设计方法通用规范》（GB/T19487-2004）；</w:t>
      </w:r>
    </w:p>
    <w:p w14:paraId="20661F20">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《电子政务数据元第1部分:设计和管理规范》（GB/T19488.1-2004）；</w:t>
      </w:r>
    </w:p>
    <w:p w14:paraId="5372B0BE">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《电子政务数据元第2部分：公共数据元目录》（</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"http://std.samr.gov.cn/gb/search/gbDetailed?id=71F772D76E0BD3A7E05397BE0A0AB82A" \t "http://std.samr.gov.cn/gb/_blank"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GB/T19488.2-2008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0E03793D">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《信息技术会计核算软件数据接口》（GB/T19581-2004）；</w:t>
      </w:r>
    </w:p>
    <w:p w14:paraId="27D560E4">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《信息技术服务监理第1部分：总则》（GB/T19668.1-2014）；</w:t>
      </w:r>
    </w:p>
    <w:p w14:paraId="4D83AD14">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《XML在电子政务中的应用指南》（GB/Z19669-2005）；</w:t>
      </w:r>
    </w:p>
    <w:p w14:paraId="0D072F01">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《组织机构类型》（GB/T20091-2021）；</w:t>
      </w:r>
    </w:p>
    <w:p w14:paraId="7AB0B5B3">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《软件工程软件生存周期过程用于项目管理的指南》（GB/Z20156-2006）；</w:t>
      </w:r>
    </w:p>
    <w:p w14:paraId="7768BD75">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《信息技术软件维护》（GB/T20157-2006）；</w:t>
      </w:r>
    </w:p>
    <w:p w14:paraId="2045C05C">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《信息技术软件生存周期过程配置管理》（GB/T20158-2006）；</w:t>
      </w:r>
    </w:p>
    <w:p w14:paraId="05B0CADC">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《信息安全技术信息系统安全管理要求》（GB/T20269-2006）；</w:t>
      </w:r>
    </w:p>
    <w:p w14:paraId="4C5A3E1B">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《信息安全技术网络基础安全技术要求》（GB/T20270-2006）；</w:t>
      </w:r>
    </w:p>
    <w:p w14:paraId="27EE80C0">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《信息安全技术信息系统通用安全技术要求》（GB/T20271-2006）；</w:t>
      </w:r>
    </w:p>
    <w:p w14:paraId="417F74F1">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《信息安全技术操作系统安全技术要求》（GB/T20272-2019）；</w:t>
      </w:r>
    </w:p>
    <w:p w14:paraId="7A137DEA">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《信息安全技术数据库管理系统安全技术要求》（GB/T20273-2019）；</w:t>
      </w:r>
    </w:p>
    <w:p w14:paraId="29734127">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《信息安全技术信息系统安全保障评估框架第一部分：简介和一般模型》（GB/T20274.1-2006）；</w:t>
      </w:r>
    </w:p>
    <w:p w14:paraId="755ED397">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《信息安全技术信息系统安全保障评估框架第2部分：技术保障》（</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"http://std.samr.gov.cn/gb/search/gbDetailed?id=71F772D75E1AD3A7E05397BE0A0AB82A" \t "http://std.samr.gov.cn/gb/_blank"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GB/T20274.2-2008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1234B650">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《信息安全技术信息系统安全保障评估框架第3部分：管理保障》（</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"http://std.samr.gov.cn/gb/search/gbDetailed?id=71F772D7616FD3A7E05397BE0A0AB82A" \t "http://std.samr.gov.cn/gb/_blank"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GB/T20274.3-2008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760392B1">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《信息安全技术信息系统安全保障评估框架第4部分：工程保障》（</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"http://std.samr.gov.cn/gb/search/gbDetailed?id=71F772D75A99D3A7E05397BE0A0AB82A" \t "http://std.samr.gov.cn/gb/_blank"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GB/T20274.4-2008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4CD7E0CB">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"http://openstd.samr.gov.cn/bzgk/gb/javascript:void(0)"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信息安全技术网络入侵检测系统技术要求和测试评价方法</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》（GB/T20275-2013）；</w:t>
      </w:r>
    </w:p>
    <w:p w14:paraId="32E2116A">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《信息安全技术网络和终端隔离产品安全技术要求》（GB/T20279-2015）；</w:t>
      </w:r>
    </w:p>
    <w:p w14:paraId="19CE73CB">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《软件工程软件测量过程》（GB/T20917-2007）；</w:t>
      </w:r>
    </w:p>
    <w:p w14:paraId="42196AEC">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《信息技术软件生存周期过程风险管理》（GB/T20918-2007）；</w:t>
      </w:r>
    </w:p>
    <w:p w14:paraId="24A67A7A">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《信息安全技术信息安全风险评估规范》（GB/T20984-2007）；</w:t>
      </w:r>
    </w:p>
    <w:p w14:paraId="7FA751A1">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《信息技术安全技术信息安全事件管理第1部分：事件管理原理》（</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"http://std.samr.gov.cn/gb/search/gbDetailed?id=71F772D82473D3A7E05397BE0A0AB82A" \t "http://std.samr.gov.cn/gb/_blank"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GB/T20985.1-2017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47DCD70A">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《信息技术安全技术信息安全事件管理第2部分：事件响应规划和准备指南》（GB/T20985.2-2020）；</w:t>
      </w:r>
    </w:p>
    <w:p w14:paraId="21018420">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《信息安全技术信息系统灾难恢复规范》（GB/T20988-2007）；</w:t>
      </w:r>
    </w:p>
    <w:p w14:paraId="41B95A09">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《国家电子政务网络技术和运行管理规范》（GB/T21061-2007）；</w:t>
      </w:r>
    </w:p>
    <w:p w14:paraId="12068AFE">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《政务信息资源交换体系第1部分：总体框架》（GB/T21062.1-2007）；</w:t>
      </w:r>
    </w:p>
    <w:p w14:paraId="6FED226A">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《政务信息资源交换体系第2部分：技术要求》（</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"http://std.samr.gov.cn/gb/search/gbDetailed?id=71F772D78910D3A7E05397BE0A0AB82A" \t "http://std.samr.gov.cn/gb/_blank"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GB/T21062.2-2007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785437AB">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《政务信息资源交换体系第3部分：数据接口规范》（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"http://std.samr.gov.cn/gb/search/gbDetailed?id=71F772D77FDCD3A7E05397BE0A0AB82A" \t "http://std.samr.gov.cn/gb/_blank"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GB/T21062.3-2007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2B7D3103">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《政务信息资源交换体系第4部分：技术管理要求》（</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"http://std.samr.gov.cn/gb/search/gbDetailed?id=71F772D7F81ED3A7E05397BE0A0AB82A" \t "http://std.samr.gov.cn/gb/_blank"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GB/T21062.4-2007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63DE0F87">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《政务信息资源目录体系第3部分：核心元数据》（GB/T21063.3-2007）；</w:t>
      </w:r>
    </w:p>
    <w:p w14:paraId="0311CE9B">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《电子政务系统总体设计要求》（GB/T21064-2007）；</w:t>
      </w:r>
    </w:p>
    <w:p w14:paraId="0A05E5E3">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《信息技术安全技术信息安全控制实践指南》（GB/T22081-2016）；</w:t>
      </w:r>
    </w:p>
    <w:p w14:paraId="55500B4B">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《信息安全技术网络安全等级保护基本要求》（GB/T22239-2019）；</w:t>
      </w:r>
    </w:p>
    <w:p w14:paraId="44D65897">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《信息安全技术网络安全等级保护定级指南》（GB/T22240-2020）；</w:t>
      </w:r>
    </w:p>
    <w:p w14:paraId="445D582C">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《信息安全技术网络安全等级保护安全设计技术要求》（GB/T25070-2019）；</w:t>
      </w:r>
    </w:p>
    <w:p w14:paraId="38258B60">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"http://std.sacinfo.org.cn/home/javascript:;"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网络入侵检测系统技术要求</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》（GB/T26269-2010）；</w:t>
      </w:r>
    </w:p>
    <w:p w14:paraId="3D9629AD">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《信息安全技术网络安全等级保护测评要求》（GB/T28448-2019）；</w:t>
      </w:r>
    </w:p>
    <w:p w14:paraId="1BB4CD72">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《信息安全技术云计算服务安全指南》（GB/T31167-2014）；</w:t>
      </w:r>
    </w:p>
    <w:p w14:paraId="2180569E">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《信息安全技术云计算服务安全能力要求》（GB/T31168-2014）；</w:t>
      </w:r>
    </w:p>
    <w:p w14:paraId="2ACF9728">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"http://std.sacinfo.org.cn/home/javascript:;"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信息技术服务质量评价指标体系</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》（GB/T33850-2017）；</w:t>
      </w:r>
    </w:p>
    <w:p w14:paraId="0D1F2463">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《信息安全技术密码模块安全要求》（GB/T37092-2018）；</w:t>
      </w:r>
    </w:p>
    <w:p w14:paraId="6FD3A966">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"http://std.samr.gov.cn/gb/search/gbDetailed?id=BD89DE8E07393D08E05397BE0A0A4FAD" \t "http://std.samr.gov.cn/search/_blank"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信息安全技术信息系统密码应用基本要求</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》（GB/T39786-2021）。</w:t>
      </w:r>
      <w:bookmarkStart w:id="140" w:name="_Toc5183"/>
    </w:p>
    <w:p w14:paraId="71028E47">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行业标准</w:t>
      </w:r>
      <w:bookmarkEnd w:id="131"/>
      <w:bookmarkEnd w:id="132"/>
      <w:bookmarkEnd w:id="133"/>
      <w:bookmarkEnd w:id="134"/>
      <w:bookmarkEnd w:id="135"/>
      <w:bookmarkEnd w:id="136"/>
      <w:bookmarkEnd w:id="137"/>
      <w:bookmarkEnd w:id="138"/>
      <w:bookmarkEnd w:id="139"/>
      <w:bookmarkEnd w:id="140"/>
    </w:p>
    <w:p w14:paraId="5BCF4933">
      <w:pPr>
        <w:pStyle w:val="378"/>
        <w:pageBreakBefore w:val="0"/>
        <w:numPr>
          <w:ilvl w:val="0"/>
          <w:numId w:val="50"/>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bookmarkStart w:id="141" w:name="_Toc73110508"/>
      <w:bookmarkStart w:id="142" w:name="_Toc482197019"/>
      <w:bookmarkStart w:id="143" w:name="_Toc530779169"/>
      <w:bookmarkStart w:id="144" w:name="_Toc73111438"/>
      <w:bookmarkStart w:id="145" w:name="_Toc73027564"/>
      <w:bookmarkStart w:id="146" w:name="_Toc73027352"/>
      <w:bookmarkStart w:id="147" w:name="_Toc18423527"/>
      <w:bookmarkStart w:id="148" w:name="_Toc73110664"/>
      <w:bookmarkStart w:id="149" w:name="_Toc73027716"/>
      <w:r>
        <w:rPr>
          <w:rFonts w:hint="eastAsia" w:ascii="宋体" w:hAnsi="宋体" w:eastAsia="宋体" w:cs="宋体"/>
          <w:color w:val="auto"/>
          <w:sz w:val="24"/>
          <w:szCs w:val="24"/>
          <w:highlight w:val="none"/>
        </w:rPr>
        <w:t>《软件能力成熟度模型》（SJ/T11235-2001）；</w:t>
      </w:r>
    </w:p>
    <w:p w14:paraId="1397784A">
      <w:pPr>
        <w:pStyle w:val="378"/>
        <w:pageBreakBefore w:val="0"/>
        <w:numPr>
          <w:ilvl w:val="0"/>
          <w:numId w:val="50"/>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《软件过程能力评估模型》（SJ/T11234-2001）；</w:t>
      </w:r>
    </w:p>
    <w:p w14:paraId="1EDF60AE">
      <w:pPr>
        <w:pStyle w:val="378"/>
        <w:pageBreakBefore w:val="0"/>
        <w:numPr>
          <w:ilvl w:val="0"/>
          <w:numId w:val="50"/>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《数字接口内容保护系统技术规范》（SJ/T11407-2009）；</w:t>
      </w:r>
    </w:p>
    <w:p w14:paraId="5AB62D4C">
      <w:pPr>
        <w:pStyle w:val="378"/>
        <w:pageBreakBefore w:val="0"/>
        <w:numPr>
          <w:ilvl w:val="0"/>
          <w:numId w:val="50"/>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《软件构件图形招标单位界面图元构件描述规范》（SJ/T11408-2009）；</w:t>
      </w:r>
    </w:p>
    <w:p w14:paraId="11C70BF9">
      <w:pPr>
        <w:pStyle w:val="378"/>
        <w:pageBreakBefore w:val="0"/>
        <w:numPr>
          <w:ilvl w:val="0"/>
          <w:numId w:val="50"/>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《软件构件模型》（SJ/T11409-2009）；</w:t>
      </w:r>
    </w:p>
    <w:p w14:paraId="19F46554">
      <w:pPr>
        <w:pStyle w:val="378"/>
        <w:pageBreakBefore w:val="0"/>
        <w:numPr>
          <w:ilvl w:val="0"/>
          <w:numId w:val="50"/>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《数据传输链路和系统的性能分配及限值》（YD/T819-1996）；</w:t>
      </w:r>
    </w:p>
    <w:p w14:paraId="462E1148">
      <w:pPr>
        <w:pStyle w:val="378"/>
        <w:pageBreakBefore w:val="0"/>
        <w:numPr>
          <w:ilvl w:val="0"/>
          <w:numId w:val="50"/>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《信息技术系统间近距离无线通信及信息交换的接口和协议》（ISO18092）；</w:t>
      </w:r>
    </w:p>
    <w:p w14:paraId="442081C5">
      <w:pPr>
        <w:pStyle w:val="378"/>
        <w:pageBreakBefore w:val="0"/>
        <w:numPr>
          <w:ilvl w:val="0"/>
          <w:numId w:val="50"/>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《国家电子政务外网安全标准汇编》(国家电子政务外网管理中心)；</w:t>
      </w:r>
    </w:p>
    <w:p w14:paraId="51C444AA">
      <w:pPr>
        <w:pStyle w:val="378"/>
        <w:pageBreakBefore w:val="0"/>
        <w:numPr>
          <w:ilvl w:val="0"/>
          <w:numId w:val="50"/>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《云计算资源池系统设备安装工程设计规范》（YD/T5227-2015）；</w:t>
      </w:r>
    </w:p>
    <w:p w14:paraId="478DD9B6">
      <w:pPr>
        <w:pStyle w:val="378"/>
        <w:pageBreakBefore w:val="0"/>
        <w:numPr>
          <w:ilvl w:val="0"/>
          <w:numId w:val="50"/>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《计算机病毒防治系统技术要求》（GJB5368-2005）；</w:t>
      </w:r>
    </w:p>
    <w:p w14:paraId="1FC30094">
      <w:pPr>
        <w:pStyle w:val="378"/>
        <w:pageBreakBefore w:val="0"/>
        <w:numPr>
          <w:ilvl w:val="0"/>
          <w:numId w:val="50"/>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《网络与信息安全应急处理服务资质评估方法》（YD/T1799-2008）；</w:t>
      </w:r>
    </w:p>
    <w:p w14:paraId="21E5B531">
      <w:pPr>
        <w:pStyle w:val="378"/>
        <w:pageBreakBefore w:val="0"/>
        <w:numPr>
          <w:ilvl w:val="0"/>
          <w:numId w:val="50"/>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《信息安全运行管理系统总体架构》（YD/T1800-2008）。</w:t>
      </w:r>
    </w:p>
    <w:p w14:paraId="656A2929">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b w:val="0"/>
          <w:bCs/>
          <w:color w:val="auto"/>
          <w:sz w:val="24"/>
          <w:szCs w:val="24"/>
          <w:highlight w:val="none"/>
        </w:rPr>
      </w:pPr>
      <w:bookmarkStart w:id="150" w:name="_Toc12249"/>
      <w:r>
        <w:rPr>
          <w:rFonts w:hint="eastAsia" w:ascii="宋体" w:hAnsi="宋体" w:eastAsia="宋体" w:cs="宋体"/>
          <w:b w:val="0"/>
          <w:bCs/>
          <w:color w:val="auto"/>
          <w:sz w:val="24"/>
          <w:szCs w:val="24"/>
          <w:highlight w:val="none"/>
        </w:rPr>
        <w:t>其他依据</w:t>
      </w:r>
      <w:bookmarkEnd w:id="141"/>
      <w:bookmarkEnd w:id="142"/>
      <w:bookmarkEnd w:id="143"/>
      <w:bookmarkEnd w:id="144"/>
      <w:bookmarkEnd w:id="145"/>
      <w:bookmarkEnd w:id="146"/>
      <w:bookmarkEnd w:id="147"/>
      <w:bookmarkEnd w:id="148"/>
      <w:bookmarkEnd w:id="149"/>
      <w:bookmarkEnd w:id="150"/>
    </w:p>
    <w:p w14:paraId="6609FF1E">
      <w:pPr>
        <w:pStyle w:val="378"/>
        <w:pageBreakBefore w:val="0"/>
        <w:numPr>
          <w:ilvl w:val="0"/>
          <w:numId w:val="51"/>
        </w:numPr>
        <w:kinsoku/>
        <w:wordWrap/>
        <w:overflowPunct/>
        <w:topLinePunct w:val="0"/>
        <w:autoSpaceDE/>
        <w:autoSpaceDN/>
        <w:bidi w:val="0"/>
        <w:adjustRightInd/>
        <w:snapToGrid w:val="0"/>
        <w:spacing w:line="400" w:lineRule="exact"/>
        <w:ind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国家和新疆现行的相关法律、法规、规范、规程、标准、规定、标准设计图集等；</w:t>
      </w:r>
    </w:p>
    <w:p w14:paraId="6F8859B1">
      <w:pPr>
        <w:pStyle w:val="378"/>
        <w:pageBreakBefore w:val="0"/>
        <w:numPr>
          <w:ilvl w:val="0"/>
          <w:numId w:val="51"/>
        </w:numPr>
        <w:kinsoku/>
        <w:wordWrap/>
        <w:overflowPunct/>
        <w:topLinePunct w:val="0"/>
        <w:autoSpaceDE/>
        <w:autoSpaceDN/>
        <w:bidi w:val="0"/>
        <w:adjustRightInd/>
        <w:snapToGrid w:val="0"/>
        <w:spacing w:line="400" w:lineRule="exact"/>
        <w:ind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《电子建设工程预算定额》（2015年）；</w:t>
      </w:r>
    </w:p>
    <w:p w14:paraId="7416293B">
      <w:pPr>
        <w:pStyle w:val="378"/>
        <w:pageBreakBefore w:val="0"/>
        <w:numPr>
          <w:ilvl w:val="0"/>
          <w:numId w:val="51"/>
        </w:numPr>
        <w:kinsoku/>
        <w:wordWrap/>
        <w:overflowPunct/>
        <w:topLinePunct w:val="0"/>
        <w:autoSpaceDE/>
        <w:autoSpaceDN/>
        <w:bidi w:val="0"/>
        <w:adjustRightInd/>
        <w:snapToGrid w:val="0"/>
        <w:spacing w:line="400" w:lineRule="exact"/>
        <w:ind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《工程勘察设计收费管理规定》（计价格〔2002〕10号）；</w:t>
      </w:r>
    </w:p>
    <w:p w14:paraId="27328208">
      <w:pPr>
        <w:pStyle w:val="378"/>
        <w:pageBreakBefore w:val="0"/>
        <w:numPr>
          <w:ilvl w:val="0"/>
          <w:numId w:val="51"/>
        </w:numPr>
        <w:kinsoku/>
        <w:wordWrap/>
        <w:overflowPunct/>
        <w:topLinePunct w:val="0"/>
        <w:autoSpaceDE/>
        <w:autoSpaceDN/>
        <w:bidi w:val="0"/>
        <w:adjustRightInd/>
        <w:snapToGrid w:val="0"/>
        <w:spacing w:line="400" w:lineRule="exact"/>
        <w:ind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《基本建设项目建设成本管理规定》（财建〔2016〕504号）；</w:t>
      </w:r>
    </w:p>
    <w:p w14:paraId="342F9AC1">
      <w:pPr>
        <w:pStyle w:val="378"/>
        <w:pageBreakBefore w:val="0"/>
        <w:numPr>
          <w:ilvl w:val="0"/>
          <w:numId w:val="51"/>
        </w:numPr>
        <w:kinsoku/>
        <w:wordWrap/>
        <w:overflowPunct/>
        <w:topLinePunct w:val="0"/>
        <w:autoSpaceDE/>
        <w:autoSpaceDN/>
        <w:bidi w:val="0"/>
        <w:adjustRightInd/>
        <w:snapToGrid w:val="0"/>
        <w:spacing w:line="400" w:lineRule="exact"/>
        <w:ind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建设单位提供的相关资料；</w:t>
      </w:r>
    </w:p>
    <w:p w14:paraId="1EFE301F">
      <w:pPr>
        <w:pStyle w:val="378"/>
        <w:pageBreakBefore w:val="0"/>
        <w:numPr>
          <w:ilvl w:val="0"/>
          <w:numId w:val="51"/>
        </w:numPr>
        <w:kinsoku/>
        <w:wordWrap/>
        <w:overflowPunct/>
        <w:topLinePunct w:val="0"/>
        <w:autoSpaceDE/>
        <w:autoSpaceDN/>
        <w:bidi w:val="0"/>
        <w:adjustRightInd/>
        <w:snapToGrid w:val="0"/>
        <w:spacing w:line="400" w:lineRule="exact"/>
        <w:ind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设计人员现场调研、勘察资料；</w:t>
      </w:r>
    </w:p>
    <w:p w14:paraId="66C4EFBA">
      <w:pPr>
        <w:pStyle w:val="378"/>
        <w:pageBreakBefore w:val="0"/>
        <w:numPr>
          <w:ilvl w:val="0"/>
          <w:numId w:val="51"/>
        </w:numPr>
        <w:kinsoku/>
        <w:wordWrap/>
        <w:overflowPunct/>
        <w:topLinePunct w:val="0"/>
        <w:autoSpaceDE/>
        <w:autoSpaceDN/>
        <w:bidi w:val="0"/>
        <w:adjustRightInd/>
        <w:snapToGrid w:val="0"/>
        <w:spacing w:line="400" w:lineRule="exact"/>
        <w:ind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相关设备厂家提供的技术方案及询价响应文件；</w:t>
      </w:r>
      <w:bookmarkEnd w:id="122"/>
      <w:bookmarkEnd w:id="123"/>
    </w:p>
    <w:p w14:paraId="7A88BC2C">
      <w:pPr>
        <w:rPr>
          <w:rFonts w:hint="eastAsia" w:ascii="宋体" w:hAnsi="宋体" w:eastAsia="宋体" w:cs="宋体"/>
          <w:b/>
          <w:bCs/>
          <w:sz w:val="24"/>
          <w:szCs w:val="24"/>
          <w:highlight w:val="none"/>
          <w:lang w:val="en-US" w:eastAsia="zh-CN"/>
        </w:rPr>
      </w:pPr>
    </w:p>
    <w:p w14:paraId="0EDDBF9D">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p>
    <w:p w14:paraId="5F2A6A79">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标项七：</w:t>
      </w:r>
      <w:r>
        <w:rPr>
          <w:rFonts w:hint="eastAsia" w:ascii="宋体" w:hAnsi="宋体" w:eastAsia="宋体" w:cs="宋体"/>
          <w:b/>
          <w:color w:val="auto"/>
          <w:sz w:val="24"/>
          <w:szCs w:val="24"/>
          <w:highlight w:val="none"/>
          <w:lang w:eastAsia="zh-CN"/>
        </w:rPr>
        <w:t>新疆维吾尔自治区妇幼保健院网络安全设备维保服务招标采购</w:t>
      </w:r>
    </w:p>
    <w:p w14:paraId="47D1CBF9">
      <w:pPr>
        <w:pStyle w:val="2"/>
        <w:numPr>
          <w:ilvl w:val="0"/>
          <w:numId w:val="52"/>
        </w:numPr>
        <w:bidi w:val="0"/>
        <w:spacing w:before="0" w:after="0"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项目概况</w:t>
      </w:r>
    </w:p>
    <w:p w14:paraId="68005475">
      <w:pPr>
        <w:pStyle w:val="3"/>
        <w:numPr>
          <w:ilvl w:val="0"/>
          <w:numId w:val="53"/>
        </w:numPr>
        <w:bidi w:val="0"/>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项目背景</w:t>
      </w:r>
    </w:p>
    <w:p w14:paraId="235BC9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新疆维吾尔自治区妇幼保健院（下称“本院”）</w:t>
      </w:r>
      <w:r>
        <w:rPr>
          <w:rFonts w:hint="eastAsia" w:ascii="宋体" w:hAnsi="宋体" w:eastAsia="宋体" w:cs="宋体"/>
          <w:color w:val="auto"/>
          <w:sz w:val="24"/>
          <w:szCs w:val="24"/>
          <w:highlight w:val="none"/>
        </w:rPr>
        <w:t>现有信息安全相关设备如防火墙、网络入侵防御系统、漏洞扫描设备等产品授权均已</w:t>
      </w:r>
      <w:r>
        <w:rPr>
          <w:rFonts w:hint="eastAsia" w:ascii="宋体" w:hAnsi="宋体" w:eastAsia="宋体" w:cs="宋体"/>
          <w:color w:val="auto"/>
          <w:sz w:val="24"/>
          <w:szCs w:val="24"/>
          <w:highlight w:val="none"/>
          <w:lang w:val="en-US" w:eastAsia="zh-CN"/>
        </w:rPr>
        <w:t>即将到期。</w:t>
      </w:r>
      <w:r>
        <w:rPr>
          <w:rFonts w:hint="eastAsia" w:ascii="宋体" w:hAnsi="宋体" w:eastAsia="宋体" w:cs="宋体"/>
          <w:color w:val="auto"/>
          <w:sz w:val="24"/>
          <w:szCs w:val="24"/>
          <w:highlight w:val="none"/>
        </w:rPr>
        <w:t>为了确保有效地预防和减少</w:t>
      </w:r>
      <w:r>
        <w:rPr>
          <w:rFonts w:hint="eastAsia" w:ascii="宋体" w:hAnsi="宋体" w:eastAsia="宋体" w:cs="宋体"/>
          <w:color w:val="auto"/>
          <w:sz w:val="24"/>
          <w:szCs w:val="24"/>
          <w:highlight w:val="none"/>
          <w:lang w:val="en-US" w:eastAsia="zh-CN"/>
        </w:rPr>
        <w:t>安全</w:t>
      </w:r>
      <w:r>
        <w:rPr>
          <w:rFonts w:hint="eastAsia" w:ascii="宋体" w:hAnsi="宋体" w:eastAsia="宋体" w:cs="宋体"/>
          <w:color w:val="auto"/>
          <w:sz w:val="24"/>
          <w:szCs w:val="24"/>
          <w:highlight w:val="none"/>
        </w:rPr>
        <w:t>事件的发生，确保</w:t>
      </w:r>
      <w:r>
        <w:rPr>
          <w:rFonts w:hint="eastAsia" w:ascii="宋体" w:hAnsi="宋体" w:eastAsia="宋体" w:cs="宋体"/>
          <w:color w:val="auto"/>
          <w:sz w:val="24"/>
          <w:szCs w:val="24"/>
          <w:highlight w:val="none"/>
          <w:lang w:val="en-US" w:eastAsia="zh-CN"/>
        </w:rPr>
        <w:t>院内</w:t>
      </w:r>
      <w:r>
        <w:rPr>
          <w:rFonts w:hint="eastAsia" w:ascii="宋体" w:hAnsi="宋体" w:eastAsia="宋体" w:cs="宋体"/>
          <w:color w:val="auto"/>
          <w:sz w:val="24"/>
          <w:szCs w:val="24"/>
          <w:highlight w:val="none"/>
        </w:rPr>
        <w:t>的工作得以</w:t>
      </w:r>
      <w:r>
        <w:rPr>
          <w:rFonts w:hint="eastAsia" w:ascii="宋体" w:hAnsi="宋体" w:eastAsia="宋体" w:cs="宋体"/>
          <w:color w:val="auto"/>
          <w:sz w:val="24"/>
          <w:szCs w:val="24"/>
          <w:highlight w:val="none"/>
          <w:lang w:val="en-US" w:eastAsia="zh-CN"/>
        </w:rPr>
        <w:t>有效</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eastAsia="zh-CN"/>
        </w:rPr>
        <w:t>。</w:t>
      </w:r>
    </w:p>
    <w:p w14:paraId="46D149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因此</w:t>
      </w:r>
      <w:r>
        <w:rPr>
          <w:rFonts w:hint="eastAsia" w:ascii="宋体" w:hAnsi="宋体" w:eastAsia="宋体" w:cs="宋体"/>
          <w:color w:val="auto"/>
          <w:sz w:val="24"/>
          <w:szCs w:val="24"/>
          <w:highlight w:val="none"/>
        </w:rPr>
        <w:t>安全设备的正常使用和性能稳定</w:t>
      </w:r>
      <w:r>
        <w:rPr>
          <w:rFonts w:hint="eastAsia" w:ascii="宋体" w:hAnsi="宋体" w:eastAsia="宋体" w:cs="宋体"/>
          <w:color w:val="auto"/>
          <w:sz w:val="24"/>
          <w:szCs w:val="24"/>
          <w:highlight w:val="none"/>
          <w:lang w:val="en-US" w:eastAsia="zh-CN"/>
        </w:rPr>
        <w:t>以及</w:t>
      </w:r>
      <w:r>
        <w:rPr>
          <w:rFonts w:hint="eastAsia" w:ascii="宋体" w:hAnsi="宋体" w:eastAsia="宋体" w:cs="宋体"/>
          <w:color w:val="auto"/>
          <w:sz w:val="24"/>
          <w:szCs w:val="24"/>
          <w:highlight w:val="none"/>
        </w:rPr>
        <w:t>定期的维护保养和检测是必不可少的</w:t>
      </w:r>
      <w:r>
        <w:rPr>
          <w:rFonts w:hint="eastAsia" w:ascii="宋体" w:hAnsi="宋体" w:eastAsia="宋体" w:cs="宋体"/>
          <w:color w:val="auto"/>
          <w:sz w:val="24"/>
          <w:szCs w:val="24"/>
          <w:highlight w:val="none"/>
          <w:lang w:val="en-US" w:eastAsia="zh-CN"/>
        </w:rPr>
        <w:t>。对安全设备续保项目的相关内容进行详细描述，以便项目实施人员充分了解项目目标和实施数量，并为项目的顺利推进提供必要的指导。</w:t>
      </w:r>
    </w:p>
    <w:p w14:paraId="0B984000">
      <w:pPr>
        <w:rPr>
          <w:rFonts w:hint="eastAsia" w:ascii="宋体" w:hAnsi="宋体" w:eastAsia="宋体" w:cs="宋体"/>
          <w:color w:val="auto"/>
          <w:sz w:val="24"/>
          <w:szCs w:val="24"/>
          <w:highlight w:val="none"/>
          <w:lang w:val="en-US" w:eastAsia="zh-CN"/>
        </w:rPr>
      </w:pPr>
    </w:p>
    <w:p w14:paraId="0DBA1965">
      <w:pPr>
        <w:pStyle w:val="3"/>
        <w:numPr>
          <w:ilvl w:val="0"/>
          <w:numId w:val="53"/>
        </w:numPr>
        <w:bidi w:val="0"/>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项目目标</w:t>
      </w:r>
    </w:p>
    <w:p w14:paraId="5AEC735F">
      <w:pPr>
        <w:spacing w:line="360" w:lineRule="auto"/>
        <w:ind w:firstLine="283" w:firstLineChars="11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（1）确保安全设备在有效期内正常运行，确保特征库均以更新。</w:t>
      </w:r>
    </w:p>
    <w:p w14:paraId="123A8D1C">
      <w:pPr>
        <w:spacing w:line="360" w:lineRule="auto"/>
        <w:ind w:firstLine="283" w:firstLineChars="11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（2）通过对设备进行检测，评估并提高设备的安全性能。</w:t>
      </w:r>
    </w:p>
    <w:p w14:paraId="259D0237">
      <w:pPr>
        <w:spacing w:line="360" w:lineRule="auto"/>
        <w:ind w:firstLine="283" w:firstLineChars="11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（3）为院方提供专业的安全设备维护保养服务，提高满意度。</w:t>
      </w:r>
    </w:p>
    <w:p w14:paraId="2868C23C">
      <w:pPr>
        <w:spacing w:line="360" w:lineRule="auto"/>
        <w:ind w:firstLine="283" w:firstLineChars="11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（4）降低设备的故障率，减少安全事故的风险，确保院内的业务正常。</w:t>
      </w:r>
    </w:p>
    <w:p w14:paraId="07E8B25E">
      <w:pPr>
        <w:spacing w:line="360" w:lineRule="auto"/>
        <w:ind w:firstLine="283" w:firstLineChars="118"/>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本院预计通过购买产品授权后立即对安全等相关设备进行升级操作，解决存在的网络中的隐藏安全隐患，提高本院网络安全防护能力，确保院内的各业务系统安全稳定地运行使用。</w:t>
      </w:r>
    </w:p>
    <w:p w14:paraId="30C1FB54">
      <w:pPr>
        <w:pStyle w:val="2"/>
        <w:numPr>
          <w:ilvl w:val="0"/>
          <w:numId w:val="52"/>
        </w:numPr>
        <w:bidi w:val="0"/>
        <w:spacing w:before="0" w:after="0"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商务资质要求</w:t>
      </w:r>
    </w:p>
    <w:p w14:paraId="6F6CFB77">
      <w:pPr>
        <w:rPr>
          <w:rFonts w:hint="eastAsia" w:ascii="宋体" w:hAnsi="宋体" w:eastAsia="宋体" w:cs="宋体"/>
          <w:color w:val="auto"/>
          <w:sz w:val="24"/>
          <w:szCs w:val="24"/>
          <w:highlight w:val="none"/>
          <w:lang w:val="en-US" w:eastAsia="zh-CN"/>
        </w:rPr>
      </w:pPr>
    </w:p>
    <w:tbl>
      <w:tblPr>
        <w:tblStyle w:val="62"/>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8572"/>
      </w:tblGrid>
      <w:tr w14:paraId="1F7F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Align w:val="center"/>
          </w:tcPr>
          <w:p w14:paraId="58779C4D">
            <w:pPr>
              <w:keepNext w:val="0"/>
              <w:keepLines w:val="0"/>
              <w:pageBreakBefore w:val="0"/>
              <w:widowControl/>
              <w:numPr>
                <w:ilvl w:val="0"/>
                <w:numId w:val="0"/>
              </w:numPr>
              <w:kinsoku/>
              <w:wordWrap/>
              <w:overflowPunct/>
              <w:topLinePunct w:val="0"/>
              <w:autoSpaceDE/>
              <w:autoSpaceDN/>
              <w:bidi w:val="0"/>
              <w:adjustRightInd/>
              <w:snapToGrid/>
              <w:spacing w:line="600" w:lineRule="auto"/>
              <w:jc w:val="center"/>
              <w:textAlignment w:val="auto"/>
              <w:outlineLvl w:val="0"/>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序号</w:t>
            </w:r>
          </w:p>
        </w:tc>
        <w:tc>
          <w:tcPr>
            <w:tcW w:w="4355" w:type="pct"/>
            <w:vAlign w:val="center"/>
          </w:tcPr>
          <w:p w14:paraId="69658E9F">
            <w:pPr>
              <w:keepNext w:val="0"/>
              <w:keepLines w:val="0"/>
              <w:pageBreakBefore w:val="0"/>
              <w:widowControl/>
              <w:numPr>
                <w:ilvl w:val="0"/>
                <w:numId w:val="0"/>
              </w:numPr>
              <w:kinsoku/>
              <w:wordWrap/>
              <w:overflowPunct/>
              <w:topLinePunct w:val="0"/>
              <w:autoSpaceDE/>
              <w:autoSpaceDN/>
              <w:bidi w:val="0"/>
              <w:adjustRightInd/>
              <w:snapToGrid/>
              <w:spacing w:line="600" w:lineRule="auto"/>
              <w:jc w:val="center"/>
              <w:textAlignment w:val="auto"/>
              <w:outlineLvl w:val="0"/>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需求内容</w:t>
            </w:r>
          </w:p>
        </w:tc>
      </w:tr>
      <w:tr w14:paraId="5577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44" w:type="pct"/>
            <w:vAlign w:val="center"/>
          </w:tcPr>
          <w:p w14:paraId="6AEC014A">
            <w:pPr>
              <w:spacing w:line="6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355" w:type="pct"/>
            <w:vAlign w:val="center"/>
          </w:tcPr>
          <w:p w14:paraId="5B5ABAFF">
            <w:pPr>
              <w:widowControl/>
              <w:numPr>
                <w:ilvl w:val="0"/>
                <w:numId w:val="0"/>
              </w:numPr>
              <w:spacing w:line="60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符合《政府采购法》第二十二条规定</w:t>
            </w:r>
          </w:p>
        </w:tc>
      </w:tr>
      <w:tr w14:paraId="5C56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44" w:type="pct"/>
            <w:vAlign w:val="center"/>
          </w:tcPr>
          <w:p w14:paraId="2E034899">
            <w:pPr>
              <w:spacing w:line="6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355" w:type="pct"/>
            <w:vAlign w:val="center"/>
          </w:tcPr>
          <w:p w14:paraId="3E552E41">
            <w:pPr>
              <w:widowControl/>
              <w:numPr>
                <w:ilvl w:val="0"/>
                <w:numId w:val="0"/>
              </w:numPr>
              <w:spacing w:line="60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营业执照、组织机构代码证、税务登记证</w:t>
            </w:r>
          </w:p>
        </w:tc>
      </w:tr>
      <w:tr w14:paraId="3DF6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4" w:type="pct"/>
            <w:vAlign w:val="center"/>
          </w:tcPr>
          <w:p w14:paraId="2EFFD41E">
            <w:pPr>
              <w:spacing w:line="6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355" w:type="pct"/>
            <w:vAlign w:val="center"/>
          </w:tcPr>
          <w:p w14:paraId="4B6FDAEC">
            <w:pPr>
              <w:widowControl/>
              <w:numPr>
                <w:ilvl w:val="0"/>
                <w:numId w:val="0"/>
              </w:numPr>
              <w:spacing w:line="60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投标人近两年的财务统计报表</w:t>
            </w:r>
          </w:p>
        </w:tc>
      </w:tr>
      <w:tr w14:paraId="494D3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44" w:type="pct"/>
            <w:vAlign w:val="center"/>
          </w:tcPr>
          <w:p w14:paraId="3DCFF003">
            <w:pPr>
              <w:spacing w:line="6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4355" w:type="pct"/>
            <w:vAlign w:val="center"/>
          </w:tcPr>
          <w:p w14:paraId="40C7B9B2">
            <w:pPr>
              <w:widowControl/>
              <w:numPr>
                <w:ilvl w:val="0"/>
                <w:numId w:val="0"/>
              </w:numPr>
              <w:spacing w:line="600" w:lineRule="auto"/>
              <w:jc w:val="left"/>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服务周期：合同签订后</w:t>
            </w:r>
            <w:r>
              <w:rPr>
                <w:rFonts w:hint="eastAsia" w:ascii="宋体" w:hAnsi="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val="en-US" w:eastAsia="zh-CN"/>
              </w:rPr>
              <w:t>年</w:t>
            </w:r>
          </w:p>
        </w:tc>
      </w:tr>
    </w:tbl>
    <w:p w14:paraId="2C6A3D5F">
      <w:pPr>
        <w:rPr>
          <w:rFonts w:hint="eastAsia" w:ascii="宋体" w:hAnsi="宋体" w:eastAsia="宋体" w:cs="宋体"/>
          <w:color w:val="auto"/>
          <w:sz w:val="24"/>
          <w:szCs w:val="24"/>
          <w:highlight w:val="none"/>
          <w:lang w:val="en-US" w:eastAsia="zh-CN"/>
        </w:rPr>
      </w:pPr>
    </w:p>
    <w:p w14:paraId="7DA2E914">
      <w:pPr>
        <w:pStyle w:val="2"/>
        <w:numPr>
          <w:ilvl w:val="0"/>
          <w:numId w:val="52"/>
        </w:numPr>
        <w:bidi w:val="0"/>
        <w:spacing w:before="0" w:after="0"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服务内容与要求</w:t>
      </w:r>
    </w:p>
    <w:p w14:paraId="5481EB77">
      <w:pPr>
        <w:rPr>
          <w:rFonts w:hint="eastAsia" w:ascii="宋体" w:hAnsi="宋体" w:eastAsia="宋体" w:cs="宋体"/>
          <w:color w:val="auto"/>
          <w:sz w:val="24"/>
          <w:szCs w:val="24"/>
          <w:highlight w:val="none"/>
          <w:lang w:val="en-US" w:eastAsia="zh-CN"/>
        </w:rPr>
      </w:pP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2315"/>
        <w:gridCol w:w="6100"/>
      </w:tblGrid>
      <w:tr w14:paraId="7240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30" w:type="pct"/>
            <w:vAlign w:val="center"/>
          </w:tcPr>
          <w:p w14:paraId="3A2CC36D">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1174" w:type="pct"/>
            <w:vAlign w:val="center"/>
          </w:tcPr>
          <w:p w14:paraId="0B8A92C1">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服务项</w:t>
            </w:r>
          </w:p>
        </w:tc>
        <w:tc>
          <w:tcPr>
            <w:tcW w:w="3094" w:type="pct"/>
            <w:vAlign w:val="center"/>
          </w:tcPr>
          <w:p w14:paraId="3EE97766">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服务内容</w:t>
            </w:r>
          </w:p>
        </w:tc>
      </w:tr>
      <w:tr w14:paraId="2166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30" w:type="pct"/>
            <w:vAlign w:val="center"/>
          </w:tcPr>
          <w:p w14:paraId="4372028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74" w:type="pct"/>
            <w:vAlign w:val="center"/>
          </w:tcPr>
          <w:p w14:paraId="76E7E78B">
            <w:pPr>
              <w:widowControl/>
              <w:numPr>
                <w:ilvl w:val="0"/>
                <w:numId w:val="0"/>
              </w:num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服务地点</w:t>
            </w:r>
          </w:p>
        </w:tc>
        <w:tc>
          <w:tcPr>
            <w:tcW w:w="3094" w:type="pct"/>
            <w:vAlign w:val="center"/>
          </w:tcPr>
          <w:p w14:paraId="213BB5E6">
            <w:pPr>
              <w:widowControl/>
              <w:numPr>
                <w:ilvl w:val="0"/>
                <w:numId w:val="0"/>
              </w:num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新疆维吾尔自治区妇幼保健院</w:t>
            </w:r>
          </w:p>
        </w:tc>
      </w:tr>
      <w:tr w14:paraId="4012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730" w:type="pct"/>
            <w:vAlign w:val="center"/>
          </w:tcPr>
          <w:p w14:paraId="7DDDE52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74" w:type="pct"/>
            <w:vAlign w:val="center"/>
          </w:tcPr>
          <w:p w14:paraId="6CC1EA48">
            <w:pPr>
              <w:widowControl/>
              <w:numPr>
                <w:ilvl w:val="0"/>
                <w:numId w:val="0"/>
              </w:num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升级服务</w:t>
            </w:r>
          </w:p>
        </w:tc>
        <w:tc>
          <w:tcPr>
            <w:tcW w:w="3094" w:type="pct"/>
            <w:vAlign w:val="center"/>
          </w:tcPr>
          <w:p w14:paraId="278C8400">
            <w:pPr>
              <w:widowControl/>
              <w:numPr>
                <w:ilvl w:val="0"/>
                <w:numId w:val="54"/>
              </w:num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续保服务方需提供本次续保的安全设备的系统版本升级工作，特征库更新工作。</w:t>
            </w:r>
          </w:p>
          <w:p w14:paraId="56C53014">
            <w:pPr>
              <w:widowControl/>
              <w:numPr>
                <w:ilvl w:val="0"/>
                <w:numId w:val="0"/>
              </w:num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2.服务工程师需提前对升级设备做出风险评估以及应急预案。</w:t>
            </w:r>
          </w:p>
        </w:tc>
      </w:tr>
      <w:tr w14:paraId="5240E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730" w:type="pct"/>
            <w:vAlign w:val="center"/>
          </w:tcPr>
          <w:p w14:paraId="636C27B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74" w:type="pct"/>
            <w:vAlign w:val="center"/>
          </w:tcPr>
          <w:p w14:paraId="67AF0290">
            <w:pPr>
              <w:widowControl/>
              <w:numPr>
                <w:ilvl w:val="0"/>
                <w:numId w:val="0"/>
              </w:num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服务方式</w:t>
            </w:r>
          </w:p>
        </w:tc>
        <w:tc>
          <w:tcPr>
            <w:tcW w:w="3094" w:type="pct"/>
            <w:vAlign w:val="center"/>
          </w:tcPr>
          <w:p w14:paraId="324C1492">
            <w:pPr>
              <w:widowControl/>
              <w:numPr>
                <w:ilvl w:val="0"/>
                <w:numId w:val="0"/>
              </w:num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续保服务提供方成立专门的售后服务组（包括但不限于售后工程师、公司技术支持团队）开展工作，指派售后专人负责，按时完成工作内容。</w:t>
            </w:r>
          </w:p>
        </w:tc>
      </w:tr>
      <w:tr w14:paraId="14145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30" w:type="pct"/>
            <w:vAlign w:val="center"/>
          </w:tcPr>
          <w:p w14:paraId="25E9A8E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174" w:type="pct"/>
            <w:vAlign w:val="center"/>
          </w:tcPr>
          <w:p w14:paraId="2AE818CD">
            <w:pPr>
              <w:widowControl/>
              <w:numPr>
                <w:ilvl w:val="0"/>
                <w:numId w:val="0"/>
              </w:numPr>
              <w:spacing w:line="36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服务期限</w:t>
            </w:r>
          </w:p>
        </w:tc>
        <w:tc>
          <w:tcPr>
            <w:tcW w:w="3094" w:type="pct"/>
            <w:vAlign w:val="center"/>
          </w:tcPr>
          <w:p w14:paraId="030B1D26">
            <w:pPr>
              <w:widowControl/>
              <w:numPr>
                <w:ilvl w:val="0"/>
                <w:numId w:val="0"/>
              </w:numPr>
              <w:spacing w:line="360" w:lineRule="auto"/>
              <w:jc w:val="both"/>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自合同签订之日起</w:t>
            </w:r>
            <w:r>
              <w:rPr>
                <w:rFonts w:hint="eastAsia" w:ascii="宋体" w:hAnsi="宋体" w:cs="宋体"/>
                <w:b w:val="0"/>
                <w:bCs/>
                <w:color w:val="auto"/>
                <w:sz w:val="24"/>
                <w:szCs w:val="24"/>
                <w:highlight w:val="none"/>
                <w:lang w:val="en-US" w:eastAsia="zh-CN"/>
              </w:rPr>
              <w:t>一</w:t>
            </w:r>
            <w:r>
              <w:rPr>
                <w:rFonts w:hint="eastAsia" w:ascii="宋体" w:hAnsi="宋体" w:eastAsia="宋体" w:cs="宋体"/>
                <w:b w:val="0"/>
                <w:bCs/>
                <w:color w:val="auto"/>
                <w:sz w:val="24"/>
                <w:szCs w:val="24"/>
                <w:highlight w:val="none"/>
                <w:lang w:val="en-US" w:eastAsia="zh-CN"/>
              </w:rPr>
              <w:t>年</w:t>
            </w:r>
          </w:p>
        </w:tc>
      </w:tr>
      <w:tr w14:paraId="08D0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1" w:hRule="atLeast"/>
        </w:trPr>
        <w:tc>
          <w:tcPr>
            <w:tcW w:w="730" w:type="pct"/>
            <w:vAlign w:val="center"/>
          </w:tcPr>
          <w:p w14:paraId="4C22974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74" w:type="pct"/>
            <w:vAlign w:val="center"/>
          </w:tcPr>
          <w:p w14:paraId="436BA199">
            <w:pPr>
              <w:widowControl/>
              <w:numPr>
                <w:ilvl w:val="0"/>
                <w:numId w:val="0"/>
              </w:numPr>
              <w:spacing w:line="360" w:lineRule="auto"/>
              <w:jc w:val="center"/>
              <w:outlineLvl w:val="0"/>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服务响应要求</w:t>
            </w:r>
          </w:p>
        </w:tc>
        <w:tc>
          <w:tcPr>
            <w:tcW w:w="3094" w:type="pct"/>
            <w:vAlign w:val="center"/>
          </w:tcPr>
          <w:p w14:paraId="6E58C8F1">
            <w:pPr>
              <w:widowControl/>
              <w:numPr>
                <w:ilvl w:val="0"/>
                <w:numId w:val="0"/>
              </w:num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1.续保服务提供方须保持系统维护联系人电话7*24小时的畅通，保证立即响应院方提出的服务要求，出现故障时立即远程响应。</w:t>
            </w:r>
          </w:p>
          <w:p w14:paraId="613EC211">
            <w:pPr>
              <w:widowControl/>
              <w:numPr>
                <w:ilvl w:val="0"/>
                <w:numId w:val="0"/>
              </w:num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2.设备故障的响应时间：提供7×24小时技术支持热线电话（手机）。当系统发生故障时，续保服务提供方应在接到通知后30分钟内响应，如遇紧急情况，续保服务提供方须在2小时内赶到故障现场。</w:t>
            </w:r>
          </w:p>
        </w:tc>
      </w:tr>
      <w:tr w14:paraId="47B3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730" w:type="pct"/>
            <w:vAlign w:val="center"/>
          </w:tcPr>
          <w:p w14:paraId="589BA8B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174" w:type="pct"/>
            <w:vAlign w:val="center"/>
          </w:tcPr>
          <w:p w14:paraId="0D71B16B">
            <w:pPr>
              <w:widowControl/>
              <w:numPr>
                <w:ilvl w:val="0"/>
                <w:numId w:val="0"/>
              </w:num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电话支持服务</w:t>
            </w:r>
          </w:p>
        </w:tc>
        <w:tc>
          <w:tcPr>
            <w:tcW w:w="3094" w:type="pct"/>
            <w:vAlign w:val="center"/>
          </w:tcPr>
          <w:p w14:paraId="00FDE077">
            <w:pPr>
              <w:widowControl/>
              <w:numPr>
                <w:ilvl w:val="0"/>
                <w:numId w:val="0"/>
              </w:num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续保服务提供方在完成升级服务后需提供服务热线电话，在设备使用发现故障问题时及时响应并予以快速处理解决。</w:t>
            </w:r>
          </w:p>
        </w:tc>
      </w:tr>
      <w:tr w14:paraId="43F1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30" w:type="pct"/>
            <w:vAlign w:val="center"/>
          </w:tcPr>
          <w:p w14:paraId="1CF51D7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174" w:type="pct"/>
            <w:vAlign w:val="center"/>
          </w:tcPr>
          <w:p w14:paraId="16C09B1F">
            <w:pPr>
              <w:widowControl/>
              <w:numPr>
                <w:ilvl w:val="0"/>
                <w:numId w:val="0"/>
              </w:num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设备巡检</w:t>
            </w:r>
          </w:p>
        </w:tc>
        <w:tc>
          <w:tcPr>
            <w:tcW w:w="3094" w:type="pct"/>
            <w:vAlign w:val="center"/>
          </w:tcPr>
          <w:p w14:paraId="3F590614">
            <w:pPr>
              <w:widowControl/>
              <w:numPr>
                <w:ilvl w:val="0"/>
                <w:numId w:val="0"/>
              </w:num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提供每年4次的巡检服务，定期对安全设备进行巡检并输出巡检报告。</w:t>
            </w:r>
          </w:p>
        </w:tc>
      </w:tr>
      <w:tr w14:paraId="0307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730" w:type="pct"/>
            <w:vAlign w:val="center"/>
          </w:tcPr>
          <w:p w14:paraId="2F3FD56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174" w:type="pct"/>
            <w:vAlign w:val="center"/>
          </w:tcPr>
          <w:p w14:paraId="7E4FCE0E">
            <w:pPr>
              <w:widowControl/>
              <w:numPr>
                <w:ilvl w:val="0"/>
                <w:numId w:val="0"/>
              </w:num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培训服务</w:t>
            </w:r>
          </w:p>
        </w:tc>
        <w:tc>
          <w:tcPr>
            <w:tcW w:w="3094" w:type="pct"/>
            <w:vAlign w:val="center"/>
          </w:tcPr>
          <w:p w14:paraId="1FEBD4BE">
            <w:pPr>
              <w:widowControl/>
              <w:numPr>
                <w:ilvl w:val="0"/>
                <w:numId w:val="55"/>
              </w:num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对本院信息负责人员提供每年一次的培训服务，确保负责人员清楚了解当前设备运行现状及简单维护手段。</w:t>
            </w:r>
          </w:p>
          <w:p w14:paraId="04AD1787">
            <w:pPr>
              <w:widowControl/>
              <w:numPr>
                <w:ilvl w:val="0"/>
                <w:numId w:val="55"/>
              </w:num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培训时间与培训地点由本院决定，续保提供服务方协商协同配合。</w:t>
            </w:r>
          </w:p>
        </w:tc>
      </w:tr>
      <w:tr w14:paraId="442D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730" w:type="pct"/>
            <w:vAlign w:val="center"/>
          </w:tcPr>
          <w:p w14:paraId="25E2872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174" w:type="pct"/>
            <w:vAlign w:val="center"/>
          </w:tcPr>
          <w:p w14:paraId="62AF07B9">
            <w:pPr>
              <w:widowControl/>
              <w:numPr>
                <w:ilvl w:val="0"/>
                <w:numId w:val="0"/>
              </w:num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人员要求</w:t>
            </w:r>
          </w:p>
        </w:tc>
        <w:tc>
          <w:tcPr>
            <w:tcW w:w="3094" w:type="pct"/>
            <w:vAlign w:val="center"/>
          </w:tcPr>
          <w:p w14:paraId="35A3CA29">
            <w:pPr>
              <w:widowControl/>
              <w:numPr>
                <w:ilvl w:val="0"/>
                <w:numId w:val="56"/>
              </w:num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续保服务方需为本院提专业服务团队，至少包括项目经理一名和两名高级工程师来实施。</w:t>
            </w:r>
          </w:p>
          <w:p w14:paraId="5B6A1654">
            <w:pPr>
              <w:widowControl/>
              <w:numPr>
                <w:ilvl w:val="0"/>
                <w:numId w:val="56"/>
              </w:num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续保服务人员必须履行保密义务，签署保密协议，未经批准不得以任何理由泄露任何保密信息和内部资料</w:t>
            </w:r>
          </w:p>
        </w:tc>
      </w:tr>
    </w:tbl>
    <w:p w14:paraId="387E67F6">
      <w:pPr>
        <w:rPr>
          <w:rFonts w:hint="eastAsia" w:ascii="宋体" w:hAnsi="宋体" w:eastAsia="宋体" w:cs="宋体"/>
          <w:color w:val="auto"/>
          <w:sz w:val="24"/>
          <w:szCs w:val="24"/>
          <w:highlight w:val="none"/>
          <w:lang w:val="en-US" w:eastAsia="zh-CN"/>
        </w:rPr>
      </w:pPr>
    </w:p>
    <w:p w14:paraId="667AED36">
      <w:pPr>
        <w:pStyle w:val="3"/>
        <w:numPr>
          <w:ilvl w:val="0"/>
          <w:numId w:val="57"/>
        </w:numPr>
        <w:bidi w:val="0"/>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施工要求</w:t>
      </w:r>
    </w:p>
    <w:p w14:paraId="4A45D824">
      <w:pPr>
        <w:pStyle w:val="378"/>
        <w:numPr>
          <w:ilvl w:val="0"/>
          <w:numId w:val="58"/>
        </w:numPr>
        <w:autoSpaceDE/>
        <w:adjustRightInd/>
        <w:spacing w:after="0" w:line="360" w:lineRule="auto"/>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在项目实施前提供项目实施计划及详细的项目实施方案；</w:t>
      </w:r>
    </w:p>
    <w:p w14:paraId="4F060BC8">
      <w:pPr>
        <w:pStyle w:val="378"/>
        <w:numPr>
          <w:ilvl w:val="0"/>
          <w:numId w:val="58"/>
        </w:numPr>
        <w:autoSpaceDE/>
        <w:adjustRightInd/>
        <w:spacing w:after="0" w:line="360" w:lineRule="auto"/>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需对</w:t>
      </w:r>
      <w:r>
        <w:rPr>
          <w:rFonts w:hint="eastAsia" w:ascii="宋体" w:hAnsi="宋体" w:eastAsia="宋体" w:cs="宋体"/>
          <w:color w:val="auto"/>
          <w:sz w:val="24"/>
          <w:szCs w:val="24"/>
          <w:highlight w:val="none"/>
          <w:lang w:eastAsia="zh-CN"/>
        </w:rPr>
        <w:t>本院</w:t>
      </w:r>
      <w:r>
        <w:rPr>
          <w:rFonts w:hint="eastAsia" w:ascii="宋体" w:hAnsi="宋体" w:eastAsia="宋体" w:cs="宋体"/>
          <w:color w:val="auto"/>
          <w:sz w:val="24"/>
          <w:szCs w:val="24"/>
          <w:highlight w:val="none"/>
        </w:rPr>
        <w:t>此次所采购的设备进行安装调试工作。</w:t>
      </w:r>
      <w:r>
        <w:rPr>
          <w:rFonts w:hint="eastAsia" w:ascii="宋体" w:hAnsi="宋体" w:eastAsia="宋体" w:cs="宋体"/>
          <w:color w:val="auto"/>
          <w:sz w:val="24"/>
          <w:szCs w:val="24"/>
          <w:highlight w:val="none"/>
          <w:lang w:val="en-US" w:eastAsia="zh-CN"/>
        </w:rPr>
        <w:t>设备升级完成后能够</w:t>
      </w:r>
      <w:r>
        <w:rPr>
          <w:rFonts w:hint="eastAsia" w:ascii="宋体" w:hAnsi="宋体" w:eastAsia="宋体" w:cs="宋体"/>
          <w:color w:val="auto"/>
          <w:sz w:val="24"/>
          <w:szCs w:val="24"/>
          <w:highlight w:val="none"/>
        </w:rPr>
        <w:t>保证整个</w:t>
      </w:r>
      <w:r>
        <w:rPr>
          <w:rFonts w:hint="eastAsia" w:ascii="宋体" w:hAnsi="宋体" w:eastAsia="宋体" w:cs="宋体"/>
          <w:color w:val="auto"/>
          <w:sz w:val="24"/>
          <w:szCs w:val="24"/>
          <w:highlight w:val="none"/>
          <w:lang w:val="en-US" w:eastAsia="zh-CN"/>
        </w:rPr>
        <w:t>网络</w:t>
      </w:r>
      <w:r>
        <w:rPr>
          <w:rFonts w:hint="eastAsia" w:ascii="宋体" w:hAnsi="宋体" w:eastAsia="宋体" w:cs="宋体"/>
          <w:color w:val="auto"/>
          <w:sz w:val="24"/>
          <w:szCs w:val="24"/>
          <w:highlight w:val="none"/>
        </w:rPr>
        <w:t>稳定运行，为</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院业务系统提供</w:t>
      </w:r>
      <w:r>
        <w:rPr>
          <w:rFonts w:hint="eastAsia" w:ascii="宋体" w:hAnsi="宋体" w:eastAsia="宋体" w:cs="宋体"/>
          <w:color w:val="auto"/>
          <w:sz w:val="24"/>
          <w:szCs w:val="24"/>
          <w:highlight w:val="none"/>
          <w:lang w:val="en-US" w:eastAsia="zh-CN"/>
        </w:rPr>
        <w:t>安全网络</w:t>
      </w:r>
      <w:r>
        <w:rPr>
          <w:rFonts w:hint="eastAsia" w:ascii="宋体" w:hAnsi="宋体" w:eastAsia="宋体" w:cs="宋体"/>
          <w:color w:val="auto"/>
          <w:sz w:val="24"/>
          <w:szCs w:val="24"/>
          <w:highlight w:val="none"/>
        </w:rPr>
        <w:t>环境；</w:t>
      </w:r>
    </w:p>
    <w:p w14:paraId="3926C460">
      <w:pPr>
        <w:pStyle w:val="378"/>
        <w:numPr>
          <w:ilvl w:val="0"/>
          <w:numId w:val="58"/>
        </w:numPr>
        <w:autoSpaceDE/>
        <w:adjustRightInd/>
        <w:spacing w:after="0" w:line="360" w:lineRule="auto"/>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本院</w:t>
      </w:r>
      <w:r>
        <w:rPr>
          <w:rFonts w:hint="eastAsia" w:ascii="宋体" w:hAnsi="宋体" w:eastAsia="宋体" w:cs="宋体"/>
          <w:color w:val="auto"/>
          <w:sz w:val="24"/>
          <w:szCs w:val="24"/>
          <w:highlight w:val="none"/>
        </w:rPr>
        <w:t>院</w:t>
      </w:r>
      <w:r>
        <w:rPr>
          <w:rFonts w:hint="eastAsia" w:ascii="宋体" w:hAnsi="宋体" w:eastAsia="宋体" w:cs="宋体"/>
          <w:color w:val="auto"/>
          <w:sz w:val="24"/>
          <w:szCs w:val="24"/>
          <w:highlight w:val="none"/>
          <w:lang w:val="en-US" w:eastAsia="zh-CN"/>
        </w:rPr>
        <w:t>安全设备</w:t>
      </w:r>
      <w:r>
        <w:rPr>
          <w:rFonts w:hint="eastAsia" w:ascii="宋体" w:hAnsi="宋体" w:eastAsia="宋体" w:cs="宋体"/>
          <w:color w:val="auto"/>
          <w:sz w:val="24"/>
          <w:szCs w:val="24"/>
          <w:highlight w:val="none"/>
        </w:rPr>
        <w:t>进行统一规划，</w:t>
      </w:r>
      <w:r>
        <w:rPr>
          <w:rFonts w:hint="eastAsia" w:ascii="宋体" w:hAnsi="宋体" w:eastAsia="宋体" w:cs="宋体"/>
          <w:color w:val="auto"/>
          <w:sz w:val="24"/>
          <w:szCs w:val="24"/>
          <w:highlight w:val="none"/>
          <w:lang w:val="en-US" w:eastAsia="zh-CN"/>
        </w:rPr>
        <w:t>保障稳定运行的网络运行环境</w:t>
      </w:r>
      <w:r>
        <w:rPr>
          <w:rFonts w:hint="eastAsia" w:ascii="宋体" w:hAnsi="宋体" w:eastAsia="宋体" w:cs="宋体"/>
          <w:color w:val="auto"/>
          <w:sz w:val="24"/>
          <w:szCs w:val="24"/>
          <w:highlight w:val="none"/>
        </w:rPr>
        <w:t>；</w:t>
      </w:r>
    </w:p>
    <w:p w14:paraId="38C1800B">
      <w:pPr>
        <w:pStyle w:val="378"/>
        <w:numPr>
          <w:ilvl w:val="0"/>
          <w:numId w:val="58"/>
        </w:numPr>
        <w:autoSpaceDE/>
        <w:adjustRightInd/>
        <w:spacing w:after="0" w:line="360" w:lineRule="auto"/>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在对</w:t>
      </w:r>
      <w:r>
        <w:rPr>
          <w:rFonts w:hint="eastAsia" w:ascii="宋体" w:hAnsi="宋体" w:eastAsia="宋体" w:cs="宋体"/>
          <w:color w:val="auto"/>
          <w:sz w:val="24"/>
          <w:szCs w:val="24"/>
          <w:highlight w:val="none"/>
          <w:lang w:eastAsia="zh-CN"/>
        </w:rPr>
        <w:t>本院</w:t>
      </w:r>
      <w:r>
        <w:rPr>
          <w:rFonts w:hint="eastAsia" w:ascii="宋体" w:hAnsi="宋体" w:eastAsia="宋体" w:cs="宋体"/>
          <w:color w:val="auto"/>
          <w:sz w:val="24"/>
          <w:szCs w:val="24"/>
          <w:highlight w:val="none"/>
          <w:lang w:val="en-US" w:eastAsia="zh-CN"/>
        </w:rPr>
        <w:t>网络进行</w:t>
      </w:r>
      <w:r>
        <w:rPr>
          <w:rFonts w:hint="eastAsia" w:ascii="宋体" w:hAnsi="宋体" w:eastAsia="宋体" w:cs="宋体"/>
          <w:color w:val="auto"/>
          <w:sz w:val="24"/>
          <w:szCs w:val="24"/>
          <w:highlight w:val="none"/>
        </w:rPr>
        <w:t>安装调试过程中不能影响</w:t>
      </w:r>
      <w:r>
        <w:rPr>
          <w:rFonts w:hint="eastAsia" w:ascii="宋体" w:hAnsi="宋体" w:eastAsia="宋体" w:cs="宋体"/>
          <w:color w:val="auto"/>
          <w:sz w:val="24"/>
          <w:szCs w:val="24"/>
          <w:highlight w:val="none"/>
          <w:lang w:eastAsia="zh-CN"/>
        </w:rPr>
        <w:t>本院</w:t>
      </w:r>
      <w:r>
        <w:rPr>
          <w:rFonts w:hint="eastAsia" w:ascii="宋体" w:hAnsi="宋体" w:eastAsia="宋体" w:cs="宋体"/>
          <w:color w:val="auto"/>
          <w:sz w:val="24"/>
          <w:szCs w:val="24"/>
          <w:highlight w:val="none"/>
        </w:rPr>
        <w:t>现有网络的正常运行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如在</w:t>
      </w:r>
      <w:r>
        <w:rPr>
          <w:rFonts w:hint="eastAsia" w:ascii="宋体" w:hAnsi="宋体" w:eastAsia="宋体" w:cs="宋体"/>
          <w:color w:val="auto"/>
          <w:sz w:val="24"/>
          <w:szCs w:val="24"/>
          <w:highlight w:val="none"/>
          <w:lang w:val="en-US" w:eastAsia="zh-CN"/>
        </w:rPr>
        <w:t>升级设备</w:t>
      </w:r>
      <w:r>
        <w:rPr>
          <w:rFonts w:hint="eastAsia" w:ascii="宋体" w:hAnsi="宋体" w:eastAsia="宋体" w:cs="宋体"/>
          <w:color w:val="auto"/>
          <w:sz w:val="24"/>
          <w:szCs w:val="24"/>
          <w:highlight w:val="none"/>
        </w:rPr>
        <w:t>阶段导致</w:t>
      </w:r>
      <w:r>
        <w:rPr>
          <w:rFonts w:hint="eastAsia" w:ascii="宋体" w:hAnsi="宋体" w:eastAsia="宋体" w:cs="宋体"/>
          <w:color w:val="auto"/>
          <w:sz w:val="24"/>
          <w:szCs w:val="24"/>
          <w:highlight w:val="none"/>
          <w:lang w:eastAsia="zh-CN"/>
        </w:rPr>
        <w:t>本院</w:t>
      </w:r>
      <w:r>
        <w:rPr>
          <w:rFonts w:hint="eastAsia" w:ascii="宋体" w:hAnsi="宋体" w:eastAsia="宋体" w:cs="宋体"/>
          <w:color w:val="auto"/>
          <w:sz w:val="24"/>
          <w:szCs w:val="24"/>
          <w:highlight w:val="none"/>
        </w:rPr>
        <w:t>网络出现重大故障（影响业务系统正常运行）</w:t>
      </w:r>
      <w:r>
        <w:rPr>
          <w:rFonts w:hint="eastAsia" w:ascii="宋体" w:hAnsi="宋体" w:eastAsia="宋体" w:cs="宋体"/>
          <w:color w:val="auto"/>
          <w:sz w:val="24"/>
          <w:szCs w:val="24"/>
          <w:highlight w:val="none"/>
          <w:lang w:eastAsia="zh-CN"/>
        </w:rPr>
        <w:t>。</w:t>
      </w:r>
    </w:p>
    <w:p w14:paraId="7C9F1E8B">
      <w:pPr>
        <w:pStyle w:val="378"/>
        <w:numPr>
          <w:ilvl w:val="0"/>
          <w:numId w:val="58"/>
        </w:numPr>
        <w:autoSpaceDE/>
        <w:adjustRightInd/>
        <w:spacing w:after="0" w:line="360" w:lineRule="auto"/>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项目实施完毕后需提供详细的设备安装调试记录、</w:t>
      </w:r>
      <w:r>
        <w:rPr>
          <w:rFonts w:hint="eastAsia" w:ascii="宋体" w:hAnsi="宋体" w:eastAsia="宋体" w:cs="宋体"/>
          <w:color w:val="auto"/>
          <w:sz w:val="24"/>
          <w:szCs w:val="24"/>
          <w:highlight w:val="none"/>
          <w:lang w:val="en-US" w:eastAsia="zh-CN"/>
        </w:rPr>
        <w:t>网络拓扑图</w:t>
      </w:r>
      <w:r>
        <w:rPr>
          <w:rFonts w:hint="eastAsia" w:ascii="宋体" w:hAnsi="宋体" w:eastAsia="宋体" w:cs="宋体"/>
          <w:color w:val="auto"/>
          <w:sz w:val="24"/>
          <w:szCs w:val="24"/>
          <w:highlight w:val="none"/>
        </w:rPr>
        <w:t>及操作手册以便与日后维护；</w:t>
      </w:r>
    </w:p>
    <w:p w14:paraId="738D0853">
      <w:pPr>
        <w:rPr>
          <w:rFonts w:hint="eastAsia" w:ascii="宋体" w:hAnsi="宋体" w:eastAsia="宋体" w:cs="宋体"/>
          <w:color w:val="auto"/>
          <w:sz w:val="24"/>
          <w:szCs w:val="24"/>
          <w:highlight w:val="none"/>
        </w:rPr>
      </w:pPr>
    </w:p>
    <w:p w14:paraId="405B0DEC">
      <w:pPr>
        <w:pStyle w:val="3"/>
        <w:numPr>
          <w:ilvl w:val="0"/>
          <w:numId w:val="57"/>
        </w:numPr>
        <w:bidi w:val="0"/>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培训服务要求</w:t>
      </w:r>
    </w:p>
    <w:p w14:paraId="30055498">
      <w:pPr>
        <w:pStyle w:val="378"/>
        <w:numPr>
          <w:ilvl w:val="0"/>
          <w:numId w:val="59"/>
        </w:numPr>
        <w:autoSpaceDE/>
        <w:adjustRightInd/>
        <w:spacing w:after="0" w:line="360" w:lineRule="auto"/>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对信息中心维护人员展专业的技术培训，通过讲解使相关人员具备一定的网络安全知识和技术；</w:t>
      </w:r>
    </w:p>
    <w:p w14:paraId="2A12D2C5">
      <w:pPr>
        <w:pStyle w:val="378"/>
        <w:numPr>
          <w:ilvl w:val="0"/>
          <w:numId w:val="59"/>
        </w:numPr>
        <w:autoSpaceDE/>
        <w:adjustRightInd/>
        <w:spacing w:after="0" w:line="360" w:lineRule="auto"/>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对维护人员开展安全运维过程和安全体系培训。</w:t>
      </w:r>
    </w:p>
    <w:p w14:paraId="557FE28E">
      <w:pPr>
        <w:pStyle w:val="378"/>
        <w:numPr>
          <w:ilvl w:val="0"/>
          <w:numId w:val="59"/>
        </w:numPr>
        <w:autoSpaceDE/>
        <w:adjustRightInd/>
        <w:spacing w:after="0" w:line="360" w:lineRule="auto"/>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提供专业的培训服务，培训时长不低于1天。</w:t>
      </w:r>
    </w:p>
    <w:p w14:paraId="43BF0F45">
      <w:pPr>
        <w:pStyle w:val="378"/>
        <w:numPr>
          <w:ilvl w:val="0"/>
          <w:numId w:val="59"/>
        </w:numPr>
        <w:autoSpaceDE/>
        <w:adjustRightInd/>
        <w:spacing w:after="0" w:line="360" w:lineRule="auto"/>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培训时间和培训地点由采购方定</w:t>
      </w:r>
    </w:p>
    <w:p w14:paraId="7AE7C785">
      <w:pPr>
        <w:rPr>
          <w:rFonts w:hint="eastAsia" w:ascii="宋体" w:hAnsi="宋体" w:eastAsia="宋体" w:cs="宋体"/>
          <w:color w:val="auto"/>
          <w:sz w:val="24"/>
          <w:szCs w:val="24"/>
          <w:highlight w:val="none"/>
        </w:rPr>
      </w:pPr>
    </w:p>
    <w:p w14:paraId="06527C98">
      <w:pPr>
        <w:pStyle w:val="3"/>
        <w:numPr>
          <w:ilvl w:val="0"/>
          <w:numId w:val="57"/>
        </w:numPr>
        <w:bidi w:val="0"/>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其它要求</w:t>
      </w:r>
    </w:p>
    <w:p w14:paraId="4517FCB2">
      <w:pPr>
        <w:pStyle w:val="378"/>
        <w:numPr>
          <w:ilvl w:val="0"/>
          <w:numId w:val="60"/>
        </w:numPr>
        <w:autoSpaceDE/>
        <w:adjustRightInd/>
        <w:spacing w:after="0" w:line="360" w:lineRule="auto"/>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项目实施完毕后需提供收集设备的名称、型号、规格、</w:t>
      </w:r>
      <w:r>
        <w:rPr>
          <w:rFonts w:hint="eastAsia" w:ascii="宋体" w:hAnsi="宋体" w:eastAsia="宋体" w:cs="宋体"/>
          <w:color w:val="auto"/>
          <w:sz w:val="24"/>
          <w:szCs w:val="24"/>
          <w:highlight w:val="none"/>
          <w:lang w:val="en-US" w:eastAsia="zh-CN"/>
        </w:rPr>
        <w:t>续保</w:t>
      </w:r>
      <w:r>
        <w:rPr>
          <w:rFonts w:hint="eastAsia" w:ascii="宋体" w:hAnsi="宋体" w:eastAsia="宋体" w:cs="宋体"/>
          <w:color w:val="auto"/>
          <w:sz w:val="24"/>
          <w:szCs w:val="24"/>
          <w:highlight w:val="none"/>
        </w:rPr>
        <w:t>日期等基本信息，为后续的工作提供数据支持。</w:t>
      </w:r>
    </w:p>
    <w:p w14:paraId="62A38E46">
      <w:pPr>
        <w:pStyle w:val="378"/>
        <w:numPr>
          <w:ilvl w:val="0"/>
          <w:numId w:val="60"/>
        </w:numPr>
        <w:autoSpaceDE/>
        <w:adjustRightInd/>
        <w:spacing w:after="0" w:line="360" w:lineRule="auto"/>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投标人在项目实施完毕后需对我方维护人员提供每年一次安全培训讲解</w:t>
      </w:r>
      <w:r>
        <w:rPr>
          <w:rFonts w:hint="eastAsia" w:ascii="宋体" w:hAnsi="宋体" w:eastAsia="宋体" w:cs="宋体"/>
          <w:color w:val="auto"/>
          <w:sz w:val="24"/>
          <w:szCs w:val="24"/>
          <w:highlight w:val="none"/>
          <w:lang w:eastAsia="zh-CN"/>
        </w:rPr>
        <w:t>。</w:t>
      </w:r>
    </w:p>
    <w:p w14:paraId="442B00E2">
      <w:pPr>
        <w:pStyle w:val="378"/>
        <w:numPr>
          <w:ilvl w:val="0"/>
          <w:numId w:val="60"/>
        </w:numPr>
        <w:autoSpaceDE/>
        <w:adjustRightInd/>
        <w:spacing w:after="0" w:line="360" w:lineRule="auto"/>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投标人需能够长期为</w:t>
      </w:r>
      <w:r>
        <w:rPr>
          <w:rFonts w:hint="eastAsia" w:ascii="宋体" w:hAnsi="宋体" w:eastAsia="宋体" w:cs="宋体"/>
          <w:color w:val="auto"/>
          <w:sz w:val="24"/>
          <w:szCs w:val="24"/>
          <w:highlight w:val="none"/>
          <w:lang w:eastAsia="zh-CN"/>
        </w:rPr>
        <w:t>本院</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网络</w:t>
      </w:r>
      <w:r>
        <w:rPr>
          <w:rFonts w:hint="eastAsia" w:ascii="宋体" w:hAnsi="宋体" w:eastAsia="宋体" w:cs="宋体"/>
          <w:color w:val="auto"/>
          <w:sz w:val="24"/>
          <w:szCs w:val="24"/>
          <w:highlight w:val="none"/>
        </w:rPr>
        <w:t>安全设备的技术支持工作；</w:t>
      </w:r>
    </w:p>
    <w:p w14:paraId="4A73B571">
      <w:pPr>
        <w:rPr>
          <w:rFonts w:hint="eastAsia" w:ascii="宋体" w:hAnsi="宋体" w:eastAsia="宋体" w:cs="宋体"/>
          <w:color w:val="auto"/>
          <w:sz w:val="24"/>
          <w:szCs w:val="24"/>
          <w:highlight w:val="none"/>
        </w:rPr>
      </w:pPr>
    </w:p>
    <w:p w14:paraId="41DDF8A6">
      <w:pPr>
        <w:pStyle w:val="3"/>
        <w:numPr>
          <w:ilvl w:val="0"/>
          <w:numId w:val="57"/>
        </w:numPr>
        <w:bidi w:val="0"/>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责任说明</w:t>
      </w:r>
    </w:p>
    <w:p w14:paraId="7558C7B2">
      <w:pPr>
        <w:pStyle w:val="378"/>
        <w:widowControl/>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对整个项目的</w:t>
      </w:r>
      <w:r>
        <w:rPr>
          <w:rFonts w:hint="eastAsia" w:ascii="宋体" w:hAnsi="宋体" w:eastAsia="宋体" w:cs="宋体"/>
          <w:color w:val="auto"/>
          <w:sz w:val="24"/>
          <w:szCs w:val="24"/>
          <w:highlight w:val="none"/>
          <w:lang w:val="en-US" w:eastAsia="zh-CN"/>
        </w:rPr>
        <w:t>设备续保</w:t>
      </w:r>
      <w:r>
        <w:rPr>
          <w:rFonts w:hint="eastAsia" w:ascii="宋体" w:hAnsi="宋体" w:eastAsia="宋体" w:cs="宋体"/>
          <w:color w:val="auto"/>
          <w:sz w:val="24"/>
          <w:szCs w:val="24"/>
          <w:highlight w:val="none"/>
        </w:rPr>
        <w:t>，必须出</w:t>
      </w:r>
      <w:r>
        <w:rPr>
          <w:rFonts w:hint="eastAsia" w:ascii="宋体" w:hAnsi="宋体" w:eastAsia="宋体" w:cs="宋体"/>
          <w:color w:val="auto"/>
          <w:sz w:val="24"/>
          <w:szCs w:val="24"/>
          <w:highlight w:val="none"/>
          <w:lang w:val="en-US" w:eastAsia="zh-CN"/>
        </w:rPr>
        <w:t>具体详细</w:t>
      </w:r>
      <w:r>
        <w:rPr>
          <w:rFonts w:hint="eastAsia" w:ascii="宋体" w:hAnsi="宋体" w:eastAsia="宋体" w:cs="宋体"/>
          <w:color w:val="auto"/>
          <w:sz w:val="24"/>
          <w:szCs w:val="24"/>
          <w:highlight w:val="none"/>
        </w:rPr>
        <w:t>方案，最终方案需要经院方审核通过后方可</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rPr>
        <w:t>。</w:t>
      </w:r>
    </w:p>
    <w:p w14:paraId="15E5970D">
      <w:pPr>
        <w:pStyle w:val="378"/>
        <w:widowControl/>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实施过程中，需要停机，断网的，必须并出具申请报告双方签字认可后，方可实施</w:t>
      </w:r>
      <w:r>
        <w:rPr>
          <w:rFonts w:hint="eastAsia" w:ascii="宋体" w:hAnsi="宋体" w:eastAsia="宋体" w:cs="宋体"/>
          <w:color w:val="auto"/>
          <w:sz w:val="24"/>
          <w:szCs w:val="24"/>
          <w:highlight w:val="none"/>
          <w:lang w:eastAsia="zh-CN"/>
        </w:rPr>
        <w:t>。</w:t>
      </w:r>
    </w:p>
    <w:p w14:paraId="3606C67E">
      <w:pPr>
        <w:pStyle w:val="378"/>
        <w:widowControl/>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续保</w:t>
      </w:r>
      <w:r>
        <w:rPr>
          <w:rFonts w:hint="eastAsia" w:ascii="宋体" w:hAnsi="宋体" w:eastAsia="宋体" w:cs="宋体"/>
          <w:color w:val="auto"/>
          <w:sz w:val="24"/>
          <w:szCs w:val="24"/>
          <w:highlight w:val="none"/>
        </w:rPr>
        <w:t>服务的过程中，如因服务方原因造成用户方</w:t>
      </w:r>
      <w:r>
        <w:rPr>
          <w:rFonts w:hint="eastAsia" w:ascii="宋体" w:hAnsi="宋体" w:eastAsia="宋体" w:cs="宋体"/>
          <w:color w:val="auto"/>
          <w:sz w:val="24"/>
          <w:szCs w:val="24"/>
          <w:highlight w:val="none"/>
          <w:lang w:val="en-US" w:eastAsia="zh-CN"/>
        </w:rPr>
        <w:t>网络瘫痪</w:t>
      </w:r>
      <w:r>
        <w:rPr>
          <w:rFonts w:hint="eastAsia" w:ascii="宋体" w:hAnsi="宋体" w:eastAsia="宋体" w:cs="宋体"/>
          <w:color w:val="auto"/>
          <w:sz w:val="24"/>
          <w:szCs w:val="24"/>
          <w:highlight w:val="none"/>
        </w:rPr>
        <w:t>的则服务方应当对用户进行赔偿：</w:t>
      </w:r>
    </w:p>
    <w:p w14:paraId="3DC6879C">
      <w:pPr>
        <w:pStyle w:val="378"/>
        <w:widowControl/>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总体原则：</w:t>
      </w:r>
    </w:p>
    <w:p w14:paraId="5B3D3A2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(1)最大限度减少业务使用时段的停机时间</w:t>
      </w:r>
    </w:p>
    <w:p w14:paraId="2CD38D0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(2)最大限度减少在实施前后对业务的影响</w:t>
      </w:r>
    </w:p>
    <w:p w14:paraId="62D9101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(3)对实施的风险进行充分的估计，计划和回退方案</w:t>
      </w:r>
    </w:p>
    <w:p w14:paraId="41F68535">
      <w:pPr>
        <w:pStyle w:val="378"/>
        <w:widowControl/>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(4)选择业务影响相对较少的</w:t>
      </w:r>
      <w:r>
        <w:rPr>
          <w:rFonts w:hint="eastAsia" w:ascii="宋体" w:hAnsi="宋体" w:eastAsia="宋体" w:cs="宋体"/>
          <w:color w:val="auto"/>
          <w:sz w:val="24"/>
          <w:szCs w:val="24"/>
          <w:highlight w:val="none"/>
          <w:lang w:val="en-US" w:eastAsia="zh-CN"/>
        </w:rPr>
        <w:t>设备及</w:t>
      </w:r>
      <w:r>
        <w:rPr>
          <w:rFonts w:hint="eastAsia" w:ascii="宋体" w:hAnsi="宋体" w:eastAsia="宋体" w:cs="宋体"/>
          <w:color w:val="auto"/>
          <w:sz w:val="24"/>
          <w:szCs w:val="24"/>
          <w:highlight w:val="none"/>
        </w:rPr>
        <w:t>应用率先进行</w:t>
      </w:r>
      <w:r>
        <w:rPr>
          <w:rFonts w:hint="eastAsia" w:ascii="宋体" w:hAnsi="宋体" w:eastAsia="宋体" w:cs="宋体"/>
          <w:color w:val="auto"/>
          <w:sz w:val="24"/>
          <w:szCs w:val="24"/>
          <w:highlight w:val="none"/>
          <w:lang w:val="en-US" w:eastAsia="zh-CN"/>
        </w:rPr>
        <w:t>设备升级</w:t>
      </w:r>
      <w:r>
        <w:rPr>
          <w:rFonts w:hint="eastAsia" w:ascii="宋体" w:hAnsi="宋体" w:eastAsia="宋体" w:cs="宋体"/>
          <w:color w:val="auto"/>
          <w:sz w:val="24"/>
          <w:szCs w:val="24"/>
          <w:highlight w:val="none"/>
        </w:rPr>
        <w:t>试运行</w:t>
      </w:r>
      <w:r>
        <w:rPr>
          <w:rFonts w:hint="eastAsia" w:ascii="宋体" w:hAnsi="宋体" w:eastAsia="宋体" w:cs="宋体"/>
          <w:color w:val="auto"/>
          <w:sz w:val="24"/>
          <w:szCs w:val="24"/>
          <w:highlight w:val="none"/>
          <w:lang w:eastAsia="zh-CN"/>
        </w:rPr>
        <w:t>。</w:t>
      </w:r>
    </w:p>
    <w:p w14:paraId="37E4DD66">
      <w:pPr>
        <w:pStyle w:val="2"/>
        <w:numPr>
          <w:ilvl w:val="0"/>
          <w:numId w:val="52"/>
        </w:numPr>
        <w:bidi w:val="0"/>
        <w:spacing w:line="24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维保设备清单参数</w:t>
      </w:r>
    </w:p>
    <w:tbl>
      <w:tblPr>
        <w:tblStyle w:val="61"/>
        <w:tblW w:w="499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8"/>
        <w:gridCol w:w="1574"/>
        <w:gridCol w:w="1677"/>
        <w:gridCol w:w="1887"/>
        <w:gridCol w:w="2779"/>
        <w:gridCol w:w="650"/>
        <w:gridCol w:w="460"/>
      </w:tblGrid>
      <w:tr w14:paraId="2CD53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A89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F0F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D82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设备SN</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93C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产品型号</w:t>
            </w:r>
          </w:p>
        </w:tc>
        <w:tc>
          <w:tcPr>
            <w:tcW w:w="2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510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参数描述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DA7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E61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r>
      <w:tr w14:paraId="13E5D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B81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FB8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防火墙系统</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E82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19-03-AZ-0157</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847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NFNX3-CH1710</w:t>
            </w:r>
          </w:p>
        </w:tc>
        <w:tc>
          <w:tcPr>
            <w:tcW w:w="2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A79FC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系统软件升级至少一年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产品质保至少一年</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4FD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309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67485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11301">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B959F">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E61A4">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5A3CD">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1549E">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DC24C">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75491">
            <w:pPr>
              <w:jc w:val="center"/>
              <w:rPr>
                <w:rFonts w:hint="eastAsia" w:ascii="宋体" w:hAnsi="宋体" w:eastAsia="宋体" w:cs="宋体"/>
                <w:i w:val="0"/>
                <w:iCs w:val="0"/>
                <w:color w:val="auto"/>
                <w:sz w:val="24"/>
                <w:szCs w:val="24"/>
                <w:highlight w:val="none"/>
                <w:u w:val="none"/>
              </w:rPr>
            </w:pPr>
          </w:p>
        </w:tc>
      </w:tr>
      <w:tr w14:paraId="7068A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2ED18">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2A08E">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E459E">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55B90">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4CD36">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D4CAB">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49A6D">
            <w:pPr>
              <w:jc w:val="center"/>
              <w:rPr>
                <w:rFonts w:hint="eastAsia" w:ascii="宋体" w:hAnsi="宋体" w:eastAsia="宋体" w:cs="宋体"/>
                <w:i w:val="0"/>
                <w:iCs w:val="0"/>
                <w:color w:val="auto"/>
                <w:sz w:val="24"/>
                <w:szCs w:val="24"/>
                <w:highlight w:val="none"/>
                <w:u w:val="none"/>
              </w:rPr>
            </w:pPr>
          </w:p>
        </w:tc>
      </w:tr>
      <w:tr w14:paraId="0939C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4B5FD">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44805">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88A05">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7963B">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5D90C">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4EFE9">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EA15E">
            <w:pPr>
              <w:jc w:val="center"/>
              <w:rPr>
                <w:rFonts w:hint="eastAsia" w:ascii="宋体" w:hAnsi="宋体" w:eastAsia="宋体" w:cs="宋体"/>
                <w:i w:val="0"/>
                <w:iCs w:val="0"/>
                <w:color w:val="auto"/>
                <w:sz w:val="24"/>
                <w:szCs w:val="24"/>
                <w:highlight w:val="none"/>
                <w:u w:val="none"/>
              </w:rPr>
            </w:pPr>
          </w:p>
        </w:tc>
      </w:tr>
      <w:tr w14:paraId="64200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F20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1850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网络入侵防护系统</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C5D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19-22-J-0254</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B4A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NIPSNX3-CH1350</w:t>
            </w:r>
          </w:p>
        </w:tc>
        <w:tc>
          <w:tcPr>
            <w:tcW w:w="2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6B29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系统软件升级至少一年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产品质保至少一年</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787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0691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06FDB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36DA6">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9B753">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70338">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1C8F3">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51548">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704D2">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E2300">
            <w:pPr>
              <w:jc w:val="center"/>
              <w:rPr>
                <w:rFonts w:hint="eastAsia" w:ascii="宋体" w:hAnsi="宋体" w:eastAsia="宋体" w:cs="宋体"/>
                <w:i w:val="0"/>
                <w:iCs w:val="0"/>
                <w:color w:val="auto"/>
                <w:sz w:val="24"/>
                <w:szCs w:val="24"/>
                <w:highlight w:val="none"/>
                <w:u w:val="none"/>
              </w:rPr>
            </w:pPr>
          </w:p>
        </w:tc>
      </w:tr>
      <w:tr w14:paraId="2D00B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5FBA6">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C9527">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65206">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74A93">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0AC09">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1B5F2">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39CA6">
            <w:pPr>
              <w:jc w:val="center"/>
              <w:rPr>
                <w:rFonts w:hint="eastAsia" w:ascii="宋体" w:hAnsi="宋体" w:eastAsia="宋体" w:cs="宋体"/>
                <w:i w:val="0"/>
                <w:iCs w:val="0"/>
                <w:color w:val="auto"/>
                <w:sz w:val="24"/>
                <w:szCs w:val="24"/>
                <w:highlight w:val="none"/>
                <w:u w:val="none"/>
              </w:rPr>
            </w:pPr>
          </w:p>
        </w:tc>
      </w:tr>
      <w:tr w14:paraId="7151F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18589">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AAD5B">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3A49D">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5CE00">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A5136">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FED74">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F24D6">
            <w:pPr>
              <w:jc w:val="center"/>
              <w:rPr>
                <w:rFonts w:hint="eastAsia" w:ascii="宋体" w:hAnsi="宋体" w:eastAsia="宋体" w:cs="宋体"/>
                <w:i w:val="0"/>
                <w:iCs w:val="0"/>
                <w:color w:val="auto"/>
                <w:sz w:val="24"/>
                <w:szCs w:val="24"/>
                <w:highlight w:val="none"/>
                <w:u w:val="none"/>
              </w:rPr>
            </w:pPr>
          </w:p>
        </w:tc>
      </w:tr>
      <w:tr w14:paraId="628AC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5829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028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网络安全漏洞扫描系统</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57F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19-22-L-0255</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7EC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RSASNX3-X</w:t>
            </w:r>
          </w:p>
        </w:tc>
        <w:tc>
          <w:tcPr>
            <w:tcW w:w="2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8703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系统软件升级至少一年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产品质保至少一年</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3CC3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3DB5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5D60B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D4956">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49BCD">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E4C4E">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B2F1E">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1239F">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9B2A6">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8F7A4">
            <w:pPr>
              <w:jc w:val="center"/>
              <w:rPr>
                <w:rFonts w:hint="eastAsia" w:ascii="宋体" w:hAnsi="宋体" w:eastAsia="宋体" w:cs="宋体"/>
                <w:i w:val="0"/>
                <w:iCs w:val="0"/>
                <w:color w:val="auto"/>
                <w:sz w:val="24"/>
                <w:szCs w:val="24"/>
                <w:highlight w:val="none"/>
                <w:u w:val="none"/>
              </w:rPr>
            </w:pPr>
          </w:p>
        </w:tc>
      </w:tr>
      <w:tr w14:paraId="667DC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786C4">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F62E7">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5AEDF">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FB362">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4873E">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3FAD5">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33FCF">
            <w:pPr>
              <w:jc w:val="center"/>
              <w:rPr>
                <w:rFonts w:hint="eastAsia" w:ascii="宋体" w:hAnsi="宋体" w:eastAsia="宋体" w:cs="宋体"/>
                <w:i w:val="0"/>
                <w:iCs w:val="0"/>
                <w:color w:val="auto"/>
                <w:sz w:val="24"/>
                <w:szCs w:val="24"/>
                <w:highlight w:val="none"/>
                <w:u w:val="none"/>
              </w:rPr>
            </w:pPr>
          </w:p>
        </w:tc>
      </w:tr>
      <w:tr w14:paraId="1B3B4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9C0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116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日志审计系统</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5B7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19-22-P-0258</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BC8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LASNX3-L1000</w:t>
            </w:r>
          </w:p>
        </w:tc>
        <w:tc>
          <w:tcPr>
            <w:tcW w:w="2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0EAC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系统软件升级至少一年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产品质保至少一年</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874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220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32E6A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BADE3">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7D1C4">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0278D">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64946">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89E3A">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A4A1D">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F1BB0">
            <w:pPr>
              <w:jc w:val="center"/>
              <w:rPr>
                <w:rFonts w:hint="eastAsia" w:ascii="宋体" w:hAnsi="宋体" w:eastAsia="宋体" w:cs="宋体"/>
                <w:i w:val="0"/>
                <w:iCs w:val="0"/>
                <w:color w:val="auto"/>
                <w:sz w:val="24"/>
                <w:szCs w:val="24"/>
                <w:highlight w:val="none"/>
                <w:u w:val="none"/>
              </w:rPr>
            </w:pPr>
          </w:p>
        </w:tc>
      </w:tr>
      <w:tr w14:paraId="0F5C5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45DFB">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4AA35">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DD6DC">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0C4AF">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DCA2C">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A6159">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0CEA1">
            <w:pPr>
              <w:jc w:val="center"/>
              <w:rPr>
                <w:rFonts w:hint="eastAsia" w:ascii="宋体" w:hAnsi="宋体" w:eastAsia="宋体" w:cs="宋体"/>
                <w:i w:val="0"/>
                <w:iCs w:val="0"/>
                <w:color w:val="auto"/>
                <w:sz w:val="24"/>
                <w:szCs w:val="24"/>
                <w:highlight w:val="none"/>
                <w:u w:val="none"/>
              </w:rPr>
            </w:pPr>
          </w:p>
        </w:tc>
      </w:tr>
      <w:tr w14:paraId="6EFFB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6BCAA">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1E47A">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4E675">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99DCC">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963A0">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3F420">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01E1D">
            <w:pPr>
              <w:jc w:val="center"/>
              <w:rPr>
                <w:rFonts w:hint="eastAsia" w:ascii="宋体" w:hAnsi="宋体" w:eastAsia="宋体" w:cs="宋体"/>
                <w:i w:val="0"/>
                <w:iCs w:val="0"/>
                <w:color w:val="auto"/>
                <w:sz w:val="24"/>
                <w:szCs w:val="24"/>
                <w:highlight w:val="none"/>
                <w:u w:val="none"/>
              </w:rPr>
            </w:pPr>
          </w:p>
        </w:tc>
      </w:tr>
      <w:tr w14:paraId="52EA3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A46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6E3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数据库审计系统</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692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19-22-J-0312</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DD59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DASNX3-E600C</w:t>
            </w:r>
          </w:p>
        </w:tc>
        <w:tc>
          <w:tcPr>
            <w:tcW w:w="2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946E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系统软件升级至少一年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产品质保至少一年</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D0B9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E6CC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74E44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755E6">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3D4A3">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36824">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F8E3B">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C7065">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1380E">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A3F31">
            <w:pPr>
              <w:jc w:val="center"/>
              <w:rPr>
                <w:rFonts w:hint="eastAsia" w:ascii="宋体" w:hAnsi="宋体" w:eastAsia="宋体" w:cs="宋体"/>
                <w:i w:val="0"/>
                <w:iCs w:val="0"/>
                <w:color w:val="auto"/>
                <w:sz w:val="24"/>
                <w:szCs w:val="24"/>
                <w:highlight w:val="none"/>
                <w:u w:val="none"/>
              </w:rPr>
            </w:pPr>
          </w:p>
        </w:tc>
      </w:tr>
      <w:tr w14:paraId="3F849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62136">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1FB80">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F0592">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B0055">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613E4">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DFF88">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DA40F">
            <w:pPr>
              <w:jc w:val="center"/>
              <w:rPr>
                <w:rFonts w:hint="eastAsia" w:ascii="宋体" w:hAnsi="宋体" w:eastAsia="宋体" w:cs="宋体"/>
                <w:i w:val="0"/>
                <w:iCs w:val="0"/>
                <w:color w:val="auto"/>
                <w:sz w:val="24"/>
                <w:szCs w:val="24"/>
                <w:highlight w:val="none"/>
                <w:u w:val="none"/>
              </w:rPr>
            </w:pPr>
          </w:p>
        </w:tc>
      </w:tr>
      <w:tr w14:paraId="52781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B1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4B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VPN</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2B33">
            <w:pPr>
              <w:jc w:val="center"/>
              <w:rPr>
                <w:rFonts w:hint="eastAsia" w:ascii="宋体" w:hAnsi="宋体" w:eastAsia="宋体" w:cs="宋体"/>
                <w:i w:val="0"/>
                <w:iCs w:val="0"/>
                <w:color w:val="auto"/>
                <w:sz w:val="24"/>
                <w:szCs w:val="24"/>
                <w:highlight w:val="none"/>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B9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VPN-1000-A400</w:t>
            </w:r>
          </w:p>
        </w:tc>
        <w:tc>
          <w:tcPr>
            <w:tcW w:w="2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43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软件升级至少一年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产品质保至少一年</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89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0A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4CADF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56B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EC7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上网行为管理</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736C3">
            <w:pPr>
              <w:jc w:val="center"/>
              <w:rPr>
                <w:rFonts w:hint="eastAsia" w:ascii="宋体" w:hAnsi="宋体" w:eastAsia="宋体" w:cs="宋体"/>
                <w:i w:val="0"/>
                <w:iCs w:val="0"/>
                <w:color w:val="auto"/>
                <w:sz w:val="24"/>
                <w:szCs w:val="24"/>
                <w:highlight w:val="none"/>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E88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AC-1000-C400Y</w:t>
            </w:r>
          </w:p>
        </w:tc>
        <w:tc>
          <w:tcPr>
            <w:tcW w:w="2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0B5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URL&amp;应用识别规则库升级至少一年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软件升级至少一年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产品质保至少一年</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7A4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B36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2F515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3D214">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0A94C">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54F5B">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CCCF7">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511DF">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8BBE8">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8C58E">
            <w:pPr>
              <w:jc w:val="center"/>
              <w:rPr>
                <w:rFonts w:hint="eastAsia" w:ascii="宋体" w:hAnsi="宋体" w:eastAsia="宋体" w:cs="宋体"/>
                <w:i w:val="0"/>
                <w:iCs w:val="0"/>
                <w:color w:val="auto"/>
                <w:sz w:val="24"/>
                <w:szCs w:val="24"/>
                <w:highlight w:val="none"/>
                <w:u w:val="none"/>
              </w:rPr>
            </w:pPr>
          </w:p>
        </w:tc>
      </w:tr>
      <w:tr w14:paraId="5EC6D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47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C5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防火墙</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32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06C38E0F</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E6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AF-1000-B1300</w:t>
            </w:r>
          </w:p>
        </w:tc>
        <w:tc>
          <w:tcPr>
            <w:tcW w:w="2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67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网关杀毒升级许可至少一年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云智订阅软件至少一年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软件升级至少一年、产品质至少保一年</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C7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9B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6F9E6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D5E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D52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入侵防护</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8B7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99849237</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69D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AF-1000-D420</w:t>
            </w:r>
          </w:p>
        </w:tc>
        <w:tc>
          <w:tcPr>
            <w:tcW w:w="2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895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云智订阅软件至少一年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云鉴订阅软件至少一年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软件升级至少一年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产品质保至少一年</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4C5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261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7AFEF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0BACD">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81FD8">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5DAF1">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520CF">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8C338">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A1272">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3E2FC">
            <w:pPr>
              <w:jc w:val="center"/>
              <w:rPr>
                <w:rFonts w:hint="eastAsia" w:ascii="宋体" w:hAnsi="宋体" w:eastAsia="宋体" w:cs="宋体"/>
                <w:i w:val="0"/>
                <w:iCs w:val="0"/>
                <w:color w:val="auto"/>
                <w:sz w:val="24"/>
                <w:szCs w:val="24"/>
                <w:highlight w:val="none"/>
                <w:u w:val="none"/>
              </w:rPr>
            </w:pPr>
          </w:p>
        </w:tc>
      </w:tr>
      <w:tr w14:paraId="1BD6E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66621">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2881A">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1F2F1">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C85D9">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B7BAF">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0B311">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830C9">
            <w:pPr>
              <w:jc w:val="center"/>
              <w:rPr>
                <w:rFonts w:hint="eastAsia" w:ascii="宋体" w:hAnsi="宋体" w:eastAsia="宋体" w:cs="宋体"/>
                <w:i w:val="0"/>
                <w:iCs w:val="0"/>
                <w:color w:val="auto"/>
                <w:sz w:val="24"/>
                <w:szCs w:val="24"/>
                <w:highlight w:val="none"/>
                <w:u w:val="none"/>
              </w:rPr>
            </w:pPr>
          </w:p>
        </w:tc>
      </w:tr>
      <w:tr w14:paraId="598B8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1FB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FF9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上网行为管理</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32A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BDBCE47A</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787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AC-1000-C440</w:t>
            </w:r>
          </w:p>
        </w:tc>
        <w:tc>
          <w:tcPr>
            <w:tcW w:w="2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E45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URL&amp;应用识别规则库升级至少一年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软件升级至少一年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产品质保至少一年</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77C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7E3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2309F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132F7">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EE779">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462D6">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1353B">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AA9E6">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B4711">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58698">
            <w:pPr>
              <w:jc w:val="center"/>
              <w:rPr>
                <w:rFonts w:hint="eastAsia" w:ascii="宋体" w:hAnsi="宋体" w:eastAsia="宋体" w:cs="宋体"/>
                <w:i w:val="0"/>
                <w:iCs w:val="0"/>
                <w:color w:val="auto"/>
                <w:sz w:val="24"/>
                <w:szCs w:val="24"/>
                <w:highlight w:val="none"/>
                <w:u w:val="none"/>
              </w:rPr>
            </w:pPr>
          </w:p>
        </w:tc>
      </w:tr>
      <w:tr w14:paraId="51229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2641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C239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WAF应用防火墙</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24E5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1E63562A</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5B36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WAF-1000-D420</w:t>
            </w:r>
          </w:p>
        </w:tc>
        <w:tc>
          <w:tcPr>
            <w:tcW w:w="274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3EA8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云智订阅软件至少一年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云鉴订阅软件至少一年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软件升级至少一年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产品质保至少一年</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C147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81D4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690E9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38F566">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6604C0">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E13FAA">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F44AE1">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EF7681">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54910B">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23581E">
            <w:pPr>
              <w:jc w:val="center"/>
              <w:rPr>
                <w:rFonts w:hint="eastAsia" w:ascii="宋体" w:hAnsi="宋体" w:eastAsia="宋体" w:cs="宋体"/>
                <w:i w:val="0"/>
                <w:iCs w:val="0"/>
                <w:color w:val="auto"/>
                <w:sz w:val="24"/>
                <w:szCs w:val="24"/>
                <w:highlight w:val="none"/>
                <w:u w:val="none"/>
              </w:rPr>
            </w:pPr>
          </w:p>
        </w:tc>
      </w:tr>
      <w:tr w14:paraId="26867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D55E30">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5320CA">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BBF482">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C78B32">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5766A2">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FB9D74">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E8D85F">
            <w:pPr>
              <w:jc w:val="center"/>
              <w:rPr>
                <w:rFonts w:hint="eastAsia" w:ascii="宋体" w:hAnsi="宋体" w:eastAsia="宋体" w:cs="宋体"/>
                <w:i w:val="0"/>
                <w:iCs w:val="0"/>
                <w:color w:val="auto"/>
                <w:sz w:val="24"/>
                <w:szCs w:val="24"/>
                <w:highlight w:val="none"/>
                <w:u w:val="none"/>
              </w:rPr>
            </w:pPr>
          </w:p>
        </w:tc>
      </w:tr>
      <w:tr w14:paraId="4D140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787B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CFA0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态势感知探针</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6E97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83E82355</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6146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STA-100-B420</w:t>
            </w:r>
          </w:p>
        </w:tc>
        <w:tc>
          <w:tcPr>
            <w:tcW w:w="274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A866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安全感知系统探针特征库软件至少一年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软件升级至少一年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产品质保至少一年</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E03E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EFDD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6A522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1BFAB8">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18FF2C">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4AC3E2">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AB800E">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720EED">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86C778">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9CFB1A">
            <w:pPr>
              <w:jc w:val="center"/>
              <w:rPr>
                <w:rFonts w:hint="eastAsia" w:ascii="宋体" w:hAnsi="宋体" w:eastAsia="宋体" w:cs="宋体"/>
                <w:i w:val="0"/>
                <w:iCs w:val="0"/>
                <w:color w:val="auto"/>
                <w:sz w:val="24"/>
                <w:szCs w:val="24"/>
                <w:highlight w:val="none"/>
                <w:u w:val="none"/>
              </w:rPr>
            </w:pPr>
          </w:p>
        </w:tc>
      </w:tr>
      <w:tr w14:paraId="2321F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FBB5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5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19E6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VPN</w:t>
            </w:r>
          </w:p>
        </w:tc>
        <w:tc>
          <w:tcPr>
            <w:tcW w:w="165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B774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31CC009F</w:t>
            </w:r>
          </w:p>
        </w:tc>
        <w:tc>
          <w:tcPr>
            <w:tcW w:w="18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8207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VPN-1000-S2280</w:t>
            </w:r>
          </w:p>
        </w:tc>
        <w:tc>
          <w:tcPr>
            <w:tcW w:w="27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C71D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软件升级至少一年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产品质保至少一年</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7C65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DB20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1026A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5D27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5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D665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等保一体机</w:t>
            </w:r>
          </w:p>
        </w:tc>
        <w:tc>
          <w:tcPr>
            <w:tcW w:w="165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6882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9CB2000154</w:t>
            </w:r>
          </w:p>
        </w:tc>
        <w:tc>
          <w:tcPr>
            <w:tcW w:w="18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C9BC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SdSec-1000-A602</w:t>
            </w:r>
          </w:p>
        </w:tc>
        <w:tc>
          <w:tcPr>
            <w:tcW w:w="27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914D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软件升级至少一年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产品质保至少一年</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3D0A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DCCC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7BD2C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2420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5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3350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态势感知平台</w:t>
            </w:r>
          </w:p>
        </w:tc>
        <w:tc>
          <w:tcPr>
            <w:tcW w:w="165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0AD8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C54C325D</w:t>
            </w:r>
          </w:p>
        </w:tc>
        <w:tc>
          <w:tcPr>
            <w:tcW w:w="18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60E8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SIP-1000-A600</w:t>
            </w:r>
          </w:p>
        </w:tc>
        <w:tc>
          <w:tcPr>
            <w:tcW w:w="27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5F2A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特征库软件至少一年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软件升级至少一年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产品质保至少一年</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1698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DF1C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3B179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BE6B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5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C568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应用管理交付系统</w:t>
            </w:r>
          </w:p>
        </w:tc>
        <w:tc>
          <w:tcPr>
            <w:tcW w:w="165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568E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6D11F80F</w:t>
            </w:r>
          </w:p>
        </w:tc>
        <w:tc>
          <w:tcPr>
            <w:tcW w:w="18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439E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AD-1000-E640</w:t>
            </w:r>
          </w:p>
        </w:tc>
        <w:tc>
          <w:tcPr>
            <w:tcW w:w="27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632D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软件升级至少一年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产品质保至少一年</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8CAA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D09F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62195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6DE5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5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E8F2E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安全信舷防毒墙系统</w:t>
            </w:r>
          </w:p>
        </w:tc>
        <w:tc>
          <w:tcPr>
            <w:tcW w:w="165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F2516F">
            <w:pPr>
              <w:jc w:val="center"/>
              <w:rPr>
                <w:rFonts w:hint="eastAsia" w:ascii="宋体" w:hAnsi="宋体" w:eastAsia="宋体" w:cs="宋体"/>
                <w:i w:val="0"/>
                <w:iCs w:val="0"/>
                <w:color w:val="auto"/>
                <w:sz w:val="24"/>
                <w:szCs w:val="24"/>
                <w:highlight w:val="none"/>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415E0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AISEdgeE380</w:t>
            </w:r>
          </w:p>
        </w:tc>
        <w:tc>
          <w:tcPr>
            <w:tcW w:w="27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4B645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防病毒模块、IPS虚拟补丁模块特征库升级至少一年产品质保至少一年</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42C1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1AA8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27A68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D6CE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5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C6B38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安全信桅高级威胁分析系统</w:t>
            </w:r>
          </w:p>
        </w:tc>
        <w:tc>
          <w:tcPr>
            <w:tcW w:w="165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2D79A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9P1HMF3</w:t>
            </w:r>
          </w:p>
        </w:tc>
        <w:tc>
          <w:tcPr>
            <w:tcW w:w="18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2A75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DDAN380</w:t>
            </w:r>
          </w:p>
        </w:tc>
        <w:tc>
          <w:tcPr>
            <w:tcW w:w="27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7989F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产品质保至少一年</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D97A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D5BF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260C0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D7D6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5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22D1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安全信桅高级威胁监测系统</w:t>
            </w:r>
          </w:p>
        </w:tc>
        <w:tc>
          <w:tcPr>
            <w:tcW w:w="165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2745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FM9Z4G3</w:t>
            </w:r>
          </w:p>
        </w:tc>
        <w:tc>
          <w:tcPr>
            <w:tcW w:w="18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BED7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TDA680</w:t>
            </w:r>
          </w:p>
        </w:tc>
        <w:tc>
          <w:tcPr>
            <w:tcW w:w="27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F2127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恶意行为检测模块、恶意文件检测、威胁分析及联动验伤模块特征库至少一年产品质保至少一年</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15BA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A642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6B5CD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04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C11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安全云主机深度安全防护系统</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0CB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42D899F</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13A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DSV20.0</w:t>
            </w:r>
          </w:p>
        </w:tc>
        <w:tc>
          <w:tcPr>
            <w:tcW w:w="2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4BF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安全防护系统平台软件及授权软件特征库升级至少一年</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84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AC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531DD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7B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B59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统一运维平台</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1C6D">
            <w:pPr>
              <w:jc w:val="center"/>
              <w:rPr>
                <w:rFonts w:hint="eastAsia" w:ascii="宋体" w:hAnsi="宋体" w:eastAsia="宋体" w:cs="宋体"/>
                <w:i w:val="0"/>
                <w:iCs w:val="0"/>
                <w:color w:val="auto"/>
                <w:sz w:val="24"/>
                <w:szCs w:val="24"/>
                <w:highlight w:val="none"/>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30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UAP</w:t>
            </w:r>
          </w:p>
        </w:tc>
        <w:tc>
          <w:tcPr>
            <w:tcW w:w="2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5A0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产品软件审计至少一年</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02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03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46A4F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655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AFD1">
            <w:pPr>
              <w:keepNext w:val="0"/>
              <w:keepLines w:val="0"/>
              <w:widowControl/>
              <w:suppressLineNumbers w:val="0"/>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终端响应检测平台</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7B6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3573552436</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DB0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EDR</w:t>
            </w:r>
          </w:p>
        </w:tc>
        <w:tc>
          <w:tcPr>
            <w:tcW w:w="2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500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软件升级至少一年</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45A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EBC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项</w:t>
            </w:r>
          </w:p>
        </w:tc>
      </w:tr>
    </w:tbl>
    <w:p w14:paraId="12C7877C">
      <w:pPr>
        <w:keepNext w:val="0"/>
        <w:keepLines w:val="0"/>
        <w:widowControl/>
        <w:suppressLineNumbers w:val="0"/>
        <w:spacing w:line="480" w:lineRule="auto"/>
        <w:jc w:val="both"/>
        <w:textAlignment w:val="center"/>
        <w:rPr>
          <w:rFonts w:hint="eastAsia" w:ascii="宋体" w:hAnsi="宋体" w:eastAsia="宋体" w:cs="宋体"/>
          <w:i w:val="0"/>
          <w:iCs w:val="0"/>
          <w:color w:val="auto"/>
          <w:kern w:val="2"/>
          <w:sz w:val="24"/>
          <w:szCs w:val="24"/>
          <w:highlight w:val="none"/>
          <w:u w:val="none"/>
          <w:lang w:val="en-US" w:eastAsia="zh-CN" w:bidi="ar-SA"/>
        </w:rPr>
      </w:pPr>
    </w:p>
    <w:p w14:paraId="32C54D1B">
      <w:pPr>
        <w:rPr>
          <w:rFonts w:hint="eastAsia" w:ascii="宋体" w:hAnsi="宋体" w:eastAsia="宋体" w:cs="宋体"/>
          <w:color w:val="auto"/>
          <w:sz w:val="24"/>
          <w:szCs w:val="24"/>
          <w:highlight w:val="none"/>
        </w:rPr>
      </w:pPr>
    </w:p>
    <w:p w14:paraId="7CF97B89">
      <w:pPr>
        <w:rPr>
          <w:rFonts w:hint="eastAsia" w:ascii="宋体" w:hAnsi="宋体" w:eastAsia="宋体" w:cs="宋体"/>
          <w:b/>
          <w:bCs/>
          <w:sz w:val="24"/>
          <w:szCs w:val="24"/>
          <w:highlight w:val="none"/>
          <w:lang w:val="en-US" w:eastAsia="zh-CN"/>
        </w:rPr>
      </w:pPr>
    </w:p>
    <w:p w14:paraId="7890FCA9">
      <w:pPr>
        <w:rPr>
          <w:rFonts w:hint="eastAsia" w:ascii="宋体" w:hAnsi="宋体" w:eastAsia="宋体" w:cs="宋体"/>
          <w:b/>
          <w:bCs/>
          <w:sz w:val="24"/>
          <w:szCs w:val="24"/>
          <w:highlight w:val="none"/>
          <w:lang w:val="en-US" w:eastAsia="zh-CN"/>
        </w:rPr>
      </w:pPr>
    </w:p>
    <w:p w14:paraId="3BC348E1">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p>
    <w:p w14:paraId="0DC94C78">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p>
    <w:p w14:paraId="2233164A">
      <w:pP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br w:type="page"/>
      </w:r>
    </w:p>
    <w:bookmarkEnd w:id="34"/>
    <w:bookmarkEnd w:id="35"/>
    <w:p w14:paraId="70CE3B7A">
      <w:pPr>
        <w:numPr>
          <w:ilvl w:val="0"/>
          <w:numId w:val="39"/>
        </w:numPr>
        <w:adjustRightInd/>
        <w:spacing w:line="360" w:lineRule="auto"/>
        <w:ind w:left="0" w:leftChars="0" w:firstLine="0" w:firstLineChars="0"/>
        <w:jc w:val="center"/>
        <w:outlineLvl w:val="0"/>
        <w:rPr>
          <w:rFonts w:hint="eastAsia" w:ascii="宋体" w:hAnsi="宋体" w:eastAsia="宋体" w:cs="宋体"/>
          <w:b/>
          <w:sz w:val="24"/>
          <w:szCs w:val="24"/>
          <w:highlight w:val="none"/>
        </w:rPr>
      </w:pPr>
      <w:bookmarkStart w:id="151" w:name="_Toc31602"/>
      <w:bookmarkStart w:id="152" w:name="第四部分"/>
      <w:r>
        <w:rPr>
          <w:rFonts w:hint="eastAsia" w:ascii="宋体" w:hAnsi="宋体" w:eastAsia="宋体" w:cs="宋体"/>
          <w:b/>
          <w:sz w:val="24"/>
          <w:szCs w:val="24"/>
          <w:highlight w:val="none"/>
        </w:rPr>
        <w:t>评审方法及评审标准</w:t>
      </w:r>
      <w:bookmarkEnd w:id="151"/>
    </w:p>
    <w:p w14:paraId="12593EDB">
      <w:pPr>
        <w:numPr>
          <w:ilvl w:val="0"/>
          <w:numId w:val="0"/>
        </w:numPr>
        <w:adjustRightInd/>
        <w:spacing w:line="360" w:lineRule="auto"/>
        <w:ind w:leftChars="0"/>
        <w:jc w:val="both"/>
        <w:outlineLvl w:val="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标项一：</w:t>
      </w:r>
    </w:p>
    <w:tbl>
      <w:tblPr>
        <w:tblStyle w:val="641"/>
        <w:tblW w:w="93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9"/>
        <w:gridCol w:w="1221"/>
        <w:gridCol w:w="7105"/>
      </w:tblGrid>
      <w:tr w14:paraId="42B2A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260" w:type="dxa"/>
            <w:gridSpan w:val="2"/>
            <w:vAlign w:val="top"/>
          </w:tcPr>
          <w:p w14:paraId="2D982222">
            <w:pPr>
              <w:pStyle w:val="226"/>
              <w:spacing w:before="150" w:line="219" w:lineRule="auto"/>
              <w:ind w:left="656"/>
              <w:rPr>
                <w:rFonts w:hint="eastAsia" w:ascii="宋体" w:hAnsi="宋体" w:eastAsia="宋体" w:cs="宋体"/>
                <w:sz w:val="24"/>
                <w:szCs w:val="24"/>
                <w:highlight w:val="none"/>
              </w:rPr>
            </w:pPr>
            <w:bookmarkStart w:id="153" w:name="_Toc30667"/>
            <w:r>
              <w:rPr>
                <w:rFonts w:hint="eastAsia" w:ascii="宋体" w:hAnsi="宋体" w:eastAsia="宋体" w:cs="宋体"/>
                <w:spacing w:val="-3"/>
                <w:sz w:val="24"/>
                <w:szCs w:val="24"/>
                <w:highlight w:val="none"/>
              </w:rPr>
              <w:t>评审因素</w:t>
            </w:r>
          </w:p>
        </w:tc>
        <w:tc>
          <w:tcPr>
            <w:tcW w:w="7105" w:type="dxa"/>
            <w:vAlign w:val="top"/>
          </w:tcPr>
          <w:p w14:paraId="5837633F">
            <w:pPr>
              <w:pStyle w:val="226"/>
              <w:spacing w:before="149" w:line="220" w:lineRule="auto"/>
              <w:ind w:left="3076"/>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评分标准</w:t>
            </w:r>
          </w:p>
        </w:tc>
      </w:tr>
      <w:tr w14:paraId="5BFEE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0" w:hRule="atLeast"/>
        </w:trPr>
        <w:tc>
          <w:tcPr>
            <w:tcW w:w="1039" w:type="dxa"/>
            <w:vMerge w:val="restart"/>
            <w:tcBorders>
              <w:bottom w:val="nil"/>
            </w:tcBorders>
            <w:vAlign w:val="top"/>
          </w:tcPr>
          <w:p w14:paraId="03F1F052">
            <w:pPr>
              <w:spacing w:line="245" w:lineRule="auto"/>
              <w:rPr>
                <w:rFonts w:hint="eastAsia" w:ascii="宋体" w:hAnsi="宋体" w:eastAsia="宋体" w:cs="宋体"/>
                <w:sz w:val="24"/>
                <w:szCs w:val="24"/>
                <w:highlight w:val="none"/>
              </w:rPr>
            </w:pPr>
          </w:p>
          <w:p w14:paraId="6F777F4A">
            <w:pPr>
              <w:spacing w:line="245" w:lineRule="auto"/>
              <w:rPr>
                <w:rFonts w:hint="eastAsia" w:ascii="宋体" w:hAnsi="宋体" w:eastAsia="宋体" w:cs="宋体"/>
                <w:sz w:val="24"/>
                <w:szCs w:val="24"/>
                <w:highlight w:val="none"/>
              </w:rPr>
            </w:pPr>
          </w:p>
          <w:p w14:paraId="707D1639">
            <w:pPr>
              <w:spacing w:line="245" w:lineRule="auto"/>
              <w:rPr>
                <w:rFonts w:hint="eastAsia" w:ascii="宋体" w:hAnsi="宋体" w:eastAsia="宋体" w:cs="宋体"/>
                <w:sz w:val="24"/>
                <w:szCs w:val="24"/>
                <w:highlight w:val="none"/>
              </w:rPr>
            </w:pPr>
          </w:p>
          <w:p w14:paraId="40B67EA3">
            <w:pPr>
              <w:spacing w:line="245" w:lineRule="auto"/>
              <w:rPr>
                <w:rFonts w:hint="eastAsia" w:ascii="宋体" w:hAnsi="宋体" w:eastAsia="宋体" w:cs="宋体"/>
                <w:sz w:val="24"/>
                <w:szCs w:val="24"/>
                <w:highlight w:val="none"/>
              </w:rPr>
            </w:pPr>
          </w:p>
          <w:p w14:paraId="0EA828C7">
            <w:pPr>
              <w:spacing w:line="246" w:lineRule="auto"/>
              <w:rPr>
                <w:rFonts w:hint="eastAsia" w:ascii="宋体" w:hAnsi="宋体" w:eastAsia="宋体" w:cs="宋体"/>
                <w:sz w:val="24"/>
                <w:szCs w:val="24"/>
                <w:highlight w:val="none"/>
              </w:rPr>
            </w:pPr>
          </w:p>
          <w:p w14:paraId="2547C26D">
            <w:pPr>
              <w:spacing w:line="246" w:lineRule="auto"/>
              <w:rPr>
                <w:rFonts w:hint="eastAsia" w:ascii="宋体" w:hAnsi="宋体" w:eastAsia="宋体" w:cs="宋体"/>
                <w:sz w:val="24"/>
                <w:szCs w:val="24"/>
                <w:highlight w:val="none"/>
              </w:rPr>
            </w:pPr>
          </w:p>
          <w:p w14:paraId="4F989764">
            <w:pPr>
              <w:spacing w:line="246" w:lineRule="auto"/>
              <w:rPr>
                <w:rFonts w:hint="eastAsia" w:ascii="宋体" w:hAnsi="宋体" w:eastAsia="宋体" w:cs="宋体"/>
                <w:sz w:val="24"/>
                <w:szCs w:val="24"/>
                <w:highlight w:val="none"/>
              </w:rPr>
            </w:pPr>
          </w:p>
          <w:p w14:paraId="219BA2B5">
            <w:pPr>
              <w:spacing w:line="246" w:lineRule="auto"/>
              <w:rPr>
                <w:rFonts w:hint="eastAsia" w:ascii="宋体" w:hAnsi="宋体" w:eastAsia="宋体" w:cs="宋体"/>
                <w:sz w:val="24"/>
                <w:szCs w:val="24"/>
                <w:highlight w:val="none"/>
              </w:rPr>
            </w:pPr>
          </w:p>
          <w:p w14:paraId="4C94748E">
            <w:pPr>
              <w:spacing w:line="246" w:lineRule="auto"/>
              <w:rPr>
                <w:rFonts w:hint="eastAsia" w:ascii="宋体" w:hAnsi="宋体" w:eastAsia="宋体" w:cs="宋体"/>
                <w:sz w:val="24"/>
                <w:szCs w:val="24"/>
                <w:highlight w:val="none"/>
              </w:rPr>
            </w:pPr>
          </w:p>
          <w:p w14:paraId="75F892CC">
            <w:pPr>
              <w:spacing w:line="246" w:lineRule="auto"/>
              <w:rPr>
                <w:rFonts w:hint="eastAsia" w:ascii="宋体" w:hAnsi="宋体" w:eastAsia="宋体" w:cs="宋体"/>
                <w:sz w:val="24"/>
                <w:szCs w:val="24"/>
                <w:highlight w:val="none"/>
              </w:rPr>
            </w:pPr>
          </w:p>
          <w:p w14:paraId="6878BABB">
            <w:pPr>
              <w:spacing w:line="246" w:lineRule="auto"/>
              <w:rPr>
                <w:rFonts w:hint="eastAsia" w:ascii="宋体" w:hAnsi="宋体" w:eastAsia="宋体" w:cs="宋体"/>
                <w:sz w:val="24"/>
                <w:szCs w:val="24"/>
                <w:highlight w:val="none"/>
              </w:rPr>
            </w:pPr>
          </w:p>
          <w:p w14:paraId="605738B6">
            <w:pPr>
              <w:spacing w:line="246" w:lineRule="auto"/>
              <w:rPr>
                <w:rFonts w:hint="eastAsia" w:ascii="宋体" w:hAnsi="宋体" w:eastAsia="宋体" w:cs="宋体"/>
                <w:sz w:val="24"/>
                <w:szCs w:val="24"/>
                <w:highlight w:val="none"/>
              </w:rPr>
            </w:pPr>
          </w:p>
          <w:p w14:paraId="3D289EC6">
            <w:pPr>
              <w:spacing w:line="246" w:lineRule="auto"/>
              <w:rPr>
                <w:rFonts w:hint="eastAsia" w:ascii="宋体" w:hAnsi="宋体" w:eastAsia="宋体" w:cs="宋体"/>
                <w:sz w:val="24"/>
                <w:szCs w:val="24"/>
                <w:highlight w:val="none"/>
              </w:rPr>
            </w:pPr>
          </w:p>
          <w:p w14:paraId="2C9209CB">
            <w:pPr>
              <w:spacing w:line="246" w:lineRule="auto"/>
              <w:rPr>
                <w:rFonts w:hint="eastAsia" w:ascii="宋体" w:hAnsi="宋体" w:eastAsia="宋体" w:cs="宋体"/>
                <w:sz w:val="24"/>
                <w:szCs w:val="24"/>
                <w:highlight w:val="none"/>
              </w:rPr>
            </w:pPr>
          </w:p>
          <w:p w14:paraId="6FBD6B1E">
            <w:pPr>
              <w:spacing w:line="246" w:lineRule="auto"/>
              <w:rPr>
                <w:rFonts w:hint="eastAsia" w:ascii="宋体" w:hAnsi="宋体" w:eastAsia="宋体" w:cs="宋体"/>
                <w:sz w:val="24"/>
                <w:szCs w:val="24"/>
                <w:highlight w:val="none"/>
              </w:rPr>
            </w:pPr>
          </w:p>
          <w:p w14:paraId="5766A38B">
            <w:pPr>
              <w:spacing w:line="246" w:lineRule="auto"/>
              <w:rPr>
                <w:rFonts w:hint="eastAsia" w:ascii="宋体" w:hAnsi="宋体" w:eastAsia="宋体" w:cs="宋体"/>
                <w:sz w:val="24"/>
                <w:szCs w:val="24"/>
                <w:highlight w:val="none"/>
              </w:rPr>
            </w:pPr>
          </w:p>
          <w:p w14:paraId="7A61CD49">
            <w:pPr>
              <w:spacing w:line="246" w:lineRule="auto"/>
              <w:rPr>
                <w:rFonts w:hint="eastAsia" w:ascii="宋体" w:hAnsi="宋体" w:eastAsia="宋体" w:cs="宋体"/>
                <w:sz w:val="24"/>
                <w:szCs w:val="24"/>
                <w:highlight w:val="none"/>
              </w:rPr>
            </w:pPr>
          </w:p>
          <w:p w14:paraId="7038DE88">
            <w:pPr>
              <w:spacing w:line="246" w:lineRule="auto"/>
              <w:rPr>
                <w:rFonts w:hint="eastAsia" w:ascii="宋体" w:hAnsi="宋体" w:eastAsia="宋体" w:cs="宋体"/>
                <w:sz w:val="24"/>
                <w:szCs w:val="24"/>
                <w:highlight w:val="none"/>
              </w:rPr>
            </w:pPr>
          </w:p>
          <w:p w14:paraId="562C8384">
            <w:pPr>
              <w:spacing w:line="246" w:lineRule="auto"/>
              <w:rPr>
                <w:rFonts w:hint="eastAsia" w:ascii="宋体" w:hAnsi="宋体" w:eastAsia="宋体" w:cs="宋体"/>
                <w:sz w:val="24"/>
                <w:szCs w:val="24"/>
                <w:highlight w:val="none"/>
              </w:rPr>
            </w:pPr>
          </w:p>
          <w:p w14:paraId="65DA4C69">
            <w:pPr>
              <w:spacing w:line="246" w:lineRule="auto"/>
              <w:rPr>
                <w:rFonts w:hint="eastAsia" w:ascii="宋体" w:hAnsi="宋体" w:eastAsia="宋体" w:cs="宋体"/>
                <w:sz w:val="24"/>
                <w:szCs w:val="24"/>
                <w:highlight w:val="none"/>
              </w:rPr>
            </w:pPr>
          </w:p>
          <w:p w14:paraId="1232757F">
            <w:pPr>
              <w:spacing w:line="246" w:lineRule="auto"/>
              <w:rPr>
                <w:rFonts w:hint="eastAsia" w:ascii="宋体" w:hAnsi="宋体" w:eastAsia="宋体" w:cs="宋体"/>
                <w:sz w:val="24"/>
                <w:szCs w:val="24"/>
                <w:highlight w:val="none"/>
              </w:rPr>
            </w:pPr>
          </w:p>
          <w:p w14:paraId="348BD322">
            <w:pPr>
              <w:spacing w:line="246" w:lineRule="auto"/>
              <w:rPr>
                <w:rFonts w:hint="eastAsia" w:ascii="宋体" w:hAnsi="宋体" w:eastAsia="宋体" w:cs="宋体"/>
                <w:sz w:val="24"/>
                <w:szCs w:val="24"/>
                <w:highlight w:val="none"/>
              </w:rPr>
            </w:pPr>
          </w:p>
          <w:p w14:paraId="2B0D548F">
            <w:pPr>
              <w:spacing w:line="246" w:lineRule="auto"/>
              <w:rPr>
                <w:rFonts w:hint="eastAsia" w:ascii="宋体" w:hAnsi="宋体" w:eastAsia="宋体" w:cs="宋体"/>
                <w:sz w:val="24"/>
                <w:szCs w:val="24"/>
                <w:highlight w:val="none"/>
              </w:rPr>
            </w:pPr>
          </w:p>
          <w:p w14:paraId="2ED4944E">
            <w:pPr>
              <w:pStyle w:val="226"/>
              <w:spacing w:before="78" w:line="219" w:lineRule="auto"/>
              <w:ind w:left="16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商务评</w:t>
            </w:r>
          </w:p>
          <w:p w14:paraId="69A1C73D">
            <w:pPr>
              <w:pStyle w:val="226"/>
              <w:spacing w:before="115" w:line="220" w:lineRule="auto"/>
              <w:ind w:left="168"/>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分标准</w:t>
            </w:r>
          </w:p>
          <w:p w14:paraId="3DC1825B">
            <w:pPr>
              <w:pStyle w:val="226"/>
              <w:spacing w:before="114" w:line="309" w:lineRule="auto"/>
              <w:ind w:left="288" w:right="278" w:firstLine="8"/>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（40分）</w:t>
            </w:r>
          </w:p>
        </w:tc>
        <w:tc>
          <w:tcPr>
            <w:tcW w:w="1221" w:type="dxa"/>
            <w:vAlign w:val="top"/>
          </w:tcPr>
          <w:p w14:paraId="1550AE29">
            <w:pPr>
              <w:spacing w:line="337" w:lineRule="auto"/>
              <w:rPr>
                <w:rFonts w:hint="eastAsia" w:ascii="宋体" w:hAnsi="宋体" w:eastAsia="宋体" w:cs="宋体"/>
                <w:sz w:val="24"/>
                <w:szCs w:val="24"/>
                <w:highlight w:val="none"/>
              </w:rPr>
            </w:pPr>
          </w:p>
          <w:p w14:paraId="23B411F0">
            <w:pPr>
              <w:spacing w:line="338" w:lineRule="auto"/>
              <w:rPr>
                <w:rFonts w:hint="eastAsia" w:ascii="宋体" w:hAnsi="宋体" w:eastAsia="宋体" w:cs="宋体"/>
                <w:sz w:val="24"/>
                <w:szCs w:val="24"/>
                <w:highlight w:val="none"/>
              </w:rPr>
            </w:pPr>
          </w:p>
          <w:p w14:paraId="237A2AEE">
            <w:pPr>
              <w:pStyle w:val="226"/>
              <w:spacing w:before="78" w:line="220" w:lineRule="auto"/>
              <w:ind w:left="14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企业业绩</w:t>
            </w:r>
          </w:p>
          <w:p w14:paraId="32CE17E3">
            <w:pPr>
              <w:pStyle w:val="226"/>
              <w:spacing w:before="114" w:line="220" w:lineRule="auto"/>
              <w:ind w:left="124"/>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（12分）</w:t>
            </w:r>
          </w:p>
        </w:tc>
        <w:tc>
          <w:tcPr>
            <w:tcW w:w="7105" w:type="dxa"/>
            <w:vAlign w:val="top"/>
          </w:tcPr>
          <w:p w14:paraId="614D955A">
            <w:pPr>
              <w:pStyle w:val="226"/>
              <w:spacing w:before="159" w:line="307" w:lineRule="auto"/>
              <w:ind w:left="116" w:right="108" w:hanging="4"/>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近3年（2022年1月1日至今，以合同签订时间为准）每完成过1</w:t>
            </w:r>
            <w:r>
              <w:rPr>
                <w:rFonts w:hint="eastAsia" w:ascii="宋体" w:hAnsi="宋体" w:eastAsia="宋体" w:cs="宋体"/>
                <w:spacing w:val="-4"/>
                <w:sz w:val="24"/>
                <w:szCs w:val="24"/>
                <w:highlight w:val="none"/>
              </w:rPr>
              <w:t>项类似项目业绩得3分，本项最多得12分；</w:t>
            </w:r>
          </w:p>
          <w:p w14:paraId="2C14E88F">
            <w:pPr>
              <w:pStyle w:val="226"/>
              <w:spacing w:before="3" w:line="287" w:lineRule="auto"/>
              <w:ind w:left="112" w:right="110"/>
              <w:jc w:val="both"/>
              <w:rPr>
                <w:rFonts w:hint="eastAsia" w:ascii="宋体" w:hAnsi="宋体" w:eastAsia="宋体" w:cs="宋体"/>
                <w:sz w:val="24"/>
                <w:szCs w:val="24"/>
                <w:highlight w:val="none"/>
              </w:rPr>
            </w:pPr>
            <w:r>
              <w:rPr>
                <w:rFonts w:hint="eastAsia" w:ascii="宋体" w:hAnsi="宋体" w:eastAsia="宋体" w:cs="宋体"/>
                <w:b w:val="0"/>
                <w:bCs w:val="0"/>
                <w:spacing w:val="-6"/>
                <w:sz w:val="24"/>
                <w:szCs w:val="24"/>
                <w:highlight w:val="none"/>
              </w:rPr>
              <w:t>业绩证明材料：合同协议书，提供包含合同首页、标的内容及金额所在页、签字盖章页等关键页即可，需加盖公章，合同关键处不得</w:t>
            </w:r>
            <w:r>
              <w:rPr>
                <w:rFonts w:hint="eastAsia" w:ascii="宋体" w:hAnsi="宋体" w:eastAsia="宋体" w:cs="宋体"/>
                <w:b w:val="0"/>
                <w:bCs w:val="0"/>
                <w:spacing w:val="-7"/>
                <w:sz w:val="24"/>
                <w:szCs w:val="24"/>
                <w:highlight w:val="none"/>
              </w:rPr>
              <w:t>遮挡涂黑，日期清晰明确。</w:t>
            </w:r>
          </w:p>
        </w:tc>
      </w:tr>
      <w:tr w14:paraId="64FA3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8" w:hRule="atLeast"/>
        </w:trPr>
        <w:tc>
          <w:tcPr>
            <w:tcW w:w="1039" w:type="dxa"/>
            <w:vMerge w:val="continue"/>
            <w:tcBorders>
              <w:top w:val="nil"/>
              <w:bottom w:val="nil"/>
            </w:tcBorders>
            <w:vAlign w:val="top"/>
          </w:tcPr>
          <w:p w14:paraId="30F610A2">
            <w:pPr>
              <w:rPr>
                <w:rFonts w:hint="eastAsia" w:ascii="宋体" w:hAnsi="宋体" w:eastAsia="宋体" w:cs="宋体"/>
                <w:sz w:val="24"/>
                <w:szCs w:val="24"/>
                <w:highlight w:val="none"/>
              </w:rPr>
            </w:pPr>
          </w:p>
        </w:tc>
        <w:tc>
          <w:tcPr>
            <w:tcW w:w="1221" w:type="dxa"/>
            <w:vAlign w:val="top"/>
          </w:tcPr>
          <w:p w14:paraId="57754FFA">
            <w:pPr>
              <w:spacing w:line="271" w:lineRule="auto"/>
              <w:rPr>
                <w:rFonts w:hint="eastAsia" w:ascii="宋体" w:hAnsi="宋体" w:eastAsia="宋体" w:cs="宋体"/>
                <w:sz w:val="24"/>
                <w:szCs w:val="24"/>
                <w:highlight w:val="none"/>
              </w:rPr>
            </w:pPr>
          </w:p>
          <w:p w14:paraId="178167BB">
            <w:pPr>
              <w:spacing w:line="271" w:lineRule="auto"/>
              <w:rPr>
                <w:rFonts w:hint="eastAsia" w:ascii="宋体" w:hAnsi="宋体" w:eastAsia="宋体" w:cs="宋体"/>
                <w:sz w:val="24"/>
                <w:szCs w:val="24"/>
                <w:highlight w:val="none"/>
              </w:rPr>
            </w:pPr>
          </w:p>
          <w:p w14:paraId="3E570103">
            <w:pPr>
              <w:spacing w:line="271" w:lineRule="auto"/>
              <w:rPr>
                <w:rFonts w:hint="eastAsia" w:ascii="宋体" w:hAnsi="宋体" w:eastAsia="宋体" w:cs="宋体"/>
                <w:sz w:val="24"/>
                <w:szCs w:val="24"/>
                <w:highlight w:val="none"/>
              </w:rPr>
            </w:pPr>
          </w:p>
          <w:p w14:paraId="52037EC1">
            <w:pPr>
              <w:spacing w:line="271" w:lineRule="auto"/>
              <w:rPr>
                <w:rFonts w:hint="eastAsia" w:ascii="宋体" w:hAnsi="宋体" w:eastAsia="宋体" w:cs="宋体"/>
                <w:sz w:val="24"/>
                <w:szCs w:val="24"/>
                <w:highlight w:val="none"/>
              </w:rPr>
            </w:pPr>
          </w:p>
          <w:p w14:paraId="71B70738">
            <w:pPr>
              <w:spacing w:line="272" w:lineRule="auto"/>
              <w:rPr>
                <w:rFonts w:hint="eastAsia" w:ascii="宋体" w:hAnsi="宋体" w:eastAsia="宋体" w:cs="宋体"/>
                <w:sz w:val="24"/>
                <w:szCs w:val="24"/>
                <w:highlight w:val="none"/>
              </w:rPr>
            </w:pPr>
          </w:p>
          <w:p w14:paraId="32FACE2F">
            <w:pPr>
              <w:spacing w:line="272" w:lineRule="auto"/>
              <w:rPr>
                <w:rFonts w:hint="eastAsia" w:ascii="宋体" w:hAnsi="宋体" w:eastAsia="宋体" w:cs="宋体"/>
                <w:sz w:val="24"/>
                <w:szCs w:val="24"/>
                <w:highlight w:val="none"/>
              </w:rPr>
            </w:pPr>
          </w:p>
          <w:p w14:paraId="2EE7793F">
            <w:pPr>
              <w:pStyle w:val="226"/>
              <w:spacing w:before="78" w:line="219" w:lineRule="auto"/>
              <w:ind w:left="14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企业实力</w:t>
            </w:r>
          </w:p>
          <w:p w14:paraId="0415227B">
            <w:pPr>
              <w:pStyle w:val="226"/>
              <w:spacing w:before="115" w:line="220" w:lineRule="auto"/>
              <w:ind w:left="176"/>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（8分）</w:t>
            </w:r>
          </w:p>
        </w:tc>
        <w:tc>
          <w:tcPr>
            <w:tcW w:w="7105" w:type="dxa"/>
            <w:vAlign w:val="top"/>
          </w:tcPr>
          <w:p w14:paraId="7E95FFBB">
            <w:pPr>
              <w:pStyle w:val="226"/>
              <w:spacing w:before="116" w:line="263" w:lineRule="auto"/>
              <w:ind w:left="113" w:right="108" w:firstLine="1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1、供应商具有中国合格评定国家认可委员</w:t>
            </w:r>
            <w:r>
              <w:rPr>
                <w:rFonts w:hint="eastAsia" w:ascii="宋体" w:hAnsi="宋体" w:eastAsia="宋体" w:cs="宋体"/>
                <w:sz w:val="24"/>
                <w:szCs w:val="24"/>
                <w:highlight w:val="none"/>
              </w:rPr>
              <w:t>会颁发的检验机构认可</w:t>
            </w:r>
            <w:r>
              <w:rPr>
                <w:rFonts w:hint="eastAsia" w:ascii="宋体" w:hAnsi="宋体" w:eastAsia="宋体" w:cs="宋体"/>
                <w:spacing w:val="-6"/>
                <w:sz w:val="24"/>
                <w:szCs w:val="24"/>
                <w:highlight w:val="none"/>
              </w:rPr>
              <w:t>证书得2分；</w:t>
            </w:r>
          </w:p>
          <w:p w14:paraId="250A2727">
            <w:pPr>
              <w:pStyle w:val="226"/>
              <w:spacing w:before="116" w:line="263" w:lineRule="auto"/>
              <w:ind w:left="116" w:right="10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2、供应商具有信息安全服务资质认证证书-信息系统安全运维（二</w:t>
            </w:r>
            <w:r>
              <w:rPr>
                <w:rFonts w:hint="eastAsia" w:ascii="宋体" w:hAnsi="宋体" w:eastAsia="宋体" w:cs="宋体"/>
                <w:spacing w:val="-5"/>
                <w:sz w:val="24"/>
                <w:szCs w:val="24"/>
                <w:highlight w:val="none"/>
              </w:rPr>
              <w:t>级及以上）得2分；</w:t>
            </w:r>
          </w:p>
          <w:p w14:paraId="703EDA08">
            <w:pPr>
              <w:pStyle w:val="226"/>
              <w:spacing w:before="115" w:line="264" w:lineRule="auto"/>
              <w:ind w:left="117" w:right="10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3、供应商具有信息安全服务资质认证证书-信息安全应急处理（二</w:t>
            </w:r>
            <w:r>
              <w:rPr>
                <w:rFonts w:hint="eastAsia" w:ascii="宋体" w:hAnsi="宋体" w:eastAsia="宋体" w:cs="宋体"/>
                <w:spacing w:val="-5"/>
                <w:sz w:val="24"/>
                <w:szCs w:val="24"/>
                <w:highlight w:val="none"/>
              </w:rPr>
              <w:t>级及以上）得2分；</w:t>
            </w:r>
          </w:p>
          <w:p w14:paraId="2B56718C">
            <w:pPr>
              <w:pStyle w:val="226"/>
              <w:spacing w:before="112" w:line="264" w:lineRule="auto"/>
              <w:ind w:left="116" w:right="108" w:hanging="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4、供应商具有信息安全服务资质认证证书-信息安全风险评估（二</w:t>
            </w:r>
            <w:r>
              <w:rPr>
                <w:rFonts w:hint="eastAsia" w:ascii="宋体" w:hAnsi="宋体" w:eastAsia="宋体" w:cs="宋体"/>
                <w:spacing w:val="-5"/>
                <w:sz w:val="24"/>
                <w:szCs w:val="24"/>
                <w:highlight w:val="none"/>
              </w:rPr>
              <w:t>级及以上）得2分；</w:t>
            </w:r>
          </w:p>
          <w:p w14:paraId="3E7892C5">
            <w:pPr>
              <w:pStyle w:val="226"/>
              <w:spacing w:before="116" w:line="260" w:lineRule="auto"/>
              <w:ind w:left="113" w:right="108"/>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注：须按要求提供相关证书复印件加盖公章，未提供或不按要求提</w:t>
            </w:r>
            <w:r>
              <w:rPr>
                <w:rFonts w:hint="eastAsia" w:ascii="宋体" w:hAnsi="宋体" w:eastAsia="宋体" w:cs="宋体"/>
                <w:b/>
                <w:bCs/>
                <w:spacing w:val="-4"/>
                <w:sz w:val="24"/>
                <w:szCs w:val="24"/>
                <w:highlight w:val="none"/>
              </w:rPr>
              <w:t>供的不得分。</w:t>
            </w:r>
          </w:p>
        </w:tc>
      </w:tr>
      <w:tr w14:paraId="2F3EB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5" w:hRule="atLeast"/>
        </w:trPr>
        <w:tc>
          <w:tcPr>
            <w:tcW w:w="1039" w:type="dxa"/>
            <w:vMerge w:val="continue"/>
            <w:tcBorders>
              <w:top w:val="nil"/>
            </w:tcBorders>
            <w:vAlign w:val="top"/>
          </w:tcPr>
          <w:p w14:paraId="65F91EB0">
            <w:pPr>
              <w:rPr>
                <w:rFonts w:hint="eastAsia" w:ascii="宋体" w:hAnsi="宋体" w:eastAsia="宋体" w:cs="宋体"/>
                <w:sz w:val="24"/>
                <w:szCs w:val="24"/>
                <w:highlight w:val="none"/>
              </w:rPr>
            </w:pPr>
          </w:p>
        </w:tc>
        <w:tc>
          <w:tcPr>
            <w:tcW w:w="1221" w:type="dxa"/>
            <w:vAlign w:val="top"/>
          </w:tcPr>
          <w:p w14:paraId="6F06B557">
            <w:pPr>
              <w:spacing w:line="256" w:lineRule="auto"/>
              <w:rPr>
                <w:rFonts w:hint="eastAsia" w:ascii="宋体" w:hAnsi="宋体" w:eastAsia="宋体" w:cs="宋体"/>
                <w:sz w:val="24"/>
                <w:szCs w:val="24"/>
                <w:highlight w:val="none"/>
              </w:rPr>
            </w:pPr>
          </w:p>
          <w:p w14:paraId="5D9A6CAE">
            <w:pPr>
              <w:spacing w:line="256" w:lineRule="auto"/>
              <w:rPr>
                <w:rFonts w:hint="eastAsia" w:ascii="宋体" w:hAnsi="宋体" w:eastAsia="宋体" w:cs="宋体"/>
                <w:sz w:val="24"/>
                <w:szCs w:val="24"/>
                <w:highlight w:val="none"/>
              </w:rPr>
            </w:pPr>
          </w:p>
          <w:p w14:paraId="08318631">
            <w:pPr>
              <w:spacing w:line="256" w:lineRule="auto"/>
              <w:rPr>
                <w:rFonts w:hint="eastAsia" w:ascii="宋体" w:hAnsi="宋体" w:eastAsia="宋体" w:cs="宋体"/>
                <w:sz w:val="24"/>
                <w:szCs w:val="24"/>
                <w:highlight w:val="none"/>
              </w:rPr>
            </w:pPr>
          </w:p>
          <w:p w14:paraId="28986064">
            <w:pPr>
              <w:spacing w:line="256" w:lineRule="auto"/>
              <w:rPr>
                <w:rFonts w:hint="eastAsia" w:ascii="宋体" w:hAnsi="宋体" w:eastAsia="宋体" w:cs="宋体"/>
                <w:sz w:val="24"/>
                <w:szCs w:val="24"/>
                <w:highlight w:val="none"/>
              </w:rPr>
            </w:pPr>
          </w:p>
          <w:p w14:paraId="50EFE585">
            <w:pPr>
              <w:spacing w:line="257" w:lineRule="auto"/>
              <w:rPr>
                <w:rFonts w:hint="eastAsia" w:ascii="宋体" w:hAnsi="宋体" w:eastAsia="宋体" w:cs="宋体"/>
                <w:sz w:val="24"/>
                <w:szCs w:val="24"/>
                <w:highlight w:val="none"/>
              </w:rPr>
            </w:pPr>
          </w:p>
          <w:p w14:paraId="70FABA03">
            <w:pPr>
              <w:spacing w:line="257" w:lineRule="auto"/>
              <w:rPr>
                <w:rFonts w:hint="eastAsia" w:ascii="宋体" w:hAnsi="宋体" w:eastAsia="宋体" w:cs="宋体"/>
                <w:sz w:val="24"/>
                <w:szCs w:val="24"/>
                <w:highlight w:val="none"/>
              </w:rPr>
            </w:pPr>
          </w:p>
          <w:p w14:paraId="29A2C3EC">
            <w:pPr>
              <w:spacing w:line="257" w:lineRule="auto"/>
              <w:rPr>
                <w:rFonts w:hint="eastAsia" w:ascii="宋体" w:hAnsi="宋体" w:eastAsia="宋体" w:cs="宋体"/>
                <w:sz w:val="24"/>
                <w:szCs w:val="24"/>
                <w:highlight w:val="none"/>
              </w:rPr>
            </w:pPr>
          </w:p>
          <w:p w14:paraId="328A4EAC">
            <w:pPr>
              <w:pStyle w:val="226"/>
              <w:spacing w:before="78" w:line="307" w:lineRule="auto"/>
              <w:ind w:left="113" w:right="128" w:firstLine="2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人员配备情况（20</w:t>
            </w:r>
          </w:p>
          <w:p w14:paraId="22EAC91A">
            <w:pPr>
              <w:pStyle w:val="226"/>
              <w:spacing w:line="220" w:lineRule="auto"/>
              <w:ind w:left="37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分）</w:t>
            </w:r>
          </w:p>
        </w:tc>
        <w:tc>
          <w:tcPr>
            <w:tcW w:w="7105" w:type="dxa"/>
            <w:vAlign w:val="top"/>
          </w:tcPr>
          <w:p w14:paraId="40960FDF">
            <w:pPr>
              <w:pStyle w:val="226"/>
              <w:spacing w:before="116" w:line="264" w:lineRule="auto"/>
              <w:ind w:left="112" w:right="1155" w:firstLine="18"/>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1、供应商项目组不少于5人（含5人）得基本分2分。</w:t>
            </w:r>
            <w:r>
              <w:rPr>
                <w:rFonts w:hint="eastAsia" w:ascii="宋体" w:hAnsi="宋体" w:eastAsia="宋体" w:cs="宋体"/>
                <w:b/>
                <w:bCs/>
                <w:spacing w:val="-8"/>
                <w:sz w:val="24"/>
                <w:szCs w:val="24"/>
                <w:highlight w:val="none"/>
              </w:rPr>
              <w:t>在满足条件1的基础上：</w:t>
            </w:r>
          </w:p>
          <w:p w14:paraId="1C90C96C">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2、项目负责人：①具有信息安全或网络安全等级测评师证书（高</w:t>
            </w:r>
            <w:r>
              <w:rPr>
                <w:rFonts w:hint="eastAsia" w:ascii="宋体" w:hAnsi="宋体" w:eastAsia="宋体" w:cs="宋体"/>
                <w:spacing w:val="-2"/>
                <w:sz w:val="24"/>
                <w:szCs w:val="24"/>
                <w:highlight w:val="none"/>
              </w:rPr>
              <w:t>级）得2分，或具有信息安全或网络安全等级测评师证书（中级）</w:t>
            </w:r>
            <w:r>
              <w:rPr>
                <w:rFonts w:hint="eastAsia" w:ascii="宋体" w:hAnsi="宋体" w:eastAsia="宋体" w:cs="宋体"/>
                <w:spacing w:val="-5"/>
                <w:sz w:val="24"/>
                <w:szCs w:val="24"/>
                <w:highlight w:val="none"/>
              </w:rPr>
              <w:t>得1分；②具有信息系统项目管理师（高级）得2分；③具有</w:t>
            </w:r>
            <w:r>
              <w:rPr>
                <w:rFonts w:hint="eastAsia" w:ascii="宋体" w:hAnsi="宋体" w:eastAsia="宋体" w:cs="宋体"/>
                <w:spacing w:val="-6"/>
                <w:sz w:val="24"/>
                <w:szCs w:val="24"/>
                <w:highlight w:val="none"/>
              </w:rPr>
              <w:t>交通</w:t>
            </w:r>
            <w:r>
              <w:rPr>
                <w:rFonts w:hint="eastAsia" w:ascii="宋体" w:hAnsi="宋体" w:eastAsia="宋体" w:cs="宋体"/>
                <w:spacing w:val="-4"/>
                <w:sz w:val="24"/>
                <w:szCs w:val="24"/>
                <w:highlight w:val="none"/>
              </w:rPr>
              <w:t>运输网络安全专业人员证书（TCSP）得2分，或具有注册信息安全</w:t>
            </w:r>
            <w:r>
              <w:rPr>
                <w:rFonts w:hint="eastAsia" w:ascii="宋体" w:hAnsi="宋体" w:eastAsia="宋体" w:cs="宋体"/>
                <w:spacing w:val="-3"/>
                <w:sz w:val="24"/>
                <w:szCs w:val="24"/>
                <w:highlight w:val="none"/>
              </w:rPr>
              <w:t>管理人员（CISP）证书得1分；此项最多得6</w:t>
            </w:r>
            <w:r>
              <w:rPr>
                <w:rFonts w:hint="eastAsia" w:ascii="宋体" w:hAnsi="宋体" w:eastAsia="宋体" w:cs="宋体"/>
                <w:spacing w:val="-4"/>
                <w:sz w:val="24"/>
                <w:szCs w:val="24"/>
                <w:highlight w:val="none"/>
              </w:rPr>
              <w:t>分。</w:t>
            </w:r>
          </w:p>
          <w:p w14:paraId="7A43E320">
            <w:pPr>
              <w:pStyle w:val="226"/>
              <w:spacing w:before="115" w:line="286" w:lineRule="auto"/>
              <w:ind w:left="113" w:right="57" w:firstLine="4"/>
              <w:rPr>
                <w:rFonts w:hint="eastAsia" w:ascii="宋体" w:hAnsi="宋体" w:eastAsia="宋体" w:cs="宋体"/>
                <w:sz w:val="24"/>
                <w:szCs w:val="24"/>
                <w:highlight w:val="none"/>
              </w:rPr>
            </w:pPr>
            <w:r>
              <w:rPr>
                <w:rFonts w:hint="eastAsia" w:ascii="宋体" w:hAnsi="宋体" w:eastAsia="宋体" w:cs="宋体"/>
                <w:sz w:val="24"/>
                <w:szCs w:val="24"/>
                <w:highlight w:val="none"/>
              </w:rPr>
              <w:t>3、其他检测人员（项目负责人外</w:t>
            </w:r>
            <w:r>
              <w:rPr>
                <w:rFonts w:hint="eastAsia" w:ascii="宋体" w:hAnsi="宋体" w:eastAsia="宋体" w:cs="宋体"/>
                <w:spacing w:val="20"/>
                <w:sz w:val="24"/>
                <w:szCs w:val="24"/>
                <w:highlight w:val="none"/>
              </w:rPr>
              <w:t>）：</w:t>
            </w:r>
            <w:r>
              <w:rPr>
                <w:rFonts w:hint="eastAsia" w:ascii="宋体" w:hAnsi="宋体" w:eastAsia="宋体" w:cs="宋体"/>
                <w:sz w:val="24"/>
                <w:szCs w:val="24"/>
                <w:highlight w:val="none"/>
              </w:rPr>
              <w:t>同时具有信息安</w:t>
            </w:r>
            <w:r>
              <w:rPr>
                <w:rFonts w:hint="eastAsia" w:ascii="宋体" w:hAnsi="宋体" w:eastAsia="宋体" w:cs="宋体"/>
                <w:spacing w:val="-1"/>
                <w:sz w:val="24"/>
                <w:szCs w:val="24"/>
                <w:highlight w:val="none"/>
              </w:rPr>
              <w:t>全或网络安全等级测评师证书（高级）且具有注册信息安全管理人员（CISP）</w:t>
            </w:r>
            <w:r>
              <w:rPr>
                <w:rFonts w:hint="eastAsia" w:ascii="宋体" w:hAnsi="宋体" w:eastAsia="宋体" w:cs="宋体"/>
                <w:spacing w:val="-5"/>
                <w:sz w:val="24"/>
                <w:szCs w:val="24"/>
                <w:highlight w:val="none"/>
              </w:rPr>
              <w:t>证书，每增加一个成员得2分，此项最多得4分，不同时提供不得分；</w:t>
            </w:r>
          </w:p>
          <w:p w14:paraId="14E7B5F5">
            <w:pPr>
              <w:pStyle w:val="226"/>
              <w:spacing w:before="113" w:line="278" w:lineRule="auto"/>
              <w:ind w:left="122" w:right="108" w:hanging="10"/>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4、其他检测人员（项目负责人外</w:t>
            </w:r>
            <w:r>
              <w:rPr>
                <w:rFonts w:hint="eastAsia" w:ascii="宋体" w:hAnsi="宋体" w:eastAsia="宋体" w:cs="宋体"/>
                <w:spacing w:val="-2"/>
                <w:sz w:val="24"/>
                <w:szCs w:val="24"/>
                <w:highlight w:val="none"/>
              </w:rPr>
              <w:t>）：</w:t>
            </w:r>
            <w:r>
              <w:rPr>
                <w:rFonts w:hint="eastAsia" w:ascii="宋体" w:hAnsi="宋体" w:eastAsia="宋体" w:cs="宋体"/>
                <w:spacing w:val="9"/>
                <w:sz w:val="24"/>
                <w:szCs w:val="24"/>
                <w:highlight w:val="none"/>
              </w:rPr>
              <w:t>具有注册渗透测</w:t>
            </w:r>
            <w:r>
              <w:rPr>
                <w:rFonts w:hint="eastAsia" w:ascii="宋体" w:hAnsi="宋体" w:eastAsia="宋体" w:cs="宋体"/>
                <w:spacing w:val="8"/>
                <w:sz w:val="24"/>
                <w:szCs w:val="24"/>
                <w:highlight w:val="none"/>
              </w:rPr>
              <w:t>试工程师</w:t>
            </w:r>
            <w:r>
              <w:rPr>
                <w:rFonts w:hint="eastAsia" w:ascii="宋体" w:hAnsi="宋体" w:eastAsia="宋体" w:cs="宋体"/>
                <w:spacing w:val="-3"/>
                <w:sz w:val="24"/>
                <w:szCs w:val="24"/>
                <w:highlight w:val="none"/>
              </w:rPr>
              <w:t>（CISP-PTE）证书或中国网络审查技术与认证中心颁发的数据安全官证书，每增加一个成员得2分，此项最多得4分；</w:t>
            </w:r>
          </w:p>
          <w:p w14:paraId="6D1AF8C6">
            <w:pPr>
              <w:pStyle w:val="226"/>
              <w:spacing w:before="112" w:line="277" w:lineRule="auto"/>
              <w:ind w:left="117" w:right="105"/>
              <w:rPr>
                <w:rFonts w:hint="eastAsia" w:ascii="宋体" w:hAnsi="宋体" w:eastAsia="宋体" w:cs="宋体"/>
                <w:sz w:val="24"/>
                <w:szCs w:val="24"/>
                <w:highlight w:val="none"/>
              </w:rPr>
            </w:pPr>
            <w:r>
              <w:rPr>
                <w:rFonts w:hint="eastAsia" w:ascii="宋体" w:hAnsi="宋体" w:eastAsia="宋体" w:cs="宋体"/>
                <w:sz w:val="24"/>
                <w:szCs w:val="24"/>
                <w:highlight w:val="none"/>
              </w:rPr>
              <w:t>5、其他检测人员（项目负责人外</w:t>
            </w:r>
            <w:r>
              <w:rPr>
                <w:rFonts w:hint="eastAsia" w:ascii="宋体" w:hAnsi="宋体" w:eastAsia="宋体" w:cs="宋体"/>
                <w:spacing w:val="17"/>
                <w:sz w:val="24"/>
                <w:szCs w:val="24"/>
                <w:highlight w:val="none"/>
              </w:rPr>
              <w:t>）：</w:t>
            </w:r>
            <w:r>
              <w:rPr>
                <w:rFonts w:hint="eastAsia" w:ascii="宋体" w:hAnsi="宋体" w:eastAsia="宋体" w:cs="宋体"/>
                <w:sz w:val="24"/>
                <w:szCs w:val="24"/>
                <w:highlight w:val="none"/>
              </w:rPr>
              <w:t>具有信息安全或网络安全等</w:t>
            </w:r>
            <w:r>
              <w:rPr>
                <w:rFonts w:hint="eastAsia" w:ascii="宋体" w:hAnsi="宋体" w:eastAsia="宋体" w:cs="宋体"/>
                <w:spacing w:val="18"/>
                <w:sz w:val="24"/>
                <w:szCs w:val="24"/>
                <w:highlight w:val="none"/>
              </w:rPr>
              <w:t>级测评师证书（中级及以上）或信息安全保障人员认证证书</w:t>
            </w:r>
            <w:r>
              <w:rPr>
                <w:rFonts w:hint="eastAsia" w:ascii="宋体" w:hAnsi="宋体" w:eastAsia="宋体" w:cs="宋体"/>
                <w:spacing w:val="-3"/>
                <w:sz w:val="24"/>
                <w:szCs w:val="24"/>
                <w:highlight w:val="none"/>
              </w:rPr>
              <w:t>（CISAW</w:t>
            </w:r>
            <w:r>
              <w:rPr>
                <w:rFonts w:hint="eastAsia" w:ascii="宋体" w:hAnsi="宋体" w:eastAsia="宋体" w:cs="宋体"/>
                <w:spacing w:val="7"/>
                <w:sz w:val="24"/>
                <w:szCs w:val="24"/>
                <w:highlight w:val="none"/>
              </w:rPr>
              <w:t>），</w:t>
            </w:r>
            <w:r>
              <w:rPr>
                <w:rFonts w:hint="eastAsia" w:ascii="宋体" w:hAnsi="宋体" w:eastAsia="宋体" w:cs="宋体"/>
                <w:spacing w:val="-3"/>
                <w:sz w:val="24"/>
                <w:szCs w:val="24"/>
                <w:highlight w:val="none"/>
              </w:rPr>
              <w:t>每增加一个成员得2分，此项最多得4分。</w:t>
            </w:r>
          </w:p>
        </w:tc>
      </w:tr>
      <w:tr w14:paraId="02F80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1039" w:type="dxa"/>
            <w:vAlign w:val="top"/>
          </w:tcPr>
          <w:p w14:paraId="4077E50E">
            <w:pPr>
              <w:pStyle w:val="226"/>
              <w:spacing w:before="113" w:line="290" w:lineRule="auto"/>
              <w:ind w:left="113" w:right="57" w:firstLine="2"/>
              <w:rPr>
                <w:rFonts w:hint="eastAsia" w:ascii="宋体" w:hAnsi="宋体" w:eastAsia="宋体" w:cs="宋体"/>
                <w:sz w:val="24"/>
                <w:szCs w:val="24"/>
                <w:highlight w:val="none"/>
              </w:rPr>
            </w:pPr>
          </w:p>
        </w:tc>
        <w:tc>
          <w:tcPr>
            <w:tcW w:w="1221" w:type="dxa"/>
            <w:vAlign w:val="top"/>
          </w:tcPr>
          <w:p w14:paraId="6F65639C">
            <w:pPr>
              <w:pStyle w:val="226"/>
              <w:spacing w:before="113" w:line="290" w:lineRule="auto"/>
              <w:ind w:left="113" w:right="57" w:firstLine="2"/>
              <w:rPr>
                <w:rFonts w:hint="eastAsia" w:ascii="宋体" w:hAnsi="宋体" w:eastAsia="宋体" w:cs="宋体"/>
                <w:sz w:val="24"/>
                <w:szCs w:val="24"/>
                <w:highlight w:val="none"/>
              </w:rPr>
            </w:pPr>
          </w:p>
        </w:tc>
        <w:tc>
          <w:tcPr>
            <w:tcW w:w="7105" w:type="dxa"/>
            <w:vAlign w:val="top"/>
          </w:tcPr>
          <w:p w14:paraId="7C1E312F">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注:1、提供上述人员资格证书、身份证、近半年（202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1日-响应文件递交截止时间）本单位为其个人缴纳社保证明材料。</w:t>
            </w:r>
          </w:p>
          <w:p w14:paraId="264DDB73">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2、同一人具有多个证书的，不重复计分。</w:t>
            </w:r>
          </w:p>
        </w:tc>
      </w:tr>
      <w:tr w14:paraId="671E9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4" w:hRule="atLeast"/>
        </w:trPr>
        <w:tc>
          <w:tcPr>
            <w:tcW w:w="1039" w:type="dxa"/>
            <w:vMerge w:val="restart"/>
            <w:tcBorders>
              <w:bottom w:val="nil"/>
            </w:tcBorders>
            <w:vAlign w:val="top"/>
          </w:tcPr>
          <w:p w14:paraId="3C1AB202">
            <w:pPr>
              <w:pStyle w:val="226"/>
              <w:spacing w:before="113" w:line="290" w:lineRule="auto"/>
              <w:ind w:left="113" w:right="57" w:firstLine="2"/>
              <w:rPr>
                <w:rFonts w:hint="eastAsia" w:ascii="宋体" w:hAnsi="宋体" w:eastAsia="宋体" w:cs="宋体"/>
                <w:sz w:val="24"/>
                <w:szCs w:val="24"/>
                <w:highlight w:val="none"/>
              </w:rPr>
            </w:pPr>
          </w:p>
          <w:p w14:paraId="78C0A956">
            <w:pPr>
              <w:pStyle w:val="226"/>
              <w:spacing w:before="113" w:line="290" w:lineRule="auto"/>
              <w:ind w:left="113" w:right="57" w:firstLine="2"/>
              <w:rPr>
                <w:rFonts w:hint="eastAsia" w:ascii="宋体" w:hAnsi="宋体" w:eastAsia="宋体" w:cs="宋体"/>
                <w:sz w:val="24"/>
                <w:szCs w:val="24"/>
                <w:highlight w:val="none"/>
              </w:rPr>
            </w:pPr>
          </w:p>
          <w:p w14:paraId="542A70C9">
            <w:pPr>
              <w:pStyle w:val="226"/>
              <w:spacing w:before="113" w:line="290" w:lineRule="auto"/>
              <w:ind w:left="113" w:right="57" w:firstLine="2"/>
              <w:rPr>
                <w:rFonts w:hint="eastAsia" w:ascii="宋体" w:hAnsi="宋体" w:eastAsia="宋体" w:cs="宋体"/>
                <w:sz w:val="24"/>
                <w:szCs w:val="24"/>
                <w:highlight w:val="none"/>
              </w:rPr>
            </w:pPr>
          </w:p>
          <w:p w14:paraId="6B828476">
            <w:pPr>
              <w:pStyle w:val="226"/>
              <w:spacing w:before="113" w:line="290" w:lineRule="auto"/>
              <w:ind w:left="113" w:right="57" w:firstLine="2"/>
              <w:rPr>
                <w:rFonts w:hint="eastAsia" w:ascii="宋体" w:hAnsi="宋体" w:eastAsia="宋体" w:cs="宋体"/>
                <w:sz w:val="24"/>
                <w:szCs w:val="24"/>
                <w:highlight w:val="none"/>
              </w:rPr>
            </w:pPr>
          </w:p>
          <w:p w14:paraId="12FC271B">
            <w:pPr>
              <w:pStyle w:val="226"/>
              <w:spacing w:before="113" w:line="290" w:lineRule="auto"/>
              <w:ind w:left="113" w:right="57" w:firstLine="2"/>
              <w:rPr>
                <w:rFonts w:hint="eastAsia" w:ascii="宋体" w:hAnsi="宋体" w:eastAsia="宋体" w:cs="宋体"/>
                <w:sz w:val="24"/>
                <w:szCs w:val="24"/>
                <w:highlight w:val="none"/>
              </w:rPr>
            </w:pPr>
          </w:p>
          <w:p w14:paraId="17BC1FB0">
            <w:pPr>
              <w:pStyle w:val="226"/>
              <w:spacing w:before="113" w:line="290" w:lineRule="auto"/>
              <w:ind w:left="113" w:right="57" w:firstLine="2"/>
              <w:rPr>
                <w:rFonts w:hint="eastAsia" w:ascii="宋体" w:hAnsi="宋体" w:eastAsia="宋体" w:cs="宋体"/>
                <w:sz w:val="24"/>
                <w:szCs w:val="24"/>
                <w:highlight w:val="none"/>
              </w:rPr>
            </w:pPr>
          </w:p>
          <w:p w14:paraId="1ACC13CA">
            <w:pPr>
              <w:pStyle w:val="226"/>
              <w:spacing w:before="113" w:line="290" w:lineRule="auto"/>
              <w:ind w:right="57"/>
              <w:rPr>
                <w:rFonts w:hint="eastAsia" w:ascii="宋体" w:hAnsi="宋体" w:eastAsia="宋体" w:cs="宋体"/>
                <w:sz w:val="24"/>
                <w:szCs w:val="24"/>
                <w:highlight w:val="none"/>
              </w:rPr>
            </w:pPr>
          </w:p>
          <w:p w14:paraId="5FC2C899">
            <w:pPr>
              <w:pStyle w:val="226"/>
              <w:spacing w:before="113" w:line="290" w:lineRule="auto"/>
              <w:ind w:left="113" w:right="57" w:firstLine="2"/>
              <w:rPr>
                <w:rFonts w:hint="eastAsia" w:ascii="宋体" w:hAnsi="宋体" w:eastAsia="宋体" w:cs="宋体"/>
                <w:sz w:val="24"/>
                <w:szCs w:val="24"/>
                <w:highlight w:val="none"/>
              </w:rPr>
            </w:pPr>
          </w:p>
          <w:p w14:paraId="17998170">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技术评分标准（50分）</w:t>
            </w:r>
          </w:p>
        </w:tc>
        <w:tc>
          <w:tcPr>
            <w:tcW w:w="1221" w:type="dxa"/>
            <w:vAlign w:val="top"/>
          </w:tcPr>
          <w:p w14:paraId="5CEF4359">
            <w:pPr>
              <w:pStyle w:val="226"/>
              <w:spacing w:before="113" w:line="290" w:lineRule="auto"/>
              <w:ind w:left="113" w:right="57" w:firstLine="2"/>
              <w:rPr>
                <w:rFonts w:hint="eastAsia" w:ascii="宋体" w:hAnsi="宋体" w:eastAsia="宋体" w:cs="宋体"/>
                <w:sz w:val="24"/>
                <w:szCs w:val="24"/>
                <w:highlight w:val="none"/>
              </w:rPr>
            </w:pPr>
          </w:p>
          <w:p w14:paraId="176A387C">
            <w:pPr>
              <w:pStyle w:val="226"/>
              <w:spacing w:before="113" w:line="290" w:lineRule="auto"/>
              <w:ind w:right="57"/>
              <w:rPr>
                <w:rFonts w:hint="eastAsia" w:ascii="宋体" w:hAnsi="宋体" w:eastAsia="宋体" w:cs="宋体"/>
                <w:sz w:val="24"/>
                <w:szCs w:val="24"/>
                <w:highlight w:val="none"/>
              </w:rPr>
            </w:pPr>
          </w:p>
          <w:p w14:paraId="56F03FCB">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需求理解及分析（12分）</w:t>
            </w:r>
          </w:p>
        </w:tc>
        <w:tc>
          <w:tcPr>
            <w:tcW w:w="7105" w:type="dxa"/>
            <w:vAlign w:val="top"/>
          </w:tcPr>
          <w:p w14:paraId="2B52249A">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提供贴合本项目实际情况的需求理解及重难点分析，全面、合理且针对性强得12分；</w:t>
            </w:r>
          </w:p>
          <w:p w14:paraId="48A8A08B">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项目理解和分析比较全面、具有针对性、能够比较准确把握项目重点难点得9分；</w:t>
            </w:r>
          </w:p>
          <w:p w14:paraId="6CCC2040">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项目理解和分析基本全面、有一定针对性、能够基本把握项目重点难点得6分；不提供不得分。</w:t>
            </w:r>
          </w:p>
        </w:tc>
      </w:tr>
      <w:tr w14:paraId="414D6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8" w:hRule="atLeast"/>
        </w:trPr>
        <w:tc>
          <w:tcPr>
            <w:tcW w:w="1039" w:type="dxa"/>
            <w:vMerge w:val="continue"/>
            <w:tcBorders>
              <w:top w:val="nil"/>
              <w:bottom w:val="nil"/>
            </w:tcBorders>
            <w:vAlign w:val="top"/>
          </w:tcPr>
          <w:p w14:paraId="7FCE8D64">
            <w:pPr>
              <w:pStyle w:val="226"/>
              <w:spacing w:before="113" w:line="290" w:lineRule="auto"/>
              <w:ind w:left="113" w:right="57" w:firstLine="2"/>
              <w:rPr>
                <w:rFonts w:hint="eastAsia" w:ascii="宋体" w:hAnsi="宋体" w:eastAsia="宋体" w:cs="宋体"/>
                <w:sz w:val="24"/>
                <w:szCs w:val="24"/>
                <w:highlight w:val="none"/>
              </w:rPr>
            </w:pPr>
          </w:p>
        </w:tc>
        <w:tc>
          <w:tcPr>
            <w:tcW w:w="1221" w:type="dxa"/>
            <w:vAlign w:val="top"/>
          </w:tcPr>
          <w:p w14:paraId="6AA2673E">
            <w:pPr>
              <w:pStyle w:val="226"/>
              <w:spacing w:before="113" w:line="290" w:lineRule="auto"/>
              <w:ind w:left="113" w:right="57" w:firstLine="2"/>
              <w:rPr>
                <w:rFonts w:hint="eastAsia" w:ascii="宋体" w:hAnsi="宋体" w:eastAsia="宋体" w:cs="宋体"/>
                <w:sz w:val="24"/>
                <w:szCs w:val="24"/>
                <w:highlight w:val="none"/>
              </w:rPr>
            </w:pPr>
          </w:p>
          <w:p w14:paraId="2F065E00">
            <w:pPr>
              <w:pStyle w:val="226"/>
              <w:spacing w:before="113" w:line="290" w:lineRule="auto"/>
              <w:ind w:left="113" w:right="57" w:firstLine="2"/>
              <w:rPr>
                <w:rFonts w:hint="eastAsia" w:ascii="宋体" w:hAnsi="宋体" w:eastAsia="宋体" w:cs="宋体"/>
                <w:sz w:val="24"/>
                <w:szCs w:val="24"/>
                <w:highlight w:val="none"/>
              </w:rPr>
            </w:pPr>
          </w:p>
          <w:p w14:paraId="37D2AF89">
            <w:pPr>
              <w:pStyle w:val="226"/>
              <w:spacing w:before="113" w:line="290" w:lineRule="auto"/>
              <w:ind w:right="57"/>
              <w:rPr>
                <w:rFonts w:hint="eastAsia" w:ascii="宋体" w:hAnsi="宋体" w:eastAsia="宋体" w:cs="宋体"/>
                <w:sz w:val="24"/>
                <w:szCs w:val="24"/>
                <w:highlight w:val="none"/>
              </w:rPr>
            </w:pPr>
          </w:p>
          <w:p w14:paraId="2F4DA541">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服务方案（12分）</w:t>
            </w:r>
          </w:p>
        </w:tc>
        <w:tc>
          <w:tcPr>
            <w:tcW w:w="7105" w:type="dxa"/>
            <w:vAlign w:val="top"/>
          </w:tcPr>
          <w:p w14:paraId="62089156">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供应商对所提供的等保测评、风险评估、驻场安全运维的服务方案阐述详细，思路清晰，服务方法设计合理，全面满足项目实际需求得12分；</w:t>
            </w:r>
          </w:p>
          <w:p w14:paraId="08BCD3B6">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供应商对所提供的等保测评、风险评估、驻场安全运维的服务方案进行了阐述，但未阐述具体实施细节，服务方法设计合理，基本满足项目实际需求得9分；</w:t>
            </w:r>
          </w:p>
          <w:p w14:paraId="08FEB839">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供应商对所提供的等保测评、风险评估、驻场安全运维的服务方案进行了简单的阐述，服务方法设计欠合理，与项目实际需求有细微偏差得6分；不提供不得分。</w:t>
            </w:r>
          </w:p>
        </w:tc>
      </w:tr>
      <w:tr w14:paraId="4DD62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9" w:hRule="atLeast"/>
        </w:trPr>
        <w:tc>
          <w:tcPr>
            <w:tcW w:w="1039" w:type="dxa"/>
            <w:vMerge w:val="continue"/>
            <w:tcBorders>
              <w:top w:val="nil"/>
              <w:bottom w:val="nil"/>
            </w:tcBorders>
            <w:vAlign w:val="top"/>
          </w:tcPr>
          <w:p w14:paraId="45E65FB8">
            <w:pPr>
              <w:pStyle w:val="226"/>
              <w:spacing w:before="113" w:line="290" w:lineRule="auto"/>
              <w:ind w:left="113" w:right="57" w:firstLine="2"/>
              <w:rPr>
                <w:rFonts w:hint="eastAsia" w:ascii="宋体" w:hAnsi="宋体" w:eastAsia="宋体" w:cs="宋体"/>
                <w:sz w:val="24"/>
                <w:szCs w:val="24"/>
                <w:highlight w:val="none"/>
              </w:rPr>
            </w:pPr>
          </w:p>
        </w:tc>
        <w:tc>
          <w:tcPr>
            <w:tcW w:w="1221" w:type="dxa"/>
            <w:vAlign w:val="top"/>
          </w:tcPr>
          <w:p w14:paraId="36BF0D40">
            <w:pPr>
              <w:pStyle w:val="226"/>
              <w:spacing w:before="113" w:line="290" w:lineRule="auto"/>
              <w:ind w:left="113" w:right="57" w:firstLine="2"/>
              <w:rPr>
                <w:rFonts w:hint="eastAsia" w:ascii="宋体" w:hAnsi="宋体" w:eastAsia="宋体" w:cs="宋体"/>
                <w:sz w:val="24"/>
                <w:szCs w:val="24"/>
                <w:highlight w:val="none"/>
              </w:rPr>
            </w:pPr>
          </w:p>
          <w:p w14:paraId="1BC6D3BB">
            <w:pPr>
              <w:pStyle w:val="226"/>
              <w:spacing w:before="113" w:line="290" w:lineRule="auto"/>
              <w:ind w:left="113" w:right="57" w:firstLine="2"/>
              <w:rPr>
                <w:rFonts w:hint="eastAsia" w:ascii="宋体" w:hAnsi="宋体" w:eastAsia="宋体" w:cs="宋体"/>
                <w:sz w:val="24"/>
                <w:szCs w:val="24"/>
                <w:highlight w:val="none"/>
              </w:rPr>
            </w:pPr>
          </w:p>
          <w:p w14:paraId="52E45C04">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质量管理及进度保障（10分）</w:t>
            </w:r>
          </w:p>
        </w:tc>
        <w:tc>
          <w:tcPr>
            <w:tcW w:w="7105" w:type="dxa"/>
            <w:vAlign w:val="top"/>
          </w:tcPr>
          <w:p w14:paraId="4CEFC836">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质量标准满足要求，进度管理体系健全，保障措施科学合理、针对性强得10分；</w:t>
            </w:r>
          </w:p>
          <w:p w14:paraId="400D2D70">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质量标准基本满足要求，进度管理体较全面，保障措施针对性较强得7分；</w:t>
            </w:r>
          </w:p>
          <w:p w14:paraId="6204CF1E">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质量标准与项目需求有偏差，进度管理体系不够健全或具体保障措施欠完善得4分；不提供不得分。</w:t>
            </w:r>
          </w:p>
        </w:tc>
      </w:tr>
      <w:tr w14:paraId="74601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039" w:type="dxa"/>
            <w:vMerge w:val="continue"/>
            <w:tcBorders>
              <w:top w:val="nil"/>
            </w:tcBorders>
            <w:vAlign w:val="top"/>
          </w:tcPr>
          <w:p w14:paraId="044EDD07">
            <w:pPr>
              <w:pStyle w:val="226"/>
              <w:spacing w:before="113" w:line="290" w:lineRule="auto"/>
              <w:ind w:left="113" w:right="57" w:firstLine="2"/>
              <w:rPr>
                <w:rFonts w:hint="eastAsia" w:ascii="宋体" w:hAnsi="宋体" w:eastAsia="宋体" w:cs="宋体"/>
                <w:sz w:val="24"/>
                <w:szCs w:val="24"/>
                <w:highlight w:val="none"/>
              </w:rPr>
            </w:pPr>
          </w:p>
        </w:tc>
        <w:tc>
          <w:tcPr>
            <w:tcW w:w="1221" w:type="dxa"/>
            <w:vAlign w:val="top"/>
          </w:tcPr>
          <w:p w14:paraId="3F239B43">
            <w:pPr>
              <w:pStyle w:val="226"/>
              <w:spacing w:before="113" w:line="290" w:lineRule="auto"/>
              <w:ind w:right="57"/>
              <w:rPr>
                <w:rFonts w:hint="eastAsia" w:ascii="宋体" w:hAnsi="宋体" w:eastAsia="宋体" w:cs="宋体"/>
                <w:sz w:val="24"/>
                <w:szCs w:val="24"/>
                <w:highlight w:val="none"/>
              </w:rPr>
            </w:pPr>
          </w:p>
          <w:p w14:paraId="1C38964B">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安全保密</w:t>
            </w:r>
          </w:p>
          <w:p w14:paraId="0C58D16A">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措施（8分）</w:t>
            </w:r>
          </w:p>
        </w:tc>
        <w:tc>
          <w:tcPr>
            <w:tcW w:w="7105" w:type="dxa"/>
            <w:vAlign w:val="top"/>
          </w:tcPr>
          <w:p w14:paraId="5BC2B1D8">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供应商具有完善的安全保密管理制度，针对本项目在网络安全服务过程中制定有效且完善的安全保密措施实施方案，内容详实，科学合理得8分；</w:t>
            </w:r>
          </w:p>
          <w:p w14:paraId="3BC3AA9C">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内容描述一般，方案基本全面的得5分；</w:t>
            </w:r>
          </w:p>
          <w:p w14:paraId="5FFA2A28">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内容与实际实施存在差异性、存在歧义、内容不充实、不完善的得2分，</w:t>
            </w:r>
          </w:p>
          <w:p w14:paraId="442E4EFA">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不提供不得分。</w:t>
            </w:r>
          </w:p>
        </w:tc>
      </w:tr>
      <w:tr w14:paraId="140F6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7" w:hRule="atLeast"/>
        </w:trPr>
        <w:tc>
          <w:tcPr>
            <w:tcW w:w="1039" w:type="dxa"/>
            <w:vAlign w:val="top"/>
          </w:tcPr>
          <w:p w14:paraId="2A163EAE">
            <w:pPr>
              <w:pStyle w:val="226"/>
              <w:spacing w:before="113" w:line="290" w:lineRule="auto"/>
              <w:ind w:left="113" w:right="57" w:firstLine="2"/>
              <w:rPr>
                <w:rFonts w:hint="eastAsia" w:ascii="宋体" w:hAnsi="宋体" w:eastAsia="宋体" w:cs="宋体"/>
                <w:sz w:val="24"/>
                <w:szCs w:val="24"/>
                <w:highlight w:val="none"/>
              </w:rPr>
            </w:pPr>
          </w:p>
        </w:tc>
        <w:tc>
          <w:tcPr>
            <w:tcW w:w="1221" w:type="dxa"/>
            <w:vAlign w:val="top"/>
          </w:tcPr>
          <w:p w14:paraId="75EC8FCF">
            <w:pPr>
              <w:pStyle w:val="226"/>
              <w:spacing w:before="113" w:line="290" w:lineRule="auto"/>
              <w:ind w:right="57"/>
              <w:rPr>
                <w:rFonts w:hint="eastAsia" w:ascii="宋体" w:hAnsi="宋体" w:eastAsia="宋体" w:cs="宋体"/>
                <w:sz w:val="24"/>
                <w:szCs w:val="24"/>
                <w:highlight w:val="none"/>
              </w:rPr>
            </w:pPr>
          </w:p>
          <w:p w14:paraId="78737372">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应急预案</w:t>
            </w:r>
          </w:p>
          <w:p w14:paraId="3D539FFB">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（8分）</w:t>
            </w:r>
          </w:p>
        </w:tc>
        <w:tc>
          <w:tcPr>
            <w:tcW w:w="7105" w:type="dxa"/>
            <w:vAlign w:val="top"/>
          </w:tcPr>
          <w:p w14:paraId="7ECF9302">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应急预案科学合理，相应的处置措施得当，能够切实保障所发生的问题得8分；</w:t>
            </w:r>
          </w:p>
          <w:p w14:paraId="72A98F30">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应急预案基本合理，处置措施一般，基本能够保障所发生的问题得5分；</w:t>
            </w:r>
          </w:p>
          <w:p w14:paraId="5EE7780C">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应急预案欠合理，不能够保障所发生的问题得2分；不提供不得分。</w:t>
            </w:r>
          </w:p>
        </w:tc>
      </w:tr>
      <w:tr w14:paraId="4FE1C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4" w:hRule="atLeast"/>
        </w:trPr>
        <w:tc>
          <w:tcPr>
            <w:tcW w:w="1039" w:type="dxa"/>
            <w:vAlign w:val="top"/>
          </w:tcPr>
          <w:p w14:paraId="69972CD4">
            <w:pPr>
              <w:pStyle w:val="226"/>
              <w:spacing w:before="113" w:line="290" w:lineRule="auto"/>
              <w:ind w:left="113" w:right="57" w:firstLine="2"/>
              <w:rPr>
                <w:rFonts w:hint="eastAsia" w:ascii="宋体" w:hAnsi="宋体" w:eastAsia="宋体" w:cs="宋体"/>
                <w:sz w:val="24"/>
                <w:szCs w:val="24"/>
                <w:highlight w:val="none"/>
              </w:rPr>
            </w:pPr>
          </w:p>
          <w:p w14:paraId="0DCBEEF4">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报价评分标准（10分）</w:t>
            </w:r>
          </w:p>
        </w:tc>
        <w:tc>
          <w:tcPr>
            <w:tcW w:w="8326" w:type="dxa"/>
            <w:gridSpan w:val="2"/>
            <w:vAlign w:val="top"/>
          </w:tcPr>
          <w:p w14:paraId="025A9C63">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价格分采用低价优先法计算，即满足竞争性磋商文件要求且报价最低的响应报价为磋商基准价，其价格分为满分。</w:t>
            </w:r>
          </w:p>
          <w:p w14:paraId="51625118">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其他供应商的价格分统一按照下列公式计算：</w:t>
            </w:r>
          </w:p>
          <w:p w14:paraId="4983894F">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磋商报价得分=（磋商基准价/最终磋商报价）×价格权重×100本项目的价格权重为10%。</w:t>
            </w:r>
          </w:p>
          <w:p w14:paraId="4CB497B3">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注：在报价评审阶段，经评审小组认为无效的响应报价，报价得分按“0”计。</w:t>
            </w:r>
          </w:p>
        </w:tc>
      </w:tr>
    </w:tbl>
    <w:p w14:paraId="394A16CD">
      <w:pPr>
        <w:rPr>
          <w:rFonts w:hint="eastAsia" w:ascii="宋体" w:hAnsi="宋体" w:eastAsia="宋体" w:cs="宋体"/>
          <w:b/>
          <w:sz w:val="24"/>
          <w:szCs w:val="24"/>
          <w:highlight w:val="none"/>
        </w:rPr>
      </w:pPr>
    </w:p>
    <w:p w14:paraId="40ADF73E">
      <w:pP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br w:type="page"/>
      </w:r>
    </w:p>
    <w:p w14:paraId="2B399D2E">
      <w:pP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标项二：</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918"/>
        <w:gridCol w:w="6851"/>
      </w:tblGrid>
      <w:tr w14:paraId="55F5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90" w:type="dxa"/>
            <w:vAlign w:val="center"/>
          </w:tcPr>
          <w:p w14:paraId="36DDE823">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评审项目</w:t>
            </w:r>
          </w:p>
        </w:tc>
        <w:tc>
          <w:tcPr>
            <w:tcW w:w="918" w:type="dxa"/>
            <w:vAlign w:val="center"/>
          </w:tcPr>
          <w:p w14:paraId="39BEBE3B">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权重值%</w:t>
            </w:r>
          </w:p>
        </w:tc>
        <w:tc>
          <w:tcPr>
            <w:tcW w:w="6851" w:type="dxa"/>
            <w:vAlign w:val="center"/>
          </w:tcPr>
          <w:p w14:paraId="182E1A63">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评分标准说明</w:t>
            </w:r>
          </w:p>
        </w:tc>
      </w:tr>
      <w:tr w14:paraId="6C03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359" w:type="dxa"/>
            <w:gridSpan w:val="3"/>
            <w:vAlign w:val="center"/>
          </w:tcPr>
          <w:p w14:paraId="2F7F5E89">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一、价格部分30分</w:t>
            </w:r>
          </w:p>
        </w:tc>
      </w:tr>
      <w:tr w14:paraId="4268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3" w:hRule="atLeast"/>
          <w:jc w:val="center"/>
        </w:trPr>
        <w:tc>
          <w:tcPr>
            <w:tcW w:w="1590" w:type="dxa"/>
            <w:vAlign w:val="center"/>
          </w:tcPr>
          <w:p w14:paraId="68A84470">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价格</w:t>
            </w:r>
          </w:p>
        </w:tc>
        <w:tc>
          <w:tcPr>
            <w:tcW w:w="918" w:type="dxa"/>
            <w:vAlign w:val="center"/>
          </w:tcPr>
          <w:p w14:paraId="2FDB1E5A">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30分</w:t>
            </w:r>
          </w:p>
        </w:tc>
        <w:tc>
          <w:tcPr>
            <w:tcW w:w="6851" w:type="dxa"/>
            <w:vAlign w:val="center"/>
          </w:tcPr>
          <w:p w14:paraId="56760938">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投标基准价为满足招标文件要求且最后报价最低的投标人的价格，即为满分30分，其他投标人报价计算公式如下：</w:t>
            </w:r>
          </w:p>
          <w:p w14:paraId="3EFCBC7E">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报价得分=30×基准价/报价</w:t>
            </w:r>
          </w:p>
          <w:p w14:paraId="369C4EFC">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计算公式的计算结果值在小数点后均保留两位小数，后余位数四舍五入计。</w:t>
            </w:r>
          </w:p>
        </w:tc>
      </w:tr>
      <w:tr w14:paraId="6F32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359" w:type="dxa"/>
            <w:gridSpan w:val="3"/>
            <w:tcBorders>
              <w:top w:val="single" w:color="auto" w:sz="4" w:space="0"/>
              <w:left w:val="single" w:color="auto" w:sz="4" w:space="0"/>
              <w:bottom w:val="single" w:color="auto" w:sz="4" w:space="0"/>
              <w:right w:val="single" w:color="auto" w:sz="4" w:space="0"/>
            </w:tcBorders>
            <w:vAlign w:val="center"/>
          </w:tcPr>
          <w:p w14:paraId="693A6240">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二、商务部分17分</w:t>
            </w:r>
          </w:p>
        </w:tc>
      </w:tr>
      <w:tr w14:paraId="344D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14:paraId="0869B420">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企业业绩</w:t>
            </w:r>
          </w:p>
        </w:tc>
        <w:tc>
          <w:tcPr>
            <w:tcW w:w="918" w:type="dxa"/>
            <w:tcBorders>
              <w:top w:val="single" w:color="auto" w:sz="4" w:space="0"/>
              <w:left w:val="single" w:color="auto" w:sz="4" w:space="0"/>
              <w:bottom w:val="single" w:color="auto" w:sz="4" w:space="0"/>
              <w:right w:val="single" w:color="auto" w:sz="4" w:space="0"/>
            </w:tcBorders>
            <w:vAlign w:val="center"/>
          </w:tcPr>
          <w:p w14:paraId="58A6EA12">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15分</w:t>
            </w:r>
          </w:p>
        </w:tc>
        <w:tc>
          <w:tcPr>
            <w:tcW w:w="6851" w:type="dxa"/>
            <w:tcBorders>
              <w:top w:val="single" w:color="auto" w:sz="4" w:space="0"/>
              <w:left w:val="single" w:color="auto" w:sz="4" w:space="0"/>
              <w:bottom w:val="single" w:color="auto" w:sz="4" w:space="0"/>
              <w:right w:val="single" w:color="auto" w:sz="4" w:space="0"/>
            </w:tcBorders>
            <w:vAlign w:val="center"/>
          </w:tcPr>
          <w:p w14:paraId="66071B96">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近三年具有类似项目业绩，有1项得3分，最多得15分（以中标通知书或合同为准）。</w:t>
            </w:r>
          </w:p>
        </w:tc>
      </w:tr>
      <w:tr w14:paraId="4C55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14:paraId="0CABFE24">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企业实力</w:t>
            </w:r>
          </w:p>
        </w:tc>
        <w:tc>
          <w:tcPr>
            <w:tcW w:w="918" w:type="dxa"/>
            <w:tcBorders>
              <w:top w:val="single" w:color="auto" w:sz="4" w:space="0"/>
              <w:left w:val="single" w:color="auto" w:sz="4" w:space="0"/>
              <w:bottom w:val="single" w:color="auto" w:sz="4" w:space="0"/>
              <w:right w:val="single" w:color="auto" w:sz="4" w:space="0"/>
            </w:tcBorders>
            <w:vAlign w:val="center"/>
          </w:tcPr>
          <w:p w14:paraId="28AF10F4">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6851" w:type="dxa"/>
            <w:tcBorders>
              <w:top w:val="single" w:color="auto" w:sz="4" w:space="0"/>
              <w:left w:val="single" w:color="auto" w:sz="4" w:space="0"/>
              <w:bottom w:val="single" w:color="auto" w:sz="4" w:space="0"/>
              <w:right w:val="single" w:color="auto" w:sz="4" w:space="0"/>
            </w:tcBorders>
            <w:vAlign w:val="center"/>
          </w:tcPr>
          <w:p w14:paraId="21A13941">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投标人提供基础电信业务经营许可证和增值电信业务经营许可证的得2分，未提供的不得分。注：投标人必须提供以上两类证书复印件在有效期内，否则不予认可。</w:t>
            </w:r>
          </w:p>
        </w:tc>
      </w:tr>
      <w:tr w14:paraId="1599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9359" w:type="dxa"/>
            <w:gridSpan w:val="3"/>
            <w:tcBorders>
              <w:top w:val="single" w:color="auto" w:sz="4" w:space="0"/>
              <w:left w:val="single" w:color="auto" w:sz="4" w:space="0"/>
              <w:bottom w:val="single" w:color="auto" w:sz="4" w:space="0"/>
              <w:right w:val="single" w:color="auto" w:sz="4" w:space="0"/>
            </w:tcBorders>
            <w:vAlign w:val="center"/>
          </w:tcPr>
          <w:p w14:paraId="3AC935C9">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三、技术部分53分</w:t>
            </w:r>
          </w:p>
        </w:tc>
      </w:tr>
      <w:tr w14:paraId="5B24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1590" w:type="dxa"/>
            <w:tcBorders>
              <w:top w:val="single" w:color="auto" w:sz="4" w:space="0"/>
              <w:left w:val="single" w:color="auto" w:sz="4" w:space="0"/>
              <w:right w:val="single" w:color="auto" w:sz="4" w:space="0"/>
            </w:tcBorders>
            <w:vAlign w:val="center"/>
          </w:tcPr>
          <w:p w14:paraId="3D3BAD96">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项目总体</w:t>
            </w:r>
          </w:p>
          <w:p w14:paraId="0DE51DEE">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技术要求</w:t>
            </w:r>
          </w:p>
        </w:tc>
        <w:tc>
          <w:tcPr>
            <w:tcW w:w="918" w:type="dxa"/>
            <w:tcBorders>
              <w:top w:val="single" w:color="auto" w:sz="4" w:space="0"/>
              <w:left w:val="single" w:color="auto" w:sz="4" w:space="0"/>
              <w:bottom w:val="single" w:color="auto" w:sz="4" w:space="0"/>
              <w:right w:val="single" w:color="auto" w:sz="4" w:space="0"/>
            </w:tcBorders>
            <w:vAlign w:val="center"/>
          </w:tcPr>
          <w:p w14:paraId="6DF13895">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分</w:t>
            </w:r>
          </w:p>
        </w:tc>
        <w:tc>
          <w:tcPr>
            <w:tcW w:w="6851" w:type="dxa"/>
            <w:tcBorders>
              <w:top w:val="single" w:color="auto" w:sz="4" w:space="0"/>
              <w:left w:val="single" w:color="auto" w:sz="4" w:space="0"/>
              <w:bottom w:val="single" w:color="auto" w:sz="4" w:space="0"/>
              <w:right w:val="single" w:color="auto" w:sz="4" w:space="0"/>
            </w:tcBorders>
            <w:vAlign w:val="center"/>
          </w:tcPr>
          <w:p w14:paraId="5A48612C">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技术符合程度：每低于技术</w:t>
            </w:r>
            <w:r>
              <w:rPr>
                <w:rFonts w:hint="eastAsia" w:ascii="宋体" w:hAnsi="宋体" w:cs="宋体"/>
                <w:sz w:val="24"/>
                <w:szCs w:val="24"/>
                <w:highlight w:val="none"/>
                <w:lang w:val="en-US" w:eastAsia="zh-CN"/>
              </w:rPr>
              <w:t>参数</w:t>
            </w:r>
            <w:r>
              <w:rPr>
                <w:rFonts w:hint="eastAsia" w:ascii="宋体" w:hAnsi="宋体" w:eastAsia="宋体" w:cs="宋体"/>
                <w:sz w:val="24"/>
                <w:szCs w:val="24"/>
                <w:highlight w:val="none"/>
              </w:rPr>
              <w:t>中任一条性能要求的扣</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分，扣完为止。</w:t>
            </w:r>
          </w:p>
        </w:tc>
      </w:tr>
      <w:tr w14:paraId="37EF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590" w:type="dxa"/>
            <w:tcBorders>
              <w:top w:val="single" w:color="auto" w:sz="4" w:space="0"/>
              <w:left w:val="single" w:color="auto" w:sz="4" w:space="0"/>
              <w:right w:val="single" w:color="auto" w:sz="4" w:space="0"/>
            </w:tcBorders>
            <w:vAlign w:val="center"/>
          </w:tcPr>
          <w:p w14:paraId="68C7F899">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项目实施及管理方案</w:t>
            </w:r>
          </w:p>
        </w:tc>
        <w:tc>
          <w:tcPr>
            <w:tcW w:w="918" w:type="dxa"/>
            <w:tcBorders>
              <w:top w:val="single" w:color="auto" w:sz="4" w:space="0"/>
              <w:left w:val="single" w:color="auto" w:sz="4" w:space="0"/>
              <w:bottom w:val="single" w:color="auto" w:sz="4" w:space="0"/>
              <w:right w:val="single" w:color="auto" w:sz="4" w:space="0"/>
            </w:tcBorders>
            <w:vAlign w:val="center"/>
          </w:tcPr>
          <w:p w14:paraId="686BADFF">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p>
        </w:tc>
        <w:tc>
          <w:tcPr>
            <w:tcW w:w="6851" w:type="dxa"/>
            <w:tcBorders>
              <w:top w:val="single" w:color="auto" w:sz="4" w:space="0"/>
              <w:left w:val="single" w:color="auto" w:sz="4" w:space="0"/>
              <w:bottom w:val="single" w:color="auto" w:sz="4" w:space="0"/>
              <w:right w:val="single" w:color="auto" w:sz="4" w:space="0"/>
            </w:tcBorders>
            <w:vAlign w:val="center"/>
          </w:tcPr>
          <w:p w14:paraId="6BB40443">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投标人须提供详细周到的服务方案（至少包含服务内容、服务团队成员、实施计划、响应机制等）项目计划管理、项目配置人员管理、项目质量管理等方面表述完整，描述清晰，且能针对性满足项目需求的得1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分；对项目计划管理、项目配置人员管理、项目质量管理、项目实施管理、项目风险管理等方面表述基本完整，描述较清晰，针对性较能满足项目需求的得</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分；对项目计划管理、项目配置人员管理、项目质量管理、项目实施保密管理、项目风险管理等方面未完整表述或内容简单，可行性一般，基本满足项目需要的，得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分；内容笼统，描述简单，可行性不强，需要优化后才能满足项目需要的，得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分；未提供方案的不得分。</w:t>
            </w:r>
          </w:p>
        </w:tc>
      </w:tr>
      <w:tr w14:paraId="3CE8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590" w:type="dxa"/>
            <w:tcBorders>
              <w:left w:val="single" w:color="auto" w:sz="4" w:space="0"/>
              <w:right w:val="single" w:color="auto" w:sz="4" w:space="0"/>
            </w:tcBorders>
            <w:vAlign w:val="center"/>
          </w:tcPr>
          <w:p w14:paraId="1B5DD6EF">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服务质量保</w:t>
            </w:r>
          </w:p>
          <w:p w14:paraId="4A687E27">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障措施</w:t>
            </w:r>
          </w:p>
        </w:tc>
        <w:tc>
          <w:tcPr>
            <w:tcW w:w="918" w:type="dxa"/>
            <w:tcBorders>
              <w:top w:val="single" w:color="auto" w:sz="4" w:space="0"/>
              <w:left w:val="single" w:color="auto" w:sz="4" w:space="0"/>
              <w:bottom w:val="single" w:color="auto" w:sz="4" w:space="0"/>
              <w:right w:val="single" w:color="auto" w:sz="4" w:space="0"/>
            </w:tcBorders>
            <w:vAlign w:val="center"/>
          </w:tcPr>
          <w:p w14:paraId="5F5CD0BE">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11分</w:t>
            </w:r>
          </w:p>
        </w:tc>
        <w:tc>
          <w:tcPr>
            <w:tcW w:w="6851" w:type="dxa"/>
            <w:tcBorders>
              <w:top w:val="single" w:color="auto" w:sz="4" w:space="0"/>
              <w:left w:val="single" w:color="auto" w:sz="4" w:space="0"/>
              <w:bottom w:val="single" w:color="auto" w:sz="4" w:space="0"/>
              <w:right w:val="single" w:color="auto" w:sz="4" w:space="0"/>
            </w:tcBorders>
            <w:vAlign w:val="center"/>
          </w:tcPr>
          <w:p w14:paraId="1704238F">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服务质量保障方案的完整性，可行性、合理性、专业性。对服务水平、服务响应、故障响应、质量保证体系及措施、服务方式表述全面清晰准确，既符合行业通规，也可以展现投标人的自身服务优势，能够很好的满足本项目采购文件要求，逻辑严谨、针对性强得11分；提供符合本项目要求的质保方案，对服务水平、服务响应、故障响应、质量保证体系及措施、服务方式表述全面，基本能够满足本项目采购文件要求，无较大逻辑矛盾、针对性较低，得7分；质保方案对服务水平、服务响应、故障响应、质量保证体系及措施、服务方式方面的描述不全面或不太符合行业通规或前后逻辑不通或出现与本项目无关40内+容，得4分；未提供具体内容不得分。</w:t>
            </w:r>
          </w:p>
        </w:tc>
      </w:tr>
      <w:tr w14:paraId="4AF4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14:paraId="1E6FE380">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应急服务</w:t>
            </w:r>
          </w:p>
          <w:p w14:paraId="6AAF5F7D">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保障</w:t>
            </w:r>
          </w:p>
        </w:tc>
        <w:tc>
          <w:tcPr>
            <w:tcW w:w="918" w:type="dxa"/>
            <w:tcBorders>
              <w:top w:val="single" w:color="auto" w:sz="4" w:space="0"/>
              <w:left w:val="single" w:color="auto" w:sz="4" w:space="0"/>
              <w:bottom w:val="single" w:color="auto" w:sz="4" w:space="0"/>
              <w:right w:val="single" w:color="auto" w:sz="4" w:space="0"/>
            </w:tcBorders>
            <w:vAlign w:val="center"/>
          </w:tcPr>
          <w:p w14:paraId="3AD63A43">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6分</w:t>
            </w:r>
          </w:p>
        </w:tc>
        <w:tc>
          <w:tcPr>
            <w:tcW w:w="6851" w:type="dxa"/>
            <w:tcBorders>
              <w:top w:val="single" w:color="auto" w:sz="4" w:space="0"/>
              <w:left w:val="single" w:color="auto" w:sz="4" w:space="0"/>
              <w:bottom w:val="single" w:color="auto" w:sz="4" w:space="0"/>
              <w:right w:val="single" w:color="auto" w:sz="4" w:space="0"/>
            </w:tcBorders>
            <w:vAlign w:val="center"/>
          </w:tcPr>
          <w:p w14:paraId="49A67119">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投标人根据本项目特点，制定的针对服务过程中可能发生的突发事件的应急预案，能够建立突发事件沟通渠道，应急预案对突发情况考虑周全、解决方案科学详尽可行，关键节点控制措施得力、可操作性强，按照应急预案和采购人要求及时报告并有效处理突发事件，得6分；应急预案对突发情况考虑较为完整、建立了突发事件沟通渠道，应急预案对突发情况考虑较完善，具备可行性，得4分；应急预案对突发情况考虑欠缺、解决方案科学简略，关键节点控制措施不足、可操作性不强，得2分；未提供具体内容，不得分。</w:t>
            </w:r>
          </w:p>
        </w:tc>
      </w:tr>
      <w:tr w14:paraId="0C10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14:paraId="17293464">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信息安全措</w:t>
            </w:r>
          </w:p>
          <w:p w14:paraId="41D8C48A">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施</w:t>
            </w:r>
          </w:p>
        </w:tc>
        <w:tc>
          <w:tcPr>
            <w:tcW w:w="918" w:type="dxa"/>
            <w:tcBorders>
              <w:top w:val="single" w:color="auto" w:sz="4" w:space="0"/>
              <w:left w:val="single" w:color="auto" w:sz="4" w:space="0"/>
              <w:bottom w:val="single" w:color="auto" w:sz="4" w:space="0"/>
              <w:right w:val="single" w:color="auto" w:sz="4" w:space="0"/>
            </w:tcBorders>
            <w:vAlign w:val="center"/>
          </w:tcPr>
          <w:p w14:paraId="11CCD64D">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4分</w:t>
            </w:r>
          </w:p>
        </w:tc>
        <w:tc>
          <w:tcPr>
            <w:tcW w:w="6851" w:type="dxa"/>
            <w:tcBorders>
              <w:top w:val="single" w:color="auto" w:sz="4" w:space="0"/>
              <w:left w:val="single" w:color="auto" w:sz="4" w:space="0"/>
              <w:bottom w:val="single" w:color="auto" w:sz="4" w:space="0"/>
              <w:right w:val="single" w:color="auto" w:sz="4" w:space="0"/>
            </w:tcBorders>
            <w:vAlign w:val="center"/>
          </w:tcPr>
          <w:p w14:paraId="474CBC31">
            <w:pPr>
              <w:pStyle w:val="226"/>
              <w:spacing w:before="113" w:line="290" w:lineRule="auto"/>
              <w:ind w:left="113" w:right="57" w:firstLine="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评标委员会根据各投标人针对本项目提供的短信平台信息系统安全、网络安全及数据安全的保障措施满足项目实施要求的情况进行评审：安全保密措施严密、完善的，得4分；安全保密措施合理、可行的，得3分；有基本的安全保密措施的，得1分；投标人提供的安全保密措施未针对本项目或未提供安全保密措施的，本项不得分。</w:t>
            </w:r>
          </w:p>
        </w:tc>
      </w:tr>
      <w:tr w14:paraId="2B10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14:paraId="34D4EE07">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技术人员</w:t>
            </w:r>
          </w:p>
        </w:tc>
        <w:tc>
          <w:tcPr>
            <w:tcW w:w="918" w:type="dxa"/>
            <w:tcBorders>
              <w:top w:val="single" w:color="auto" w:sz="4" w:space="0"/>
              <w:left w:val="single" w:color="auto" w:sz="4" w:space="0"/>
              <w:bottom w:val="single" w:color="auto" w:sz="4" w:space="0"/>
              <w:right w:val="single" w:color="auto" w:sz="4" w:space="0"/>
            </w:tcBorders>
            <w:vAlign w:val="center"/>
          </w:tcPr>
          <w:p w14:paraId="5BA5EF9F">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6851" w:type="dxa"/>
            <w:tcBorders>
              <w:top w:val="single" w:color="auto" w:sz="4" w:space="0"/>
              <w:left w:val="single" w:color="auto" w:sz="4" w:space="0"/>
              <w:bottom w:val="single" w:color="auto" w:sz="4" w:space="0"/>
              <w:right w:val="single" w:color="auto" w:sz="4" w:space="0"/>
            </w:tcBorders>
            <w:vAlign w:val="center"/>
          </w:tcPr>
          <w:p w14:paraId="0BA6E16F">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投标人能够为本项目提供所需的工程师专业团队，根据所持有的培训证书或认证证书进行综合评价(需提供证书复印件)，最高2分。</w:t>
            </w:r>
          </w:p>
        </w:tc>
      </w:tr>
    </w:tbl>
    <w:p w14:paraId="1D6B4800">
      <w:pPr>
        <w:rPr>
          <w:rFonts w:hint="eastAsia" w:ascii="宋体" w:hAnsi="宋体" w:eastAsia="宋体" w:cs="宋体"/>
          <w:b/>
          <w:sz w:val="24"/>
          <w:szCs w:val="24"/>
          <w:highlight w:val="none"/>
          <w:lang w:val="en-US" w:eastAsia="zh-CN"/>
        </w:rPr>
      </w:pPr>
    </w:p>
    <w:p w14:paraId="396A329E">
      <w:pP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br w:type="page"/>
      </w:r>
    </w:p>
    <w:p w14:paraId="6438BA56">
      <w:pPr>
        <w:pStyle w:val="646"/>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标项三、标项六、标项七：</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878"/>
        <w:gridCol w:w="7439"/>
      </w:tblGrid>
      <w:tr w14:paraId="01B4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atLeast"/>
          <w:jc w:val="center"/>
        </w:trPr>
        <w:tc>
          <w:tcPr>
            <w:tcW w:w="1341" w:type="dxa"/>
            <w:noWrap w:val="0"/>
            <w:vAlign w:val="center"/>
          </w:tcPr>
          <w:p w14:paraId="6C14B1B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评审项目</w:t>
            </w:r>
          </w:p>
        </w:tc>
        <w:tc>
          <w:tcPr>
            <w:tcW w:w="878" w:type="dxa"/>
            <w:noWrap w:val="0"/>
            <w:vAlign w:val="center"/>
          </w:tcPr>
          <w:p w14:paraId="0B94DBEF">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分值</w:t>
            </w:r>
          </w:p>
        </w:tc>
        <w:tc>
          <w:tcPr>
            <w:tcW w:w="7439" w:type="dxa"/>
            <w:noWrap w:val="0"/>
            <w:vAlign w:val="center"/>
          </w:tcPr>
          <w:p w14:paraId="78A4A7F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评分标准说明</w:t>
            </w:r>
          </w:p>
        </w:tc>
      </w:tr>
      <w:tr w14:paraId="53A1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9658" w:type="dxa"/>
            <w:gridSpan w:val="3"/>
            <w:noWrap w:val="0"/>
            <w:vAlign w:val="center"/>
          </w:tcPr>
          <w:p w14:paraId="05D36FC5">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一、价格部分</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0分</w:t>
            </w:r>
          </w:p>
        </w:tc>
      </w:tr>
      <w:tr w14:paraId="7CBE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7" w:hRule="atLeast"/>
          <w:jc w:val="center"/>
        </w:trPr>
        <w:tc>
          <w:tcPr>
            <w:tcW w:w="1341" w:type="dxa"/>
            <w:noWrap w:val="0"/>
            <w:vAlign w:val="center"/>
          </w:tcPr>
          <w:p w14:paraId="03CEE04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价格</w:t>
            </w:r>
          </w:p>
        </w:tc>
        <w:tc>
          <w:tcPr>
            <w:tcW w:w="878" w:type="dxa"/>
            <w:noWrap w:val="0"/>
            <w:vAlign w:val="center"/>
          </w:tcPr>
          <w:p w14:paraId="6EB3B9E8">
            <w:pPr>
              <w:spacing w:line="360" w:lineRule="auto"/>
              <w:jc w:val="center"/>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30</w:t>
            </w:r>
          </w:p>
        </w:tc>
        <w:tc>
          <w:tcPr>
            <w:tcW w:w="7439" w:type="dxa"/>
            <w:noWrap w:val="0"/>
            <w:vAlign w:val="center"/>
          </w:tcPr>
          <w:p w14:paraId="61A67299">
            <w:pPr>
              <w:spacing w:line="360" w:lineRule="auto"/>
              <w:jc w:val="left"/>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经磋商小组审核，满足竞争性磋商文件要求且最终报价最低的服务商的价格为基准价，其价格分为满分。其他服务商的价格分统一按下列公式折算递减。即：</w:t>
            </w:r>
          </w:p>
          <w:p w14:paraId="3CF81682">
            <w:pPr>
              <w:spacing w:line="360" w:lineRule="auto"/>
              <w:jc w:val="left"/>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报价得分=（基准价/最终磋商报价）×30</w:t>
            </w:r>
          </w:p>
        </w:tc>
      </w:tr>
      <w:tr w14:paraId="2694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658" w:type="dxa"/>
            <w:gridSpan w:val="3"/>
            <w:tcBorders>
              <w:top w:val="single" w:color="auto" w:sz="4" w:space="0"/>
              <w:left w:val="single" w:color="auto" w:sz="4" w:space="0"/>
              <w:bottom w:val="single" w:color="auto" w:sz="4" w:space="0"/>
              <w:right w:val="single" w:color="auto" w:sz="4" w:space="0"/>
            </w:tcBorders>
            <w:noWrap w:val="0"/>
            <w:vAlign w:val="center"/>
          </w:tcPr>
          <w:p w14:paraId="4D2659D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二、商务部分</w:t>
            </w: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分</w:t>
            </w:r>
          </w:p>
        </w:tc>
      </w:tr>
      <w:tr w14:paraId="6245F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41" w:type="dxa"/>
            <w:vMerge w:val="restart"/>
            <w:tcBorders>
              <w:top w:val="single" w:color="auto" w:sz="4" w:space="0"/>
              <w:left w:val="single" w:color="auto" w:sz="4" w:space="0"/>
              <w:right w:val="single" w:color="auto" w:sz="4" w:space="0"/>
            </w:tcBorders>
            <w:noWrap w:val="0"/>
            <w:vAlign w:val="center"/>
          </w:tcPr>
          <w:p w14:paraId="1DDD9519">
            <w:pPr>
              <w:widowControl/>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bidi="ar"/>
              </w:rPr>
              <w:t>公司综合实力</w:t>
            </w:r>
          </w:p>
        </w:tc>
        <w:tc>
          <w:tcPr>
            <w:tcW w:w="878" w:type="dxa"/>
            <w:tcBorders>
              <w:top w:val="single" w:color="auto" w:sz="4" w:space="0"/>
              <w:left w:val="single" w:color="auto" w:sz="4" w:space="0"/>
              <w:bottom w:val="single" w:color="auto" w:sz="4" w:space="0"/>
              <w:right w:val="single" w:color="auto" w:sz="4" w:space="0"/>
            </w:tcBorders>
            <w:noWrap w:val="0"/>
            <w:vAlign w:val="top"/>
          </w:tcPr>
          <w:p w14:paraId="0A568C80">
            <w:pPr>
              <w:spacing w:line="347" w:lineRule="auto"/>
              <w:jc w:val="center"/>
              <w:rPr>
                <w:rFonts w:hint="eastAsia" w:ascii="宋体" w:hAnsi="宋体" w:eastAsia="宋体" w:cs="宋体"/>
                <w:color w:val="auto"/>
                <w:sz w:val="24"/>
                <w:szCs w:val="24"/>
                <w:highlight w:val="none"/>
              </w:rPr>
            </w:pPr>
          </w:p>
          <w:p w14:paraId="208384ED">
            <w:pPr>
              <w:pStyle w:val="226"/>
              <w:spacing w:before="75" w:line="189"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7439" w:type="dxa"/>
            <w:tcBorders>
              <w:top w:val="single" w:color="auto" w:sz="4" w:space="0"/>
              <w:left w:val="single" w:color="auto" w:sz="4" w:space="0"/>
              <w:bottom w:val="single" w:color="auto" w:sz="4" w:space="0"/>
              <w:right w:val="single" w:color="auto" w:sz="4" w:space="0"/>
            </w:tcBorders>
            <w:noWrap w:val="0"/>
            <w:vAlign w:val="top"/>
          </w:tcPr>
          <w:p w14:paraId="6022E6B3">
            <w:pPr>
              <w:pStyle w:val="226"/>
              <w:spacing w:before="38" w:line="366" w:lineRule="auto"/>
              <w:ind w:left="114" w:leftChars="0" w:right="131" w:rightChars="0" w:hanging="2"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（1）服务商近三年内具有独立完成相关的类似业绩（以合同或中标通知书为准），每提供1</w:t>
            </w:r>
            <w:r>
              <w:rPr>
                <w:rFonts w:hint="eastAsia" w:ascii="宋体" w:hAnsi="宋体" w:cs="宋体"/>
                <w:color w:val="auto"/>
                <w:kern w:val="0"/>
                <w:sz w:val="24"/>
                <w:szCs w:val="24"/>
                <w:highlight w:val="none"/>
                <w:lang w:val="en-US" w:eastAsia="zh-CN" w:bidi="ar-SA"/>
              </w:rPr>
              <w:t>项</w:t>
            </w:r>
            <w:r>
              <w:rPr>
                <w:rFonts w:hint="eastAsia" w:ascii="宋体" w:hAnsi="宋体" w:eastAsia="宋体" w:cs="宋体"/>
                <w:color w:val="auto"/>
                <w:kern w:val="0"/>
                <w:sz w:val="24"/>
                <w:szCs w:val="24"/>
                <w:highlight w:val="none"/>
                <w:lang w:val="en-US" w:eastAsia="zh-CN" w:bidi="ar-SA"/>
              </w:rPr>
              <w:t>得1分，最高得4分（附相关合同复印件加盖公章）</w:t>
            </w:r>
          </w:p>
        </w:tc>
      </w:tr>
      <w:tr w14:paraId="08FF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341" w:type="dxa"/>
            <w:vMerge w:val="continue"/>
            <w:tcBorders>
              <w:left w:val="single" w:color="auto" w:sz="4" w:space="0"/>
              <w:right w:val="single" w:color="auto" w:sz="4" w:space="0"/>
            </w:tcBorders>
            <w:noWrap w:val="0"/>
            <w:vAlign w:val="center"/>
          </w:tcPr>
          <w:p w14:paraId="72A7F770">
            <w:pPr>
              <w:widowControl/>
              <w:snapToGrid w:val="0"/>
              <w:spacing w:line="360" w:lineRule="auto"/>
              <w:jc w:val="center"/>
              <w:rPr>
                <w:rFonts w:hint="eastAsia" w:ascii="宋体" w:hAnsi="宋体" w:eastAsia="宋体" w:cs="宋体"/>
                <w:color w:val="auto"/>
                <w:kern w:val="0"/>
                <w:sz w:val="24"/>
                <w:szCs w:val="24"/>
                <w:highlight w:val="none"/>
                <w:lang w:val="en-US" w:eastAsia="zh-CN"/>
              </w:rPr>
            </w:pPr>
          </w:p>
        </w:tc>
        <w:tc>
          <w:tcPr>
            <w:tcW w:w="878" w:type="dxa"/>
            <w:tcBorders>
              <w:top w:val="single" w:color="auto" w:sz="4" w:space="0"/>
              <w:left w:val="single" w:color="auto" w:sz="4" w:space="0"/>
              <w:bottom w:val="single" w:color="auto" w:sz="4" w:space="0"/>
              <w:right w:val="single" w:color="auto" w:sz="4" w:space="0"/>
            </w:tcBorders>
            <w:noWrap w:val="0"/>
            <w:vAlign w:val="top"/>
          </w:tcPr>
          <w:p w14:paraId="782E284F">
            <w:pPr>
              <w:spacing w:line="347" w:lineRule="auto"/>
              <w:jc w:val="center"/>
              <w:rPr>
                <w:rFonts w:hint="eastAsia" w:ascii="宋体" w:hAnsi="宋体" w:eastAsia="宋体" w:cs="宋体"/>
                <w:color w:val="auto"/>
                <w:sz w:val="24"/>
                <w:szCs w:val="24"/>
                <w:highlight w:val="none"/>
              </w:rPr>
            </w:pPr>
          </w:p>
          <w:p w14:paraId="3BA1055C">
            <w:pPr>
              <w:spacing w:line="347" w:lineRule="auto"/>
              <w:jc w:val="center"/>
              <w:rPr>
                <w:rFonts w:hint="eastAsia" w:ascii="宋体" w:hAnsi="宋体" w:eastAsia="宋体" w:cs="宋体"/>
                <w:color w:val="auto"/>
                <w:sz w:val="24"/>
                <w:szCs w:val="24"/>
                <w:highlight w:val="none"/>
              </w:rPr>
            </w:pPr>
          </w:p>
          <w:p w14:paraId="4D1A08E6">
            <w:pPr>
              <w:spacing w:line="347" w:lineRule="auto"/>
              <w:jc w:val="center"/>
              <w:rPr>
                <w:rFonts w:hint="eastAsia" w:ascii="宋体" w:hAnsi="宋体" w:eastAsia="宋体" w:cs="宋体"/>
                <w:color w:val="auto"/>
                <w:sz w:val="24"/>
                <w:szCs w:val="24"/>
                <w:highlight w:val="none"/>
              </w:rPr>
            </w:pPr>
          </w:p>
          <w:p w14:paraId="56A7C630">
            <w:pPr>
              <w:spacing w:line="347" w:lineRule="auto"/>
              <w:jc w:val="center"/>
              <w:rPr>
                <w:rFonts w:hint="eastAsia" w:ascii="宋体" w:hAnsi="宋体" w:eastAsia="宋体" w:cs="宋体"/>
                <w:color w:val="auto"/>
                <w:sz w:val="24"/>
                <w:szCs w:val="24"/>
                <w:highlight w:val="none"/>
              </w:rPr>
            </w:pPr>
          </w:p>
          <w:p w14:paraId="467C4271">
            <w:pPr>
              <w:spacing w:line="347" w:lineRule="auto"/>
              <w:jc w:val="both"/>
              <w:rPr>
                <w:rFonts w:hint="eastAsia" w:ascii="宋体" w:hAnsi="宋体" w:eastAsia="宋体" w:cs="宋体"/>
                <w:color w:val="auto"/>
                <w:sz w:val="24"/>
                <w:szCs w:val="24"/>
                <w:highlight w:val="none"/>
              </w:rPr>
            </w:pPr>
          </w:p>
          <w:p w14:paraId="5B99F4BC">
            <w:pPr>
              <w:pStyle w:val="226"/>
              <w:spacing w:before="75" w:line="189"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lang w:val="en-US" w:eastAsia="zh-CN"/>
              </w:rPr>
              <w:t>12</w:t>
            </w:r>
          </w:p>
        </w:tc>
        <w:tc>
          <w:tcPr>
            <w:tcW w:w="7439" w:type="dxa"/>
            <w:tcBorders>
              <w:top w:val="single" w:color="auto" w:sz="4" w:space="0"/>
              <w:left w:val="single" w:color="auto" w:sz="4" w:space="0"/>
              <w:bottom w:val="single" w:color="auto" w:sz="4" w:space="0"/>
              <w:right w:val="single" w:color="auto" w:sz="4" w:space="0"/>
            </w:tcBorders>
            <w:noWrap w:val="0"/>
            <w:vAlign w:val="top"/>
          </w:tcPr>
          <w:p w14:paraId="57A8CCD7">
            <w:pPr>
              <w:pStyle w:val="226"/>
              <w:spacing w:before="37" w:line="366" w:lineRule="auto"/>
              <w:ind w:left="113" w:leftChars="0" w:right="131" w:right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（1）本项目投标人针对本项目拟派项目负责人，具备信息系统项目管理师证书（高级）证书及高级网络与信息安全工程师证书得</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分，提供一个</w:t>
            </w:r>
            <w:r>
              <w:rPr>
                <w:rFonts w:hint="eastAsia" w:ascii="宋体" w:hAnsi="宋体" w:cs="宋体"/>
                <w:color w:val="auto"/>
                <w:kern w:val="0"/>
                <w:sz w:val="24"/>
                <w:szCs w:val="24"/>
                <w:highlight w:val="none"/>
                <w:lang w:val="en-US" w:eastAsia="zh-CN" w:bidi="ar-SA"/>
              </w:rPr>
              <w:t>有效</w:t>
            </w:r>
            <w:r>
              <w:rPr>
                <w:rFonts w:hint="eastAsia" w:ascii="宋体" w:hAnsi="宋体" w:eastAsia="宋体" w:cs="宋体"/>
                <w:color w:val="auto"/>
                <w:kern w:val="0"/>
                <w:sz w:val="24"/>
                <w:szCs w:val="24"/>
                <w:highlight w:val="none"/>
                <w:lang w:val="en-US" w:eastAsia="zh-CN" w:bidi="ar-SA"/>
              </w:rPr>
              <w:t>证书得</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分，不提供不得分；（需提供本单位近半年任意3个月的社保证明，否则不得分）</w:t>
            </w:r>
          </w:p>
          <w:p w14:paraId="24987EA8">
            <w:pPr>
              <w:pStyle w:val="226"/>
              <w:spacing w:before="37" w:line="366" w:lineRule="auto"/>
              <w:ind w:left="113" w:leftChars="0" w:right="131" w:right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（2）本项目拟派技术负责人具备信息系统项目管理师证书（高级）证书及注册信息安全工程师（CISP）证书4分，提供一个</w:t>
            </w:r>
            <w:r>
              <w:rPr>
                <w:rFonts w:hint="eastAsia" w:ascii="宋体" w:hAnsi="宋体" w:cs="宋体"/>
                <w:color w:val="auto"/>
                <w:kern w:val="0"/>
                <w:sz w:val="24"/>
                <w:szCs w:val="24"/>
                <w:highlight w:val="none"/>
                <w:lang w:val="en-US" w:eastAsia="zh-CN" w:bidi="ar-SA"/>
              </w:rPr>
              <w:t>有效</w:t>
            </w:r>
            <w:r>
              <w:rPr>
                <w:rFonts w:hint="eastAsia" w:ascii="宋体" w:hAnsi="宋体" w:eastAsia="宋体" w:cs="宋体"/>
                <w:color w:val="auto"/>
                <w:kern w:val="0"/>
                <w:sz w:val="24"/>
                <w:szCs w:val="24"/>
                <w:highlight w:val="none"/>
                <w:lang w:val="en-US" w:eastAsia="zh-CN" w:bidi="ar-SA"/>
              </w:rPr>
              <w:t>证书得2分，不提供不得分。（需提供本单位近半年任意3个月的社保证明，否则不得分）</w:t>
            </w:r>
          </w:p>
          <w:p w14:paraId="2072BEBB">
            <w:pPr>
              <w:pStyle w:val="226"/>
              <w:spacing w:before="37" w:line="366" w:lineRule="auto"/>
              <w:ind w:left="113" w:leftChars="0" w:right="131" w:right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（3）投标人须为本项目提供实施工程师，具备高级网络与信息安全工程师及IT服务项目经理证书的得</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分，提供一个</w:t>
            </w:r>
            <w:r>
              <w:rPr>
                <w:rFonts w:hint="eastAsia" w:ascii="宋体" w:hAnsi="宋体" w:cs="宋体"/>
                <w:color w:val="auto"/>
                <w:kern w:val="0"/>
                <w:sz w:val="24"/>
                <w:szCs w:val="24"/>
                <w:highlight w:val="none"/>
                <w:lang w:val="en-US" w:eastAsia="zh-CN" w:bidi="ar-SA"/>
              </w:rPr>
              <w:t>有效</w:t>
            </w:r>
            <w:r>
              <w:rPr>
                <w:rFonts w:hint="eastAsia" w:ascii="宋体" w:hAnsi="宋体" w:eastAsia="宋体" w:cs="宋体"/>
                <w:color w:val="auto"/>
                <w:kern w:val="0"/>
                <w:sz w:val="24"/>
                <w:szCs w:val="24"/>
                <w:highlight w:val="none"/>
                <w:lang w:val="en-US" w:eastAsia="zh-CN" w:bidi="ar-SA"/>
              </w:rPr>
              <w:t>证书得</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分，不提供不得分。（需提供本单位近半年任意3个月的社保证明，否则不得分）</w:t>
            </w:r>
          </w:p>
        </w:tc>
      </w:tr>
      <w:tr w14:paraId="3CF7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341" w:type="dxa"/>
            <w:vMerge w:val="continue"/>
            <w:tcBorders>
              <w:left w:val="single" w:color="auto" w:sz="4" w:space="0"/>
              <w:right w:val="single" w:color="auto" w:sz="4" w:space="0"/>
            </w:tcBorders>
            <w:noWrap w:val="0"/>
            <w:vAlign w:val="center"/>
          </w:tcPr>
          <w:p w14:paraId="27563081">
            <w:pPr>
              <w:widowControl/>
              <w:snapToGrid w:val="0"/>
              <w:spacing w:line="360" w:lineRule="auto"/>
              <w:jc w:val="center"/>
              <w:rPr>
                <w:rFonts w:hint="eastAsia" w:ascii="宋体" w:hAnsi="宋体" w:eastAsia="宋体" w:cs="宋体"/>
                <w:color w:val="auto"/>
                <w:kern w:val="0"/>
                <w:sz w:val="24"/>
                <w:szCs w:val="24"/>
                <w:highlight w:val="none"/>
                <w:lang w:val="en-US" w:eastAsia="zh-CN"/>
              </w:rPr>
            </w:pPr>
          </w:p>
        </w:tc>
        <w:tc>
          <w:tcPr>
            <w:tcW w:w="878" w:type="dxa"/>
            <w:tcBorders>
              <w:top w:val="single" w:color="auto" w:sz="4" w:space="0"/>
              <w:left w:val="single" w:color="auto" w:sz="4" w:space="0"/>
              <w:bottom w:val="single" w:color="auto" w:sz="4" w:space="0"/>
              <w:right w:val="single" w:color="auto" w:sz="4" w:space="0"/>
            </w:tcBorders>
            <w:noWrap w:val="0"/>
            <w:vAlign w:val="top"/>
          </w:tcPr>
          <w:p w14:paraId="4FF27550">
            <w:pPr>
              <w:pStyle w:val="226"/>
              <w:spacing w:before="156" w:line="188"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lang w:val="en-US" w:eastAsia="zh-CN"/>
              </w:rPr>
              <w:t>4</w:t>
            </w:r>
          </w:p>
        </w:tc>
        <w:tc>
          <w:tcPr>
            <w:tcW w:w="7439" w:type="dxa"/>
            <w:tcBorders>
              <w:top w:val="single" w:color="auto" w:sz="4" w:space="0"/>
              <w:left w:val="single" w:color="auto" w:sz="4" w:space="0"/>
              <w:bottom w:val="single" w:color="auto" w:sz="4" w:space="0"/>
              <w:right w:val="single" w:color="auto" w:sz="4" w:space="0"/>
            </w:tcBorders>
            <w:noWrap w:val="0"/>
            <w:vAlign w:val="top"/>
          </w:tcPr>
          <w:p w14:paraId="5756F454">
            <w:pPr>
              <w:pStyle w:val="226"/>
              <w:spacing w:before="117" w:line="227" w:lineRule="auto"/>
              <w:ind w:left="117" w:left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（1）投标人具有CCRC信息系统安全集成二级及以上信息安全服务资质认证证书提供一个有效证书得2分，</w:t>
            </w:r>
            <w:r>
              <w:rPr>
                <w:rFonts w:hint="eastAsia" w:ascii="宋体" w:hAnsi="宋体" w:cs="宋体"/>
                <w:color w:val="auto"/>
                <w:kern w:val="0"/>
                <w:sz w:val="24"/>
                <w:szCs w:val="24"/>
                <w:highlight w:val="none"/>
                <w:lang w:val="en-US" w:eastAsia="zh-CN" w:bidi="ar-SA"/>
              </w:rPr>
              <w:t>三</w:t>
            </w:r>
            <w:r>
              <w:rPr>
                <w:rFonts w:hint="eastAsia" w:ascii="宋体" w:hAnsi="宋体" w:eastAsia="宋体" w:cs="宋体"/>
                <w:color w:val="auto"/>
                <w:kern w:val="0"/>
                <w:sz w:val="24"/>
                <w:szCs w:val="24"/>
                <w:highlight w:val="none"/>
                <w:lang w:val="en-US" w:eastAsia="zh-CN" w:bidi="ar-SA"/>
              </w:rPr>
              <w:t>级得1分。</w:t>
            </w:r>
          </w:p>
          <w:p w14:paraId="08013A20">
            <w:pPr>
              <w:pStyle w:val="226"/>
              <w:spacing w:before="117" w:line="227" w:lineRule="auto"/>
              <w:ind w:left="117" w:left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（2）ITSS信息技术服务运行维护标准准符合性证书二级及以上得2分，三级及以下得1分</w:t>
            </w:r>
          </w:p>
        </w:tc>
      </w:tr>
      <w:tr w14:paraId="64EB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658" w:type="dxa"/>
            <w:gridSpan w:val="3"/>
            <w:tcBorders>
              <w:top w:val="single" w:color="auto" w:sz="4" w:space="0"/>
              <w:left w:val="single" w:color="auto" w:sz="4" w:space="0"/>
              <w:bottom w:val="single" w:color="auto" w:sz="4" w:space="0"/>
              <w:right w:val="single" w:color="auto" w:sz="4" w:space="0"/>
            </w:tcBorders>
            <w:noWrap w:val="0"/>
            <w:vAlign w:val="center"/>
          </w:tcPr>
          <w:p w14:paraId="0C958B2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三、技术部分</w:t>
            </w:r>
            <w:r>
              <w:rPr>
                <w:rFonts w:hint="eastAsia" w:ascii="宋体" w:hAnsi="宋体" w:eastAsia="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rPr>
              <w:t>分</w:t>
            </w:r>
          </w:p>
        </w:tc>
      </w:tr>
      <w:tr w14:paraId="4110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1341" w:type="dxa"/>
            <w:vMerge w:val="restart"/>
            <w:tcBorders>
              <w:left w:val="single" w:color="auto" w:sz="4" w:space="0"/>
              <w:right w:val="single" w:color="auto" w:sz="4" w:space="0"/>
            </w:tcBorders>
            <w:noWrap w:val="0"/>
            <w:vAlign w:val="center"/>
          </w:tcPr>
          <w:p w14:paraId="7504534D">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技术服务方案</w:t>
            </w:r>
          </w:p>
        </w:tc>
        <w:tc>
          <w:tcPr>
            <w:tcW w:w="878" w:type="dxa"/>
            <w:tcBorders>
              <w:top w:val="single" w:color="auto" w:sz="4" w:space="0"/>
              <w:left w:val="single" w:color="auto" w:sz="4" w:space="0"/>
              <w:bottom w:val="single" w:color="auto" w:sz="4" w:space="0"/>
              <w:right w:val="single" w:color="auto" w:sz="4" w:space="0"/>
            </w:tcBorders>
            <w:noWrap w:val="0"/>
            <w:vAlign w:val="center"/>
          </w:tcPr>
          <w:p w14:paraId="47300C01">
            <w:pPr>
              <w:widowControl/>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bidi="ar"/>
              </w:rPr>
              <w:t>6</w:t>
            </w:r>
          </w:p>
        </w:tc>
        <w:tc>
          <w:tcPr>
            <w:tcW w:w="7439" w:type="dxa"/>
            <w:tcBorders>
              <w:top w:val="single" w:color="auto" w:sz="4" w:space="0"/>
              <w:left w:val="single" w:color="auto" w:sz="4" w:space="0"/>
              <w:bottom w:val="single" w:color="auto" w:sz="4" w:space="0"/>
              <w:right w:val="single" w:color="auto" w:sz="4" w:space="0"/>
            </w:tcBorders>
            <w:noWrap w:val="0"/>
            <w:vAlign w:val="center"/>
          </w:tcPr>
          <w:p w14:paraId="4CC276FF">
            <w:pPr>
              <w:widowControl/>
              <w:snapToGrid w:val="0"/>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方案：内容包括系统运行保障方案、运维实施策略、运维服务计划、风险防范措施、灾难恢复方案等，每项内容得0.5分，最多3分；根据方案的完善程度、可操作性、真实性，同比最优可加3分，第二名加2分，第三名加1分，无运维方案不得分。</w:t>
            </w:r>
          </w:p>
        </w:tc>
      </w:tr>
      <w:tr w14:paraId="59EC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341" w:type="dxa"/>
            <w:vMerge w:val="continue"/>
            <w:tcBorders>
              <w:left w:val="single" w:color="auto" w:sz="4" w:space="0"/>
              <w:right w:val="single" w:color="auto" w:sz="4" w:space="0"/>
            </w:tcBorders>
            <w:noWrap w:val="0"/>
            <w:vAlign w:val="center"/>
          </w:tcPr>
          <w:p w14:paraId="5D450342">
            <w:pPr>
              <w:widowControl/>
              <w:spacing w:line="360" w:lineRule="auto"/>
              <w:contextualSpacing/>
              <w:jc w:val="center"/>
              <w:textAlignment w:val="center"/>
              <w:rPr>
                <w:rFonts w:hint="eastAsia" w:ascii="宋体" w:hAnsi="宋体" w:eastAsia="宋体" w:cs="宋体"/>
                <w:color w:val="auto"/>
                <w:kern w:val="0"/>
                <w:sz w:val="24"/>
                <w:szCs w:val="24"/>
                <w:highlight w:val="none"/>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6998EFB6">
            <w:pPr>
              <w:widowControl/>
              <w:spacing w:line="360" w:lineRule="auto"/>
              <w:contextualSpacing/>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rPr>
              <w:t>8</w:t>
            </w:r>
          </w:p>
        </w:tc>
        <w:tc>
          <w:tcPr>
            <w:tcW w:w="7439" w:type="dxa"/>
            <w:tcBorders>
              <w:top w:val="single" w:color="auto" w:sz="4" w:space="0"/>
              <w:left w:val="single" w:color="auto" w:sz="4" w:space="0"/>
              <w:bottom w:val="single" w:color="auto" w:sz="4" w:space="0"/>
              <w:right w:val="single" w:color="auto" w:sz="4" w:space="0"/>
            </w:tcBorders>
            <w:noWrap w:val="0"/>
            <w:vAlign w:val="center"/>
          </w:tcPr>
          <w:p w14:paraId="2F560673">
            <w:pPr>
              <w:widowControl/>
              <w:spacing w:line="360" w:lineRule="auto"/>
              <w:contextualSpacing/>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提供详细的服务故障处理方案及报告、网络安全演练方案及报告、安全检查工作方案及报告、巡检记录方案及报告等安全服务内容相关文档模板格式，提供4个得8分，提供3个得4分，提供3个及以下得1分，不提供得0分。</w:t>
            </w:r>
          </w:p>
        </w:tc>
      </w:tr>
      <w:tr w14:paraId="58A0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341" w:type="dxa"/>
            <w:vMerge w:val="continue"/>
            <w:tcBorders>
              <w:left w:val="single" w:color="auto" w:sz="4" w:space="0"/>
              <w:right w:val="single" w:color="auto" w:sz="4" w:space="0"/>
            </w:tcBorders>
            <w:noWrap w:val="0"/>
            <w:vAlign w:val="center"/>
          </w:tcPr>
          <w:p w14:paraId="196BA96D">
            <w:pPr>
              <w:widowControl/>
              <w:spacing w:line="360" w:lineRule="auto"/>
              <w:contextualSpacing/>
              <w:jc w:val="center"/>
              <w:textAlignment w:val="center"/>
              <w:rPr>
                <w:rFonts w:hint="eastAsia" w:ascii="宋体" w:hAnsi="宋体" w:eastAsia="宋体" w:cs="宋体"/>
                <w:color w:val="auto"/>
                <w:kern w:val="0"/>
                <w:sz w:val="24"/>
                <w:szCs w:val="24"/>
                <w:highlight w:val="none"/>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3A54ADD4">
            <w:pPr>
              <w:widowControl/>
              <w:spacing w:line="360" w:lineRule="auto"/>
              <w:contextualSpacing/>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9</w:t>
            </w:r>
          </w:p>
        </w:tc>
        <w:tc>
          <w:tcPr>
            <w:tcW w:w="7439" w:type="dxa"/>
            <w:tcBorders>
              <w:top w:val="single" w:color="auto" w:sz="4" w:space="0"/>
              <w:left w:val="single" w:color="auto" w:sz="4" w:space="0"/>
              <w:bottom w:val="single" w:color="auto" w:sz="4" w:space="0"/>
              <w:right w:val="single" w:color="auto" w:sz="4" w:space="0"/>
            </w:tcBorders>
            <w:noWrap w:val="0"/>
            <w:vAlign w:val="center"/>
          </w:tcPr>
          <w:p w14:paraId="09F6A62B">
            <w:pPr>
              <w:pStyle w:val="64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网络安全演练时模拟黑客的攻击方法对系统和网络进行非破坏性质的攻击性测试，提供详细渗透测试方法，提供10种以上测试方法的得9分，提供6种以上得4分，提供5种及以下得1分，不提供得0分。</w:t>
            </w:r>
          </w:p>
        </w:tc>
      </w:tr>
      <w:tr w14:paraId="058F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341" w:type="dxa"/>
            <w:vMerge w:val="continue"/>
            <w:tcBorders>
              <w:left w:val="single" w:color="auto" w:sz="4" w:space="0"/>
              <w:right w:val="single" w:color="auto" w:sz="4" w:space="0"/>
            </w:tcBorders>
            <w:noWrap w:val="0"/>
            <w:vAlign w:val="center"/>
          </w:tcPr>
          <w:p w14:paraId="63FD9CBE">
            <w:pPr>
              <w:widowControl/>
              <w:snapToGrid w:val="0"/>
              <w:spacing w:line="360" w:lineRule="auto"/>
              <w:jc w:val="left"/>
              <w:rPr>
                <w:rFonts w:hint="eastAsia" w:ascii="宋体" w:hAnsi="宋体" w:eastAsia="宋体" w:cs="宋体"/>
                <w:color w:val="auto"/>
                <w:kern w:val="0"/>
                <w:sz w:val="24"/>
                <w:szCs w:val="24"/>
                <w:highlight w:val="none"/>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609EA2F0">
            <w:pPr>
              <w:widowControl/>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bidi="ar"/>
              </w:rPr>
              <w:t>6</w:t>
            </w:r>
          </w:p>
        </w:tc>
        <w:tc>
          <w:tcPr>
            <w:tcW w:w="7439" w:type="dxa"/>
            <w:tcBorders>
              <w:top w:val="single" w:color="auto" w:sz="4" w:space="0"/>
              <w:left w:val="single" w:color="auto" w:sz="4" w:space="0"/>
              <w:bottom w:val="single" w:color="auto" w:sz="4" w:space="0"/>
              <w:right w:val="single" w:color="auto" w:sz="4" w:space="0"/>
            </w:tcBorders>
            <w:noWrap w:val="0"/>
            <w:vAlign w:val="center"/>
          </w:tcPr>
          <w:p w14:paraId="178CF6D1">
            <w:pPr>
              <w:widowControl/>
              <w:snapToGrid w:val="0"/>
              <w:spacing w:line="360" w:lineRule="auto"/>
              <w:jc w:val="left"/>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提交应急响应预案、应急响应处理报告模板，重大安全事件通告模板等服务文档模板。相关文件模板内容全部符合实际工作处理过程且具备操作性得6分，1-2项不符合得1分，2项以上不符合得0分。</w:t>
            </w:r>
          </w:p>
        </w:tc>
      </w:tr>
      <w:tr w14:paraId="5945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2" w:hRule="atLeast"/>
          <w:jc w:val="center"/>
        </w:trPr>
        <w:tc>
          <w:tcPr>
            <w:tcW w:w="1341" w:type="dxa"/>
            <w:vMerge w:val="continue"/>
            <w:tcBorders>
              <w:left w:val="single" w:color="auto" w:sz="4" w:space="0"/>
              <w:right w:val="single" w:color="auto" w:sz="4" w:space="0"/>
            </w:tcBorders>
            <w:noWrap w:val="0"/>
            <w:vAlign w:val="center"/>
          </w:tcPr>
          <w:p w14:paraId="72C47679">
            <w:pPr>
              <w:widowControl/>
              <w:snapToGrid w:val="0"/>
              <w:spacing w:line="360" w:lineRule="auto"/>
              <w:jc w:val="center"/>
              <w:rPr>
                <w:rFonts w:hint="eastAsia" w:ascii="宋体" w:hAnsi="宋体" w:eastAsia="宋体" w:cs="宋体"/>
                <w:color w:val="auto"/>
                <w:kern w:val="0"/>
                <w:sz w:val="24"/>
                <w:szCs w:val="24"/>
                <w:highlight w:val="none"/>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6A11892F">
            <w:pPr>
              <w:widowControl/>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bidi="ar"/>
              </w:rPr>
              <w:t>6</w:t>
            </w:r>
          </w:p>
        </w:tc>
        <w:tc>
          <w:tcPr>
            <w:tcW w:w="7439" w:type="dxa"/>
            <w:tcBorders>
              <w:top w:val="single" w:color="auto" w:sz="4" w:space="0"/>
              <w:left w:val="single" w:color="auto" w:sz="4" w:space="0"/>
              <w:bottom w:val="single" w:color="auto" w:sz="4" w:space="0"/>
              <w:right w:val="single" w:color="auto" w:sz="4" w:space="0"/>
            </w:tcBorders>
            <w:noWrap w:val="0"/>
            <w:vAlign w:val="center"/>
          </w:tcPr>
          <w:p w14:paraId="3CACCD07">
            <w:pPr>
              <w:widowControl/>
              <w:snapToGrid w:val="0"/>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在服务期内双方应进行保密控制。磋商文件中应明确提供保密协议、保密承诺、安全保密管理规定</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文档安全管理办法等内容。具备全部4项内容得6分，具备3项内容得3分，具备1项内容得1分，不具备得0分。</w:t>
            </w:r>
          </w:p>
        </w:tc>
      </w:tr>
      <w:tr w14:paraId="0F13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341" w:type="dxa"/>
            <w:vMerge w:val="restart"/>
            <w:tcBorders>
              <w:left w:val="single" w:color="auto" w:sz="4" w:space="0"/>
              <w:right w:val="single" w:color="auto" w:sz="4" w:space="0"/>
            </w:tcBorders>
            <w:noWrap w:val="0"/>
            <w:vAlign w:val="center"/>
          </w:tcPr>
          <w:p w14:paraId="52FB7510">
            <w:pPr>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安全服务承诺</w:t>
            </w:r>
          </w:p>
        </w:tc>
        <w:tc>
          <w:tcPr>
            <w:tcW w:w="878" w:type="dxa"/>
            <w:tcBorders>
              <w:top w:val="single" w:color="auto" w:sz="4" w:space="0"/>
              <w:left w:val="single" w:color="auto" w:sz="4" w:space="0"/>
              <w:bottom w:val="single" w:color="auto" w:sz="4" w:space="0"/>
              <w:right w:val="single" w:color="auto" w:sz="4" w:space="0"/>
            </w:tcBorders>
            <w:noWrap w:val="0"/>
            <w:vAlign w:val="center"/>
          </w:tcPr>
          <w:p w14:paraId="0D197085">
            <w:pPr>
              <w:snapToGrid w:val="0"/>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7439" w:type="dxa"/>
            <w:tcBorders>
              <w:top w:val="single" w:color="auto" w:sz="4" w:space="0"/>
              <w:left w:val="single" w:color="auto" w:sz="4" w:space="0"/>
              <w:bottom w:val="single" w:color="auto" w:sz="4" w:space="0"/>
              <w:right w:val="single" w:color="auto" w:sz="4" w:space="0"/>
            </w:tcBorders>
            <w:noWrap w:val="0"/>
            <w:vAlign w:val="center"/>
          </w:tcPr>
          <w:p w14:paraId="0433727A">
            <w:pPr>
              <w:snapToGrid w:val="0"/>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在服务期内</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及时响应1小时到现场的得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分；2个小时内响应到现场的得3分；4小时内响应的得1分，超过4小时内响应的不得分。</w:t>
            </w:r>
          </w:p>
        </w:tc>
      </w:tr>
      <w:tr w14:paraId="3835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1341" w:type="dxa"/>
            <w:vMerge w:val="continue"/>
            <w:tcBorders>
              <w:left w:val="single" w:color="auto" w:sz="4" w:space="0"/>
              <w:right w:val="single" w:color="auto" w:sz="4" w:space="0"/>
            </w:tcBorders>
            <w:noWrap w:val="0"/>
            <w:vAlign w:val="center"/>
          </w:tcPr>
          <w:p w14:paraId="7CC16CC0">
            <w:pPr>
              <w:adjustRightInd w:val="0"/>
              <w:snapToGrid w:val="0"/>
              <w:spacing w:line="360" w:lineRule="auto"/>
              <w:jc w:val="center"/>
              <w:rPr>
                <w:rFonts w:hint="eastAsia" w:ascii="宋体" w:hAnsi="宋体" w:eastAsia="宋体" w:cs="宋体"/>
                <w:color w:val="auto"/>
                <w:kern w:val="0"/>
                <w:sz w:val="24"/>
                <w:szCs w:val="24"/>
                <w:highlight w:val="none"/>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7FCDA805">
            <w:pPr>
              <w:snapToGrid w:val="0"/>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7439" w:type="dxa"/>
            <w:tcBorders>
              <w:top w:val="single" w:color="auto" w:sz="4" w:space="0"/>
              <w:left w:val="single" w:color="auto" w:sz="4" w:space="0"/>
              <w:bottom w:val="single" w:color="auto" w:sz="4" w:space="0"/>
              <w:right w:val="single" w:color="auto" w:sz="4" w:space="0"/>
            </w:tcBorders>
            <w:noWrap w:val="0"/>
            <w:vAlign w:val="center"/>
          </w:tcPr>
          <w:p w14:paraId="7AF793A0">
            <w:pPr>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承诺提供7*24小时应急响应服务，承诺响应现场服务处理结束后提交事故处理报告得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分；提供7*8小时应急响应现场服务，响应服务处理结束后提交事故处理报告得3分；低于上述相应要求或无法提供应急响应服务得0分。</w:t>
            </w:r>
          </w:p>
        </w:tc>
      </w:tr>
      <w:tr w14:paraId="3A43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1341" w:type="dxa"/>
            <w:vMerge w:val="continue"/>
            <w:tcBorders>
              <w:left w:val="single" w:color="auto" w:sz="4" w:space="0"/>
              <w:right w:val="single" w:color="auto" w:sz="4" w:space="0"/>
            </w:tcBorders>
            <w:noWrap w:val="0"/>
            <w:vAlign w:val="center"/>
          </w:tcPr>
          <w:p w14:paraId="5553E740">
            <w:pPr>
              <w:adjustRightInd w:val="0"/>
              <w:snapToGrid w:val="0"/>
              <w:spacing w:line="360" w:lineRule="auto"/>
              <w:jc w:val="center"/>
              <w:rPr>
                <w:rFonts w:hint="eastAsia" w:ascii="宋体" w:hAnsi="宋体" w:eastAsia="宋体" w:cs="宋体"/>
                <w:color w:val="auto"/>
                <w:kern w:val="0"/>
                <w:sz w:val="24"/>
                <w:szCs w:val="24"/>
                <w:highlight w:val="none"/>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7A53CCB2">
            <w:pPr>
              <w:snapToGrid w:val="0"/>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5</w:t>
            </w:r>
          </w:p>
        </w:tc>
        <w:tc>
          <w:tcPr>
            <w:tcW w:w="7439" w:type="dxa"/>
            <w:tcBorders>
              <w:top w:val="single" w:color="auto" w:sz="4" w:space="0"/>
              <w:left w:val="single" w:color="auto" w:sz="4" w:space="0"/>
              <w:bottom w:val="single" w:color="auto" w:sz="4" w:space="0"/>
              <w:right w:val="single" w:color="auto" w:sz="4" w:space="0"/>
            </w:tcBorders>
            <w:noWrap w:val="0"/>
            <w:vAlign w:val="center"/>
          </w:tcPr>
          <w:p w14:paraId="4EEDD613">
            <w:pPr>
              <w:snapToGrid w:val="0"/>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在服务期内提供全年远程技术支持服务得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分，提供7*8小时远程技术支持服务得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分，提供5*8小时远程技术支持服务得1分，不提供得0分</w:t>
            </w:r>
            <w:r>
              <w:rPr>
                <w:rFonts w:hint="eastAsia" w:ascii="宋体" w:hAnsi="宋体" w:eastAsia="宋体" w:cs="宋体"/>
                <w:color w:val="auto"/>
                <w:kern w:val="0"/>
                <w:sz w:val="24"/>
                <w:szCs w:val="24"/>
                <w:highlight w:val="none"/>
                <w:lang w:eastAsia="zh-CN"/>
              </w:rPr>
              <w:t>。</w:t>
            </w:r>
          </w:p>
        </w:tc>
      </w:tr>
    </w:tbl>
    <w:p w14:paraId="245EE502">
      <w:pPr>
        <w:rPr>
          <w:rFonts w:hint="eastAsia" w:ascii="宋体" w:hAnsi="宋体" w:eastAsia="宋体" w:cs="宋体"/>
          <w:b/>
          <w:bCs/>
          <w:spacing w:val="-7"/>
          <w:sz w:val="24"/>
          <w:szCs w:val="24"/>
          <w:highlight w:val="none"/>
        </w:rPr>
      </w:pPr>
      <w:r>
        <w:rPr>
          <w:rFonts w:hint="eastAsia" w:ascii="宋体" w:hAnsi="宋体" w:eastAsia="宋体" w:cs="宋体"/>
          <w:b/>
          <w:bCs/>
          <w:spacing w:val="-7"/>
          <w:sz w:val="24"/>
          <w:szCs w:val="24"/>
          <w:highlight w:val="none"/>
        </w:rPr>
        <w:br w:type="page"/>
      </w:r>
    </w:p>
    <w:p w14:paraId="13933C4C">
      <w:pPr>
        <w:pStyle w:val="23"/>
        <w:spacing w:before="86" w:line="289" w:lineRule="auto"/>
        <w:ind w:right="1905"/>
        <w:rPr>
          <w:rFonts w:hint="eastAsia" w:ascii="宋体" w:hAnsi="宋体" w:eastAsia="宋体" w:cs="宋体"/>
          <w:b/>
          <w:bCs/>
          <w:spacing w:val="-7"/>
          <w:sz w:val="24"/>
          <w:szCs w:val="24"/>
          <w:highlight w:val="none"/>
          <w:lang w:val="en-US" w:eastAsia="zh-CN"/>
        </w:rPr>
      </w:pPr>
      <w:r>
        <w:rPr>
          <w:rFonts w:hint="eastAsia" w:ascii="宋体" w:hAnsi="宋体" w:eastAsia="宋体" w:cs="宋体"/>
          <w:b/>
          <w:bCs/>
          <w:spacing w:val="-7"/>
          <w:sz w:val="24"/>
          <w:szCs w:val="24"/>
          <w:highlight w:val="none"/>
          <w:lang w:val="en-US" w:eastAsia="zh-CN"/>
        </w:rPr>
        <w:t>标项四、标项五</w:t>
      </w:r>
    </w:p>
    <w:p w14:paraId="4E413F68">
      <w:pPr>
        <w:pStyle w:val="23"/>
        <w:spacing w:before="86" w:line="289" w:lineRule="auto"/>
        <w:ind w:right="190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报价部分（占总分值的10%）</w:t>
      </w:r>
    </w:p>
    <w:tbl>
      <w:tblPr>
        <w:tblStyle w:val="641"/>
        <w:tblW w:w="98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6"/>
        <w:gridCol w:w="1220"/>
        <w:gridCol w:w="6743"/>
        <w:gridCol w:w="989"/>
      </w:tblGrid>
      <w:tr w14:paraId="5DE40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96" w:type="dxa"/>
            <w:vAlign w:val="top"/>
          </w:tcPr>
          <w:p w14:paraId="3ABE6E46">
            <w:pPr>
              <w:pStyle w:val="226"/>
              <w:spacing w:before="137" w:line="221" w:lineRule="auto"/>
              <w:ind w:left="213"/>
              <w:rPr>
                <w:rFonts w:hint="eastAsia" w:ascii="宋体" w:hAnsi="宋体" w:eastAsia="宋体" w:cs="宋体"/>
                <w:sz w:val="24"/>
                <w:szCs w:val="24"/>
                <w:highlight w:val="none"/>
              </w:rPr>
            </w:pPr>
            <w:r>
              <w:rPr>
                <w:rFonts w:hint="eastAsia" w:ascii="宋体" w:hAnsi="宋体" w:eastAsia="宋体" w:cs="宋体"/>
                <w:b/>
                <w:bCs/>
                <w:spacing w:val="-7"/>
                <w:sz w:val="24"/>
                <w:szCs w:val="24"/>
                <w:highlight w:val="none"/>
              </w:rPr>
              <w:t>序号</w:t>
            </w:r>
          </w:p>
        </w:tc>
        <w:tc>
          <w:tcPr>
            <w:tcW w:w="1220" w:type="dxa"/>
            <w:vAlign w:val="top"/>
          </w:tcPr>
          <w:p w14:paraId="7172BB61">
            <w:pPr>
              <w:pStyle w:val="226"/>
              <w:spacing w:before="137" w:line="220" w:lineRule="auto"/>
              <w:ind w:left="130"/>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评审项目</w:t>
            </w:r>
          </w:p>
        </w:tc>
        <w:tc>
          <w:tcPr>
            <w:tcW w:w="6743" w:type="dxa"/>
            <w:vAlign w:val="top"/>
          </w:tcPr>
          <w:p w14:paraId="2AEAF60F">
            <w:pPr>
              <w:pStyle w:val="226"/>
              <w:spacing w:before="137" w:line="220" w:lineRule="auto"/>
              <w:ind w:left="3137"/>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评分标准</w:t>
            </w:r>
          </w:p>
        </w:tc>
        <w:tc>
          <w:tcPr>
            <w:tcW w:w="989" w:type="dxa"/>
            <w:vAlign w:val="top"/>
          </w:tcPr>
          <w:p w14:paraId="6FEE1046">
            <w:pPr>
              <w:pStyle w:val="226"/>
              <w:spacing w:before="138" w:line="219" w:lineRule="auto"/>
              <w:ind w:left="262"/>
              <w:rPr>
                <w:rFonts w:hint="eastAsia" w:ascii="宋体" w:hAnsi="宋体" w:eastAsia="宋体" w:cs="宋体"/>
                <w:sz w:val="24"/>
                <w:szCs w:val="24"/>
                <w:highlight w:val="none"/>
              </w:rPr>
            </w:pPr>
            <w:r>
              <w:rPr>
                <w:rFonts w:hint="eastAsia" w:ascii="宋体" w:hAnsi="宋体" w:eastAsia="宋体" w:cs="宋体"/>
                <w:b/>
                <w:bCs/>
                <w:spacing w:val="-9"/>
                <w:sz w:val="24"/>
                <w:szCs w:val="24"/>
                <w:highlight w:val="none"/>
              </w:rPr>
              <w:t>分值</w:t>
            </w:r>
          </w:p>
        </w:tc>
      </w:tr>
      <w:tr w14:paraId="50C4D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896" w:type="dxa"/>
            <w:vAlign w:val="top"/>
          </w:tcPr>
          <w:p w14:paraId="132FDA3C">
            <w:pPr>
              <w:spacing w:line="265" w:lineRule="auto"/>
              <w:rPr>
                <w:rFonts w:hint="eastAsia" w:ascii="宋体" w:hAnsi="宋体" w:eastAsia="宋体" w:cs="宋体"/>
                <w:sz w:val="24"/>
                <w:szCs w:val="24"/>
                <w:highlight w:val="none"/>
              </w:rPr>
            </w:pPr>
          </w:p>
          <w:p w14:paraId="09B50720">
            <w:pPr>
              <w:spacing w:line="266" w:lineRule="auto"/>
              <w:rPr>
                <w:rFonts w:hint="eastAsia" w:ascii="宋体" w:hAnsi="宋体" w:eastAsia="宋体" w:cs="宋体"/>
                <w:sz w:val="24"/>
                <w:szCs w:val="24"/>
                <w:highlight w:val="none"/>
              </w:rPr>
            </w:pPr>
          </w:p>
          <w:p w14:paraId="718EBAA2">
            <w:pPr>
              <w:spacing w:line="266" w:lineRule="auto"/>
              <w:rPr>
                <w:rFonts w:hint="eastAsia" w:ascii="宋体" w:hAnsi="宋体" w:eastAsia="宋体" w:cs="宋体"/>
                <w:sz w:val="24"/>
                <w:szCs w:val="24"/>
                <w:highlight w:val="none"/>
              </w:rPr>
            </w:pPr>
          </w:p>
          <w:p w14:paraId="4CEE64BD">
            <w:pPr>
              <w:pStyle w:val="226"/>
              <w:spacing w:before="78" w:line="241" w:lineRule="auto"/>
              <w:ind w:left="412"/>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20" w:type="dxa"/>
            <w:vAlign w:val="top"/>
          </w:tcPr>
          <w:p w14:paraId="5AB34570">
            <w:pPr>
              <w:spacing w:line="265" w:lineRule="auto"/>
              <w:rPr>
                <w:rFonts w:hint="eastAsia" w:ascii="宋体" w:hAnsi="宋体" w:eastAsia="宋体" w:cs="宋体"/>
                <w:sz w:val="24"/>
                <w:szCs w:val="24"/>
                <w:highlight w:val="none"/>
              </w:rPr>
            </w:pPr>
          </w:p>
          <w:p w14:paraId="29798480">
            <w:pPr>
              <w:spacing w:line="266" w:lineRule="auto"/>
              <w:rPr>
                <w:rFonts w:hint="eastAsia" w:ascii="宋体" w:hAnsi="宋体" w:eastAsia="宋体" w:cs="宋体"/>
                <w:sz w:val="24"/>
                <w:szCs w:val="24"/>
                <w:highlight w:val="none"/>
              </w:rPr>
            </w:pPr>
          </w:p>
          <w:p w14:paraId="5F0AD656">
            <w:pPr>
              <w:spacing w:line="266" w:lineRule="auto"/>
              <w:rPr>
                <w:rFonts w:hint="eastAsia" w:ascii="宋体" w:hAnsi="宋体" w:eastAsia="宋体" w:cs="宋体"/>
                <w:sz w:val="24"/>
                <w:szCs w:val="24"/>
                <w:highlight w:val="none"/>
              </w:rPr>
            </w:pPr>
          </w:p>
          <w:p w14:paraId="116C7945">
            <w:pPr>
              <w:pStyle w:val="226"/>
              <w:spacing w:before="78" w:line="218" w:lineRule="auto"/>
              <w:ind w:left="137"/>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投标报价</w:t>
            </w:r>
          </w:p>
        </w:tc>
        <w:tc>
          <w:tcPr>
            <w:tcW w:w="6743" w:type="dxa"/>
            <w:vAlign w:val="top"/>
          </w:tcPr>
          <w:p w14:paraId="5E4DD1E3">
            <w:pPr>
              <w:pStyle w:val="226"/>
              <w:spacing w:before="131" w:line="384" w:lineRule="auto"/>
              <w:ind w:left="114" w:right="153" w:hanging="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在满足招标文件要求的前提下，取各投标人有效报价的最低价</w:t>
            </w:r>
            <w:r>
              <w:rPr>
                <w:rFonts w:hint="eastAsia" w:ascii="宋体" w:hAnsi="宋体" w:eastAsia="宋体" w:cs="宋体"/>
                <w:spacing w:val="-2"/>
                <w:sz w:val="24"/>
                <w:szCs w:val="24"/>
                <w:highlight w:val="none"/>
              </w:rPr>
              <w:t>作为评标基准价,满分为10分；价格分的计算投标报价得分</w:t>
            </w:r>
            <w:r>
              <w:rPr>
                <w:rFonts w:hint="eastAsia" w:ascii="宋体" w:hAnsi="宋体" w:eastAsia="宋体" w:cs="宋体"/>
                <w:spacing w:val="-1"/>
                <w:sz w:val="24"/>
                <w:szCs w:val="24"/>
                <w:highlight w:val="none"/>
              </w:rPr>
              <w:t>=(评标基准价／投标报价)×0.10×100。</w:t>
            </w:r>
          </w:p>
          <w:p w14:paraId="43A75DF1">
            <w:pPr>
              <w:pStyle w:val="226"/>
              <w:spacing w:before="216" w:line="219" w:lineRule="auto"/>
              <w:jc w:val="right"/>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（计算分值时，百分比按四舍五入原则，保留小数点后二位数）</w:t>
            </w:r>
          </w:p>
        </w:tc>
        <w:tc>
          <w:tcPr>
            <w:tcW w:w="989" w:type="dxa"/>
            <w:vAlign w:val="top"/>
          </w:tcPr>
          <w:p w14:paraId="2D845882">
            <w:pPr>
              <w:spacing w:line="265" w:lineRule="auto"/>
              <w:rPr>
                <w:rFonts w:hint="eastAsia" w:ascii="宋体" w:hAnsi="宋体" w:eastAsia="宋体" w:cs="宋体"/>
                <w:sz w:val="24"/>
                <w:szCs w:val="24"/>
                <w:highlight w:val="none"/>
              </w:rPr>
            </w:pPr>
          </w:p>
          <w:p w14:paraId="7FCFFC04">
            <w:pPr>
              <w:spacing w:line="265" w:lineRule="auto"/>
              <w:rPr>
                <w:rFonts w:hint="eastAsia" w:ascii="宋体" w:hAnsi="宋体" w:eastAsia="宋体" w:cs="宋体"/>
                <w:sz w:val="24"/>
                <w:szCs w:val="24"/>
                <w:highlight w:val="none"/>
              </w:rPr>
            </w:pPr>
          </w:p>
          <w:p w14:paraId="7F5D7C50">
            <w:pPr>
              <w:spacing w:line="266" w:lineRule="auto"/>
              <w:rPr>
                <w:rFonts w:hint="eastAsia" w:ascii="宋体" w:hAnsi="宋体" w:eastAsia="宋体" w:cs="宋体"/>
                <w:sz w:val="24"/>
                <w:szCs w:val="24"/>
                <w:highlight w:val="none"/>
              </w:rPr>
            </w:pPr>
          </w:p>
          <w:p w14:paraId="6AB55BB6">
            <w:pPr>
              <w:pStyle w:val="226"/>
              <w:spacing w:before="78"/>
              <w:ind w:left="399"/>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10</w:t>
            </w:r>
          </w:p>
        </w:tc>
      </w:tr>
    </w:tbl>
    <w:p w14:paraId="6085CD5C">
      <w:pPr>
        <w:pStyle w:val="23"/>
        <w:spacing w:before="78" w:line="219" w:lineRule="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商务技术部分（占总分值90%）</w:t>
      </w:r>
    </w:p>
    <w:p w14:paraId="24950A12">
      <w:pPr>
        <w:spacing w:line="84" w:lineRule="exact"/>
        <w:rPr>
          <w:rFonts w:hint="eastAsia" w:ascii="宋体" w:hAnsi="宋体" w:eastAsia="宋体" w:cs="宋体"/>
          <w:sz w:val="24"/>
          <w:szCs w:val="24"/>
          <w:highlight w:val="none"/>
        </w:rPr>
      </w:pPr>
    </w:p>
    <w:tbl>
      <w:tblPr>
        <w:tblStyle w:val="641"/>
        <w:tblW w:w="98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5"/>
        <w:gridCol w:w="1260"/>
        <w:gridCol w:w="12"/>
        <w:gridCol w:w="6703"/>
        <w:gridCol w:w="50"/>
        <w:gridCol w:w="955"/>
        <w:gridCol w:w="56"/>
      </w:tblGrid>
      <w:tr w14:paraId="48C65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6" w:type="dxa"/>
          <w:trHeight w:val="587" w:hRule="atLeast"/>
        </w:trPr>
        <w:tc>
          <w:tcPr>
            <w:tcW w:w="813" w:type="dxa"/>
            <w:textDirection w:val="tbRlV"/>
            <w:vAlign w:val="top"/>
          </w:tcPr>
          <w:p w14:paraId="3FD0D6AD">
            <w:pPr>
              <w:pStyle w:val="226"/>
              <w:spacing w:before="286" w:line="210" w:lineRule="auto"/>
              <w:ind w:left="50"/>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序号</w:t>
            </w:r>
          </w:p>
        </w:tc>
        <w:tc>
          <w:tcPr>
            <w:tcW w:w="1265" w:type="dxa"/>
            <w:gridSpan w:val="2"/>
            <w:vAlign w:val="top"/>
          </w:tcPr>
          <w:p w14:paraId="750CB26D">
            <w:pPr>
              <w:pStyle w:val="226"/>
              <w:spacing w:before="215" w:line="220" w:lineRule="auto"/>
              <w:ind w:left="158"/>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评审项目</w:t>
            </w:r>
          </w:p>
        </w:tc>
        <w:tc>
          <w:tcPr>
            <w:tcW w:w="6715" w:type="dxa"/>
            <w:gridSpan w:val="2"/>
            <w:vAlign w:val="top"/>
          </w:tcPr>
          <w:p w14:paraId="77FF23F7">
            <w:pPr>
              <w:pStyle w:val="226"/>
              <w:spacing w:before="215" w:line="220" w:lineRule="auto"/>
              <w:ind w:left="2901"/>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评分标准</w:t>
            </w:r>
          </w:p>
        </w:tc>
        <w:tc>
          <w:tcPr>
            <w:tcW w:w="1005" w:type="dxa"/>
            <w:gridSpan w:val="2"/>
            <w:vAlign w:val="top"/>
          </w:tcPr>
          <w:p w14:paraId="498D5D0A">
            <w:pPr>
              <w:pStyle w:val="226"/>
              <w:spacing w:before="216" w:line="219" w:lineRule="auto"/>
              <w:ind w:left="273"/>
              <w:rPr>
                <w:rFonts w:hint="eastAsia" w:ascii="宋体" w:hAnsi="宋体" w:eastAsia="宋体" w:cs="宋体"/>
                <w:sz w:val="24"/>
                <w:szCs w:val="24"/>
                <w:highlight w:val="none"/>
              </w:rPr>
            </w:pPr>
            <w:r>
              <w:rPr>
                <w:rFonts w:hint="eastAsia" w:ascii="宋体" w:hAnsi="宋体" w:eastAsia="宋体" w:cs="宋体"/>
                <w:b/>
                <w:bCs/>
                <w:spacing w:val="-9"/>
                <w:sz w:val="24"/>
                <w:szCs w:val="24"/>
                <w:highlight w:val="none"/>
              </w:rPr>
              <w:t>分值</w:t>
            </w:r>
          </w:p>
        </w:tc>
      </w:tr>
      <w:tr w14:paraId="73C37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6" w:type="dxa"/>
          <w:trHeight w:val="2183" w:hRule="atLeast"/>
        </w:trPr>
        <w:tc>
          <w:tcPr>
            <w:tcW w:w="813" w:type="dxa"/>
            <w:vAlign w:val="top"/>
          </w:tcPr>
          <w:p w14:paraId="2FC6654D">
            <w:pPr>
              <w:spacing w:line="261" w:lineRule="auto"/>
              <w:rPr>
                <w:rFonts w:hint="eastAsia" w:ascii="宋体" w:hAnsi="宋体" w:eastAsia="宋体" w:cs="宋体"/>
                <w:sz w:val="24"/>
                <w:szCs w:val="24"/>
                <w:highlight w:val="none"/>
              </w:rPr>
            </w:pPr>
          </w:p>
          <w:p w14:paraId="015C5B0A">
            <w:pPr>
              <w:spacing w:line="261" w:lineRule="auto"/>
              <w:rPr>
                <w:rFonts w:hint="eastAsia" w:ascii="宋体" w:hAnsi="宋体" w:eastAsia="宋体" w:cs="宋体"/>
                <w:sz w:val="24"/>
                <w:szCs w:val="24"/>
                <w:highlight w:val="none"/>
              </w:rPr>
            </w:pPr>
          </w:p>
          <w:p w14:paraId="004B10B9">
            <w:pPr>
              <w:spacing w:line="261" w:lineRule="auto"/>
              <w:rPr>
                <w:rFonts w:hint="eastAsia" w:ascii="宋体" w:hAnsi="宋体" w:eastAsia="宋体" w:cs="宋体"/>
                <w:sz w:val="24"/>
                <w:szCs w:val="24"/>
                <w:highlight w:val="none"/>
              </w:rPr>
            </w:pPr>
          </w:p>
          <w:p w14:paraId="223CA25E">
            <w:pPr>
              <w:spacing w:line="261" w:lineRule="auto"/>
              <w:rPr>
                <w:rFonts w:hint="eastAsia" w:ascii="宋体" w:hAnsi="宋体" w:eastAsia="宋体" w:cs="宋体"/>
                <w:sz w:val="24"/>
                <w:szCs w:val="24"/>
                <w:highlight w:val="none"/>
              </w:rPr>
            </w:pPr>
          </w:p>
          <w:p w14:paraId="2AFBDF74">
            <w:pPr>
              <w:pStyle w:val="226"/>
              <w:spacing w:before="78" w:line="241" w:lineRule="auto"/>
              <w:ind w:left="373"/>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65" w:type="dxa"/>
            <w:gridSpan w:val="2"/>
            <w:vAlign w:val="top"/>
          </w:tcPr>
          <w:p w14:paraId="6CBE7F1D">
            <w:pPr>
              <w:spacing w:line="261" w:lineRule="auto"/>
              <w:rPr>
                <w:rFonts w:hint="eastAsia" w:ascii="宋体" w:hAnsi="宋体" w:eastAsia="宋体" w:cs="宋体"/>
                <w:sz w:val="24"/>
                <w:szCs w:val="24"/>
                <w:highlight w:val="none"/>
              </w:rPr>
            </w:pPr>
          </w:p>
          <w:p w14:paraId="3D680AFB">
            <w:pPr>
              <w:spacing w:line="261" w:lineRule="auto"/>
              <w:rPr>
                <w:rFonts w:hint="eastAsia" w:ascii="宋体" w:hAnsi="宋体" w:eastAsia="宋体" w:cs="宋体"/>
                <w:sz w:val="24"/>
                <w:szCs w:val="24"/>
                <w:highlight w:val="none"/>
              </w:rPr>
            </w:pPr>
          </w:p>
          <w:p w14:paraId="2540E667">
            <w:pPr>
              <w:spacing w:line="261" w:lineRule="auto"/>
              <w:rPr>
                <w:rFonts w:hint="eastAsia" w:ascii="宋体" w:hAnsi="宋体" w:eastAsia="宋体" w:cs="宋体"/>
                <w:sz w:val="24"/>
                <w:szCs w:val="24"/>
                <w:highlight w:val="none"/>
              </w:rPr>
            </w:pPr>
          </w:p>
          <w:p w14:paraId="42ED735C">
            <w:pPr>
              <w:spacing w:line="262" w:lineRule="auto"/>
              <w:rPr>
                <w:rFonts w:hint="eastAsia" w:ascii="宋体" w:hAnsi="宋体" w:eastAsia="宋体" w:cs="宋体"/>
                <w:sz w:val="24"/>
                <w:szCs w:val="24"/>
                <w:highlight w:val="none"/>
              </w:rPr>
            </w:pPr>
          </w:p>
          <w:p w14:paraId="75863006">
            <w:pPr>
              <w:pStyle w:val="226"/>
              <w:spacing w:before="78" w:line="220" w:lineRule="auto"/>
              <w:ind w:left="401"/>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业绩</w:t>
            </w:r>
          </w:p>
        </w:tc>
        <w:tc>
          <w:tcPr>
            <w:tcW w:w="6715" w:type="dxa"/>
            <w:gridSpan w:val="2"/>
            <w:vAlign w:val="top"/>
          </w:tcPr>
          <w:p w14:paraId="17595EE9">
            <w:pPr>
              <w:pStyle w:val="226"/>
              <w:spacing w:before="131" w:line="384" w:lineRule="auto"/>
              <w:ind w:left="112" w:right="23"/>
              <w:jc w:val="both"/>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近三年以来（202</w:t>
            </w:r>
            <w:r>
              <w:rPr>
                <w:rFonts w:hint="eastAsia" w:ascii="宋体" w:hAnsi="宋体" w:cs="宋体"/>
                <w:spacing w:val="-5"/>
                <w:sz w:val="24"/>
                <w:szCs w:val="24"/>
                <w:highlight w:val="none"/>
                <w:lang w:val="en-US" w:eastAsia="zh-CN"/>
              </w:rPr>
              <w:t>2</w:t>
            </w:r>
            <w:r>
              <w:rPr>
                <w:rFonts w:hint="eastAsia" w:ascii="宋体" w:hAnsi="宋体" w:eastAsia="宋体" w:cs="宋体"/>
                <w:spacing w:val="-5"/>
                <w:sz w:val="24"/>
                <w:szCs w:val="24"/>
                <w:highlight w:val="none"/>
              </w:rPr>
              <w:t>年1月1日至今）类似业绩，附合同或中标</w:t>
            </w:r>
            <w:r>
              <w:rPr>
                <w:rFonts w:hint="eastAsia" w:ascii="宋体" w:hAnsi="宋体" w:eastAsia="宋体" w:cs="宋体"/>
                <w:spacing w:val="-3"/>
                <w:sz w:val="24"/>
                <w:szCs w:val="24"/>
                <w:highlight w:val="none"/>
              </w:rPr>
              <w:t>通知书复印件，每一份合同或中标通知书加1分，满分10分。</w:t>
            </w:r>
            <w:r>
              <w:rPr>
                <w:rFonts w:hint="eastAsia" w:ascii="宋体" w:hAnsi="宋体" w:eastAsia="宋体" w:cs="宋体"/>
                <w:spacing w:val="-4"/>
                <w:sz w:val="24"/>
                <w:szCs w:val="24"/>
                <w:highlight w:val="none"/>
              </w:rPr>
              <w:t>注：须提供合同或中标通知书复印件，包括首页、关键内容页、</w:t>
            </w:r>
            <w:r>
              <w:rPr>
                <w:rFonts w:hint="eastAsia" w:ascii="宋体" w:hAnsi="宋体" w:eastAsia="宋体" w:cs="宋体"/>
                <w:spacing w:val="-2"/>
                <w:sz w:val="24"/>
                <w:szCs w:val="24"/>
                <w:highlight w:val="none"/>
              </w:rPr>
              <w:t>签字盖章页。</w:t>
            </w:r>
          </w:p>
          <w:p w14:paraId="0651CAF8">
            <w:pPr>
              <w:pStyle w:val="226"/>
              <w:spacing w:line="218" w:lineRule="auto"/>
              <w:ind w:left="11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提供不符合要求或者未提供得0分。</w:t>
            </w:r>
          </w:p>
        </w:tc>
        <w:tc>
          <w:tcPr>
            <w:tcW w:w="1005" w:type="dxa"/>
            <w:gridSpan w:val="2"/>
            <w:vAlign w:val="top"/>
          </w:tcPr>
          <w:p w14:paraId="132E98DF">
            <w:pPr>
              <w:spacing w:line="261" w:lineRule="auto"/>
              <w:rPr>
                <w:rFonts w:hint="eastAsia" w:ascii="宋体" w:hAnsi="宋体" w:eastAsia="宋体" w:cs="宋体"/>
                <w:sz w:val="24"/>
                <w:szCs w:val="24"/>
                <w:highlight w:val="none"/>
              </w:rPr>
            </w:pPr>
          </w:p>
          <w:p w14:paraId="0F9C80FB">
            <w:pPr>
              <w:spacing w:line="261" w:lineRule="auto"/>
              <w:rPr>
                <w:rFonts w:hint="eastAsia" w:ascii="宋体" w:hAnsi="宋体" w:eastAsia="宋体" w:cs="宋体"/>
                <w:sz w:val="24"/>
                <w:szCs w:val="24"/>
                <w:highlight w:val="none"/>
              </w:rPr>
            </w:pPr>
          </w:p>
          <w:p w14:paraId="0CC88D6E">
            <w:pPr>
              <w:spacing w:line="261" w:lineRule="auto"/>
              <w:rPr>
                <w:rFonts w:hint="eastAsia" w:ascii="宋体" w:hAnsi="宋体" w:eastAsia="宋体" w:cs="宋体"/>
                <w:sz w:val="24"/>
                <w:szCs w:val="24"/>
                <w:highlight w:val="none"/>
              </w:rPr>
            </w:pPr>
          </w:p>
          <w:p w14:paraId="1BF4CC19">
            <w:pPr>
              <w:spacing w:line="261" w:lineRule="auto"/>
              <w:rPr>
                <w:rFonts w:hint="eastAsia" w:ascii="宋体" w:hAnsi="宋体" w:eastAsia="宋体" w:cs="宋体"/>
                <w:sz w:val="24"/>
                <w:szCs w:val="24"/>
                <w:highlight w:val="none"/>
              </w:rPr>
            </w:pPr>
          </w:p>
          <w:p w14:paraId="116BFF57">
            <w:pPr>
              <w:pStyle w:val="226"/>
              <w:spacing w:before="78"/>
              <w:ind w:left="41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10</w:t>
            </w:r>
          </w:p>
        </w:tc>
      </w:tr>
      <w:tr w14:paraId="0D7E2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6" w:type="dxa"/>
          <w:trHeight w:val="1755" w:hRule="atLeast"/>
        </w:trPr>
        <w:tc>
          <w:tcPr>
            <w:tcW w:w="813" w:type="dxa"/>
            <w:vAlign w:val="top"/>
          </w:tcPr>
          <w:p w14:paraId="4FD08E9C">
            <w:pPr>
              <w:spacing w:line="266" w:lineRule="auto"/>
              <w:rPr>
                <w:rFonts w:hint="eastAsia" w:ascii="宋体" w:hAnsi="宋体" w:eastAsia="宋体" w:cs="宋体"/>
                <w:sz w:val="24"/>
                <w:szCs w:val="24"/>
                <w:highlight w:val="none"/>
              </w:rPr>
            </w:pPr>
          </w:p>
          <w:p w14:paraId="44C37C10">
            <w:pPr>
              <w:spacing w:line="266" w:lineRule="auto"/>
              <w:rPr>
                <w:rFonts w:hint="eastAsia" w:ascii="宋体" w:hAnsi="宋体" w:eastAsia="宋体" w:cs="宋体"/>
                <w:sz w:val="24"/>
                <w:szCs w:val="24"/>
                <w:highlight w:val="none"/>
              </w:rPr>
            </w:pPr>
          </w:p>
          <w:p w14:paraId="5893DFA6">
            <w:pPr>
              <w:spacing w:line="266" w:lineRule="auto"/>
              <w:rPr>
                <w:rFonts w:hint="eastAsia" w:ascii="宋体" w:hAnsi="宋体" w:eastAsia="宋体" w:cs="宋体"/>
                <w:sz w:val="24"/>
                <w:szCs w:val="24"/>
                <w:highlight w:val="none"/>
              </w:rPr>
            </w:pPr>
          </w:p>
          <w:p w14:paraId="1133EE0D">
            <w:pPr>
              <w:pStyle w:val="226"/>
              <w:spacing w:before="78" w:line="241" w:lineRule="auto"/>
              <w:ind w:left="358"/>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65" w:type="dxa"/>
            <w:gridSpan w:val="2"/>
            <w:vAlign w:val="top"/>
          </w:tcPr>
          <w:p w14:paraId="225DCF3C">
            <w:pPr>
              <w:spacing w:line="316" w:lineRule="auto"/>
              <w:rPr>
                <w:rFonts w:hint="eastAsia" w:ascii="宋体" w:hAnsi="宋体" w:eastAsia="宋体" w:cs="宋体"/>
                <w:sz w:val="24"/>
                <w:szCs w:val="24"/>
                <w:highlight w:val="none"/>
              </w:rPr>
            </w:pPr>
          </w:p>
          <w:p w14:paraId="74846632">
            <w:pPr>
              <w:spacing w:line="316" w:lineRule="auto"/>
              <w:rPr>
                <w:rFonts w:hint="eastAsia" w:ascii="宋体" w:hAnsi="宋体" w:eastAsia="宋体" w:cs="宋体"/>
                <w:sz w:val="24"/>
                <w:szCs w:val="24"/>
                <w:highlight w:val="none"/>
              </w:rPr>
            </w:pPr>
          </w:p>
          <w:p w14:paraId="46E43434">
            <w:pPr>
              <w:pStyle w:val="226"/>
              <w:spacing w:before="78" w:line="219" w:lineRule="auto"/>
              <w:ind w:left="16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用户满意</w:t>
            </w:r>
          </w:p>
          <w:p w14:paraId="133FC2ED">
            <w:pPr>
              <w:pStyle w:val="226"/>
              <w:spacing w:before="48" w:line="220" w:lineRule="auto"/>
              <w:ind w:left="521"/>
              <w:rPr>
                <w:rFonts w:hint="eastAsia" w:ascii="宋体" w:hAnsi="宋体" w:eastAsia="宋体" w:cs="宋体"/>
                <w:sz w:val="24"/>
                <w:szCs w:val="24"/>
                <w:highlight w:val="none"/>
              </w:rPr>
            </w:pPr>
            <w:r>
              <w:rPr>
                <w:rFonts w:hint="eastAsia" w:ascii="宋体" w:hAnsi="宋体" w:eastAsia="宋体" w:cs="宋体"/>
                <w:sz w:val="24"/>
                <w:szCs w:val="24"/>
                <w:highlight w:val="none"/>
              </w:rPr>
              <w:t>度</w:t>
            </w:r>
          </w:p>
        </w:tc>
        <w:tc>
          <w:tcPr>
            <w:tcW w:w="6715" w:type="dxa"/>
            <w:gridSpan w:val="2"/>
            <w:vAlign w:val="top"/>
          </w:tcPr>
          <w:p w14:paraId="737EF3EF">
            <w:pPr>
              <w:pStyle w:val="226"/>
              <w:spacing w:before="132" w:line="219" w:lineRule="auto"/>
              <w:ind w:left="11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提供用户满意度（售后服务、运维服务、用户服务）调查表，</w:t>
            </w:r>
          </w:p>
          <w:p w14:paraId="5A875E71">
            <w:pPr>
              <w:pStyle w:val="226"/>
              <w:spacing w:before="215" w:line="384" w:lineRule="auto"/>
              <w:ind w:left="113" w:right="103"/>
              <w:jc w:val="both"/>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且服务质量为优（很好、很满意）或良（好、满意）。每提供1</w:t>
            </w:r>
            <w:r>
              <w:rPr>
                <w:rFonts w:hint="eastAsia" w:ascii="宋体" w:hAnsi="宋体" w:eastAsia="宋体" w:cs="宋体"/>
                <w:spacing w:val="-8"/>
                <w:sz w:val="24"/>
                <w:szCs w:val="24"/>
                <w:highlight w:val="none"/>
              </w:rPr>
              <w:t>份得1分，满分5分。</w:t>
            </w:r>
          </w:p>
          <w:p w14:paraId="40C22105">
            <w:pPr>
              <w:pStyle w:val="226"/>
              <w:spacing w:line="218" w:lineRule="auto"/>
              <w:ind w:left="11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提供不符合要求或者未提供得0分。</w:t>
            </w:r>
          </w:p>
        </w:tc>
        <w:tc>
          <w:tcPr>
            <w:tcW w:w="1005" w:type="dxa"/>
            <w:gridSpan w:val="2"/>
            <w:vAlign w:val="top"/>
          </w:tcPr>
          <w:p w14:paraId="3D600D59">
            <w:pPr>
              <w:spacing w:line="266" w:lineRule="auto"/>
              <w:rPr>
                <w:rFonts w:hint="eastAsia" w:ascii="宋体" w:hAnsi="宋体" w:eastAsia="宋体" w:cs="宋体"/>
                <w:sz w:val="24"/>
                <w:szCs w:val="24"/>
                <w:highlight w:val="none"/>
              </w:rPr>
            </w:pPr>
          </w:p>
          <w:p w14:paraId="7C3445B6">
            <w:pPr>
              <w:spacing w:line="266" w:lineRule="auto"/>
              <w:rPr>
                <w:rFonts w:hint="eastAsia" w:ascii="宋体" w:hAnsi="宋体" w:eastAsia="宋体" w:cs="宋体"/>
                <w:sz w:val="24"/>
                <w:szCs w:val="24"/>
                <w:highlight w:val="none"/>
              </w:rPr>
            </w:pPr>
          </w:p>
          <w:p w14:paraId="548D3D2E">
            <w:pPr>
              <w:spacing w:line="266" w:lineRule="auto"/>
              <w:rPr>
                <w:rFonts w:hint="eastAsia" w:ascii="宋体" w:hAnsi="宋体" w:eastAsia="宋体" w:cs="宋体"/>
                <w:sz w:val="24"/>
                <w:szCs w:val="24"/>
                <w:highlight w:val="none"/>
              </w:rPr>
            </w:pPr>
          </w:p>
          <w:p w14:paraId="2AF16968">
            <w:pPr>
              <w:pStyle w:val="226"/>
              <w:spacing w:before="78"/>
              <w:ind w:left="457"/>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r>
      <w:tr w14:paraId="06A5D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6" w:type="dxa"/>
          <w:trHeight w:val="1965" w:hRule="atLeast"/>
        </w:trPr>
        <w:tc>
          <w:tcPr>
            <w:tcW w:w="813" w:type="dxa"/>
            <w:vAlign w:val="top"/>
          </w:tcPr>
          <w:p w14:paraId="3B96FAA1">
            <w:pPr>
              <w:spacing w:line="293" w:lineRule="auto"/>
              <w:rPr>
                <w:rFonts w:hint="eastAsia" w:ascii="宋体" w:hAnsi="宋体" w:eastAsia="宋体" w:cs="宋体"/>
                <w:sz w:val="24"/>
                <w:szCs w:val="24"/>
                <w:highlight w:val="none"/>
              </w:rPr>
            </w:pPr>
          </w:p>
          <w:p w14:paraId="1E8C5BAA">
            <w:pPr>
              <w:spacing w:line="294" w:lineRule="auto"/>
              <w:rPr>
                <w:rFonts w:hint="eastAsia" w:ascii="宋体" w:hAnsi="宋体" w:eastAsia="宋体" w:cs="宋体"/>
                <w:sz w:val="24"/>
                <w:szCs w:val="24"/>
                <w:highlight w:val="none"/>
              </w:rPr>
            </w:pPr>
          </w:p>
          <w:p w14:paraId="5806442F">
            <w:pPr>
              <w:spacing w:line="294" w:lineRule="auto"/>
              <w:rPr>
                <w:rFonts w:hint="eastAsia" w:ascii="宋体" w:hAnsi="宋体" w:eastAsia="宋体" w:cs="宋体"/>
                <w:sz w:val="24"/>
                <w:szCs w:val="24"/>
                <w:highlight w:val="none"/>
              </w:rPr>
            </w:pPr>
          </w:p>
          <w:p w14:paraId="21E89FE2">
            <w:pPr>
              <w:pStyle w:val="226"/>
              <w:spacing w:before="78"/>
              <w:ind w:left="360"/>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265" w:type="dxa"/>
            <w:gridSpan w:val="2"/>
            <w:vAlign w:val="top"/>
          </w:tcPr>
          <w:p w14:paraId="15046BB0">
            <w:pPr>
              <w:spacing w:line="293" w:lineRule="auto"/>
              <w:rPr>
                <w:rFonts w:hint="eastAsia" w:ascii="宋体" w:hAnsi="宋体" w:eastAsia="宋体" w:cs="宋体"/>
                <w:sz w:val="24"/>
                <w:szCs w:val="24"/>
                <w:highlight w:val="none"/>
              </w:rPr>
            </w:pPr>
          </w:p>
          <w:p w14:paraId="4999F3B1">
            <w:pPr>
              <w:spacing w:line="294" w:lineRule="auto"/>
              <w:rPr>
                <w:rFonts w:hint="eastAsia" w:ascii="宋体" w:hAnsi="宋体" w:eastAsia="宋体" w:cs="宋体"/>
                <w:sz w:val="24"/>
                <w:szCs w:val="24"/>
                <w:highlight w:val="none"/>
              </w:rPr>
            </w:pPr>
          </w:p>
          <w:p w14:paraId="5A807E2C">
            <w:pPr>
              <w:spacing w:line="294" w:lineRule="auto"/>
              <w:rPr>
                <w:rFonts w:hint="eastAsia" w:ascii="宋体" w:hAnsi="宋体" w:eastAsia="宋体" w:cs="宋体"/>
                <w:sz w:val="24"/>
                <w:szCs w:val="24"/>
                <w:highlight w:val="none"/>
              </w:rPr>
            </w:pPr>
          </w:p>
          <w:p w14:paraId="0DCAA8DA">
            <w:pPr>
              <w:pStyle w:val="226"/>
              <w:spacing w:before="78" w:line="221" w:lineRule="auto"/>
              <w:ind w:left="183"/>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团队配备</w:t>
            </w:r>
          </w:p>
        </w:tc>
        <w:tc>
          <w:tcPr>
            <w:tcW w:w="6715" w:type="dxa"/>
            <w:gridSpan w:val="2"/>
            <w:vAlign w:val="top"/>
          </w:tcPr>
          <w:p w14:paraId="65B7AAE0">
            <w:pPr>
              <w:pStyle w:val="226"/>
              <w:spacing w:before="134" w:line="384" w:lineRule="auto"/>
              <w:ind w:left="113" w:right="41"/>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技术人员具有计算机相关专业，具有开发同类项目的工作经验，</w:t>
            </w:r>
            <w:r>
              <w:rPr>
                <w:rFonts w:hint="eastAsia" w:ascii="宋体" w:hAnsi="宋体" w:eastAsia="宋体" w:cs="宋体"/>
                <w:spacing w:val="-2"/>
                <w:sz w:val="24"/>
                <w:szCs w:val="24"/>
                <w:highlight w:val="none"/>
              </w:rPr>
              <w:t>类似项目履历丰富。</w:t>
            </w:r>
          </w:p>
          <w:p w14:paraId="3289A107">
            <w:pPr>
              <w:pStyle w:val="226"/>
              <w:spacing w:line="218" w:lineRule="auto"/>
              <w:ind w:left="11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技术人员每个加1分，满分5分；未提供不得分。</w:t>
            </w:r>
          </w:p>
          <w:p w14:paraId="0DF79A28">
            <w:pPr>
              <w:pStyle w:val="226"/>
              <w:spacing w:before="130" w:line="235" w:lineRule="auto"/>
              <w:ind w:left="113" w:right="163" w:firstLine="2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以上人员需提供社保缴纳证明，人员身份证，学历证书、业绩</w:t>
            </w:r>
            <w:r>
              <w:rPr>
                <w:rFonts w:hint="eastAsia" w:ascii="宋体" w:hAnsi="宋体" w:eastAsia="宋体" w:cs="宋体"/>
                <w:spacing w:val="-1"/>
                <w:sz w:val="24"/>
                <w:szCs w:val="24"/>
                <w:highlight w:val="none"/>
              </w:rPr>
              <w:t>证明等相关材料，否则不得分。</w:t>
            </w:r>
          </w:p>
        </w:tc>
        <w:tc>
          <w:tcPr>
            <w:tcW w:w="1005" w:type="dxa"/>
            <w:gridSpan w:val="2"/>
            <w:vAlign w:val="top"/>
          </w:tcPr>
          <w:p w14:paraId="672F759A">
            <w:pPr>
              <w:spacing w:line="293" w:lineRule="auto"/>
              <w:rPr>
                <w:rFonts w:hint="eastAsia" w:ascii="宋体" w:hAnsi="宋体" w:eastAsia="宋体" w:cs="宋体"/>
                <w:sz w:val="24"/>
                <w:szCs w:val="24"/>
                <w:highlight w:val="none"/>
              </w:rPr>
            </w:pPr>
          </w:p>
          <w:p w14:paraId="3864EF28">
            <w:pPr>
              <w:spacing w:line="294" w:lineRule="auto"/>
              <w:rPr>
                <w:rFonts w:hint="eastAsia" w:ascii="宋体" w:hAnsi="宋体" w:eastAsia="宋体" w:cs="宋体"/>
                <w:sz w:val="24"/>
                <w:szCs w:val="24"/>
                <w:highlight w:val="none"/>
              </w:rPr>
            </w:pPr>
          </w:p>
          <w:p w14:paraId="7861FA93">
            <w:pPr>
              <w:spacing w:line="294" w:lineRule="auto"/>
              <w:rPr>
                <w:rFonts w:hint="eastAsia" w:ascii="宋体" w:hAnsi="宋体" w:eastAsia="宋体" w:cs="宋体"/>
                <w:sz w:val="24"/>
                <w:szCs w:val="24"/>
                <w:highlight w:val="none"/>
              </w:rPr>
            </w:pPr>
          </w:p>
          <w:p w14:paraId="65CDC555">
            <w:pPr>
              <w:pStyle w:val="226"/>
              <w:spacing w:before="78"/>
              <w:ind w:left="457"/>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r>
      <w:tr w14:paraId="40D59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6" w:type="dxa"/>
          <w:trHeight w:val="2074" w:hRule="atLeast"/>
        </w:trPr>
        <w:tc>
          <w:tcPr>
            <w:tcW w:w="813" w:type="dxa"/>
            <w:vAlign w:val="top"/>
          </w:tcPr>
          <w:p w14:paraId="1AB9DC82">
            <w:pPr>
              <w:spacing w:line="241" w:lineRule="auto"/>
              <w:rPr>
                <w:rFonts w:hint="eastAsia" w:ascii="宋体" w:hAnsi="宋体" w:eastAsia="宋体" w:cs="宋体"/>
                <w:sz w:val="24"/>
                <w:szCs w:val="24"/>
                <w:highlight w:val="none"/>
              </w:rPr>
            </w:pPr>
          </w:p>
          <w:p w14:paraId="340BD054">
            <w:pPr>
              <w:spacing w:line="241" w:lineRule="auto"/>
              <w:rPr>
                <w:rFonts w:hint="eastAsia" w:ascii="宋体" w:hAnsi="宋体" w:eastAsia="宋体" w:cs="宋体"/>
                <w:sz w:val="24"/>
                <w:szCs w:val="24"/>
                <w:highlight w:val="none"/>
              </w:rPr>
            </w:pPr>
          </w:p>
          <w:p w14:paraId="5E90727E">
            <w:pPr>
              <w:spacing w:line="241" w:lineRule="auto"/>
              <w:rPr>
                <w:rFonts w:hint="eastAsia" w:ascii="宋体" w:hAnsi="宋体" w:eastAsia="宋体" w:cs="宋体"/>
                <w:sz w:val="24"/>
                <w:szCs w:val="24"/>
                <w:highlight w:val="none"/>
              </w:rPr>
            </w:pPr>
          </w:p>
          <w:p w14:paraId="27C22310">
            <w:pPr>
              <w:spacing w:line="242" w:lineRule="auto"/>
              <w:rPr>
                <w:rFonts w:hint="eastAsia" w:ascii="宋体" w:hAnsi="宋体" w:eastAsia="宋体" w:cs="宋体"/>
                <w:sz w:val="24"/>
                <w:szCs w:val="24"/>
                <w:highlight w:val="none"/>
              </w:rPr>
            </w:pPr>
          </w:p>
          <w:p w14:paraId="45402C71">
            <w:pPr>
              <w:pStyle w:val="226"/>
              <w:spacing w:before="78" w:line="241" w:lineRule="auto"/>
              <w:ind w:left="355"/>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265" w:type="dxa"/>
            <w:gridSpan w:val="2"/>
            <w:vAlign w:val="top"/>
          </w:tcPr>
          <w:p w14:paraId="31BB6F29">
            <w:pPr>
              <w:spacing w:line="316" w:lineRule="auto"/>
              <w:rPr>
                <w:rFonts w:hint="eastAsia" w:ascii="宋体" w:hAnsi="宋体" w:eastAsia="宋体" w:cs="宋体"/>
                <w:sz w:val="24"/>
                <w:szCs w:val="24"/>
                <w:highlight w:val="none"/>
              </w:rPr>
            </w:pPr>
          </w:p>
          <w:p w14:paraId="3DC44CF7">
            <w:pPr>
              <w:spacing w:line="317" w:lineRule="auto"/>
              <w:rPr>
                <w:rFonts w:hint="eastAsia" w:ascii="宋体" w:hAnsi="宋体" w:eastAsia="宋体" w:cs="宋体"/>
                <w:sz w:val="24"/>
                <w:szCs w:val="24"/>
                <w:highlight w:val="none"/>
              </w:rPr>
            </w:pPr>
          </w:p>
          <w:p w14:paraId="16325EDE">
            <w:pPr>
              <w:pStyle w:val="226"/>
              <w:spacing w:before="78" w:line="221" w:lineRule="auto"/>
              <w:ind w:left="16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系统基础</w:t>
            </w:r>
          </w:p>
          <w:p w14:paraId="0DE87870">
            <w:pPr>
              <w:pStyle w:val="226"/>
              <w:spacing w:before="47" w:line="257" w:lineRule="auto"/>
              <w:ind w:left="284" w:right="154" w:hanging="12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建设及运</w:t>
            </w:r>
            <w:r>
              <w:rPr>
                <w:rFonts w:hint="eastAsia" w:ascii="宋体" w:hAnsi="宋体" w:eastAsia="宋体" w:cs="宋体"/>
                <w:spacing w:val="-5"/>
                <w:sz w:val="24"/>
                <w:szCs w:val="24"/>
                <w:highlight w:val="none"/>
              </w:rPr>
              <w:t>维方案</w:t>
            </w:r>
          </w:p>
        </w:tc>
        <w:tc>
          <w:tcPr>
            <w:tcW w:w="6715" w:type="dxa"/>
            <w:gridSpan w:val="2"/>
            <w:vAlign w:val="top"/>
          </w:tcPr>
          <w:p w14:paraId="5E2DF61F">
            <w:pPr>
              <w:pStyle w:val="226"/>
              <w:spacing w:before="49" w:line="244" w:lineRule="auto"/>
              <w:ind w:left="115" w:right="23" w:firstLine="15"/>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1、供应商针对本项目提供技术方案，根据方案的功能满足程度、</w:t>
            </w:r>
            <w:r>
              <w:rPr>
                <w:rFonts w:hint="eastAsia" w:ascii="宋体" w:hAnsi="宋体" w:eastAsia="宋体" w:cs="宋体"/>
                <w:spacing w:val="-4"/>
                <w:sz w:val="24"/>
                <w:szCs w:val="24"/>
                <w:highlight w:val="none"/>
              </w:rPr>
              <w:t>完整性、合理性等情况综合打分。完全满足需求得15分，每出现一处不满足或负偏离扣1分。</w:t>
            </w:r>
          </w:p>
          <w:p w14:paraId="41F9388D">
            <w:pPr>
              <w:pStyle w:val="226"/>
              <w:spacing w:before="46" w:line="246" w:lineRule="auto"/>
              <w:ind w:left="113" w:right="23" w:firstLine="2"/>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2、提供完整的应用系统运维管理方案，包括应用系统的修改完</w:t>
            </w:r>
            <w:r>
              <w:rPr>
                <w:rFonts w:hint="eastAsia" w:ascii="宋体" w:hAnsi="宋体" w:eastAsia="宋体" w:cs="宋体"/>
                <w:spacing w:val="-10"/>
                <w:sz w:val="24"/>
                <w:szCs w:val="24"/>
                <w:highlight w:val="none"/>
              </w:rPr>
              <w:t>善、测试、上线、审核、资源申请、更新、BUG修正、应急响应、</w:t>
            </w:r>
            <w:r>
              <w:rPr>
                <w:rFonts w:hint="eastAsia" w:ascii="宋体" w:hAnsi="宋体" w:eastAsia="宋体" w:cs="宋体"/>
                <w:spacing w:val="-1"/>
                <w:sz w:val="24"/>
                <w:szCs w:val="24"/>
                <w:highlight w:val="none"/>
              </w:rPr>
              <w:t>数据管理、备份、售后服务应答时间、处理时间等内容。完全</w:t>
            </w:r>
            <w:r>
              <w:rPr>
                <w:rFonts w:hint="eastAsia" w:ascii="宋体" w:hAnsi="宋体" w:eastAsia="宋体" w:cs="宋体"/>
                <w:spacing w:val="-4"/>
                <w:sz w:val="24"/>
                <w:szCs w:val="24"/>
                <w:highlight w:val="none"/>
              </w:rPr>
              <w:t>满足需求得10分，每出现一处不满足或负偏离扣1分。</w:t>
            </w:r>
          </w:p>
        </w:tc>
        <w:tc>
          <w:tcPr>
            <w:tcW w:w="1005" w:type="dxa"/>
            <w:gridSpan w:val="2"/>
            <w:vAlign w:val="top"/>
          </w:tcPr>
          <w:p w14:paraId="6170DCCA">
            <w:pPr>
              <w:spacing w:line="241" w:lineRule="auto"/>
              <w:rPr>
                <w:rFonts w:hint="eastAsia" w:ascii="宋体" w:hAnsi="宋体" w:eastAsia="宋体" w:cs="宋体"/>
                <w:sz w:val="24"/>
                <w:szCs w:val="24"/>
                <w:highlight w:val="none"/>
              </w:rPr>
            </w:pPr>
          </w:p>
          <w:p w14:paraId="3508AEC7">
            <w:pPr>
              <w:spacing w:line="241" w:lineRule="auto"/>
              <w:rPr>
                <w:rFonts w:hint="eastAsia" w:ascii="宋体" w:hAnsi="宋体" w:eastAsia="宋体" w:cs="宋体"/>
                <w:sz w:val="24"/>
                <w:szCs w:val="24"/>
                <w:highlight w:val="none"/>
              </w:rPr>
            </w:pPr>
          </w:p>
          <w:p w14:paraId="6E1E1E86">
            <w:pPr>
              <w:spacing w:line="241" w:lineRule="auto"/>
              <w:rPr>
                <w:rFonts w:hint="eastAsia" w:ascii="宋体" w:hAnsi="宋体" w:eastAsia="宋体" w:cs="宋体"/>
                <w:sz w:val="24"/>
                <w:szCs w:val="24"/>
                <w:highlight w:val="none"/>
              </w:rPr>
            </w:pPr>
          </w:p>
          <w:p w14:paraId="0CA53B77">
            <w:pPr>
              <w:spacing w:line="242" w:lineRule="auto"/>
              <w:rPr>
                <w:rFonts w:hint="eastAsia" w:ascii="宋体" w:hAnsi="宋体" w:eastAsia="宋体" w:cs="宋体"/>
                <w:sz w:val="24"/>
                <w:szCs w:val="24"/>
                <w:highlight w:val="none"/>
              </w:rPr>
            </w:pPr>
          </w:p>
          <w:p w14:paraId="520FB25D">
            <w:pPr>
              <w:pStyle w:val="226"/>
              <w:spacing w:before="78"/>
              <w:ind w:left="395"/>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25</w:t>
            </w:r>
          </w:p>
        </w:tc>
      </w:tr>
      <w:tr w14:paraId="2DF15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6" w:hRule="atLeast"/>
        </w:trPr>
        <w:tc>
          <w:tcPr>
            <w:tcW w:w="818" w:type="dxa"/>
            <w:gridSpan w:val="2"/>
            <w:vAlign w:val="top"/>
          </w:tcPr>
          <w:p w14:paraId="377D3270">
            <w:pPr>
              <w:spacing w:line="261" w:lineRule="auto"/>
              <w:rPr>
                <w:rFonts w:hint="eastAsia" w:ascii="宋体" w:hAnsi="宋体" w:eastAsia="宋体" w:cs="宋体"/>
                <w:sz w:val="24"/>
                <w:szCs w:val="24"/>
                <w:highlight w:val="none"/>
              </w:rPr>
            </w:pPr>
          </w:p>
          <w:p w14:paraId="362C4628">
            <w:pPr>
              <w:spacing w:line="262" w:lineRule="auto"/>
              <w:rPr>
                <w:rFonts w:hint="eastAsia" w:ascii="宋体" w:hAnsi="宋体" w:eastAsia="宋体" w:cs="宋体"/>
                <w:sz w:val="24"/>
                <w:szCs w:val="24"/>
                <w:highlight w:val="none"/>
              </w:rPr>
            </w:pPr>
          </w:p>
          <w:p w14:paraId="73711614">
            <w:pPr>
              <w:spacing w:line="262" w:lineRule="auto"/>
              <w:rPr>
                <w:rFonts w:hint="eastAsia" w:ascii="宋体" w:hAnsi="宋体" w:eastAsia="宋体" w:cs="宋体"/>
                <w:sz w:val="24"/>
                <w:szCs w:val="24"/>
                <w:highlight w:val="none"/>
              </w:rPr>
            </w:pPr>
          </w:p>
          <w:p w14:paraId="0BAD8CD6">
            <w:pPr>
              <w:spacing w:line="262" w:lineRule="auto"/>
              <w:rPr>
                <w:rFonts w:hint="eastAsia" w:ascii="宋体" w:hAnsi="宋体" w:eastAsia="宋体" w:cs="宋体"/>
                <w:sz w:val="24"/>
                <w:szCs w:val="24"/>
                <w:highlight w:val="none"/>
              </w:rPr>
            </w:pPr>
          </w:p>
          <w:p w14:paraId="58AA2FA0">
            <w:pPr>
              <w:pStyle w:val="226"/>
              <w:spacing w:before="78"/>
              <w:ind w:left="360"/>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272" w:type="dxa"/>
            <w:gridSpan w:val="2"/>
            <w:vAlign w:val="top"/>
          </w:tcPr>
          <w:p w14:paraId="2966F8D5">
            <w:pPr>
              <w:spacing w:line="294" w:lineRule="auto"/>
              <w:rPr>
                <w:rFonts w:hint="eastAsia" w:ascii="宋体" w:hAnsi="宋体" w:eastAsia="宋体" w:cs="宋体"/>
                <w:sz w:val="24"/>
                <w:szCs w:val="24"/>
                <w:highlight w:val="none"/>
              </w:rPr>
            </w:pPr>
          </w:p>
          <w:p w14:paraId="4763B444">
            <w:pPr>
              <w:spacing w:line="295" w:lineRule="auto"/>
              <w:rPr>
                <w:rFonts w:hint="eastAsia" w:ascii="宋体" w:hAnsi="宋体" w:eastAsia="宋体" w:cs="宋体"/>
                <w:sz w:val="24"/>
                <w:szCs w:val="24"/>
                <w:highlight w:val="none"/>
              </w:rPr>
            </w:pPr>
          </w:p>
          <w:p w14:paraId="099E55A8">
            <w:pPr>
              <w:spacing w:line="295" w:lineRule="auto"/>
              <w:rPr>
                <w:rFonts w:hint="eastAsia" w:ascii="宋体" w:hAnsi="宋体" w:eastAsia="宋体" w:cs="宋体"/>
                <w:sz w:val="24"/>
                <w:szCs w:val="24"/>
                <w:highlight w:val="none"/>
              </w:rPr>
            </w:pPr>
          </w:p>
          <w:p w14:paraId="4DD9351C">
            <w:pPr>
              <w:pStyle w:val="226"/>
              <w:spacing w:before="78" w:line="219" w:lineRule="auto"/>
              <w:ind w:left="16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系统兼容</w:t>
            </w:r>
          </w:p>
          <w:p w14:paraId="64B5BD18">
            <w:pPr>
              <w:pStyle w:val="226"/>
              <w:spacing w:before="45" w:line="221" w:lineRule="auto"/>
              <w:ind w:left="524"/>
              <w:rPr>
                <w:rFonts w:hint="eastAsia" w:ascii="宋体" w:hAnsi="宋体" w:eastAsia="宋体" w:cs="宋体"/>
                <w:sz w:val="24"/>
                <w:szCs w:val="24"/>
                <w:highlight w:val="none"/>
              </w:rPr>
            </w:pPr>
            <w:r>
              <w:rPr>
                <w:rFonts w:hint="eastAsia" w:ascii="宋体" w:hAnsi="宋体" w:eastAsia="宋体" w:cs="宋体"/>
                <w:sz w:val="24"/>
                <w:szCs w:val="24"/>
                <w:highlight w:val="none"/>
              </w:rPr>
              <w:t>性</w:t>
            </w:r>
          </w:p>
        </w:tc>
        <w:tc>
          <w:tcPr>
            <w:tcW w:w="6753" w:type="dxa"/>
            <w:gridSpan w:val="2"/>
            <w:vAlign w:val="top"/>
          </w:tcPr>
          <w:p w14:paraId="7BD80FE2">
            <w:pPr>
              <w:pStyle w:val="226"/>
              <w:spacing w:before="136" w:line="363" w:lineRule="auto"/>
              <w:ind w:left="113" w:right="41" w:firstLine="18"/>
              <w:jc w:val="both"/>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因工作需要、需求变更等需要对云平台各系统</w:t>
            </w:r>
            <w:r>
              <w:rPr>
                <w:rFonts w:hint="eastAsia" w:ascii="宋体" w:hAnsi="宋体" w:eastAsia="宋体" w:cs="宋体"/>
                <w:spacing w:val="-6"/>
                <w:sz w:val="24"/>
                <w:szCs w:val="24"/>
                <w:highlight w:val="none"/>
              </w:rPr>
              <w:t>进行修改、完善，</w:t>
            </w:r>
            <w:r>
              <w:rPr>
                <w:rFonts w:hint="eastAsia" w:ascii="宋体" w:hAnsi="宋体" w:eastAsia="宋体" w:cs="宋体"/>
                <w:spacing w:val="-1"/>
                <w:sz w:val="24"/>
                <w:szCs w:val="24"/>
                <w:highlight w:val="none"/>
              </w:rPr>
              <w:t>修改完善后的系统需与原有产品相互兼容、无缝对接，统计分析、筛选、提醒、信息采集、数据交换等需保持功能完整。可</w:t>
            </w:r>
            <w:r>
              <w:rPr>
                <w:rFonts w:hint="eastAsia" w:ascii="宋体" w:hAnsi="宋体" w:eastAsia="宋体" w:cs="宋体"/>
                <w:spacing w:val="-2"/>
                <w:sz w:val="24"/>
                <w:szCs w:val="24"/>
                <w:highlight w:val="none"/>
              </w:rPr>
              <w:t>提供与原技术服务商的兼容性或合作证明。完全满足需求得15</w:t>
            </w:r>
            <w:r>
              <w:rPr>
                <w:rFonts w:hint="eastAsia" w:ascii="宋体" w:hAnsi="宋体" w:eastAsia="宋体" w:cs="宋体"/>
                <w:spacing w:val="-3"/>
                <w:sz w:val="24"/>
                <w:szCs w:val="24"/>
                <w:highlight w:val="none"/>
              </w:rPr>
              <w:t>分，每出现一处不满足或负偏离扣1分。</w:t>
            </w:r>
          </w:p>
        </w:tc>
        <w:tc>
          <w:tcPr>
            <w:tcW w:w="1011" w:type="dxa"/>
            <w:gridSpan w:val="2"/>
            <w:vAlign w:val="top"/>
          </w:tcPr>
          <w:p w14:paraId="1D43DBE3">
            <w:pPr>
              <w:spacing w:line="261" w:lineRule="auto"/>
              <w:rPr>
                <w:rFonts w:hint="eastAsia" w:ascii="宋体" w:hAnsi="宋体" w:eastAsia="宋体" w:cs="宋体"/>
                <w:sz w:val="24"/>
                <w:szCs w:val="24"/>
                <w:highlight w:val="none"/>
              </w:rPr>
            </w:pPr>
          </w:p>
          <w:p w14:paraId="006DF376">
            <w:pPr>
              <w:spacing w:line="262" w:lineRule="auto"/>
              <w:rPr>
                <w:rFonts w:hint="eastAsia" w:ascii="宋体" w:hAnsi="宋体" w:eastAsia="宋体" w:cs="宋体"/>
                <w:sz w:val="24"/>
                <w:szCs w:val="24"/>
                <w:highlight w:val="none"/>
              </w:rPr>
            </w:pPr>
          </w:p>
          <w:p w14:paraId="15314449">
            <w:pPr>
              <w:spacing w:line="262" w:lineRule="auto"/>
              <w:rPr>
                <w:rFonts w:hint="eastAsia" w:ascii="宋体" w:hAnsi="宋体" w:eastAsia="宋体" w:cs="宋体"/>
                <w:sz w:val="24"/>
                <w:szCs w:val="24"/>
                <w:highlight w:val="none"/>
              </w:rPr>
            </w:pPr>
          </w:p>
          <w:p w14:paraId="1B8E59C8">
            <w:pPr>
              <w:spacing w:line="262" w:lineRule="auto"/>
              <w:rPr>
                <w:rFonts w:hint="eastAsia" w:ascii="宋体" w:hAnsi="宋体" w:eastAsia="宋体" w:cs="宋体"/>
                <w:sz w:val="24"/>
                <w:szCs w:val="24"/>
                <w:highlight w:val="none"/>
              </w:rPr>
            </w:pPr>
          </w:p>
          <w:p w14:paraId="5EB4EF1B">
            <w:pPr>
              <w:pStyle w:val="226"/>
              <w:spacing w:before="78"/>
              <w:ind w:left="41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15</w:t>
            </w:r>
          </w:p>
        </w:tc>
      </w:tr>
      <w:tr w14:paraId="72DD7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9" w:hRule="atLeast"/>
        </w:trPr>
        <w:tc>
          <w:tcPr>
            <w:tcW w:w="818" w:type="dxa"/>
            <w:gridSpan w:val="2"/>
            <w:vAlign w:val="top"/>
          </w:tcPr>
          <w:p w14:paraId="77E594E1">
            <w:pPr>
              <w:spacing w:line="316" w:lineRule="auto"/>
              <w:rPr>
                <w:rFonts w:hint="eastAsia" w:ascii="宋体" w:hAnsi="宋体" w:eastAsia="宋体" w:cs="宋体"/>
                <w:sz w:val="24"/>
                <w:szCs w:val="24"/>
                <w:highlight w:val="none"/>
              </w:rPr>
            </w:pPr>
          </w:p>
          <w:p w14:paraId="3C646327">
            <w:pPr>
              <w:spacing w:line="316" w:lineRule="auto"/>
              <w:rPr>
                <w:rFonts w:hint="eastAsia" w:ascii="宋体" w:hAnsi="宋体" w:eastAsia="宋体" w:cs="宋体"/>
                <w:sz w:val="24"/>
                <w:szCs w:val="24"/>
                <w:highlight w:val="none"/>
              </w:rPr>
            </w:pPr>
          </w:p>
          <w:p w14:paraId="338D6F1F">
            <w:pPr>
              <w:pStyle w:val="226"/>
              <w:spacing w:before="78"/>
              <w:ind w:left="357"/>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272" w:type="dxa"/>
            <w:gridSpan w:val="2"/>
            <w:vAlign w:val="top"/>
          </w:tcPr>
          <w:p w14:paraId="558B00C2">
            <w:pPr>
              <w:spacing w:line="316" w:lineRule="auto"/>
              <w:rPr>
                <w:rFonts w:hint="eastAsia" w:ascii="宋体" w:hAnsi="宋体" w:eastAsia="宋体" w:cs="宋体"/>
                <w:sz w:val="24"/>
                <w:szCs w:val="24"/>
                <w:highlight w:val="none"/>
              </w:rPr>
            </w:pPr>
          </w:p>
          <w:p w14:paraId="4F91FDDE">
            <w:pPr>
              <w:spacing w:line="317" w:lineRule="auto"/>
              <w:rPr>
                <w:rFonts w:hint="eastAsia" w:ascii="宋体" w:hAnsi="宋体" w:eastAsia="宋体" w:cs="宋体"/>
                <w:sz w:val="24"/>
                <w:szCs w:val="24"/>
                <w:highlight w:val="none"/>
              </w:rPr>
            </w:pPr>
          </w:p>
          <w:p w14:paraId="5A0A6B24">
            <w:pPr>
              <w:pStyle w:val="226"/>
              <w:spacing w:before="78" w:line="220" w:lineRule="auto"/>
              <w:ind w:left="162"/>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培训方案</w:t>
            </w:r>
          </w:p>
        </w:tc>
        <w:tc>
          <w:tcPr>
            <w:tcW w:w="6753" w:type="dxa"/>
            <w:gridSpan w:val="2"/>
            <w:vAlign w:val="top"/>
          </w:tcPr>
          <w:p w14:paraId="2D8A5F6E">
            <w:pPr>
              <w:pStyle w:val="226"/>
              <w:spacing w:before="47" w:line="248" w:lineRule="auto"/>
              <w:ind w:left="112" w:right="163" w:firstLine="1"/>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针对本项目制定出培训计划、培训方式、培训内容、培训目标等，建议合理、可行性强，承诺完善完整的</w:t>
            </w:r>
            <w:r>
              <w:rPr>
                <w:rFonts w:hint="eastAsia" w:ascii="宋体" w:hAnsi="宋体" w:eastAsia="宋体" w:cs="宋体"/>
                <w:spacing w:val="-2"/>
                <w:sz w:val="24"/>
                <w:szCs w:val="24"/>
                <w:highlight w:val="none"/>
              </w:rPr>
              <w:t>得5分；培训内容</w:t>
            </w:r>
            <w:r>
              <w:rPr>
                <w:rFonts w:hint="eastAsia" w:ascii="宋体" w:hAnsi="宋体" w:eastAsia="宋体" w:cs="宋体"/>
                <w:spacing w:val="-4"/>
                <w:sz w:val="24"/>
                <w:szCs w:val="24"/>
                <w:highlight w:val="none"/>
              </w:rPr>
              <w:t>但存在缺漏，培训计划、方式、内容、目标不全的得3分；培</w:t>
            </w:r>
            <w:r>
              <w:rPr>
                <w:rFonts w:hint="eastAsia" w:ascii="宋体" w:hAnsi="宋体" w:eastAsia="宋体" w:cs="宋体"/>
                <w:spacing w:val="-2"/>
                <w:sz w:val="24"/>
                <w:szCs w:val="24"/>
                <w:highlight w:val="none"/>
              </w:rPr>
              <w:t>训内容与本项目实际情况有偏差的得1分；不满足需求或未提</w:t>
            </w:r>
            <w:r>
              <w:rPr>
                <w:rFonts w:hint="eastAsia" w:ascii="宋体" w:hAnsi="宋体" w:eastAsia="宋体" w:cs="宋体"/>
                <w:spacing w:val="-7"/>
                <w:sz w:val="24"/>
                <w:szCs w:val="24"/>
                <w:highlight w:val="none"/>
              </w:rPr>
              <w:t>供得0分。</w:t>
            </w:r>
          </w:p>
        </w:tc>
        <w:tc>
          <w:tcPr>
            <w:tcW w:w="1011" w:type="dxa"/>
            <w:gridSpan w:val="2"/>
            <w:vAlign w:val="top"/>
          </w:tcPr>
          <w:p w14:paraId="722F6FA9">
            <w:pPr>
              <w:spacing w:line="316" w:lineRule="auto"/>
              <w:rPr>
                <w:rFonts w:hint="eastAsia" w:ascii="宋体" w:hAnsi="宋体" w:eastAsia="宋体" w:cs="宋体"/>
                <w:sz w:val="24"/>
                <w:szCs w:val="24"/>
                <w:highlight w:val="none"/>
              </w:rPr>
            </w:pPr>
          </w:p>
          <w:p w14:paraId="6B45B4BF">
            <w:pPr>
              <w:spacing w:line="316" w:lineRule="auto"/>
              <w:rPr>
                <w:rFonts w:hint="eastAsia" w:ascii="宋体" w:hAnsi="宋体" w:eastAsia="宋体" w:cs="宋体"/>
                <w:sz w:val="24"/>
                <w:szCs w:val="24"/>
                <w:highlight w:val="none"/>
              </w:rPr>
            </w:pPr>
          </w:p>
          <w:p w14:paraId="0123BE1E">
            <w:pPr>
              <w:pStyle w:val="226"/>
              <w:spacing w:before="78"/>
              <w:ind w:left="457"/>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r>
      <w:tr w14:paraId="33745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8" w:hRule="atLeast"/>
        </w:trPr>
        <w:tc>
          <w:tcPr>
            <w:tcW w:w="818" w:type="dxa"/>
            <w:gridSpan w:val="2"/>
            <w:vAlign w:val="top"/>
          </w:tcPr>
          <w:p w14:paraId="3ED7BAEB">
            <w:pPr>
              <w:spacing w:line="281" w:lineRule="auto"/>
              <w:rPr>
                <w:rFonts w:hint="eastAsia" w:ascii="宋体" w:hAnsi="宋体" w:eastAsia="宋体" w:cs="宋体"/>
                <w:sz w:val="24"/>
                <w:szCs w:val="24"/>
                <w:highlight w:val="none"/>
              </w:rPr>
            </w:pPr>
          </w:p>
          <w:p w14:paraId="6CE2A029">
            <w:pPr>
              <w:spacing w:line="282" w:lineRule="auto"/>
              <w:rPr>
                <w:rFonts w:hint="eastAsia" w:ascii="宋体" w:hAnsi="宋体" w:eastAsia="宋体" w:cs="宋体"/>
                <w:sz w:val="24"/>
                <w:szCs w:val="24"/>
                <w:highlight w:val="none"/>
              </w:rPr>
            </w:pPr>
          </w:p>
          <w:p w14:paraId="2B37BFE1">
            <w:pPr>
              <w:spacing w:line="282" w:lineRule="auto"/>
              <w:rPr>
                <w:rFonts w:hint="eastAsia" w:ascii="宋体" w:hAnsi="宋体" w:eastAsia="宋体" w:cs="宋体"/>
                <w:sz w:val="24"/>
                <w:szCs w:val="24"/>
                <w:highlight w:val="none"/>
              </w:rPr>
            </w:pPr>
          </w:p>
          <w:p w14:paraId="1A77D2FE">
            <w:pPr>
              <w:spacing w:line="282" w:lineRule="auto"/>
              <w:rPr>
                <w:rFonts w:hint="eastAsia" w:ascii="宋体" w:hAnsi="宋体" w:eastAsia="宋体" w:cs="宋体"/>
                <w:sz w:val="24"/>
                <w:szCs w:val="24"/>
                <w:highlight w:val="none"/>
              </w:rPr>
            </w:pPr>
          </w:p>
          <w:p w14:paraId="0D970A83">
            <w:pPr>
              <w:pStyle w:val="226"/>
              <w:spacing w:before="78"/>
              <w:ind w:left="361"/>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272" w:type="dxa"/>
            <w:gridSpan w:val="2"/>
            <w:vAlign w:val="top"/>
          </w:tcPr>
          <w:p w14:paraId="5F9188BE">
            <w:pPr>
              <w:spacing w:line="282" w:lineRule="auto"/>
              <w:rPr>
                <w:rFonts w:hint="eastAsia" w:ascii="宋体" w:hAnsi="宋体" w:eastAsia="宋体" w:cs="宋体"/>
                <w:sz w:val="24"/>
                <w:szCs w:val="24"/>
                <w:highlight w:val="none"/>
              </w:rPr>
            </w:pPr>
          </w:p>
          <w:p w14:paraId="1E08D067">
            <w:pPr>
              <w:spacing w:line="282" w:lineRule="auto"/>
              <w:rPr>
                <w:rFonts w:hint="eastAsia" w:ascii="宋体" w:hAnsi="宋体" w:eastAsia="宋体" w:cs="宋体"/>
                <w:sz w:val="24"/>
                <w:szCs w:val="24"/>
                <w:highlight w:val="none"/>
              </w:rPr>
            </w:pPr>
          </w:p>
          <w:p w14:paraId="3A95A25E">
            <w:pPr>
              <w:spacing w:line="282" w:lineRule="auto"/>
              <w:rPr>
                <w:rFonts w:hint="eastAsia" w:ascii="宋体" w:hAnsi="宋体" w:eastAsia="宋体" w:cs="宋体"/>
                <w:sz w:val="24"/>
                <w:szCs w:val="24"/>
                <w:highlight w:val="none"/>
              </w:rPr>
            </w:pPr>
          </w:p>
          <w:p w14:paraId="4FD3ED4A">
            <w:pPr>
              <w:spacing w:line="282" w:lineRule="auto"/>
              <w:rPr>
                <w:rFonts w:hint="eastAsia" w:ascii="宋体" w:hAnsi="宋体" w:eastAsia="宋体" w:cs="宋体"/>
                <w:sz w:val="24"/>
                <w:szCs w:val="24"/>
                <w:highlight w:val="none"/>
              </w:rPr>
            </w:pPr>
          </w:p>
          <w:p w14:paraId="0C199228">
            <w:pPr>
              <w:pStyle w:val="226"/>
              <w:spacing w:before="78" w:line="221" w:lineRule="auto"/>
              <w:ind w:left="16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应急响应</w:t>
            </w:r>
          </w:p>
        </w:tc>
        <w:tc>
          <w:tcPr>
            <w:tcW w:w="6753" w:type="dxa"/>
            <w:gridSpan w:val="2"/>
            <w:vAlign w:val="top"/>
          </w:tcPr>
          <w:p w14:paraId="7A12B750">
            <w:pPr>
              <w:pStyle w:val="226"/>
              <w:spacing w:before="47" w:line="244" w:lineRule="auto"/>
              <w:ind w:left="112" w:right="103" w:firstLine="1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1、当遇到线上人员无法解决的重大故障时，供应商</w:t>
            </w:r>
            <w:r>
              <w:rPr>
                <w:rFonts w:hint="eastAsia" w:ascii="宋体" w:hAnsi="宋体" w:eastAsia="宋体" w:cs="宋体"/>
                <w:spacing w:val="-4"/>
                <w:sz w:val="24"/>
                <w:szCs w:val="24"/>
                <w:highlight w:val="none"/>
              </w:rPr>
              <w:t>能够于接到</w:t>
            </w:r>
            <w:r>
              <w:rPr>
                <w:rFonts w:hint="eastAsia" w:ascii="宋体" w:hAnsi="宋体" w:eastAsia="宋体" w:cs="宋体"/>
                <w:spacing w:val="-5"/>
                <w:sz w:val="24"/>
                <w:szCs w:val="24"/>
                <w:highlight w:val="none"/>
              </w:rPr>
              <w:t>采购人故障通知后1小时内响应，2小时内到达现场，满足得2</w:t>
            </w:r>
            <w:r>
              <w:rPr>
                <w:rFonts w:hint="eastAsia" w:ascii="宋体" w:hAnsi="宋体" w:eastAsia="宋体" w:cs="宋体"/>
                <w:spacing w:val="-4"/>
                <w:sz w:val="24"/>
                <w:szCs w:val="24"/>
                <w:highlight w:val="none"/>
              </w:rPr>
              <w:t>分，不满足得0分。</w:t>
            </w:r>
          </w:p>
          <w:p w14:paraId="45C9CEB4">
            <w:pPr>
              <w:pStyle w:val="226"/>
              <w:spacing w:before="47" w:line="248" w:lineRule="auto"/>
              <w:ind w:left="112" w:right="23" w:firstLine="3"/>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2、供应商需提供一套完整的应急响应方案，包括优秀服务能</w:t>
            </w:r>
            <w:r>
              <w:rPr>
                <w:rFonts w:hint="eastAsia" w:ascii="宋体" w:hAnsi="宋体" w:eastAsia="宋体" w:cs="宋体"/>
                <w:spacing w:val="-9"/>
                <w:sz w:val="24"/>
                <w:szCs w:val="24"/>
                <w:highlight w:val="none"/>
              </w:rPr>
              <w:t>力、</w:t>
            </w:r>
            <w:r>
              <w:rPr>
                <w:rFonts w:hint="eastAsia" w:ascii="宋体" w:hAnsi="宋体" w:eastAsia="宋体" w:cs="宋体"/>
                <w:spacing w:val="-1"/>
                <w:sz w:val="24"/>
                <w:szCs w:val="24"/>
                <w:highlight w:val="none"/>
              </w:rPr>
              <w:t>应急预案、处理程序、响应及处理时间、质量保证措施等。流程、措施介绍完整，相应技术人员技术能力证明材料、联系电</w:t>
            </w:r>
            <w:r>
              <w:rPr>
                <w:rFonts w:hint="eastAsia" w:ascii="宋体" w:hAnsi="宋体" w:eastAsia="宋体" w:cs="宋体"/>
                <w:spacing w:val="-5"/>
                <w:sz w:val="24"/>
                <w:szCs w:val="24"/>
                <w:highlight w:val="none"/>
              </w:rPr>
              <w:t>话等信息齐全得10分，每存在一处缺漏或不详实的扣2分，扣</w:t>
            </w:r>
            <w:r>
              <w:rPr>
                <w:rFonts w:hint="eastAsia" w:ascii="宋体" w:hAnsi="宋体" w:eastAsia="宋体" w:cs="宋体"/>
                <w:spacing w:val="-3"/>
                <w:sz w:val="24"/>
                <w:szCs w:val="24"/>
                <w:highlight w:val="none"/>
              </w:rPr>
              <w:t>完为止。</w:t>
            </w:r>
          </w:p>
        </w:tc>
        <w:tc>
          <w:tcPr>
            <w:tcW w:w="1011" w:type="dxa"/>
            <w:gridSpan w:val="2"/>
            <w:vAlign w:val="top"/>
          </w:tcPr>
          <w:p w14:paraId="24720C0B">
            <w:pPr>
              <w:spacing w:line="281" w:lineRule="auto"/>
              <w:rPr>
                <w:rFonts w:hint="eastAsia" w:ascii="宋体" w:hAnsi="宋体" w:eastAsia="宋体" w:cs="宋体"/>
                <w:sz w:val="24"/>
                <w:szCs w:val="24"/>
                <w:highlight w:val="none"/>
              </w:rPr>
            </w:pPr>
          </w:p>
          <w:p w14:paraId="02BDD2D3">
            <w:pPr>
              <w:spacing w:line="282" w:lineRule="auto"/>
              <w:rPr>
                <w:rFonts w:hint="eastAsia" w:ascii="宋体" w:hAnsi="宋体" w:eastAsia="宋体" w:cs="宋体"/>
                <w:sz w:val="24"/>
                <w:szCs w:val="24"/>
                <w:highlight w:val="none"/>
              </w:rPr>
            </w:pPr>
          </w:p>
          <w:p w14:paraId="2B67D57A">
            <w:pPr>
              <w:spacing w:line="282" w:lineRule="auto"/>
              <w:rPr>
                <w:rFonts w:hint="eastAsia" w:ascii="宋体" w:hAnsi="宋体" w:eastAsia="宋体" w:cs="宋体"/>
                <w:sz w:val="24"/>
                <w:szCs w:val="24"/>
                <w:highlight w:val="none"/>
              </w:rPr>
            </w:pPr>
          </w:p>
          <w:p w14:paraId="196A4175">
            <w:pPr>
              <w:spacing w:line="282" w:lineRule="auto"/>
              <w:rPr>
                <w:rFonts w:hint="eastAsia" w:ascii="宋体" w:hAnsi="宋体" w:eastAsia="宋体" w:cs="宋体"/>
                <w:sz w:val="24"/>
                <w:szCs w:val="24"/>
                <w:highlight w:val="none"/>
              </w:rPr>
            </w:pPr>
          </w:p>
          <w:p w14:paraId="74CE6D03">
            <w:pPr>
              <w:pStyle w:val="226"/>
              <w:spacing w:before="78" w:line="241" w:lineRule="auto"/>
              <w:ind w:left="41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12</w:t>
            </w:r>
          </w:p>
        </w:tc>
      </w:tr>
      <w:tr w14:paraId="2C1A3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4" w:hRule="atLeast"/>
        </w:trPr>
        <w:tc>
          <w:tcPr>
            <w:tcW w:w="818" w:type="dxa"/>
            <w:gridSpan w:val="2"/>
            <w:vAlign w:val="top"/>
          </w:tcPr>
          <w:p w14:paraId="63886C42">
            <w:pPr>
              <w:spacing w:line="255" w:lineRule="auto"/>
              <w:rPr>
                <w:rFonts w:hint="eastAsia" w:ascii="宋体" w:hAnsi="宋体" w:eastAsia="宋体" w:cs="宋体"/>
                <w:sz w:val="24"/>
                <w:szCs w:val="24"/>
                <w:highlight w:val="none"/>
              </w:rPr>
            </w:pPr>
          </w:p>
          <w:p w14:paraId="2572A4FB">
            <w:pPr>
              <w:spacing w:line="255" w:lineRule="auto"/>
              <w:rPr>
                <w:rFonts w:hint="eastAsia" w:ascii="宋体" w:hAnsi="宋体" w:eastAsia="宋体" w:cs="宋体"/>
                <w:sz w:val="24"/>
                <w:szCs w:val="24"/>
                <w:highlight w:val="none"/>
              </w:rPr>
            </w:pPr>
          </w:p>
          <w:p w14:paraId="71C74B87">
            <w:pPr>
              <w:spacing w:line="256" w:lineRule="auto"/>
              <w:rPr>
                <w:rFonts w:hint="eastAsia" w:ascii="宋体" w:hAnsi="宋体" w:eastAsia="宋体" w:cs="宋体"/>
                <w:sz w:val="24"/>
                <w:szCs w:val="24"/>
                <w:highlight w:val="none"/>
              </w:rPr>
            </w:pPr>
          </w:p>
          <w:p w14:paraId="0ABAD409">
            <w:pPr>
              <w:spacing w:line="256" w:lineRule="auto"/>
              <w:rPr>
                <w:rFonts w:hint="eastAsia" w:ascii="宋体" w:hAnsi="宋体" w:eastAsia="宋体" w:cs="宋体"/>
                <w:sz w:val="24"/>
                <w:szCs w:val="24"/>
                <w:highlight w:val="none"/>
              </w:rPr>
            </w:pPr>
          </w:p>
          <w:p w14:paraId="0001735E">
            <w:pPr>
              <w:spacing w:line="256" w:lineRule="auto"/>
              <w:rPr>
                <w:rFonts w:hint="eastAsia" w:ascii="宋体" w:hAnsi="宋体" w:eastAsia="宋体" w:cs="宋体"/>
                <w:sz w:val="24"/>
                <w:szCs w:val="24"/>
                <w:highlight w:val="none"/>
              </w:rPr>
            </w:pPr>
          </w:p>
          <w:p w14:paraId="3E9C723D">
            <w:pPr>
              <w:spacing w:line="256" w:lineRule="auto"/>
              <w:rPr>
                <w:rFonts w:hint="eastAsia" w:ascii="宋体" w:hAnsi="宋体" w:eastAsia="宋体" w:cs="宋体"/>
                <w:sz w:val="24"/>
                <w:szCs w:val="24"/>
                <w:highlight w:val="none"/>
              </w:rPr>
            </w:pPr>
          </w:p>
          <w:p w14:paraId="2117C078">
            <w:pPr>
              <w:spacing w:line="256" w:lineRule="auto"/>
              <w:rPr>
                <w:rFonts w:hint="eastAsia" w:ascii="宋体" w:hAnsi="宋体" w:eastAsia="宋体" w:cs="宋体"/>
                <w:sz w:val="24"/>
                <w:szCs w:val="24"/>
                <w:highlight w:val="none"/>
              </w:rPr>
            </w:pPr>
          </w:p>
          <w:p w14:paraId="54F3BC9A">
            <w:pPr>
              <w:pStyle w:val="226"/>
              <w:spacing w:before="78"/>
              <w:ind w:left="356"/>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272" w:type="dxa"/>
            <w:gridSpan w:val="2"/>
            <w:vAlign w:val="top"/>
          </w:tcPr>
          <w:p w14:paraId="03F26220">
            <w:pPr>
              <w:spacing w:line="257" w:lineRule="auto"/>
              <w:rPr>
                <w:rFonts w:hint="eastAsia" w:ascii="宋体" w:hAnsi="宋体" w:eastAsia="宋体" w:cs="宋体"/>
                <w:sz w:val="24"/>
                <w:szCs w:val="24"/>
                <w:highlight w:val="none"/>
              </w:rPr>
            </w:pPr>
          </w:p>
          <w:p w14:paraId="70AF61BC">
            <w:pPr>
              <w:spacing w:line="257" w:lineRule="auto"/>
              <w:rPr>
                <w:rFonts w:hint="eastAsia" w:ascii="宋体" w:hAnsi="宋体" w:eastAsia="宋体" w:cs="宋体"/>
                <w:sz w:val="24"/>
                <w:szCs w:val="24"/>
                <w:highlight w:val="none"/>
              </w:rPr>
            </w:pPr>
          </w:p>
          <w:p w14:paraId="0CC184A2">
            <w:pPr>
              <w:spacing w:line="257" w:lineRule="auto"/>
              <w:rPr>
                <w:rFonts w:hint="eastAsia" w:ascii="宋体" w:hAnsi="宋体" w:eastAsia="宋体" w:cs="宋体"/>
                <w:sz w:val="24"/>
                <w:szCs w:val="24"/>
                <w:highlight w:val="none"/>
              </w:rPr>
            </w:pPr>
          </w:p>
          <w:p w14:paraId="41EDACFC">
            <w:pPr>
              <w:spacing w:line="257" w:lineRule="auto"/>
              <w:rPr>
                <w:rFonts w:hint="eastAsia" w:ascii="宋体" w:hAnsi="宋体" w:eastAsia="宋体" w:cs="宋体"/>
                <w:sz w:val="24"/>
                <w:szCs w:val="24"/>
                <w:highlight w:val="none"/>
              </w:rPr>
            </w:pPr>
          </w:p>
          <w:p w14:paraId="4FCDE04D">
            <w:pPr>
              <w:spacing w:line="257" w:lineRule="auto"/>
              <w:rPr>
                <w:rFonts w:hint="eastAsia" w:ascii="宋体" w:hAnsi="宋体" w:eastAsia="宋体" w:cs="宋体"/>
                <w:sz w:val="24"/>
                <w:szCs w:val="24"/>
                <w:highlight w:val="none"/>
              </w:rPr>
            </w:pPr>
          </w:p>
          <w:p w14:paraId="30A171A4">
            <w:pPr>
              <w:spacing w:line="258" w:lineRule="auto"/>
              <w:rPr>
                <w:rFonts w:hint="eastAsia" w:ascii="宋体" w:hAnsi="宋体" w:eastAsia="宋体" w:cs="宋体"/>
                <w:sz w:val="24"/>
                <w:szCs w:val="24"/>
                <w:highlight w:val="none"/>
              </w:rPr>
            </w:pPr>
          </w:p>
          <w:p w14:paraId="5BBD6230">
            <w:pPr>
              <w:pStyle w:val="226"/>
              <w:spacing w:before="78" w:line="219" w:lineRule="auto"/>
              <w:ind w:left="16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服务质量</w:t>
            </w:r>
            <w:r>
              <w:rPr>
                <w:rFonts w:hint="eastAsia" w:ascii="宋体" w:hAnsi="宋体" w:eastAsia="宋体" w:cs="宋体"/>
                <w:spacing w:val="-6"/>
                <w:sz w:val="24"/>
                <w:szCs w:val="24"/>
                <w:highlight w:val="none"/>
              </w:rPr>
              <w:t>保证</w:t>
            </w:r>
          </w:p>
        </w:tc>
        <w:tc>
          <w:tcPr>
            <w:tcW w:w="6753" w:type="dxa"/>
            <w:gridSpan w:val="2"/>
            <w:vAlign w:val="top"/>
          </w:tcPr>
          <w:p w14:paraId="0B1E8BB5">
            <w:pPr>
              <w:pStyle w:val="226"/>
              <w:spacing w:before="133" w:line="329" w:lineRule="auto"/>
              <w:ind w:left="113" w:right="103" w:firstLine="17"/>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1、对供应商安全运维承诺提供定期巡查，每周一次</w:t>
            </w:r>
            <w:r>
              <w:rPr>
                <w:rFonts w:hint="eastAsia" w:ascii="宋体" w:hAnsi="宋体" w:eastAsia="宋体" w:cs="宋体"/>
                <w:spacing w:val="-4"/>
                <w:sz w:val="24"/>
                <w:szCs w:val="24"/>
                <w:highlight w:val="none"/>
              </w:rPr>
              <w:t>巡检，每月</w:t>
            </w:r>
            <w:r>
              <w:rPr>
                <w:rFonts w:hint="eastAsia" w:ascii="宋体" w:hAnsi="宋体" w:eastAsia="宋体" w:cs="宋体"/>
                <w:spacing w:val="2"/>
                <w:sz w:val="24"/>
                <w:szCs w:val="24"/>
                <w:highlight w:val="none"/>
              </w:rPr>
              <w:t>一次小报告，每季度一次大报告，年度总结报告，</w:t>
            </w:r>
            <w:r>
              <w:rPr>
                <w:rFonts w:hint="eastAsia" w:ascii="宋体" w:hAnsi="宋体" w:eastAsia="宋体" w:cs="宋体"/>
                <w:spacing w:val="1"/>
                <w:sz w:val="24"/>
                <w:szCs w:val="24"/>
                <w:highlight w:val="none"/>
              </w:rPr>
              <w:t>根据提供的</w:t>
            </w:r>
            <w:r>
              <w:rPr>
                <w:rFonts w:hint="eastAsia" w:ascii="宋体" w:hAnsi="宋体" w:eastAsia="宋体" w:cs="宋体"/>
                <w:spacing w:val="-2"/>
                <w:sz w:val="24"/>
                <w:szCs w:val="24"/>
                <w:highlight w:val="none"/>
              </w:rPr>
              <w:t>承诺进行打分，满足得3分，不满足不得分。</w:t>
            </w:r>
          </w:p>
          <w:p w14:paraId="4DDF38F9">
            <w:pPr>
              <w:pStyle w:val="226"/>
              <w:spacing w:before="215" w:line="351" w:lineRule="auto"/>
              <w:ind w:left="113" w:right="83" w:firstLine="2"/>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2、针对该项目制定服务质量保证方案，提供内容完整、详实可行的质量保证措施，有很强的针对性，得10分；</w:t>
            </w:r>
            <w:r>
              <w:rPr>
                <w:rFonts w:hint="eastAsia" w:ascii="宋体" w:hAnsi="宋体" w:eastAsia="宋体" w:cs="宋体"/>
                <w:spacing w:val="-4"/>
                <w:sz w:val="24"/>
                <w:szCs w:val="24"/>
                <w:highlight w:val="none"/>
              </w:rPr>
              <w:t>提供了通用、</w:t>
            </w:r>
            <w:r>
              <w:rPr>
                <w:rFonts w:hint="eastAsia" w:ascii="宋体" w:hAnsi="宋体" w:eastAsia="宋体" w:cs="宋体"/>
                <w:sz w:val="24"/>
                <w:szCs w:val="24"/>
                <w:highlight w:val="none"/>
              </w:rPr>
              <w:t>简单的质量保证措施，基本符合采购需求得7分。运维服务承</w:t>
            </w:r>
            <w:r>
              <w:rPr>
                <w:rFonts w:hint="eastAsia" w:ascii="宋体" w:hAnsi="宋体" w:eastAsia="宋体" w:cs="宋体"/>
                <w:spacing w:val="-1"/>
                <w:sz w:val="24"/>
                <w:szCs w:val="24"/>
                <w:highlight w:val="none"/>
              </w:rPr>
              <w:t>诺配置一般的得5分，不完全满足需求得1分，不满足需求或</w:t>
            </w:r>
            <w:r>
              <w:rPr>
                <w:rFonts w:hint="eastAsia" w:ascii="宋体" w:hAnsi="宋体" w:eastAsia="宋体" w:cs="宋体"/>
                <w:spacing w:val="-5"/>
                <w:sz w:val="24"/>
                <w:szCs w:val="24"/>
                <w:highlight w:val="none"/>
              </w:rPr>
              <w:t>未提供得0分。</w:t>
            </w:r>
          </w:p>
        </w:tc>
        <w:tc>
          <w:tcPr>
            <w:tcW w:w="1011" w:type="dxa"/>
            <w:gridSpan w:val="2"/>
            <w:vAlign w:val="top"/>
          </w:tcPr>
          <w:p w14:paraId="40ABB015">
            <w:pPr>
              <w:spacing w:line="255" w:lineRule="auto"/>
              <w:rPr>
                <w:rFonts w:hint="eastAsia" w:ascii="宋体" w:hAnsi="宋体" w:eastAsia="宋体" w:cs="宋体"/>
                <w:sz w:val="24"/>
                <w:szCs w:val="24"/>
                <w:highlight w:val="none"/>
              </w:rPr>
            </w:pPr>
          </w:p>
          <w:p w14:paraId="7CCC62E8">
            <w:pPr>
              <w:spacing w:line="255" w:lineRule="auto"/>
              <w:rPr>
                <w:rFonts w:hint="eastAsia" w:ascii="宋体" w:hAnsi="宋体" w:eastAsia="宋体" w:cs="宋体"/>
                <w:sz w:val="24"/>
                <w:szCs w:val="24"/>
                <w:highlight w:val="none"/>
              </w:rPr>
            </w:pPr>
          </w:p>
          <w:p w14:paraId="0216A714">
            <w:pPr>
              <w:spacing w:line="256" w:lineRule="auto"/>
              <w:rPr>
                <w:rFonts w:hint="eastAsia" w:ascii="宋体" w:hAnsi="宋体" w:eastAsia="宋体" w:cs="宋体"/>
                <w:sz w:val="24"/>
                <w:szCs w:val="24"/>
                <w:highlight w:val="none"/>
              </w:rPr>
            </w:pPr>
          </w:p>
          <w:p w14:paraId="64548E89">
            <w:pPr>
              <w:spacing w:line="256" w:lineRule="auto"/>
              <w:rPr>
                <w:rFonts w:hint="eastAsia" w:ascii="宋体" w:hAnsi="宋体" w:eastAsia="宋体" w:cs="宋体"/>
                <w:sz w:val="24"/>
                <w:szCs w:val="24"/>
                <w:highlight w:val="none"/>
              </w:rPr>
            </w:pPr>
          </w:p>
          <w:p w14:paraId="5DE7FE2E">
            <w:pPr>
              <w:pStyle w:val="226"/>
              <w:spacing w:before="78"/>
              <w:ind w:left="41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13</w:t>
            </w:r>
          </w:p>
        </w:tc>
      </w:tr>
    </w:tbl>
    <w:p w14:paraId="4A9489CC">
      <w:pPr>
        <w:pStyle w:val="646"/>
        <w:rPr>
          <w:rFonts w:hint="eastAsia" w:ascii="宋体" w:hAnsi="宋体" w:eastAsia="宋体" w:cs="宋体"/>
          <w:b/>
          <w:sz w:val="24"/>
          <w:szCs w:val="24"/>
          <w:highlight w:val="none"/>
          <w:lang w:val="en-US" w:eastAsia="zh-CN"/>
        </w:rPr>
      </w:pPr>
    </w:p>
    <w:p w14:paraId="1EA639A1">
      <w:pPr>
        <w:snapToGrid w:val="0"/>
        <w:spacing w:beforeLines="50" w:afterLines="50" w:line="360" w:lineRule="auto"/>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评标办法前附表</w:t>
      </w:r>
      <w:bookmarkEnd w:id="153"/>
      <w:bookmarkStart w:id="154" w:name="_Toc20273"/>
    </w:p>
    <w:p w14:paraId="5D4BFB2C">
      <w:pPr>
        <w:numPr>
          <w:ilvl w:val="0"/>
          <w:numId w:val="61"/>
        </w:numPr>
        <w:snapToGrid w:val="0"/>
        <w:spacing w:beforeLines="50" w:afterLines="50" w:line="360" w:lineRule="auto"/>
        <w:ind w:firstLine="0"/>
        <w:jc w:val="left"/>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评审方法</w:t>
      </w:r>
      <w:bookmarkEnd w:id="154"/>
    </w:p>
    <w:p w14:paraId="1E91BAB2">
      <w:pPr>
        <w:numPr>
          <w:ilvl w:val="0"/>
          <w:numId w:val="62"/>
        </w:numPr>
        <w:adjustRightInd/>
        <w:spacing w:line="360" w:lineRule="auto"/>
        <w:ind w:left="5" w:firstLine="415"/>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rPr>
        <w:t>本项目采用综合评分法。</w:t>
      </w:r>
      <w:r>
        <w:rPr>
          <w:rFonts w:hint="eastAsia" w:ascii="宋体" w:hAnsi="宋体" w:eastAsia="宋体" w:cs="宋体"/>
          <w:kern w:val="0"/>
          <w:sz w:val="24"/>
          <w:szCs w:val="24"/>
          <w:highlight w:val="none"/>
        </w:rPr>
        <w:t>综合评分法，是指响应文件满足磋商文件全部实质性要求，且按照评审因素的量化指标评审得分最高的供应商为成交候选人的评审方法。</w:t>
      </w:r>
    </w:p>
    <w:p w14:paraId="18DE2725">
      <w:pPr>
        <w:numPr>
          <w:ilvl w:val="0"/>
          <w:numId w:val="61"/>
        </w:numPr>
        <w:snapToGrid w:val="0"/>
        <w:spacing w:beforeLines="50" w:afterLines="50" w:line="360" w:lineRule="auto"/>
        <w:ind w:firstLine="0"/>
        <w:jc w:val="left"/>
        <w:outlineLvl w:val="0"/>
        <w:rPr>
          <w:rFonts w:hint="eastAsia" w:ascii="宋体" w:hAnsi="宋体" w:eastAsia="宋体" w:cs="宋体"/>
          <w:b/>
          <w:sz w:val="24"/>
          <w:szCs w:val="24"/>
          <w:highlight w:val="none"/>
        </w:rPr>
      </w:pPr>
      <w:bookmarkStart w:id="155" w:name="_Toc13850"/>
      <w:r>
        <w:rPr>
          <w:rFonts w:hint="eastAsia" w:ascii="宋体" w:hAnsi="宋体" w:eastAsia="宋体" w:cs="宋体"/>
          <w:b/>
          <w:sz w:val="24"/>
          <w:szCs w:val="24"/>
          <w:highlight w:val="none"/>
        </w:rPr>
        <w:t>评标标准</w:t>
      </w:r>
      <w:bookmarkEnd w:id="155"/>
    </w:p>
    <w:p w14:paraId="005BAEE8">
      <w:pPr>
        <w:numPr>
          <w:ilvl w:val="0"/>
          <w:numId w:val="62"/>
        </w:numPr>
        <w:adjustRightInd/>
        <w:spacing w:line="360" w:lineRule="auto"/>
        <w:ind w:left="5" w:firstLine="415"/>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评标标准：</w:t>
      </w:r>
      <w:r>
        <w:rPr>
          <w:rFonts w:hint="eastAsia" w:ascii="宋体" w:hAnsi="宋体" w:eastAsia="宋体" w:cs="宋体"/>
          <w:kern w:val="0"/>
          <w:sz w:val="24"/>
          <w:szCs w:val="24"/>
          <w:highlight w:val="none"/>
        </w:rPr>
        <w:t>见评标办法前附表。</w:t>
      </w:r>
    </w:p>
    <w:p w14:paraId="42561E5C">
      <w:pPr>
        <w:numPr>
          <w:ilvl w:val="0"/>
          <w:numId w:val="61"/>
        </w:numPr>
        <w:snapToGrid w:val="0"/>
        <w:spacing w:beforeLines="50" w:afterLines="50" w:line="360" w:lineRule="auto"/>
        <w:ind w:firstLine="0"/>
        <w:jc w:val="left"/>
        <w:outlineLvl w:val="0"/>
        <w:rPr>
          <w:rFonts w:hint="eastAsia" w:ascii="宋体" w:hAnsi="宋体" w:eastAsia="宋体" w:cs="宋体"/>
          <w:b/>
          <w:sz w:val="24"/>
          <w:szCs w:val="24"/>
          <w:highlight w:val="none"/>
        </w:rPr>
      </w:pPr>
      <w:bookmarkStart w:id="156" w:name="_Toc704"/>
      <w:r>
        <w:rPr>
          <w:rFonts w:hint="eastAsia" w:ascii="宋体" w:hAnsi="宋体" w:eastAsia="宋体" w:cs="宋体"/>
          <w:b/>
          <w:sz w:val="24"/>
          <w:szCs w:val="24"/>
          <w:highlight w:val="none"/>
        </w:rPr>
        <w:t>磋商小组的组成</w:t>
      </w:r>
      <w:bookmarkEnd w:id="156"/>
    </w:p>
    <w:p w14:paraId="371CE77C">
      <w:pPr>
        <w:pStyle w:val="396"/>
        <w:numPr>
          <w:ilvl w:val="1"/>
          <w:numId w:val="63"/>
        </w:numPr>
        <w:spacing w:before="0"/>
        <w:ind w:firstLineChars="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磋商小组的组成。</w:t>
      </w:r>
    </w:p>
    <w:p w14:paraId="3DBAD714">
      <w:pPr>
        <w:pStyle w:val="396"/>
        <w:spacing w:before="0"/>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400D787">
      <w:pPr>
        <w:pStyle w:val="396"/>
        <w:spacing w:before="0"/>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6E88DCE">
      <w:pPr>
        <w:pStyle w:val="396"/>
        <w:numPr>
          <w:ilvl w:val="1"/>
          <w:numId w:val="63"/>
        </w:numPr>
        <w:spacing w:before="0"/>
        <w:ind w:firstLineChars="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磋商小组的组成人员的回避。</w:t>
      </w:r>
    </w:p>
    <w:p w14:paraId="46D33519">
      <w:pPr>
        <w:pStyle w:val="396"/>
        <w:spacing w:before="0"/>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在政府采购活动中，磋商小组的组成人员与供应商有下列利害关系之一的，应当回避：</w:t>
      </w:r>
    </w:p>
    <w:p w14:paraId="155773C1">
      <w:pPr>
        <w:pStyle w:val="396"/>
        <w:numPr>
          <w:ilvl w:val="2"/>
          <w:numId w:val="63"/>
        </w:numPr>
        <w:spacing w:before="0"/>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参加采购活动前3年内与供应商存在劳动关系；</w:t>
      </w:r>
    </w:p>
    <w:p w14:paraId="6EDE58F1">
      <w:pPr>
        <w:pStyle w:val="396"/>
        <w:numPr>
          <w:ilvl w:val="2"/>
          <w:numId w:val="63"/>
        </w:numPr>
        <w:spacing w:before="0"/>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参加采购活动前3年内担任供应商的董事、监事；</w:t>
      </w:r>
    </w:p>
    <w:p w14:paraId="58DC7C48">
      <w:pPr>
        <w:pStyle w:val="396"/>
        <w:numPr>
          <w:ilvl w:val="2"/>
          <w:numId w:val="63"/>
        </w:numPr>
        <w:spacing w:before="0"/>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参加采购活动前3年内是供应商的控股股东或者实际控制人；</w:t>
      </w:r>
    </w:p>
    <w:p w14:paraId="7FE5E30B">
      <w:pPr>
        <w:pStyle w:val="396"/>
        <w:numPr>
          <w:ilvl w:val="2"/>
          <w:numId w:val="63"/>
        </w:numPr>
        <w:spacing w:before="0"/>
        <w:ind w:left="8" w:firstLine="792"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与供应商的法定代表人或者负责人有夫妻、直系血亲、三代以内旁系血亲或者近姻亲关系；</w:t>
      </w:r>
    </w:p>
    <w:p w14:paraId="32A8BF0C">
      <w:pPr>
        <w:pStyle w:val="396"/>
        <w:numPr>
          <w:ilvl w:val="2"/>
          <w:numId w:val="63"/>
        </w:numPr>
        <w:spacing w:before="0"/>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与供应商有其他可能影响政府采购活动公平、公正进行的关系。</w:t>
      </w:r>
    </w:p>
    <w:p w14:paraId="04B4A64F">
      <w:pPr>
        <w:numPr>
          <w:ilvl w:val="0"/>
          <w:numId w:val="61"/>
        </w:numPr>
        <w:snapToGrid w:val="0"/>
        <w:spacing w:beforeLines="50" w:afterLines="50" w:line="360" w:lineRule="auto"/>
        <w:ind w:firstLine="0"/>
        <w:jc w:val="left"/>
        <w:outlineLvl w:val="0"/>
        <w:rPr>
          <w:rFonts w:hint="eastAsia" w:ascii="宋体" w:hAnsi="宋体" w:eastAsia="宋体" w:cs="宋体"/>
          <w:b/>
          <w:sz w:val="24"/>
          <w:szCs w:val="24"/>
          <w:highlight w:val="none"/>
        </w:rPr>
      </w:pPr>
      <w:bookmarkStart w:id="157" w:name="_Toc32413"/>
      <w:r>
        <w:rPr>
          <w:rFonts w:hint="eastAsia" w:ascii="宋体" w:hAnsi="宋体" w:eastAsia="宋体" w:cs="宋体"/>
          <w:b/>
          <w:sz w:val="24"/>
          <w:szCs w:val="24"/>
          <w:highlight w:val="none"/>
        </w:rPr>
        <w:t>磋商小组的职责</w:t>
      </w:r>
      <w:bookmarkEnd w:id="157"/>
    </w:p>
    <w:p w14:paraId="32221321">
      <w:pPr>
        <w:pStyle w:val="396"/>
        <w:numPr>
          <w:ilvl w:val="1"/>
          <w:numId w:val="64"/>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磋商小组负责具体评审事务，并独立履行下列职责：</w:t>
      </w:r>
    </w:p>
    <w:p w14:paraId="74DAB7E4">
      <w:pPr>
        <w:pStyle w:val="396"/>
        <w:numPr>
          <w:ilvl w:val="2"/>
          <w:numId w:val="64"/>
        </w:numPr>
        <w:spacing w:before="0"/>
        <w:ind w:left="8" w:firstLine="792"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对响应文件的有效性、完整性和响应程度进行审查；</w:t>
      </w:r>
    </w:p>
    <w:p w14:paraId="1012798B">
      <w:pPr>
        <w:pStyle w:val="396"/>
        <w:numPr>
          <w:ilvl w:val="2"/>
          <w:numId w:val="64"/>
        </w:numPr>
        <w:spacing w:before="0"/>
        <w:ind w:left="8" w:firstLine="792"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审查、评价响应文件是否符合磋商文件的商务、技术等实质性要求；</w:t>
      </w:r>
    </w:p>
    <w:p w14:paraId="5908B4F6">
      <w:pPr>
        <w:pStyle w:val="396"/>
        <w:numPr>
          <w:ilvl w:val="2"/>
          <w:numId w:val="64"/>
        </w:numPr>
        <w:spacing w:before="0"/>
        <w:ind w:left="8" w:firstLine="792"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要求供应商对响应文件有关事项作出澄清、说明或者更正；</w:t>
      </w:r>
    </w:p>
    <w:p w14:paraId="6AFC5216">
      <w:pPr>
        <w:pStyle w:val="396"/>
        <w:numPr>
          <w:ilvl w:val="2"/>
          <w:numId w:val="64"/>
        </w:numPr>
        <w:spacing w:before="0"/>
        <w:ind w:left="8" w:firstLine="792"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磋商小组集中与单一供应商分别进行磋商；</w:t>
      </w:r>
    </w:p>
    <w:p w14:paraId="61B8EA7E">
      <w:pPr>
        <w:pStyle w:val="396"/>
        <w:numPr>
          <w:ilvl w:val="2"/>
          <w:numId w:val="64"/>
        </w:numPr>
        <w:spacing w:before="0"/>
        <w:ind w:left="8" w:firstLine="792"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确定磋商文件的变动情况，并确定提交最后报价的供应商；</w:t>
      </w:r>
    </w:p>
    <w:p w14:paraId="2A80C1C4">
      <w:pPr>
        <w:pStyle w:val="396"/>
        <w:numPr>
          <w:ilvl w:val="2"/>
          <w:numId w:val="64"/>
        </w:numPr>
        <w:spacing w:before="0"/>
        <w:ind w:left="8" w:firstLine="792"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根据磋商文件确定的评审办法及评审标准对提交最后报价的供应商的响应文件和最后报价采用综合评分法进行综合评分；</w:t>
      </w:r>
    </w:p>
    <w:p w14:paraId="4BE7CEB8">
      <w:pPr>
        <w:pStyle w:val="396"/>
        <w:numPr>
          <w:ilvl w:val="2"/>
          <w:numId w:val="64"/>
        </w:numPr>
        <w:spacing w:before="0"/>
        <w:ind w:left="8" w:firstLine="792"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编制评审报告，确定成交候选人名单，以及根据采购人委托直接确定成交人；</w:t>
      </w:r>
    </w:p>
    <w:p w14:paraId="60F0E9FA">
      <w:pPr>
        <w:pStyle w:val="396"/>
        <w:numPr>
          <w:ilvl w:val="2"/>
          <w:numId w:val="64"/>
        </w:numPr>
        <w:spacing w:before="0"/>
        <w:ind w:left="8" w:firstLine="792"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向采购人、采购代理机构或者有关部门报告评审中发现的违法行为；</w:t>
      </w:r>
    </w:p>
    <w:p w14:paraId="290C1BB8">
      <w:pPr>
        <w:pStyle w:val="396"/>
        <w:numPr>
          <w:ilvl w:val="2"/>
          <w:numId w:val="64"/>
        </w:numPr>
        <w:spacing w:before="0"/>
        <w:ind w:left="8" w:firstLine="792"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法律、法规、规章、磋商文件等规定的其它事项。</w:t>
      </w:r>
    </w:p>
    <w:p w14:paraId="6A6126DC">
      <w:pPr>
        <w:pStyle w:val="396"/>
        <w:numPr>
          <w:ilvl w:val="1"/>
          <w:numId w:val="64"/>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磋商小组及其成员不得有下列行为：</w:t>
      </w:r>
    </w:p>
    <w:p w14:paraId="0ABFD9E2">
      <w:pPr>
        <w:pStyle w:val="396"/>
        <w:numPr>
          <w:ilvl w:val="2"/>
          <w:numId w:val="64"/>
        </w:numPr>
        <w:spacing w:before="0"/>
        <w:ind w:left="8" w:firstLine="792"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确定参与本项目至评审结束前私自接触供应商；</w:t>
      </w:r>
    </w:p>
    <w:p w14:paraId="2C0DF1BC">
      <w:pPr>
        <w:pStyle w:val="396"/>
        <w:numPr>
          <w:ilvl w:val="2"/>
          <w:numId w:val="64"/>
        </w:numPr>
        <w:spacing w:before="0"/>
        <w:ind w:left="8" w:firstLine="792"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接受供应商提出的“超出响应文件的范围或者改变响应文件的实质性内容”的澄清、说明或者更正；</w:t>
      </w:r>
    </w:p>
    <w:p w14:paraId="7EFE01C4">
      <w:pPr>
        <w:pStyle w:val="396"/>
        <w:numPr>
          <w:ilvl w:val="2"/>
          <w:numId w:val="64"/>
        </w:numPr>
        <w:spacing w:before="0"/>
        <w:ind w:left="8" w:firstLine="792"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违反评审纪律发表倾向性意见或者征询采购人的倾向性意见；</w:t>
      </w:r>
    </w:p>
    <w:p w14:paraId="3B54BDA4">
      <w:pPr>
        <w:pStyle w:val="396"/>
        <w:numPr>
          <w:ilvl w:val="2"/>
          <w:numId w:val="64"/>
        </w:numPr>
        <w:spacing w:before="0"/>
        <w:ind w:left="8" w:firstLine="792"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对需要专业判断的主观评审因素协商评分；</w:t>
      </w:r>
    </w:p>
    <w:p w14:paraId="034BB783">
      <w:pPr>
        <w:pStyle w:val="396"/>
        <w:numPr>
          <w:ilvl w:val="2"/>
          <w:numId w:val="64"/>
        </w:numPr>
        <w:spacing w:before="0"/>
        <w:ind w:left="8" w:firstLine="792"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在评审过程中擅离职守，影响评审程序正常进行的；</w:t>
      </w:r>
    </w:p>
    <w:p w14:paraId="5E612428">
      <w:pPr>
        <w:pStyle w:val="396"/>
        <w:numPr>
          <w:ilvl w:val="2"/>
          <w:numId w:val="64"/>
        </w:numPr>
        <w:spacing w:before="0"/>
        <w:ind w:left="8" w:firstLine="792"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记录、复制或者带走任何评审资料；</w:t>
      </w:r>
    </w:p>
    <w:p w14:paraId="2D088A40">
      <w:pPr>
        <w:pStyle w:val="396"/>
        <w:numPr>
          <w:ilvl w:val="2"/>
          <w:numId w:val="64"/>
        </w:numPr>
        <w:spacing w:before="0"/>
        <w:ind w:left="8" w:firstLine="792"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其他不遵守评审纪律的行为。</w:t>
      </w:r>
    </w:p>
    <w:p w14:paraId="774881A4">
      <w:pPr>
        <w:pStyle w:val="396"/>
        <w:spacing w:before="0"/>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磋商小组成员有2.1-2.5行为之一的，其评审意见无效，并不得获取评审劳务报酬和报销异地评审差旅费。</w:t>
      </w:r>
    </w:p>
    <w:p w14:paraId="7E4CC8EF">
      <w:pPr>
        <w:numPr>
          <w:ilvl w:val="0"/>
          <w:numId w:val="61"/>
        </w:numPr>
        <w:snapToGrid w:val="0"/>
        <w:spacing w:beforeLines="50" w:afterLines="50" w:line="360" w:lineRule="auto"/>
        <w:ind w:firstLine="0"/>
        <w:jc w:val="left"/>
        <w:outlineLvl w:val="0"/>
        <w:rPr>
          <w:rFonts w:hint="eastAsia" w:ascii="宋体" w:hAnsi="宋体" w:eastAsia="宋体" w:cs="宋体"/>
          <w:b/>
          <w:sz w:val="24"/>
          <w:szCs w:val="24"/>
          <w:highlight w:val="none"/>
        </w:rPr>
      </w:pPr>
      <w:bookmarkStart w:id="158" w:name="_Toc29645"/>
      <w:r>
        <w:rPr>
          <w:rFonts w:hint="eastAsia" w:ascii="宋体" w:hAnsi="宋体" w:eastAsia="宋体" w:cs="宋体"/>
          <w:b/>
          <w:sz w:val="24"/>
          <w:szCs w:val="24"/>
          <w:highlight w:val="none"/>
        </w:rPr>
        <w:t>评审程序</w:t>
      </w:r>
      <w:bookmarkEnd w:id="158"/>
    </w:p>
    <w:p w14:paraId="77E9BC65">
      <w:pPr>
        <w:pStyle w:val="396"/>
        <w:spacing w:before="0"/>
        <w:ind w:firstLine="472" w:firstLineChars="196"/>
        <w:rPr>
          <w:rFonts w:hint="eastAsia" w:ascii="宋体" w:hAnsi="宋体" w:eastAsia="宋体" w:cs="宋体"/>
          <w:b/>
          <w:sz w:val="24"/>
          <w:szCs w:val="24"/>
          <w:highlight w:val="none"/>
        </w:rPr>
      </w:pPr>
      <w:r>
        <w:rPr>
          <w:rFonts w:hint="eastAsia" w:ascii="宋体" w:hAnsi="宋体" w:eastAsia="宋体" w:cs="宋体"/>
          <w:b/>
          <w:sz w:val="24"/>
          <w:szCs w:val="24"/>
          <w:highlight w:val="none"/>
        </w:rPr>
        <w:t>详见磋商文件“第二部分竞争性磋商流程”。</w:t>
      </w:r>
    </w:p>
    <w:p w14:paraId="66F7344E">
      <w:pPr>
        <w:numPr>
          <w:ilvl w:val="0"/>
          <w:numId w:val="61"/>
        </w:numPr>
        <w:snapToGrid w:val="0"/>
        <w:spacing w:beforeLines="50" w:afterLines="50" w:line="360" w:lineRule="auto"/>
        <w:ind w:firstLine="0"/>
        <w:jc w:val="left"/>
        <w:outlineLvl w:val="0"/>
        <w:rPr>
          <w:rFonts w:hint="eastAsia" w:ascii="宋体" w:hAnsi="宋体" w:eastAsia="宋体" w:cs="宋体"/>
          <w:b/>
          <w:sz w:val="24"/>
          <w:szCs w:val="24"/>
          <w:highlight w:val="none"/>
        </w:rPr>
      </w:pPr>
      <w:bookmarkStart w:id="159" w:name="_Toc28505"/>
      <w:r>
        <w:rPr>
          <w:rFonts w:hint="eastAsia" w:ascii="宋体" w:hAnsi="宋体" w:eastAsia="宋体" w:cs="宋体"/>
          <w:b/>
          <w:sz w:val="24"/>
          <w:szCs w:val="24"/>
          <w:highlight w:val="none"/>
        </w:rPr>
        <w:t>评标中的其他事项</w:t>
      </w:r>
      <w:bookmarkEnd w:id="159"/>
    </w:p>
    <w:p w14:paraId="12E15BBE">
      <w:pPr>
        <w:pStyle w:val="396"/>
        <w:numPr>
          <w:ilvl w:val="1"/>
          <w:numId w:val="65"/>
        </w:numPr>
        <w:spacing w:before="0"/>
        <w:ind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响应文件的澄清</w:t>
      </w:r>
    </w:p>
    <w:p w14:paraId="085DEEFB">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61806AD">
      <w:pPr>
        <w:pStyle w:val="396"/>
        <w:numPr>
          <w:ilvl w:val="1"/>
          <w:numId w:val="65"/>
        </w:numPr>
        <w:spacing w:before="0"/>
        <w:ind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最后报价的修正原则</w:t>
      </w:r>
    </w:p>
    <w:p w14:paraId="156DFD24">
      <w:pPr>
        <w:spacing w:line="360" w:lineRule="auto"/>
        <w:ind w:firstLine="480"/>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磋商小组对响应文件的最后报价进行审核，对发现计算、书写等错误的，按</w:t>
      </w:r>
      <w:r>
        <w:rPr>
          <w:rFonts w:hint="eastAsia" w:ascii="宋体" w:hAnsi="宋体" w:eastAsia="宋体" w:cs="宋体"/>
          <w:b w:val="0"/>
          <w:bCs w:val="0"/>
          <w:sz w:val="24"/>
          <w:szCs w:val="24"/>
          <w:highlight w:val="none"/>
        </w:rPr>
        <w:t>以下原则进行修正：</w:t>
      </w:r>
    </w:p>
    <w:p w14:paraId="43685D2D">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《最后报价一览表》内容与响应文件中响应内容不一致的，以《最后报价一览表》为准;</w:t>
      </w:r>
    </w:p>
    <w:p w14:paraId="71E1174A">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大写金额和小写金额不一致的，以大写金额为准;</w:t>
      </w:r>
    </w:p>
    <w:p w14:paraId="3E8D2E06">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单价金额小数点或者百分比有明显错位的，以《最后报价一览表》的总价为准，并修改单价;</w:t>
      </w:r>
    </w:p>
    <w:p w14:paraId="23EE8C83">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总价金额与按单价汇总金额不一致的，以单价金额计算结果为准。</w:t>
      </w:r>
    </w:p>
    <w:p w14:paraId="0D49C30C">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同时出现两种以上不一致的，按照前款规定的顺序修正。</w:t>
      </w:r>
    </w:p>
    <w:p w14:paraId="0FB33D0B">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以修正后的总价作为最后报价。</w:t>
      </w:r>
    </w:p>
    <w:p w14:paraId="4F4963B0">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▲供应商对根据修正原则修正后的最后报价不确认的，响应无效。</w:t>
      </w:r>
    </w:p>
    <w:p w14:paraId="69CC47AA">
      <w:pPr>
        <w:pStyle w:val="396"/>
        <w:numPr>
          <w:ilvl w:val="1"/>
          <w:numId w:val="65"/>
        </w:numPr>
        <w:spacing w:before="0"/>
        <w:ind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响应无效</w:t>
      </w:r>
    </w:p>
    <w:p w14:paraId="64B3D928">
      <w:pPr>
        <w:pStyle w:val="24"/>
        <w:spacing w:line="360" w:lineRule="auto"/>
        <w:ind w:firstLine="600" w:firstLineChars="25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有下列情况之一的，响应无效：</w:t>
      </w:r>
    </w:p>
    <w:p w14:paraId="7AF9CE79">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供应商不具备磋商文件中规定的资格要求的（供应商未提供有效的资格证明文件的，视为供应商不具备磋商文件中规定的资格要求）；</w:t>
      </w:r>
    </w:p>
    <w:p w14:paraId="136C85C2">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响应文件未按照磋商文件要求签署、盖章的；</w:t>
      </w:r>
    </w:p>
    <w:p w14:paraId="4DDA00F9">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采购人拟采购的产品属于政府强制采购的节能产品品目清单范围的，供应商未按磋商文件要求提供国家确定的认证机构出具的、处于有效期之内的节能产品认证证书的；</w:t>
      </w:r>
    </w:p>
    <w:p w14:paraId="5A4ADDDC">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响应文件含有采购人不能接受的附加条件的；</w:t>
      </w:r>
    </w:p>
    <w:p w14:paraId="367FF7E0">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响应文件中承诺的响应有效期少于磋商文件中载明的响应有效期的；</w:t>
      </w:r>
    </w:p>
    <w:p w14:paraId="76D54F52">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所提交的《最后报价一览表》中出现不是唯一的、有选择性的报价的;</w:t>
      </w:r>
    </w:p>
    <w:p w14:paraId="5D987ABA">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最后报价高于本项目采购预算或者最高限价的;</w:t>
      </w:r>
    </w:p>
    <w:p w14:paraId="5DABAD02">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最后报价明显低于其他供应商的最后报价，有可能影响产品质量或者不能诚信履约的，未能按要求提供书面说明或者提交相关证明材料，不能证明其报价合理性的;</w:t>
      </w:r>
    </w:p>
    <w:p w14:paraId="54CE3A93">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《最后报价一览表》填写不完整或字迹不能辨认或有漏项的；</w:t>
      </w:r>
    </w:p>
    <w:p w14:paraId="504F399A">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供应商对根据修正原则修正后的最后报价不确认的；</w:t>
      </w:r>
    </w:p>
    <w:p w14:paraId="13113C7C">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供应商提供虚假材料响应的（包括但不限于以下情节）；</w:t>
      </w:r>
    </w:p>
    <w:p w14:paraId="3CB5D84F">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供应商有恶意串通、妨碍其他供应商的竞争行为、损害采购人或者其他供应商的合法权益情形的。</w:t>
      </w:r>
    </w:p>
    <w:p w14:paraId="3E8B0C56">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供应商仅提交备份响应文件，没有在电子交易平台传输提交响应文件的，响应无效；</w:t>
      </w:r>
    </w:p>
    <w:p w14:paraId="174FDD8F">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kern w:val="0"/>
          <w:sz w:val="24"/>
          <w:szCs w:val="24"/>
          <w:highlight w:val="none"/>
        </w:rPr>
        <w:t>响应文件不满足磋商文件的其它实质性要求的；</w:t>
      </w:r>
    </w:p>
    <w:p w14:paraId="05605968">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法律、法规、规章（适用本市的）及省级以上规范性文件（适用本市的）规定的其他无效情形。</w:t>
      </w:r>
    </w:p>
    <w:p w14:paraId="51D606E9">
      <w:pPr>
        <w:pStyle w:val="396"/>
        <w:numPr>
          <w:ilvl w:val="1"/>
          <w:numId w:val="65"/>
        </w:numPr>
        <w:spacing w:before="0"/>
        <w:ind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重新开展采购活动</w:t>
      </w:r>
    </w:p>
    <w:p w14:paraId="1CB837C9">
      <w:pPr>
        <w:spacing w:line="360" w:lineRule="auto"/>
        <w:ind w:firstLine="465" w:firstLineChars="194"/>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出现下列情形之一的，采购代理机构应当终止竞争性磋商采购活动，通过电子交易平台发布项目终止公告并说明原因，重新开展采购活动：</w:t>
      </w:r>
    </w:p>
    <w:p w14:paraId="256FCD76">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因情况变化，不再符合规定的竞争性磋商采购方式适用情形的；</w:t>
      </w:r>
    </w:p>
    <w:p w14:paraId="722F7568">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出现影响采购公正的违法、违规行为的；</w:t>
      </w:r>
    </w:p>
    <w:p w14:paraId="2F39D756">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在采购过程中符合要求的供应商或者最后报价未超过采购预算的供应商不足</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家的（有特殊规定的从其规定）。</w:t>
      </w:r>
    </w:p>
    <w:p w14:paraId="3AAF980C">
      <w:pPr>
        <w:pStyle w:val="396"/>
        <w:numPr>
          <w:ilvl w:val="1"/>
          <w:numId w:val="65"/>
        </w:numPr>
        <w:spacing w:before="0"/>
        <w:ind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终止采购活动</w:t>
      </w:r>
    </w:p>
    <w:p w14:paraId="25D0E6F6">
      <w:pPr>
        <w:spacing w:line="360" w:lineRule="auto"/>
        <w:ind w:firstLine="465" w:firstLineChars="194"/>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22E4089E">
      <w:pPr>
        <w:pStyle w:val="396"/>
        <w:numPr>
          <w:ilvl w:val="1"/>
          <w:numId w:val="65"/>
        </w:numPr>
        <w:spacing w:before="0"/>
        <w:ind w:left="10" w:firstLine="387"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采购代理机构有权对磋商小组各成员的评分情况和评审意见进行合理性和合规性审查，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06E293B7">
      <w:pPr>
        <w:numPr>
          <w:ilvl w:val="0"/>
          <w:numId w:val="61"/>
        </w:numPr>
        <w:snapToGrid w:val="0"/>
        <w:spacing w:beforeLines="50" w:afterLines="50" w:line="360" w:lineRule="auto"/>
        <w:ind w:firstLine="0"/>
        <w:jc w:val="left"/>
        <w:outlineLvl w:val="0"/>
        <w:rPr>
          <w:rFonts w:hint="eastAsia" w:ascii="宋体" w:hAnsi="宋体" w:eastAsia="宋体" w:cs="宋体"/>
          <w:b/>
          <w:sz w:val="24"/>
          <w:szCs w:val="24"/>
          <w:highlight w:val="none"/>
        </w:rPr>
      </w:pPr>
      <w:bookmarkStart w:id="160" w:name="_Toc27407"/>
      <w:r>
        <w:rPr>
          <w:rFonts w:hint="eastAsia" w:ascii="宋体" w:hAnsi="宋体" w:eastAsia="宋体" w:cs="宋体"/>
          <w:b/>
          <w:sz w:val="24"/>
          <w:szCs w:val="24"/>
          <w:highlight w:val="none"/>
        </w:rPr>
        <w:t>评审过程的保密与录像</w:t>
      </w:r>
      <w:bookmarkEnd w:id="160"/>
    </w:p>
    <w:p w14:paraId="56423E73">
      <w:pPr>
        <w:widowControl/>
        <w:numPr>
          <w:ilvl w:val="1"/>
          <w:numId w:val="66"/>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b/>
          <w:sz w:val="24"/>
          <w:szCs w:val="24"/>
          <w:highlight w:val="none"/>
        </w:rPr>
        <w:t>保密。</w:t>
      </w:r>
      <w:r>
        <w:rPr>
          <w:rFonts w:hint="eastAsia" w:ascii="宋体" w:hAnsi="宋体" w:eastAsia="宋体" w:cs="宋体"/>
          <w:sz w:val="24"/>
          <w:szCs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0B278E6">
      <w:pPr>
        <w:widowControl/>
        <w:numPr>
          <w:ilvl w:val="1"/>
          <w:numId w:val="66"/>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b/>
          <w:sz w:val="24"/>
          <w:szCs w:val="24"/>
          <w:highlight w:val="none"/>
        </w:rPr>
        <w:t>录音录像。</w:t>
      </w:r>
      <w:r>
        <w:rPr>
          <w:rFonts w:hint="eastAsia" w:ascii="宋体" w:hAnsi="宋体" w:eastAsia="宋体" w:cs="宋体"/>
          <w:sz w:val="24"/>
          <w:szCs w:val="24"/>
          <w:highlight w:val="none"/>
        </w:rPr>
        <w:t>采购代理机构对评审工作现场进行全过程录音录像，录音录像资料作为采购项目文件随其他文件一并存档。</w:t>
      </w:r>
    </w:p>
    <w:p w14:paraId="4B41F750">
      <w:pPr>
        <w:snapToGrid w:val="0"/>
        <w:spacing w:line="360" w:lineRule="auto"/>
        <w:ind w:firstLine="467" w:firstLineChars="194"/>
        <w:rPr>
          <w:rFonts w:hint="eastAsia" w:ascii="宋体" w:hAnsi="宋体" w:eastAsia="宋体" w:cs="宋体"/>
          <w:b/>
          <w:sz w:val="24"/>
          <w:szCs w:val="24"/>
          <w:highlight w:val="none"/>
        </w:rPr>
      </w:pPr>
    </w:p>
    <w:p w14:paraId="7A3EF6EE">
      <w:pPr>
        <w:jc w:val="center"/>
        <w:rPr>
          <w:rFonts w:hint="eastAsia" w:ascii="宋体" w:hAnsi="宋体" w:eastAsia="宋体" w:cs="宋体"/>
          <w:b/>
          <w:sz w:val="24"/>
          <w:szCs w:val="24"/>
          <w:highlight w:val="none"/>
        </w:rPr>
      </w:pPr>
      <w:bookmarkStart w:id="161" w:name="_Toc28107"/>
      <w:r>
        <w:rPr>
          <w:rFonts w:hint="eastAsia" w:ascii="宋体" w:hAnsi="宋体" w:eastAsia="宋体" w:cs="宋体"/>
          <w:b/>
          <w:sz w:val="24"/>
          <w:szCs w:val="24"/>
          <w:highlight w:val="none"/>
        </w:rPr>
        <w:t>第六部分</w:t>
      </w:r>
      <w:bookmarkEnd w:id="152"/>
      <w:r>
        <w:rPr>
          <w:rFonts w:hint="eastAsia" w:ascii="宋体" w:hAnsi="宋体" w:eastAsia="宋体" w:cs="宋体"/>
          <w:b/>
          <w:sz w:val="24"/>
          <w:szCs w:val="24"/>
          <w:highlight w:val="none"/>
        </w:rPr>
        <w:t>拟签订的合同文本</w:t>
      </w:r>
      <w:bookmarkEnd w:id="161"/>
    </w:p>
    <w:p w14:paraId="12038C34">
      <w:pPr>
        <w:spacing w:line="360" w:lineRule="auto"/>
        <w:rPr>
          <w:rFonts w:hint="eastAsia" w:ascii="宋体" w:hAnsi="宋体" w:eastAsia="宋体" w:cs="宋体"/>
          <w:sz w:val="24"/>
          <w:szCs w:val="24"/>
          <w:highlight w:val="none"/>
        </w:rPr>
      </w:pPr>
      <w:bookmarkStart w:id="162" w:name="第五部分"/>
      <w:bookmarkStart w:id="163" w:name="_Toc86217003"/>
    </w:p>
    <w:p w14:paraId="708C5946">
      <w:pPr>
        <w:spacing w:line="360"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合同编号：</w:t>
      </w:r>
    </w:p>
    <w:p w14:paraId="2AAFAD31">
      <w:pPr>
        <w:rPr>
          <w:rFonts w:hint="eastAsia" w:ascii="宋体" w:hAnsi="宋体" w:eastAsia="宋体" w:cs="宋体"/>
          <w:b/>
          <w:sz w:val="24"/>
          <w:szCs w:val="24"/>
          <w:highlight w:val="none"/>
        </w:rPr>
      </w:pPr>
    </w:p>
    <w:p w14:paraId="005004DF">
      <w:pPr>
        <w:rPr>
          <w:rFonts w:hint="eastAsia" w:ascii="宋体" w:hAnsi="宋体" w:eastAsia="宋体" w:cs="宋体"/>
          <w:sz w:val="24"/>
          <w:szCs w:val="24"/>
          <w:highlight w:val="none"/>
          <w:u w:val="single"/>
          <w:lang w:val="zh-CN"/>
        </w:rPr>
      </w:pPr>
    </w:p>
    <w:p w14:paraId="7ACB57DB">
      <w:pPr>
        <w:spacing w:before="120" w:line="22" w:lineRule="atLeast"/>
        <w:rPr>
          <w:rFonts w:hint="eastAsia" w:ascii="宋体" w:hAnsi="宋体" w:eastAsia="宋体" w:cs="宋体"/>
          <w:sz w:val="24"/>
          <w:szCs w:val="24"/>
          <w:highlight w:val="none"/>
        </w:rPr>
      </w:pPr>
    </w:p>
    <w:p w14:paraId="4FC12014">
      <w:pPr>
        <w:spacing w:before="120" w:line="22" w:lineRule="atLeast"/>
        <w:rPr>
          <w:rFonts w:hint="eastAsia" w:ascii="宋体" w:hAnsi="宋体" w:eastAsia="宋体" w:cs="宋体"/>
          <w:sz w:val="24"/>
          <w:szCs w:val="24"/>
          <w:highlight w:val="none"/>
        </w:rPr>
      </w:pPr>
    </w:p>
    <w:p w14:paraId="3BCEA49B">
      <w:pPr>
        <w:spacing w:before="120" w:line="22" w:lineRule="atLeast"/>
        <w:rPr>
          <w:rFonts w:hint="eastAsia" w:ascii="宋体" w:hAnsi="宋体" w:eastAsia="宋体" w:cs="宋体"/>
          <w:sz w:val="24"/>
          <w:szCs w:val="24"/>
          <w:highlight w:val="none"/>
        </w:rPr>
      </w:pPr>
    </w:p>
    <w:p w14:paraId="1ACF1D41">
      <w:pPr>
        <w:spacing w:before="120" w:line="22" w:lineRule="atLeast"/>
        <w:ind w:firstLine="960" w:firstLineChars="4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p>
    <w:p w14:paraId="3403D35A">
      <w:pPr>
        <w:pStyle w:val="619"/>
        <w:spacing w:before="120" w:line="22" w:lineRule="atLeast"/>
        <w:rPr>
          <w:rFonts w:hint="eastAsia" w:ascii="宋体" w:hAnsi="宋体" w:eastAsia="宋体" w:cs="宋体"/>
          <w:sz w:val="24"/>
          <w:szCs w:val="24"/>
          <w:highlight w:val="none"/>
        </w:rPr>
      </w:pPr>
    </w:p>
    <w:p w14:paraId="2C0B52E3">
      <w:pPr>
        <w:rPr>
          <w:rFonts w:hint="eastAsia" w:ascii="宋体" w:hAnsi="宋体" w:eastAsia="宋体" w:cs="宋体"/>
          <w:sz w:val="24"/>
          <w:szCs w:val="24"/>
          <w:highlight w:val="none"/>
        </w:rPr>
      </w:pPr>
    </w:p>
    <w:p w14:paraId="69ED5CF8">
      <w:pPr>
        <w:spacing w:before="120" w:line="22" w:lineRule="atLeast"/>
        <w:ind w:left="960"/>
        <w:rPr>
          <w:rFonts w:hint="eastAsia" w:ascii="宋体" w:hAnsi="宋体" w:eastAsia="宋体" w:cs="宋体"/>
          <w:sz w:val="24"/>
          <w:szCs w:val="24"/>
          <w:highlight w:val="none"/>
        </w:rPr>
      </w:pPr>
    </w:p>
    <w:p w14:paraId="21F0F9EB">
      <w:pPr>
        <w:spacing w:before="120" w:line="22" w:lineRule="atLeast"/>
        <w:ind w:left="960"/>
        <w:rPr>
          <w:rFonts w:hint="eastAsia" w:ascii="宋体" w:hAnsi="宋体" w:eastAsia="宋体" w:cs="宋体"/>
          <w:sz w:val="24"/>
          <w:szCs w:val="24"/>
          <w:highlight w:val="none"/>
        </w:rPr>
      </w:pPr>
    </w:p>
    <w:p w14:paraId="1F59B8AC">
      <w:pPr>
        <w:spacing w:before="120" w:line="22" w:lineRule="atLeast"/>
        <w:ind w:left="960"/>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甲方：</w:t>
      </w:r>
    </w:p>
    <w:p w14:paraId="24798DFF">
      <w:pPr>
        <w:spacing w:before="120" w:line="22" w:lineRule="atLeast"/>
        <w:rPr>
          <w:rFonts w:hint="eastAsia" w:ascii="宋体" w:hAnsi="宋体" w:eastAsia="宋体" w:cs="宋体"/>
          <w:sz w:val="24"/>
          <w:szCs w:val="24"/>
          <w:highlight w:val="none"/>
        </w:rPr>
      </w:pPr>
    </w:p>
    <w:p w14:paraId="039247A1">
      <w:pPr>
        <w:spacing w:before="120" w:line="22" w:lineRule="atLeast"/>
        <w:ind w:left="960"/>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乙方：</w:t>
      </w:r>
    </w:p>
    <w:p w14:paraId="0369BE9D">
      <w:pPr>
        <w:spacing w:before="120" w:line="22" w:lineRule="atLeast"/>
        <w:rPr>
          <w:rFonts w:hint="eastAsia" w:ascii="宋体" w:hAnsi="宋体" w:eastAsia="宋体" w:cs="宋体"/>
          <w:sz w:val="24"/>
          <w:szCs w:val="24"/>
          <w:highlight w:val="none"/>
        </w:rPr>
      </w:pPr>
    </w:p>
    <w:p w14:paraId="6074BE47">
      <w:pPr>
        <w:spacing w:before="120" w:line="22" w:lineRule="atLeast"/>
        <w:ind w:firstLine="960" w:firstLineChars="400"/>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签订地：</w:t>
      </w:r>
    </w:p>
    <w:p w14:paraId="1A96F11F">
      <w:pPr>
        <w:spacing w:before="120" w:line="22" w:lineRule="atLeast"/>
        <w:ind w:firstLine="960" w:firstLineChars="400"/>
        <w:rPr>
          <w:rFonts w:hint="eastAsia" w:ascii="宋体" w:hAnsi="宋体" w:eastAsia="宋体" w:cs="宋体"/>
          <w:sz w:val="24"/>
          <w:szCs w:val="24"/>
          <w:highlight w:val="none"/>
          <w:u w:val="single"/>
        </w:rPr>
      </w:pPr>
    </w:p>
    <w:p w14:paraId="1BCC97C2">
      <w:pPr>
        <w:ind w:firstLine="720" w:firstLineChars="300"/>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rPr>
        <w:t>签订日期：年月日</w:t>
      </w:r>
    </w:p>
    <w:p w14:paraId="122728C9">
      <w:pPr>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u w:val="single"/>
          <w:lang w:val="zh-CN"/>
        </w:rPr>
        <w:br w:type="page"/>
      </w:r>
    </w:p>
    <w:p w14:paraId="2C4AA13E">
      <w:pPr>
        <w:spacing w:line="360" w:lineRule="auto"/>
        <w:jc w:val="center"/>
        <w:rPr>
          <w:rFonts w:hint="eastAsia" w:ascii="宋体" w:hAnsi="宋体" w:eastAsia="宋体" w:cs="宋体"/>
          <w:b/>
          <w:bCs/>
          <w:color w:val="000000" w:themeColor="text1"/>
          <w:kern w:val="44"/>
          <w:sz w:val="24"/>
          <w:szCs w:val="24"/>
          <w:highlight w:val="none"/>
          <w14:textFill>
            <w14:solidFill>
              <w14:schemeClr w14:val="tx1"/>
            </w14:solidFill>
          </w14:textFill>
        </w:rPr>
      </w:pPr>
      <w:r>
        <w:rPr>
          <w:rFonts w:hint="eastAsia" w:ascii="宋体" w:hAnsi="宋体" w:eastAsia="宋体" w:cs="宋体"/>
          <w:b/>
          <w:bCs/>
          <w:color w:val="000000" w:themeColor="text1"/>
          <w:kern w:val="44"/>
          <w:sz w:val="24"/>
          <w:szCs w:val="24"/>
          <w:highlight w:val="none"/>
          <w14:textFill>
            <w14:solidFill>
              <w14:schemeClr w14:val="tx1"/>
            </w14:solidFill>
          </w14:textFill>
        </w:rPr>
        <w:t>采购项目</w:t>
      </w:r>
    </w:p>
    <w:p w14:paraId="7692AE3E">
      <w:pPr>
        <w:pStyle w:val="24"/>
        <w:spacing w:line="360" w:lineRule="auto"/>
        <w:ind w:firstLine="400"/>
        <w:rPr>
          <w:rFonts w:hint="eastAsia" w:ascii="宋体" w:hAnsi="宋体" w:eastAsia="宋体" w:cs="宋体"/>
          <w:color w:val="000000" w:themeColor="text1"/>
          <w:sz w:val="24"/>
          <w:szCs w:val="24"/>
          <w:highlight w:val="none"/>
          <w14:textFill>
            <w14:solidFill>
              <w14:schemeClr w14:val="tx1"/>
            </w14:solidFill>
          </w14:textFill>
        </w:rPr>
      </w:pPr>
    </w:p>
    <w:p w14:paraId="38F6A8DB">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甲方：（采购人全称）</w:t>
      </w:r>
    </w:p>
    <w:p w14:paraId="53ED838F">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乙方：（供应商全称）</w:t>
      </w:r>
    </w:p>
    <w:p w14:paraId="133E0D10">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甲、乙双方根据</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项目（交易编号：,）的</w:t>
      </w:r>
      <w:r>
        <w:rPr>
          <w:rFonts w:hint="eastAsia" w:ascii="宋体" w:hAnsi="宋体" w:eastAsia="宋体" w:cs="宋体"/>
          <w:sz w:val="24"/>
          <w:szCs w:val="24"/>
          <w:highlight w:val="none"/>
          <w:u w:val="single"/>
        </w:rPr>
        <w:t>（采购方式）</w:t>
      </w:r>
      <w:r>
        <w:rPr>
          <w:rFonts w:hint="eastAsia" w:ascii="宋体" w:hAnsi="宋体" w:eastAsia="宋体" w:cs="宋体"/>
          <w:sz w:val="24"/>
          <w:szCs w:val="24"/>
          <w:highlight w:val="none"/>
        </w:rPr>
        <w:t>结果，甲方接受乙方为本项目的供应商。甲乙双方根据本项目采购文件、</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及招投标过程中确定的有关内容，签署本合同。</w:t>
      </w:r>
    </w:p>
    <w:p w14:paraId="0E0444FE">
      <w:pPr>
        <w:spacing w:beforeLines="50" w:afterLines="50" w:line="360" w:lineRule="auto"/>
        <w:ind w:firstLine="480"/>
        <w:rPr>
          <w:rFonts w:hint="eastAsia" w:ascii="宋体" w:hAnsi="宋体" w:eastAsia="宋体" w:cs="宋体"/>
          <w:sz w:val="24"/>
          <w:szCs w:val="24"/>
          <w:highlight w:val="none"/>
        </w:rPr>
      </w:pPr>
      <w:bookmarkStart w:id="164" w:name="_Toc406670753"/>
      <w:bookmarkStart w:id="165" w:name="_Toc406671124"/>
      <w:r>
        <w:rPr>
          <w:rFonts w:hint="eastAsia" w:ascii="宋体" w:hAnsi="宋体" w:eastAsia="宋体" w:cs="宋体"/>
          <w:sz w:val="24"/>
          <w:szCs w:val="24"/>
          <w:highlight w:val="none"/>
        </w:rPr>
        <w:t>一、采购</w:t>
      </w:r>
      <w:bookmarkEnd w:id="164"/>
      <w:bookmarkEnd w:id="165"/>
      <w:r>
        <w:rPr>
          <w:rFonts w:hint="eastAsia" w:ascii="宋体" w:hAnsi="宋体" w:eastAsia="宋体" w:cs="宋体"/>
          <w:sz w:val="24"/>
          <w:szCs w:val="24"/>
          <w:highlight w:val="none"/>
        </w:rPr>
        <w:t>清单</w:t>
      </w:r>
    </w:p>
    <w:p w14:paraId="67BC535F">
      <w:pPr>
        <w:pStyle w:val="32"/>
        <w:spacing w:beforeLines="100" w:afterLines="50" w:line="360" w:lineRule="auto"/>
        <w:ind w:firstLine="480"/>
        <w:rPr>
          <w:rFonts w:hint="eastAsia" w:ascii="宋体" w:hAnsi="宋体" w:eastAsia="宋体" w:cs="宋体"/>
          <w:sz w:val="24"/>
          <w:szCs w:val="24"/>
          <w:highlight w:val="none"/>
        </w:rPr>
      </w:pPr>
      <w:bookmarkStart w:id="166" w:name="_Toc406670754"/>
      <w:bookmarkStart w:id="167" w:name="_Toc406671712"/>
      <w:bookmarkStart w:id="168" w:name="_Toc406671125"/>
      <w:r>
        <w:rPr>
          <w:rFonts w:hint="eastAsia" w:ascii="宋体" w:hAnsi="宋体" w:eastAsia="宋体" w:cs="宋体"/>
          <w:sz w:val="24"/>
          <w:szCs w:val="24"/>
          <w:highlight w:val="none"/>
        </w:rPr>
        <w:t>1.1货物</w:t>
      </w:r>
      <w:bookmarkEnd w:id="166"/>
      <w:bookmarkEnd w:id="167"/>
      <w:bookmarkEnd w:id="168"/>
      <w:r>
        <w:rPr>
          <w:rFonts w:hint="eastAsia" w:ascii="宋体" w:hAnsi="宋体" w:eastAsia="宋体" w:cs="宋体"/>
          <w:sz w:val="24"/>
          <w:szCs w:val="24"/>
          <w:highlight w:val="none"/>
        </w:rPr>
        <w:t>清单</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813"/>
        <w:gridCol w:w="933"/>
        <w:gridCol w:w="933"/>
        <w:gridCol w:w="2446"/>
      </w:tblGrid>
      <w:tr w14:paraId="4A11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38" w:type="dxa"/>
            <w:vAlign w:val="center"/>
          </w:tcPr>
          <w:p w14:paraId="714787D5">
            <w:pPr>
              <w:spacing w:line="360" w:lineRule="auto"/>
              <w:ind w:left="7" w:leftChars="-26" w:hanging="62" w:hangingChars="26"/>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813" w:type="dxa"/>
            <w:vAlign w:val="center"/>
          </w:tcPr>
          <w:p w14:paraId="3277DE3C">
            <w:pPr>
              <w:spacing w:line="360" w:lineRule="auto"/>
              <w:ind w:left="7" w:leftChars="-26" w:hanging="62" w:hangingChars="26"/>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采购货物名称</w:t>
            </w:r>
          </w:p>
        </w:tc>
        <w:tc>
          <w:tcPr>
            <w:tcW w:w="933" w:type="dxa"/>
            <w:vAlign w:val="center"/>
          </w:tcPr>
          <w:p w14:paraId="083A5470">
            <w:pPr>
              <w:spacing w:line="360" w:lineRule="auto"/>
              <w:ind w:left="7" w:leftChars="-26" w:hanging="62" w:hangingChars="26"/>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933" w:type="dxa"/>
            <w:vAlign w:val="center"/>
          </w:tcPr>
          <w:p w14:paraId="21A8EE2C">
            <w:pPr>
              <w:spacing w:line="360" w:lineRule="auto"/>
              <w:ind w:left="7" w:leftChars="-26" w:hanging="62" w:hangingChars="26"/>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2446" w:type="dxa"/>
            <w:vAlign w:val="center"/>
          </w:tcPr>
          <w:p w14:paraId="53D72B5A">
            <w:pPr>
              <w:spacing w:line="360" w:lineRule="auto"/>
              <w:ind w:left="7" w:leftChars="-26" w:hanging="62" w:hangingChars="26"/>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规格型号、技术参数</w:t>
            </w:r>
          </w:p>
        </w:tc>
      </w:tr>
      <w:tr w14:paraId="1F91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38" w:type="dxa"/>
            <w:vAlign w:val="center"/>
          </w:tcPr>
          <w:p w14:paraId="055B5F16">
            <w:pPr>
              <w:spacing w:line="360" w:lineRule="auto"/>
              <w:ind w:left="60" w:firstLine="158" w:firstLineChars="66"/>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813" w:type="dxa"/>
            <w:vAlign w:val="center"/>
          </w:tcPr>
          <w:p w14:paraId="3A3A1EAF">
            <w:pPr>
              <w:spacing w:line="360" w:lineRule="auto"/>
              <w:ind w:left="60" w:firstLine="480"/>
              <w:rPr>
                <w:rFonts w:hint="eastAsia" w:ascii="宋体" w:hAnsi="宋体" w:eastAsia="宋体" w:cs="宋体"/>
                <w:sz w:val="24"/>
                <w:szCs w:val="24"/>
                <w:highlight w:val="none"/>
              </w:rPr>
            </w:pPr>
          </w:p>
        </w:tc>
        <w:tc>
          <w:tcPr>
            <w:tcW w:w="933" w:type="dxa"/>
            <w:vAlign w:val="center"/>
          </w:tcPr>
          <w:p w14:paraId="2460E9A3">
            <w:pPr>
              <w:spacing w:line="360" w:lineRule="auto"/>
              <w:ind w:left="60" w:firstLine="480"/>
              <w:jc w:val="center"/>
              <w:rPr>
                <w:rFonts w:hint="eastAsia" w:ascii="宋体" w:hAnsi="宋体" w:eastAsia="宋体" w:cs="宋体"/>
                <w:sz w:val="24"/>
                <w:szCs w:val="24"/>
                <w:highlight w:val="none"/>
              </w:rPr>
            </w:pPr>
          </w:p>
        </w:tc>
        <w:tc>
          <w:tcPr>
            <w:tcW w:w="933" w:type="dxa"/>
            <w:vAlign w:val="center"/>
          </w:tcPr>
          <w:p w14:paraId="15D01B3B">
            <w:pPr>
              <w:spacing w:line="360" w:lineRule="auto"/>
              <w:ind w:left="60" w:firstLine="480"/>
              <w:jc w:val="center"/>
              <w:rPr>
                <w:rFonts w:hint="eastAsia" w:ascii="宋体" w:hAnsi="宋体" w:eastAsia="宋体" w:cs="宋体"/>
                <w:sz w:val="24"/>
                <w:szCs w:val="24"/>
                <w:highlight w:val="none"/>
              </w:rPr>
            </w:pPr>
          </w:p>
        </w:tc>
        <w:tc>
          <w:tcPr>
            <w:tcW w:w="2446" w:type="dxa"/>
            <w:vAlign w:val="center"/>
          </w:tcPr>
          <w:p w14:paraId="05A4CA8A">
            <w:pPr>
              <w:spacing w:line="360" w:lineRule="auto"/>
              <w:ind w:firstLine="480"/>
              <w:rPr>
                <w:rFonts w:hint="eastAsia" w:ascii="宋体" w:hAnsi="宋体" w:eastAsia="宋体" w:cs="宋体"/>
                <w:sz w:val="24"/>
                <w:szCs w:val="24"/>
                <w:highlight w:val="none"/>
              </w:rPr>
            </w:pPr>
          </w:p>
        </w:tc>
      </w:tr>
      <w:tr w14:paraId="476E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38" w:type="dxa"/>
            <w:vAlign w:val="center"/>
          </w:tcPr>
          <w:p w14:paraId="15DD7D77">
            <w:pPr>
              <w:spacing w:line="360" w:lineRule="auto"/>
              <w:ind w:left="60" w:firstLine="158" w:firstLineChars="66"/>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813" w:type="dxa"/>
            <w:vAlign w:val="center"/>
          </w:tcPr>
          <w:p w14:paraId="045DE347">
            <w:pPr>
              <w:spacing w:line="360" w:lineRule="auto"/>
              <w:ind w:left="60" w:firstLine="480"/>
              <w:rPr>
                <w:rFonts w:hint="eastAsia" w:ascii="宋体" w:hAnsi="宋体" w:eastAsia="宋体" w:cs="宋体"/>
                <w:sz w:val="24"/>
                <w:szCs w:val="24"/>
                <w:highlight w:val="none"/>
              </w:rPr>
            </w:pPr>
          </w:p>
        </w:tc>
        <w:tc>
          <w:tcPr>
            <w:tcW w:w="933" w:type="dxa"/>
            <w:vAlign w:val="center"/>
          </w:tcPr>
          <w:p w14:paraId="52B3A6FE">
            <w:pPr>
              <w:spacing w:line="360" w:lineRule="auto"/>
              <w:ind w:left="60" w:firstLine="480"/>
              <w:jc w:val="center"/>
              <w:rPr>
                <w:rFonts w:hint="eastAsia" w:ascii="宋体" w:hAnsi="宋体" w:eastAsia="宋体" w:cs="宋体"/>
                <w:sz w:val="24"/>
                <w:szCs w:val="24"/>
                <w:highlight w:val="none"/>
              </w:rPr>
            </w:pPr>
          </w:p>
        </w:tc>
        <w:tc>
          <w:tcPr>
            <w:tcW w:w="933" w:type="dxa"/>
            <w:vAlign w:val="center"/>
          </w:tcPr>
          <w:p w14:paraId="12A0C48E">
            <w:pPr>
              <w:spacing w:line="360" w:lineRule="auto"/>
              <w:ind w:left="60" w:firstLine="480"/>
              <w:jc w:val="center"/>
              <w:rPr>
                <w:rFonts w:hint="eastAsia" w:ascii="宋体" w:hAnsi="宋体" w:eastAsia="宋体" w:cs="宋体"/>
                <w:sz w:val="24"/>
                <w:szCs w:val="24"/>
                <w:highlight w:val="none"/>
              </w:rPr>
            </w:pPr>
          </w:p>
        </w:tc>
        <w:tc>
          <w:tcPr>
            <w:tcW w:w="2446" w:type="dxa"/>
            <w:vAlign w:val="center"/>
          </w:tcPr>
          <w:p w14:paraId="12D7F1D5">
            <w:pPr>
              <w:spacing w:line="360" w:lineRule="auto"/>
              <w:ind w:firstLine="480"/>
              <w:rPr>
                <w:rFonts w:hint="eastAsia" w:ascii="宋体" w:hAnsi="宋体" w:eastAsia="宋体" w:cs="宋体"/>
                <w:sz w:val="24"/>
                <w:szCs w:val="24"/>
                <w:highlight w:val="none"/>
              </w:rPr>
            </w:pPr>
          </w:p>
        </w:tc>
      </w:tr>
      <w:tr w14:paraId="3038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38" w:type="dxa"/>
            <w:vAlign w:val="center"/>
          </w:tcPr>
          <w:p w14:paraId="63BEF371">
            <w:pPr>
              <w:spacing w:line="360" w:lineRule="auto"/>
              <w:ind w:left="60" w:firstLine="158" w:firstLineChars="66"/>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813" w:type="dxa"/>
            <w:vAlign w:val="center"/>
          </w:tcPr>
          <w:p w14:paraId="5312EB2D">
            <w:pPr>
              <w:spacing w:line="360" w:lineRule="auto"/>
              <w:ind w:left="60" w:firstLine="480"/>
              <w:rPr>
                <w:rFonts w:hint="eastAsia" w:ascii="宋体" w:hAnsi="宋体" w:eastAsia="宋体" w:cs="宋体"/>
                <w:sz w:val="24"/>
                <w:szCs w:val="24"/>
                <w:highlight w:val="none"/>
              </w:rPr>
            </w:pPr>
          </w:p>
        </w:tc>
        <w:tc>
          <w:tcPr>
            <w:tcW w:w="933" w:type="dxa"/>
            <w:vAlign w:val="center"/>
          </w:tcPr>
          <w:p w14:paraId="6E556598">
            <w:pPr>
              <w:spacing w:line="360" w:lineRule="auto"/>
              <w:ind w:left="60" w:firstLine="480"/>
              <w:jc w:val="center"/>
              <w:rPr>
                <w:rFonts w:hint="eastAsia" w:ascii="宋体" w:hAnsi="宋体" w:eastAsia="宋体" w:cs="宋体"/>
                <w:sz w:val="24"/>
                <w:szCs w:val="24"/>
                <w:highlight w:val="none"/>
              </w:rPr>
            </w:pPr>
          </w:p>
        </w:tc>
        <w:tc>
          <w:tcPr>
            <w:tcW w:w="933" w:type="dxa"/>
            <w:vAlign w:val="center"/>
          </w:tcPr>
          <w:p w14:paraId="7127748D">
            <w:pPr>
              <w:spacing w:line="360" w:lineRule="auto"/>
              <w:ind w:left="60" w:firstLine="480"/>
              <w:jc w:val="center"/>
              <w:rPr>
                <w:rFonts w:hint="eastAsia" w:ascii="宋体" w:hAnsi="宋体" w:eastAsia="宋体" w:cs="宋体"/>
                <w:sz w:val="24"/>
                <w:szCs w:val="24"/>
                <w:highlight w:val="none"/>
              </w:rPr>
            </w:pPr>
          </w:p>
        </w:tc>
        <w:tc>
          <w:tcPr>
            <w:tcW w:w="2446" w:type="dxa"/>
            <w:vAlign w:val="center"/>
          </w:tcPr>
          <w:p w14:paraId="775716C8">
            <w:pPr>
              <w:spacing w:line="360" w:lineRule="auto"/>
              <w:ind w:firstLine="480"/>
              <w:rPr>
                <w:rFonts w:hint="eastAsia" w:ascii="宋体" w:hAnsi="宋体" w:eastAsia="宋体" w:cs="宋体"/>
                <w:sz w:val="24"/>
                <w:szCs w:val="24"/>
                <w:highlight w:val="none"/>
              </w:rPr>
            </w:pPr>
          </w:p>
        </w:tc>
      </w:tr>
      <w:tr w14:paraId="402F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38" w:type="dxa"/>
            <w:vAlign w:val="center"/>
          </w:tcPr>
          <w:p w14:paraId="7DB61E87">
            <w:pPr>
              <w:spacing w:line="360" w:lineRule="auto"/>
              <w:ind w:firstLine="199" w:firstLineChars="83"/>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813" w:type="dxa"/>
            <w:vAlign w:val="center"/>
          </w:tcPr>
          <w:p w14:paraId="31A40549">
            <w:pPr>
              <w:spacing w:line="360" w:lineRule="auto"/>
              <w:ind w:left="60" w:firstLine="480"/>
              <w:rPr>
                <w:rFonts w:hint="eastAsia" w:ascii="宋体" w:hAnsi="宋体" w:eastAsia="宋体" w:cs="宋体"/>
                <w:sz w:val="24"/>
                <w:szCs w:val="24"/>
                <w:highlight w:val="none"/>
              </w:rPr>
            </w:pPr>
          </w:p>
        </w:tc>
        <w:tc>
          <w:tcPr>
            <w:tcW w:w="933" w:type="dxa"/>
            <w:vAlign w:val="center"/>
          </w:tcPr>
          <w:p w14:paraId="4804F978">
            <w:pPr>
              <w:spacing w:line="360" w:lineRule="auto"/>
              <w:ind w:left="60" w:firstLine="480"/>
              <w:jc w:val="center"/>
              <w:rPr>
                <w:rFonts w:hint="eastAsia" w:ascii="宋体" w:hAnsi="宋体" w:eastAsia="宋体" w:cs="宋体"/>
                <w:sz w:val="24"/>
                <w:szCs w:val="24"/>
                <w:highlight w:val="none"/>
              </w:rPr>
            </w:pPr>
          </w:p>
        </w:tc>
        <w:tc>
          <w:tcPr>
            <w:tcW w:w="933" w:type="dxa"/>
            <w:vAlign w:val="center"/>
          </w:tcPr>
          <w:p w14:paraId="63833C20">
            <w:pPr>
              <w:spacing w:line="360" w:lineRule="auto"/>
              <w:ind w:left="60" w:firstLine="480"/>
              <w:jc w:val="center"/>
              <w:rPr>
                <w:rFonts w:hint="eastAsia" w:ascii="宋体" w:hAnsi="宋体" w:eastAsia="宋体" w:cs="宋体"/>
                <w:sz w:val="24"/>
                <w:szCs w:val="24"/>
                <w:highlight w:val="none"/>
              </w:rPr>
            </w:pPr>
          </w:p>
        </w:tc>
        <w:tc>
          <w:tcPr>
            <w:tcW w:w="2446" w:type="dxa"/>
            <w:vAlign w:val="center"/>
          </w:tcPr>
          <w:p w14:paraId="2189F0A7">
            <w:pPr>
              <w:spacing w:line="360" w:lineRule="auto"/>
              <w:ind w:firstLine="480"/>
              <w:rPr>
                <w:rFonts w:hint="eastAsia" w:ascii="宋体" w:hAnsi="宋体" w:eastAsia="宋体" w:cs="宋体"/>
                <w:sz w:val="24"/>
                <w:szCs w:val="24"/>
                <w:highlight w:val="none"/>
              </w:rPr>
            </w:pPr>
          </w:p>
        </w:tc>
      </w:tr>
    </w:tbl>
    <w:p w14:paraId="2F402BF6">
      <w:pPr>
        <w:pStyle w:val="32"/>
        <w:spacing w:beforeLines="100" w:afterLines="50" w:line="360" w:lineRule="auto"/>
        <w:ind w:firstLine="480"/>
        <w:rPr>
          <w:rFonts w:hint="eastAsia" w:ascii="宋体" w:hAnsi="宋体" w:eastAsia="宋体" w:cs="宋体"/>
          <w:sz w:val="24"/>
          <w:szCs w:val="24"/>
          <w:highlight w:val="none"/>
        </w:rPr>
      </w:pPr>
      <w:bookmarkStart w:id="169" w:name="_Toc406670755"/>
      <w:bookmarkStart w:id="170" w:name="_Toc406671713"/>
      <w:bookmarkStart w:id="171" w:name="_Toc406671126"/>
      <w:r>
        <w:rPr>
          <w:rFonts w:hint="eastAsia" w:ascii="宋体" w:hAnsi="宋体" w:eastAsia="宋体" w:cs="宋体"/>
          <w:sz w:val="24"/>
          <w:szCs w:val="24"/>
          <w:highlight w:val="none"/>
        </w:rPr>
        <w:t>1.2质量标准：须达到国家规定标准</w:t>
      </w:r>
      <w:bookmarkEnd w:id="169"/>
      <w:bookmarkEnd w:id="170"/>
      <w:bookmarkEnd w:id="171"/>
      <w:r>
        <w:rPr>
          <w:rFonts w:hint="eastAsia" w:ascii="宋体" w:hAnsi="宋体" w:eastAsia="宋体" w:cs="宋体"/>
          <w:sz w:val="24"/>
          <w:szCs w:val="24"/>
          <w:highlight w:val="none"/>
        </w:rPr>
        <w:t>。</w:t>
      </w:r>
    </w:p>
    <w:p w14:paraId="0E8526EF">
      <w:pPr>
        <w:spacing w:beforeLines="50" w:afterLines="50" w:line="360" w:lineRule="auto"/>
        <w:ind w:firstLine="480"/>
        <w:rPr>
          <w:rFonts w:hint="eastAsia" w:ascii="宋体" w:hAnsi="宋体" w:eastAsia="宋体" w:cs="宋体"/>
          <w:sz w:val="24"/>
          <w:szCs w:val="24"/>
          <w:highlight w:val="none"/>
        </w:rPr>
      </w:pPr>
      <w:bookmarkStart w:id="172" w:name="_Toc406670756"/>
      <w:bookmarkStart w:id="173" w:name="_Toc406671127"/>
      <w:r>
        <w:rPr>
          <w:rFonts w:hint="eastAsia" w:ascii="宋体" w:hAnsi="宋体" w:eastAsia="宋体" w:cs="宋体"/>
          <w:sz w:val="24"/>
          <w:szCs w:val="24"/>
          <w:highlight w:val="none"/>
        </w:rPr>
        <w:t>二、合同金额</w:t>
      </w:r>
      <w:bookmarkEnd w:id="172"/>
      <w:bookmarkEnd w:id="173"/>
    </w:p>
    <w:p w14:paraId="7B910E43">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2.1本合同金额为（大写）：元（￥元）人民币。</w:t>
      </w:r>
    </w:p>
    <w:p w14:paraId="34023D91">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2.2本项目合同金额为本项目招标范围内所有货物服务的总价包干价。</w:t>
      </w:r>
    </w:p>
    <w:p w14:paraId="0D12114E">
      <w:pPr>
        <w:spacing w:beforeLines="50" w:afterLines="50" w:line="360" w:lineRule="auto"/>
        <w:ind w:firstLine="480"/>
        <w:rPr>
          <w:rFonts w:hint="eastAsia" w:ascii="宋体" w:hAnsi="宋体" w:eastAsia="宋体" w:cs="宋体"/>
          <w:sz w:val="24"/>
          <w:szCs w:val="24"/>
          <w:highlight w:val="none"/>
        </w:rPr>
      </w:pPr>
      <w:bookmarkStart w:id="174" w:name="_Toc406671128"/>
      <w:bookmarkStart w:id="175" w:name="_Toc406670757"/>
      <w:r>
        <w:rPr>
          <w:rFonts w:hint="eastAsia" w:ascii="宋体" w:hAnsi="宋体" w:eastAsia="宋体" w:cs="宋体"/>
          <w:sz w:val="24"/>
          <w:szCs w:val="24"/>
          <w:highlight w:val="none"/>
        </w:rPr>
        <w:t>三、技术资料、协调</w:t>
      </w:r>
      <w:bookmarkEnd w:id="174"/>
      <w:bookmarkEnd w:id="175"/>
    </w:p>
    <w:p w14:paraId="47A0E2A7">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3.1甲方向乙方提供货物安装的有关技术资料。</w:t>
      </w:r>
    </w:p>
    <w:p w14:paraId="1E3F6A2A">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3.2甲方应配合乙方全力协调安装过程中所涉及的各部门工作，在协调过程中所耽误时间不计入乙方工期。</w:t>
      </w:r>
    </w:p>
    <w:p w14:paraId="2A0CCFD9">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3.3乙方应按采购文件规定的时间向甲方提供使用货物的相关技术资料及安装进度计划安排。</w:t>
      </w:r>
    </w:p>
    <w:p w14:paraId="33DC64A7">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3.4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473D43E">
      <w:pPr>
        <w:spacing w:beforeLines="50" w:afterLines="50" w:line="360" w:lineRule="auto"/>
        <w:ind w:firstLine="480"/>
        <w:rPr>
          <w:rFonts w:hint="eastAsia" w:ascii="宋体" w:hAnsi="宋体" w:eastAsia="宋体" w:cs="宋体"/>
          <w:sz w:val="24"/>
          <w:szCs w:val="24"/>
          <w:highlight w:val="none"/>
        </w:rPr>
      </w:pPr>
      <w:bookmarkStart w:id="176" w:name="_Toc406670758"/>
      <w:bookmarkStart w:id="177" w:name="_Toc406671129"/>
      <w:r>
        <w:rPr>
          <w:rFonts w:hint="eastAsia" w:ascii="宋体" w:hAnsi="宋体" w:eastAsia="宋体" w:cs="宋体"/>
          <w:sz w:val="24"/>
          <w:szCs w:val="24"/>
          <w:highlight w:val="none"/>
        </w:rPr>
        <w:t>四、知识产权</w:t>
      </w:r>
      <w:bookmarkEnd w:id="176"/>
      <w:bookmarkEnd w:id="177"/>
    </w:p>
    <w:p w14:paraId="12A4895A">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4.1乙方应保证所提供的货物或其任何一部分均不会侵犯任何第三方的专利权、商标权或著作权等。</w:t>
      </w:r>
    </w:p>
    <w:p w14:paraId="478B78CA">
      <w:pPr>
        <w:spacing w:beforeLines="50" w:afterLines="50" w:line="360" w:lineRule="auto"/>
        <w:ind w:firstLine="480"/>
        <w:rPr>
          <w:rFonts w:hint="eastAsia" w:ascii="宋体" w:hAnsi="宋体" w:eastAsia="宋体" w:cs="宋体"/>
          <w:sz w:val="24"/>
          <w:szCs w:val="24"/>
          <w:highlight w:val="none"/>
        </w:rPr>
      </w:pPr>
      <w:bookmarkStart w:id="178" w:name="_Toc406670759"/>
      <w:bookmarkStart w:id="179" w:name="_Toc406671130"/>
      <w:r>
        <w:rPr>
          <w:rFonts w:hint="eastAsia" w:ascii="宋体" w:hAnsi="宋体" w:eastAsia="宋体" w:cs="宋体"/>
          <w:sz w:val="24"/>
          <w:szCs w:val="24"/>
          <w:highlight w:val="none"/>
        </w:rPr>
        <w:t>五、无产权瑕疵条款</w:t>
      </w:r>
      <w:bookmarkEnd w:id="178"/>
      <w:bookmarkEnd w:id="179"/>
    </w:p>
    <w:p w14:paraId="474E6DE0">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5.1乙方保证所交付的货物的所有权完全属于乙方且无任何抵押、查封等产权瑕疵。如乙方所交货物有产权瑕疵的，视为乙方违约，按照本合同第13条第3款的约定处理。但在已经全部支付完货款后才发现有产权瑕疵的，除了支付违约金，乙方还应负担由此而产生的一切损失。</w:t>
      </w:r>
    </w:p>
    <w:p w14:paraId="3375F21A">
      <w:pPr>
        <w:spacing w:beforeLines="50" w:afterLines="50" w:line="360" w:lineRule="auto"/>
        <w:ind w:firstLine="480"/>
        <w:rPr>
          <w:rFonts w:hint="eastAsia" w:ascii="宋体" w:hAnsi="宋体" w:eastAsia="宋体" w:cs="宋体"/>
          <w:sz w:val="24"/>
          <w:szCs w:val="24"/>
          <w:highlight w:val="none"/>
        </w:rPr>
      </w:pPr>
      <w:bookmarkStart w:id="180" w:name="_Toc406670760"/>
      <w:bookmarkStart w:id="181" w:name="_Toc406671131"/>
      <w:r>
        <w:rPr>
          <w:rFonts w:hint="eastAsia" w:ascii="宋体" w:hAnsi="宋体" w:eastAsia="宋体" w:cs="宋体"/>
          <w:sz w:val="24"/>
          <w:szCs w:val="24"/>
          <w:highlight w:val="none"/>
        </w:rPr>
        <w:t>六、质保期和质保金</w:t>
      </w:r>
      <w:bookmarkEnd w:id="180"/>
      <w:bookmarkEnd w:id="181"/>
    </w:p>
    <w:p w14:paraId="721350F8">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6.1质保期个月（自本项目安装验收合格之日起计）</w:t>
      </w:r>
    </w:p>
    <w:p w14:paraId="0EAEFA3A">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6.2如质保期内乙方提供的货物经验收无质量问题，待质保期满后由甲方接到乙方申请退付意见书后在五个工作日内无息退还。</w:t>
      </w:r>
    </w:p>
    <w:p w14:paraId="3ED3C2C7">
      <w:pPr>
        <w:spacing w:beforeLines="50" w:afterLines="50" w:line="360" w:lineRule="auto"/>
        <w:ind w:firstLine="480"/>
        <w:rPr>
          <w:rFonts w:hint="eastAsia" w:ascii="宋体" w:hAnsi="宋体" w:eastAsia="宋体" w:cs="宋体"/>
          <w:sz w:val="24"/>
          <w:szCs w:val="24"/>
          <w:highlight w:val="none"/>
        </w:rPr>
      </w:pPr>
      <w:bookmarkStart w:id="182" w:name="_Toc406671132"/>
      <w:bookmarkStart w:id="183" w:name="_Toc406670761"/>
      <w:r>
        <w:rPr>
          <w:rFonts w:hint="eastAsia" w:ascii="宋体" w:hAnsi="宋体" w:eastAsia="宋体" w:cs="宋体"/>
          <w:sz w:val="24"/>
          <w:szCs w:val="24"/>
          <w:highlight w:val="none"/>
        </w:rPr>
        <w:t>七、供货安装期：按投标承诺期。</w:t>
      </w:r>
      <w:bookmarkEnd w:id="182"/>
      <w:bookmarkEnd w:id="183"/>
    </w:p>
    <w:p w14:paraId="58D780B2">
      <w:pPr>
        <w:spacing w:beforeLines="50" w:afterLines="50" w:line="360" w:lineRule="auto"/>
        <w:ind w:firstLine="480"/>
        <w:rPr>
          <w:rFonts w:hint="eastAsia" w:ascii="宋体" w:hAnsi="宋体" w:eastAsia="宋体" w:cs="宋体"/>
          <w:sz w:val="24"/>
          <w:szCs w:val="24"/>
          <w:highlight w:val="none"/>
        </w:rPr>
      </w:pPr>
      <w:bookmarkStart w:id="184" w:name="_Toc406671133"/>
      <w:bookmarkStart w:id="185" w:name="_Toc406670762"/>
      <w:r>
        <w:rPr>
          <w:rFonts w:hint="eastAsia" w:ascii="宋体" w:hAnsi="宋体" w:eastAsia="宋体" w:cs="宋体"/>
          <w:sz w:val="24"/>
          <w:szCs w:val="24"/>
          <w:highlight w:val="none"/>
        </w:rPr>
        <w:t>八、货款支付</w:t>
      </w:r>
      <w:bookmarkEnd w:id="184"/>
      <w:bookmarkEnd w:id="185"/>
    </w:p>
    <w:p w14:paraId="24BC4B6B">
      <w:pPr>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8.1付款方式：在签订合同后货物运送到达并支付合同总价款，待安装调试能正常使用天后支付合同总价款的,剩余部分作为质保金，该质保金在正常使用天后无任何质量问题将全额无息返还。成交人所供货物运到采购人指定地点后，由采购人组织有关部门对其货物进行验收，验收合格后方可付款。</w:t>
      </w:r>
    </w:p>
    <w:p w14:paraId="41989886">
      <w:pPr>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8.2当本项目招标货物数量超出招标范围时，根据采购人实际使用量供货，合同的最终结算金额按实际使用量乘以成交单价（</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中分项报价表中所列单价）进行计算。</w:t>
      </w:r>
    </w:p>
    <w:p w14:paraId="0F7D4ED2">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8.3招标过程中，如采购人、供应商或采购代理机构存在违法行为，在相关管理部门调查期间、被行政处罚期间，管理部门可视情况书面通知采购人暂停招标活动，采购人将延期支付货款。</w:t>
      </w:r>
    </w:p>
    <w:p w14:paraId="25BC465E">
      <w:pPr>
        <w:spacing w:beforeLines="50" w:afterLines="50" w:line="360" w:lineRule="auto"/>
        <w:ind w:firstLine="480"/>
        <w:rPr>
          <w:rFonts w:hint="eastAsia" w:ascii="宋体" w:hAnsi="宋体" w:eastAsia="宋体" w:cs="宋体"/>
          <w:sz w:val="24"/>
          <w:szCs w:val="24"/>
          <w:highlight w:val="none"/>
        </w:rPr>
      </w:pPr>
      <w:bookmarkStart w:id="186" w:name="_Toc406670763"/>
      <w:bookmarkStart w:id="187" w:name="_Toc406671134"/>
      <w:r>
        <w:rPr>
          <w:rFonts w:hint="eastAsia" w:ascii="宋体" w:hAnsi="宋体" w:eastAsia="宋体" w:cs="宋体"/>
          <w:sz w:val="24"/>
          <w:szCs w:val="24"/>
          <w:highlight w:val="none"/>
        </w:rPr>
        <w:t>九、质量保证及售后服务</w:t>
      </w:r>
      <w:bookmarkEnd w:id="186"/>
      <w:bookmarkEnd w:id="187"/>
    </w:p>
    <w:p w14:paraId="670E8888">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9.1乙方应按采购文件规定的货物性能、技术要求、质量标准向甲方提供未经使用的全新产品并将货物安装调试完成，使甲方能很好的使用。</w:t>
      </w:r>
    </w:p>
    <w:p w14:paraId="38E6A441">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9.2乙方提供的货物在质量期内因货物本身的质量问题发生故障，乙方应负责免费更换。对达不到技术要求者，根据实际情况，可按以下办法处理：</w:t>
      </w:r>
    </w:p>
    <w:p w14:paraId="7910BF83">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⑴更换：由乙方承担所发生的全部费用。</w:t>
      </w:r>
    </w:p>
    <w:p w14:paraId="30E6F78F">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⑵退货处理：乙方应退还甲方支付的合同款，同时应承担该货物的直接费用（运输、保险、检验、货款利息及银行手续费等）。</w:t>
      </w:r>
    </w:p>
    <w:p w14:paraId="7FD533E6">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9.3如在使用过程中发生质量问题，乙方在接到甲方通知后在12小时内到达甲方现场。</w:t>
      </w:r>
    </w:p>
    <w:p w14:paraId="52B44363">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9.4在质保期内，乙方应对货物出现的质量及安全问题负责处理解决并承担一切费用。</w:t>
      </w:r>
    </w:p>
    <w:p w14:paraId="291F1750">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9.5上述的货物免费保修期为12个月，因人为因素出现的故障不在免费保修范围内。超过保修期的机器设备，终生维修，维修时只收部件成本费。</w:t>
      </w:r>
    </w:p>
    <w:p w14:paraId="0ED0619B">
      <w:pPr>
        <w:spacing w:beforeLines="50" w:afterLines="50" w:line="360" w:lineRule="auto"/>
        <w:ind w:firstLine="480"/>
        <w:rPr>
          <w:rFonts w:hint="eastAsia" w:ascii="宋体" w:hAnsi="宋体" w:eastAsia="宋体" w:cs="宋体"/>
          <w:sz w:val="24"/>
          <w:szCs w:val="24"/>
          <w:highlight w:val="none"/>
        </w:rPr>
      </w:pPr>
      <w:bookmarkStart w:id="188" w:name="_Toc406671135"/>
      <w:bookmarkStart w:id="189" w:name="_Toc406670764"/>
      <w:r>
        <w:rPr>
          <w:rFonts w:hint="eastAsia" w:ascii="宋体" w:hAnsi="宋体" w:eastAsia="宋体" w:cs="宋体"/>
          <w:sz w:val="24"/>
          <w:szCs w:val="24"/>
          <w:highlight w:val="none"/>
        </w:rPr>
        <w:t>十、货物包装、发运及运输</w:t>
      </w:r>
      <w:bookmarkEnd w:id="188"/>
      <w:bookmarkEnd w:id="189"/>
    </w:p>
    <w:p w14:paraId="37ABDE2B">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10.1乙方应在货物发运前对其进行满足运输距离、防潮、防震、防锈和防破损装卸等要求包装，以保证货物安全运达甲方指定地点。</w:t>
      </w:r>
    </w:p>
    <w:p w14:paraId="711F3166">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10.2使用说明书、质量检验证明书、随配附件和工具以及清单一并附于货物内。</w:t>
      </w:r>
    </w:p>
    <w:p w14:paraId="1FC8E460">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10.3乙方在货物发运手续办理完毕后24小时内或货到安装现场48小时前通知甲方，以准备验收货物。</w:t>
      </w:r>
    </w:p>
    <w:p w14:paraId="694B1556">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10.4货物在竣工验收合格前发生的风险均由乙方负责。</w:t>
      </w:r>
    </w:p>
    <w:p w14:paraId="6C40BD1A">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10.5货物在规定的期限内由乙方安装完毕并通过甲方验收合格视为交付。</w:t>
      </w:r>
    </w:p>
    <w:p w14:paraId="546EC006">
      <w:pPr>
        <w:spacing w:beforeLines="50" w:afterLines="50" w:line="360" w:lineRule="auto"/>
        <w:ind w:firstLine="480"/>
        <w:rPr>
          <w:rFonts w:hint="eastAsia" w:ascii="宋体" w:hAnsi="宋体" w:eastAsia="宋体" w:cs="宋体"/>
          <w:sz w:val="24"/>
          <w:szCs w:val="24"/>
          <w:highlight w:val="none"/>
        </w:rPr>
      </w:pPr>
      <w:bookmarkStart w:id="190" w:name="_Toc406670765"/>
      <w:bookmarkStart w:id="191" w:name="_Toc406671136"/>
      <w:r>
        <w:rPr>
          <w:rFonts w:hint="eastAsia" w:ascii="宋体" w:hAnsi="宋体" w:eastAsia="宋体" w:cs="宋体"/>
          <w:sz w:val="24"/>
          <w:szCs w:val="24"/>
          <w:highlight w:val="none"/>
        </w:rPr>
        <w:t>十一、调试和验收</w:t>
      </w:r>
      <w:bookmarkEnd w:id="190"/>
      <w:bookmarkEnd w:id="191"/>
    </w:p>
    <w:p w14:paraId="5BFDFE19">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11.1甲方对乙方每个工程进度时间段需安装的货物依据采购文件上的技术规格要求和国家有关质量标准进行现场初步验收，外观、说明书符合采购文件技术要求的，给予签证，初步验收不合格的不予签证。</w:t>
      </w:r>
    </w:p>
    <w:p w14:paraId="2688E72F">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11.2乙方安装货物前应对产品作出全面检查和对验收文件进行整理，并列出清单，作为甲方验收、签证和使用的技术条件依据，检验的结果交甲方。</w:t>
      </w:r>
    </w:p>
    <w:p w14:paraId="085A4FDC">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11.3乙方负责设备到货地点的安装调试，该安装调试应规范，乙方安装完毕需负责培训甲方的使用操作人员，并协助甲方一起调试，直到符合技术要求，甲方才做最终验收。培训所需一切费用均由乙方承担。</w:t>
      </w:r>
    </w:p>
    <w:p w14:paraId="08C1240E">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11.4验收时甲乙双方、及相关单位必须在现场，验收完毕后作出验收结果报告；验收费用由乙方负责。如果任何被检验的货物不能满足数量、规格、质量的要求，甲方可以拒绝接受货物，乙方应无条件更换被拒绝的货物，由此产生的损失由乙方承担。</w:t>
      </w:r>
    </w:p>
    <w:p w14:paraId="684542CF">
      <w:pPr>
        <w:spacing w:beforeLines="50" w:afterLines="50" w:line="360" w:lineRule="auto"/>
        <w:ind w:firstLine="480"/>
        <w:rPr>
          <w:rFonts w:hint="eastAsia" w:ascii="宋体" w:hAnsi="宋体" w:eastAsia="宋体" w:cs="宋体"/>
          <w:sz w:val="24"/>
          <w:szCs w:val="24"/>
          <w:highlight w:val="none"/>
        </w:rPr>
      </w:pPr>
      <w:bookmarkStart w:id="192" w:name="_Toc406671137"/>
      <w:bookmarkStart w:id="193" w:name="_Toc406670766"/>
      <w:r>
        <w:rPr>
          <w:rFonts w:hint="eastAsia" w:ascii="宋体" w:hAnsi="宋体" w:eastAsia="宋体" w:cs="宋体"/>
          <w:sz w:val="24"/>
          <w:szCs w:val="24"/>
          <w:highlight w:val="none"/>
        </w:rPr>
        <w:t>十二、违约责任</w:t>
      </w:r>
      <w:bookmarkEnd w:id="192"/>
      <w:bookmarkEnd w:id="193"/>
    </w:p>
    <w:p w14:paraId="037CD458">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12.1甲方无正当理由拒收货物的，甲方向乙方偿付拒收货款总值的百分之五违约金。</w:t>
      </w:r>
    </w:p>
    <w:p w14:paraId="30D9513E">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12.2甲方无故逾期验收和办理货款支付手续的,甲方应按逾期付款总额每日万分之五向乙方支付违约金。</w:t>
      </w:r>
    </w:p>
    <w:p w14:paraId="2908233D">
      <w:pPr>
        <w:pStyle w:val="32"/>
        <w:spacing w:beforeLines="100" w:afterLines="50" w:line="36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12.3乙方逾期交付验收合格的，乙方应按付款总额每日万分之五向甲方支付违约金，由甲方从待付货款中扣除。如因乙方原因造成工程逾期超过约定日期10个工作日不能交付竣工验收的，甲方可解除本合同。乙方因逾期交付验收或因其他违约行为导致甲方解除合同的，乙方应向甲方支付合同总值5%的违约金，如造成甲方损失超过违约金的，超出部分由乙方继续承担赔偿责任。</w:t>
      </w:r>
    </w:p>
    <w:p w14:paraId="554204BA">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12.4乙方所提供的货物品种、型号、规格、技术参数、质量不符合合同规定及采购文件规定标准的，甲方有权拒收该货物，乙方愿意更换货物但逾期交货的，按乙方逾期交货处理。乙方拒绝更换货物的，甲方可单方面解除合同。</w:t>
      </w:r>
    </w:p>
    <w:p w14:paraId="17F1FCBA">
      <w:pPr>
        <w:spacing w:beforeLines="50" w:afterLines="50" w:line="360" w:lineRule="auto"/>
        <w:ind w:firstLine="480"/>
        <w:rPr>
          <w:rFonts w:hint="eastAsia" w:ascii="宋体" w:hAnsi="宋体" w:eastAsia="宋体" w:cs="宋体"/>
          <w:sz w:val="24"/>
          <w:szCs w:val="24"/>
          <w:highlight w:val="none"/>
        </w:rPr>
      </w:pPr>
      <w:bookmarkStart w:id="194" w:name="_Toc406670767"/>
      <w:bookmarkStart w:id="195" w:name="_Toc406671138"/>
      <w:r>
        <w:rPr>
          <w:rFonts w:hint="eastAsia" w:ascii="宋体" w:hAnsi="宋体" w:eastAsia="宋体" w:cs="宋体"/>
          <w:sz w:val="24"/>
          <w:szCs w:val="24"/>
          <w:highlight w:val="none"/>
        </w:rPr>
        <w:t>十三、不可抗力事件处理</w:t>
      </w:r>
      <w:bookmarkEnd w:id="194"/>
      <w:bookmarkEnd w:id="195"/>
    </w:p>
    <w:p w14:paraId="0CFA6CAA">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13.1在合同有效期内，任何一方因不可抗力事件导致不能履行合同，则合同履行期可延长，其延长期与不可抗力影响期相同。</w:t>
      </w:r>
    </w:p>
    <w:p w14:paraId="5B319113">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13.2不可抗力事件发生后，应立即通知对方，并寄送有关权威机构出具的证明。</w:t>
      </w:r>
    </w:p>
    <w:p w14:paraId="639F7EEA">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13.3不可抗力事件延续30天以上，双方应通过友好协商，确定是否继续履行合同。</w:t>
      </w:r>
    </w:p>
    <w:p w14:paraId="63E66EE1">
      <w:pPr>
        <w:spacing w:beforeLines="50" w:afterLines="50" w:line="360" w:lineRule="auto"/>
        <w:ind w:firstLine="480"/>
        <w:rPr>
          <w:rFonts w:hint="eastAsia" w:ascii="宋体" w:hAnsi="宋体" w:eastAsia="宋体" w:cs="宋体"/>
          <w:sz w:val="24"/>
          <w:szCs w:val="24"/>
          <w:highlight w:val="none"/>
        </w:rPr>
      </w:pPr>
      <w:bookmarkStart w:id="196" w:name="_Toc406671139"/>
      <w:bookmarkStart w:id="197" w:name="_Toc406670768"/>
      <w:r>
        <w:rPr>
          <w:rFonts w:hint="eastAsia" w:ascii="宋体" w:hAnsi="宋体" w:eastAsia="宋体" w:cs="宋体"/>
          <w:sz w:val="24"/>
          <w:szCs w:val="24"/>
          <w:highlight w:val="none"/>
        </w:rPr>
        <w:t>十四、安全责任</w:t>
      </w:r>
      <w:bookmarkEnd w:id="196"/>
      <w:bookmarkEnd w:id="197"/>
    </w:p>
    <w:p w14:paraId="53B4AEB2">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在安装过程中的一切安全事故，由乙方自行负责，与甲方无任何关系。</w:t>
      </w:r>
    </w:p>
    <w:p w14:paraId="4B85270F">
      <w:pPr>
        <w:spacing w:beforeLines="50" w:afterLines="50" w:line="360" w:lineRule="auto"/>
        <w:ind w:firstLine="480"/>
        <w:rPr>
          <w:rFonts w:hint="eastAsia" w:ascii="宋体" w:hAnsi="宋体" w:eastAsia="宋体" w:cs="宋体"/>
          <w:sz w:val="24"/>
          <w:szCs w:val="24"/>
          <w:highlight w:val="none"/>
        </w:rPr>
      </w:pPr>
      <w:bookmarkStart w:id="198" w:name="_Toc406670769"/>
      <w:bookmarkStart w:id="199" w:name="_Toc406671140"/>
      <w:r>
        <w:rPr>
          <w:rFonts w:hint="eastAsia" w:ascii="宋体" w:hAnsi="宋体" w:eastAsia="宋体" w:cs="宋体"/>
          <w:sz w:val="24"/>
          <w:szCs w:val="24"/>
          <w:highlight w:val="none"/>
        </w:rPr>
        <w:t>十五、诉讼</w:t>
      </w:r>
      <w:bookmarkEnd w:id="198"/>
      <w:bookmarkEnd w:id="199"/>
    </w:p>
    <w:p w14:paraId="6A3C4573">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15.1双方在执行合同中所发生的一切争议，应通过协商解决。如协商不成，可向有管辖权的法院提起诉讼。</w:t>
      </w:r>
    </w:p>
    <w:p w14:paraId="6FC595F8">
      <w:pPr>
        <w:spacing w:beforeLines="50" w:afterLines="50" w:line="360" w:lineRule="auto"/>
        <w:ind w:firstLine="480"/>
        <w:rPr>
          <w:rFonts w:hint="eastAsia" w:ascii="宋体" w:hAnsi="宋体" w:eastAsia="宋体" w:cs="宋体"/>
          <w:sz w:val="24"/>
          <w:szCs w:val="24"/>
          <w:highlight w:val="none"/>
        </w:rPr>
      </w:pPr>
      <w:bookmarkStart w:id="200" w:name="_Toc406670770"/>
      <w:bookmarkStart w:id="201" w:name="_Toc406671141"/>
      <w:r>
        <w:rPr>
          <w:rFonts w:hint="eastAsia" w:ascii="宋体" w:hAnsi="宋体" w:eastAsia="宋体" w:cs="宋体"/>
          <w:sz w:val="24"/>
          <w:szCs w:val="24"/>
          <w:highlight w:val="none"/>
        </w:rPr>
        <w:t>十六、合同生效及其它</w:t>
      </w:r>
      <w:bookmarkEnd w:id="200"/>
      <w:bookmarkEnd w:id="201"/>
    </w:p>
    <w:p w14:paraId="36C937AF">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16.1合同经双方法定代表人或授权委托代理人签字并加盖单位公章后生效。</w:t>
      </w:r>
    </w:p>
    <w:p w14:paraId="37D42D39">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16.2合同执行中涉及招标资金和招标内容修改或补充的，须经当地财政部门审批，并签订书面补充协议报监督管理部门备案，方可作为主合同不可分割的一部分。</w:t>
      </w:r>
    </w:p>
    <w:p w14:paraId="6794FC4B">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16.3下述合同附件为本合同不可分割的部分并与本合同具有同等效力：</w:t>
      </w:r>
    </w:p>
    <w:p w14:paraId="0A3D9AC4">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（1）供货清单和分项价格表</w:t>
      </w:r>
    </w:p>
    <w:p w14:paraId="713BDF10">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（2）技术规格</w:t>
      </w:r>
    </w:p>
    <w:p w14:paraId="3DA60E86">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（3）乙方报价函（及开标一览表）的内容及其澄清内容</w:t>
      </w:r>
    </w:p>
    <w:p w14:paraId="1218CA83">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（4）其他与本合同相关的资料</w:t>
      </w:r>
    </w:p>
    <w:p w14:paraId="10500B2F">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（5）本合同适用的特殊条款</w:t>
      </w:r>
    </w:p>
    <w:p w14:paraId="40395C66">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16.4本合同未尽事宜，遵照《民法典》有关条文执行。</w:t>
      </w:r>
    </w:p>
    <w:p w14:paraId="7B318895">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16.5本合同正本一式两份，具有同等法律效力，甲乙双方各执一份；副本三份，由采购人自合同签订之日起七个工作日内报监督管理部门备案。</w:t>
      </w:r>
    </w:p>
    <w:p w14:paraId="0E8A8B2D">
      <w:pPr>
        <w:pStyle w:val="32"/>
        <w:spacing w:beforeLines="100" w:afterLines="5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甲方：乙方：</w:t>
      </w:r>
    </w:p>
    <w:p w14:paraId="31A97947">
      <w:pPr>
        <w:pStyle w:val="32"/>
        <w:spacing w:beforeLines="100" w:afterLines="50" w:line="24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地址：地址：</w:t>
      </w:r>
    </w:p>
    <w:p w14:paraId="524B5CD8">
      <w:pPr>
        <w:pStyle w:val="32"/>
        <w:spacing w:beforeLines="100" w:afterLines="50" w:line="24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法定代表人：法定代表人：</w:t>
      </w:r>
    </w:p>
    <w:p w14:paraId="25EAF807">
      <w:pPr>
        <w:pStyle w:val="32"/>
        <w:spacing w:beforeLines="100" w:afterLines="50" w:line="24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授权委托代理人：授权委托代理人：</w:t>
      </w:r>
    </w:p>
    <w:p w14:paraId="368B381A">
      <w:pPr>
        <w:pStyle w:val="32"/>
        <w:spacing w:beforeLines="100" w:afterLines="5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电话：电话：</w:t>
      </w:r>
    </w:p>
    <w:p w14:paraId="5976C78A">
      <w:pPr>
        <w:pStyle w:val="32"/>
        <w:spacing w:beforeLines="100" w:afterLines="50" w:line="24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传真：传真：</w:t>
      </w:r>
    </w:p>
    <w:p w14:paraId="5DA8ECA6">
      <w:pPr>
        <w:pStyle w:val="32"/>
        <w:spacing w:beforeLines="100" w:afterLines="50" w:line="24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邮政编码：邮政编码：</w:t>
      </w:r>
    </w:p>
    <w:p w14:paraId="47E40C62">
      <w:pPr>
        <w:pStyle w:val="32"/>
        <w:spacing w:beforeLines="100" w:afterLines="50" w:line="24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开户银行：</w:t>
      </w:r>
    </w:p>
    <w:p w14:paraId="2230C220">
      <w:pPr>
        <w:pStyle w:val="32"/>
        <w:spacing w:beforeLines="100" w:afterLines="50" w:line="24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账号：</w:t>
      </w:r>
    </w:p>
    <w:p w14:paraId="7612F010">
      <w:pPr>
        <w:pStyle w:val="32"/>
        <w:spacing w:beforeLines="100" w:afterLines="50" w:line="24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签订地点：签订日期：年月日</w:t>
      </w:r>
    </w:p>
    <w:p w14:paraId="56A454F0">
      <w:pPr>
        <w:bidi w:val="0"/>
        <w:rPr>
          <w:rFonts w:hint="eastAsia" w:ascii="宋体" w:hAnsi="宋体" w:eastAsia="宋体" w:cs="宋体"/>
          <w:b/>
          <w:bCs/>
          <w:sz w:val="24"/>
          <w:szCs w:val="24"/>
          <w:highlight w:val="none"/>
        </w:rPr>
      </w:pPr>
      <w:bookmarkStart w:id="202" w:name="_Toc303"/>
      <w:r>
        <w:rPr>
          <w:rFonts w:hint="eastAsia" w:ascii="宋体" w:hAnsi="宋体" w:eastAsia="宋体" w:cs="宋体"/>
          <w:b/>
          <w:bCs/>
          <w:sz w:val="24"/>
          <w:szCs w:val="24"/>
          <w:highlight w:val="none"/>
        </w:rPr>
        <w:t>注意事项：本合同条款未尽事宜，由甲乙双方以补充合同约定，原则上不能超越和违背招标及补充文件、</w:t>
      </w:r>
      <w:r>
        <w:rPr>
          <w:rFonts w:hint="eastAsia" w:ascii="宋体" w:hAnsi="宋体" w:eastAsia="宋体" w:cs="宋体"/>
          <w:b/>
          <w:bCs/>
          <w:sz w:val="24"/>
          <w:szCs w:val="24"/>
          <w:highlight w:val="none"/>
          <w:lang w:eastAsia="zh-CN"/>
        </w:rPr>
        <w:t>响应文件</w:t>
      </w:r>
      <w:r>
        <w:rPr>
          <w:rFonts w:hint="eastAsia" w:ascii="宋体" w:hAnsi="宋体" w:eastAsia="宋体" w:cs="宋体"/>
          <w:b/>
          <w:bCs/>
          <w:sz w:val="24"/>
          <w:szCs w:val="24"/>
          <w:highlight w:val="none"/>
        </w:rPr>
        <w:t>及投标有关承诺的范围及内容。</w:t>
      </w:r>
    </w:p>
    <w:p w14:paraId="0F5C0E0E">
      <w:pPr>
        <w:rPr>
          <w:rFonts w:hint="eastAsia" w:ascii="宋体" w:hAnsi="宋体" w:eastAsia="宋体" w:cs="宋体"/>
          <w:b/>
          <w:sz w:val="24"/>
          <w:szCs w:val="24"/>
          <w:highlight w:val="none"/>
        </w:rPr>
      </w:pPr>
    </w:p>
    <w:p w14:paraId="38FA58C9">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11957B4E">
      <w:pPr>
        <w:snapToGrid w:val="0"/>
        <w:spacing w:line="360" w:lineRule="auto"/>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第七部分</w:t>
      </w:r>
      <w:bookmarkEnd w:id="162"/>
      <w:bookmarkEnd w:id="163"/>
      <w:r>
        <w:rPr>
          <w:rFonts w:hint="eastAsia" w:ascii="宋体" w:hAnsi="宋体" w:eastAsia="宋体" w:cs="宋体"/>
          <w:b/>
          <w:sz w:val="24"/>
          <w:szCs w:val="24"/>
          <w:highlight w:val="none"/>
        </w:rPr>
        <w:t>应提交的有关格式范例</w:t>
      </w:r>
      <w:bookmarkEnd w:id="202"/>
    </w:p>
    <w:p w14:paraId="49B78DF7">
      <w:pPr>
        <w:snapToGrid w:val="0"/>
        <w:spacing w:line="360" w:lineRule="auto"/>
        <w:jc w:val="center"/>
        <w:outlineLvl w:val="0"/>
        <w:rPr>
          <w:rFonts w:hint="eastAsia" w:ascii="宋体" w:hAnsi="宋体" w:eastAsia="宋体" w:cs="宋体"/>
          <w:b/>
          <w:sz w:val="24"/>
          <w:szCs w:val="24"/>
          <w:highlight w:val="none"/>
          <w:lang w:eastAsia="zh-CN"/>
        </w:rPr>
      </w:pP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可根据每个不同标项的内容进行填报</w:t>
      </w:r>
      <w:r>
        <w:rPr>
          <w:rFonts w:hint="eastAsia" w:ascii="宋体" w:hAnsi="宋体" w:cs="宋体"/>
          <w:b/>
          <w:sz w:val="24"/>
          <w:szCs w:val="24"/>
          <w:highlight w:val="none"/>
          <w:lang w:eastAsia="zh-CN"/>
        </w:rPr>
        <w:t>）</w:t>
      </w:r>
    </w:p>
    <w:p w14:paraId="7F787CDE">
      <w:pPr>
        <w:spacing w:line="360" w:lineRule="auto"/>
        <w:jc w:val="center"/>
        <w:outlineLvl w:val="0"/>
        <w:rPr>
          <w:rFonts w:hint="eastAsia" w:ascii="宋体" w:hAnsi="宋体" w:eastAsia="宋体" w:cs="宋体"/>
          <w:b/>
          <w:kern w:val="0"/>
          <w:sz w:val="24"/>
          <w:szCs w:val="24"/>
          <w:highlight w:val="none"/>
        </w:rPr>
      </w:pPr>
      <w:bookmarkStart w:id="203" w:name="_Toc15534"/>
      <w:r>
        <w:rPr>
          <w:rFonts w:hint="eastAsia" w:ascii="宋体" w:hAnsi="宋体" w:eastAsia="宋体" w:cs="宋体"/>
          <w:b/>
          <w:kern w:val="0"/>
          <w:sz w:val="24"/>
          <w:szCs w:val="24"/>
          <w:highlight w:val="none"/>
        </w:rPr>
        <w:t>资格文件部分</w:t>
      </w:r>
      <w:bookmarkEnd w:id="203"/>
    </w:p>
    <w:p w14:paraId="0BC96798">
      <w:pPr>
        <w:snapToGrid w:val="0"/>
        <w:spacing w:line="360" w:lineRule="auto"/>
        <w:ind w:right="48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一、符合参加政府采购活动应当具备的一般条件的承诺函</w:t>
      </w:r>
    </w:p>
    <w:p w14:paraId="64EC77A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（采购人）、（采购代理机构）</w:t>
      </w:r>
      <w:r>
        <w:rPr>
          <w:rFonts w:hint="eastAsia" w:ascii="宋体" w:hAnsi="宋体" w:eastAsia="宋体" w:cs="宋体"/>
          <w:sz w:val="24"/>
          <w:szCs w:val="24"/>
          <w:highlight w:val="none"/>
        </w:rPr>
        <w:t>：</w:t>
      </w:r>
    </w:p>
    <w:p w14:paraId="6459620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我方参与【编号：】政府采购活动，郑重承诺：</w:t>
      </w:r>
    </w:p>
    <w:p w14:paraId="5569F9DE">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（一）具备《中华人民共和国政府采购法》第二十二条第一款规定的条件，并提供相关证明材料：</w:t>
      </w:r>
    </w:p>
    <w:p w14:paraId="77A9ED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p w14:paraId="2C734A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2、具有良好的商业信誉和健全的财务会计制度；</w:t>
      </w:r>
    </w:p>
    <w:p w14:paraId="0F5880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3、具有履行合同所必需的设备和专业技术能力；</w:t>
      </w:r>
    </w:p>
    <w:p w14:paraId="7CBE75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4、有依法缴纳税收和社会保障资金的良好记录；</w:t>
      </w:r>
    </w:p>
    <w:p w14:paraId="5E6991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5、参加政府采购活动前三年内，在经营活动中没有重大违法记录；</w:t>
      </w:r>
    </w:p>
    <w:p w14:paraId="5FAD6C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6、具有法律、行政法规规定的其他条件。</w:t>
      </w:r>
    </w:p>
    <w:p w14:paraId="583CF7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（二）未被信用中国（www.creditchina.gov.cn)、中国政府采购网（www.ccgp.gov.cn）列入失信被执行人、重大税收违法案件当事人名单、政府采购严重违法失信行为记录名单。</w:t>
      </w:r>
    </w:p>
    <w:p w14:paraId="47FC8D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（三）不存在以下情况：</w:t>
      </w:r>
    </w:p>
    <w:p w14:paraId="2C1AC2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1、单位负责人为同一人或者存在直接控股、管理关系的不同供应商参加同一合同项下的政府采购活动的；</w:t>
      </w:r>
    </w:p>
    <w:p w14:paraId="07B755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2、为采购项目提供整体设计、规范编制或者项目管理、监理、检测等服务后再参加该采购项目的其他采购活动的。</w:t>
      </w:r>
    </w:p>
    <w:p w14:paraId="25CEAC4A">
      <w:pPr>
        <w:keepNext w:val="0"/>
        <w:keepLines w:val="0"/>
        <w:pageBreakBefore w:val="0"/>
        <w:widowControl w:val="0"/>
        <w:kinsoku/>
        <w:wordWrap/>
        <w:overflowPunct/>
        <w:topLinePunct w:val="0"/>
        <w:autoSpaceDE/>
        <w:autoSpaceDN/>
        <w:bidi w:val="0"/>
        <w:adjustRightInd w:val="0"/>
        <w:spacing w:line="360" w:lineRule="auto"/>
        <w:ind w:right="-874" w:rightChars="-416"/>
        <w:jc w:val="righ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供应商名称（盖公章或电子签章）：</w:t>
      </w:r>
    </w:p>
    <w:p w14:paraId="235C6F90">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日期：年月日</w:t>
      </w:r>
    </w:p>
    <w:p w14:paraId="438882DE">
      <w:pPr>
        <w:spacing w:line="480" w:lineRule="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br w:type="page"/>
      </w:r>
      <w:r>
        <w:rPr>
          <w:rFonts w:hint="eastAsia" w:ascii="宋体" w:hAnsi="宋体" w:eastAsia="宋体" w:cs="宋体"/>
          <w:b/>
          <w:kern w:val="0"/>
          <w:sz w:val="24"/>
          <w:szCs w:val="24"/>
          <w:highlight w:val="none"/>
        </w:rPr>
        <w:t>1、具有独立承担民事责任的能力；</w:t>
      </w:r>
    </w:p>
    <w:p w14:paraId="5C84E320">
      <w:pPr>
        <w:widowControl/>
        <w:spacing w:line="480" w:lineRule="auto"/>
        <w:rPr>
          <w:rFonts w:hint="eastAsia" w:ascii="宋体" w:hAnsi="宋体" w:eastAsia="宋体" w:cs="宋体"/>
          <w:color w:val="000000"/>
          <w:kern w:val="0"/>
          <w:sz w:val="24"/>
          <w:szCs w:val="24"/>
          <w:highlight w:val="none"/>
        </w:rPr>
      </w:pPr>
    </w:p>
    <w:p w14:paraId="3C5BC096">
      <w:pP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br w:type="page"/>
      </w:r>
    </w:p>
    <w:p w14:paraId="012632DA">
      <w:pPr>
        <w:snapToGrid w:val="0"/>
        <w:spacing w:line="360" w:lineRule="auto"/>
        <w:ind w:right="48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2、具有良好的商业信誉和健全的财务会计制度；</w:t>
      </w:r>
    </w:p>
    <w:p w14:paraId="08E726D3">
      <w:pPr>
        <w:widowControl/>
        <w:spacing w:line="480" w:lineRule="auto"/>
        <w:rPr>
          <w:rFonts w:hint="eastAsia" w:ascii="宋体" w:hAnsi="宋体" w:eastAsia="宋体" w:cs="宋体"/>
          <w:color w:val="000000"/>
          <w:kern w:val="0"/>
          <w:sz w:val="24"/>
          <w:szCs w:val="24"/>
          <w:highlight w:val="none"/>
        </w:rPr>
      </w:pPr>
    </w:p>
    <w:p w14:paraId="656AFEB3">
      <w:pP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br w:type="page"/>
      </w:r>
    </w:p>
    <w:p w14:paraId="1A93B20D">
      <w:pPr>
        <w:snapToGrid w:val="0"/>
        <w:spacing w:line="360" w:lineRule="auto"/>
        <w:ind w:right="48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3、具有履行合同所必需的设备和专业技术能力；</w:t>
      </w:r>
    </w:p>
    <w:p w14:paraId="062F4E5F">
      <w:pP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br w:type="page"/>
      </w:r>
    </w:p>
    <w:p w14:paraId="18EE2F57">
      <w:pPr>
        <w:snapToGrid w:val="0"/>
        <w:spacing w:line="360" w:lineRule="auto"/>
        <w:ind w:right="48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4、有依法缴纳税收的良好记录；</w:t>
      </w:r>
    </w:p>
    <w:p w14:paraId="5C83B982">
      <w:pP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br w:type="page"/>
      </w:r>
    </w:p>
    <w:p w14:paraId="5F482355">
      <w:pPr>
        <w:snapToGrid w:val="0"/>
        <w:spacing w:line="360" w:lineRule="auto"/>
        <w:ind w:right="48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5、有依法缴纳社会保障资金的良好记录；</w:t>
      </w:r>
    </w:p>
    <w:p w14:paraId="677F497B">
      <w:pP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br w:type="page"/>
      </w:r>
    </w:p>
    <w:p w14:paraId="7283F51B">
      <w:pPr>
        <w:snapToGrid w:val="0"/>
        <w:spacing w:line="360" w:lineRule="auto"/>
        <w:ind w:right="48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6、参加政府采购活动前三年内，在经营活动中没有重大违法记录；</w:t>
      </w:r>
    </w:p>
    <w:p w14:paraId="2B3D9D16">
      <w:pPr>
        <w:widowControl/>
        <w:spacing w:line="480" w:lineRule="auto"/>
        <w:jc w:val="center"/>
        <w:rPr>
          <w:rFonts w:hint="eastAsia" w:ascii="宋体" w:hAnsi="宋体" w:eastAsia="宋体" w:cs="宋体"/>
          <w:color w:val="000000"/>
          <w:kern w:val="0"/>
          <w:sz w:val="24"/>
          <w:szCs w:val="24"/>
          <w:highlight w:val="none"/>
        </w:rPr>
      </w:pPr>
    </w:p>
    <w:p w14:paraId="65B716FE">
      <w:pPr>
        <w:widowControl/>
        <w:spacing w:line="48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在经营活动中没有重大违法记录的声明函</w:t>
      </w:r>
    </w:p>
    <w:p w14:paraId="43ECDCCB">
      <w:pPr>
        <w:widowControl/>
        <w:spacing w:line="48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u w:val="single"/>
        </w:rPr>
        <w:t>（采购单位名称）</w:t>
      </w:r>
      <w:r>
        <w:rPr>
          <w:rFonts w:hint="eastAsia" w:ascii="宋体" w:hAnsi="宋体" w:eastAsia="宋体" w:cs="宋体"/>
          <w:color w:val="000000"/>
          <w:kern w:val="0"/>
          <w:sz w:val="24"/>
          <w:szCs w:val="24"/>
          <w:highlight w:val="none"/>
        </w:rPr>
        <w:t>：</w:t>
      </w:r>
    </w:p>
    <w:p w14:paraId="4F46826A">
      <w:pPr>
        <w:widowControl/>
        <w:spacing w:line="48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我公司参与</w:t>
      </w:r>
      <w:r>
        <w:rPr>
          <w:rFonts w:hint="eastAsia" w:ascii="宋体" w:hAnsi="宋体" w:eastAsia="宋体" w:cs="宋体"/>
          <w:color w:val="000000"/>
          <w:kern w:val="0"/>
          <w:sz w:val="24"/>
          <w:szCs w:val="24"/>
          <w:highlight w:val="none"/>
          <w:u w:val="single"/>
        </w:rPr>
        <w:t>（项目名称、项目编号）</w:t>
      </w:r>
      <w:r>
        <w:rPr>
          <w:rFonts w:hint="eastAsia" w:ascii="宋体" w:hAnsi="宋体" w:eastAsia="宋体" w:cs="宋体"/>
          <w:color w:val="000000"/>
          <w:kern w:val="0"/>
          <w:sz w:val="24"/>
          <w:szCs w:val="24"/>
          <w:highlight w:val="none"/>
        </w:rPr>
        <w:t>招标，本公司郑重声明，我公司参加本项目政府采购活动前三年内无重大违法记录，符合《政府采购法》规定的投标单位条件。若贵方在本项目招标过程中发现我公司在政府采购活动前三年内有重大违法记录，我公司将无条件退出本项目的响应，并承担因此引起的一切后果。我公司对此声明负全部法律责任。</w:t>
      </w:r>
    </w:p>
    <w:p w14:paraId="6FF8AF46">
      <w:pPr>
        <w:widowControl/>
        <w:spacing w:line="48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特此声明。</w:t>
      </w:r>
    </w:p>
    <w:p w14:paraId="23459D42">
      <w:pPr>
        <w:widowControl/>
        <w:spacing w:line="480" w:lineRule="auto"/>
        <w:jc w:val="left"/>
        <w:rPr>
          <w:rFonts w:hint="eastAsia" w:ascii="宋体" w:hAnsi="宋体" w:eastAsia="宋体" w:cs="宋体"/>
          <w:color w:val="000000"/>
          <w:kern w:val="0"/>
          <w:sz w:val="24"/>
          <w:szCs w:val="24"/>
          <w:highlight w:val="none"/>
        </w:rPr>
      </w:pPr>
    </w:p>
    <w:p w14:paraId="0DDC0407">
      <w:pPr>
        <w:keepNext w:val="0"/>
        <w:keepLines w:val="0"/>
        <w:pageBreakBefore w:val="0"/>
        <w:widowControl w:val="0"/>
        <w:kinsoku/>
        <w:wordWrap/>
        <w:overflowPunct/>
        <w:topLinePunct w:val="0"/>
        <w:autoSpaceDE/>
        <w:autoSpaceDN/>
        <w:bidi w:val="0"/>
        <w:spacing w:line="360" w:lineRule="auto"/>
        <w:ind w:right="-874" w:rightChars="-416" w:firstLine="5280" w:firstLineChars="2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供应商名称（盖公章或电子签章）：</w:t>
      </w:r>
    </w:p>
    <w:p w14:paraId="7A1380A6">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日期：年月日</w:t>
      </w:r>
    </w:p>
    <w:p w14:paraId="40AA633E">
      <w:pPr>
        <w:widowControl/>
        <w:spacing w:line="480" w:lineRule="auto"/>
        <w:jc w:val="left"/>
        <w:rPr>
          <w:rFonts w:hint="eastAsia" w:ascii="宋体" w:hAnsi="宋体" w:eastAsia="宋体" w:cs="宋体"/>
          <w:color w:val="000000"/>
          <w:kern w:val="0"/>
          <w:sz w:val="24"/>
          <w:szCs w:val="24"/>
          <w:highlight w:val="none"/>
        </w:rPr>
      </w:pPr>
    </w:p>
    <w:p w14:paraId="305C2CB6">
      <w:pPr>
        <w:widowControl/>
        <w:spacing w:line="48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注：[近三年：指成立三年以上的，为提交首次</w:t>
      </w:r>
      <w:r>
        <w:rPr>
          <w:rFonts w:hint="eastAsia" w:ascii="宋体" w:hAnsi="宋体" w:eastAsia="宋体" w:cs="宋体"/>
          <w:color w:val="000000"/>
          <w:kern w:val="0"/>
          <w:sz w:val="24"/>
          <w:szCs w:val="24"/>
          <w:highlight w:val="none"/>
          <w:lang w:eastAsia="zh-CN"/>
        </w:rPr>
        <w:t>响应文件</w:t>
      </w:r>
      <w:r>
        <w:rPr>
          <w:rFonts w:hint="eastAsia" w:ascii="宋体" w:hAnsi="宋体" w:eastAsia="宋体" w:cs="宋体"/>
          <w:color w:val="000000"/>
          <w:kern w:val="0"/>
          <w:sz w:val="24"/>
          <w:szCs w:val="24"/>
          <w:highlight w:val="none"/>
        </w:rPr>
        <w:t>截止时间前三年内；成立不足三年的，为实际时间。]</w:t>
      </w:r>
    </w:p>
    <w:p w14:paraId="22E56707">
      <w:pPr>
        <w:widowControl/>
        <w:spacing w:line="480" w:lineRule="auto"/>
        <w:rPr>
          <w:rFonts w:hint="eastAsia" w:ascii="宋体" w:hAnsi="宋体" w:eastAsia="宋体" w:cs="宋体"/>
          <w:b/>
          <w:kern w:val="0"/>
          <w:sz w:val="24"/>
          <w:szCs w:val="24"/>
          <w:highlight w:val="none"/>
        </w:rPr>
      </w:pPr>
    </w:p>
    <w:p w14:paraId="7DCEE8E0">
      <w:pPr>
        <w:widowControl/>
        <w:spacing w:line="480" w:lineRule="auto"/>
        <w:rPr>
          <w:rFonts w:hint="eastAsia" w:ascii="宋体" w:hAnsi="宋体" w:eastAsia="宋体" w:cs="宋体"/>
          <w:b/>
          <w:kern w:val="0"/>
          <w:sz w:val="24"/>
          <w:szCs w:val="24"/>
          <w:highlight w:val="none"/>
        </w:rPr>
      </w:pPr>
    </w:p>
    <w:p w14:paraId="12B42853">
      <w:pP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br w:type="page"/>
      </w:r>
    </w:p>
    <w:p w14:paraId="06E21EFF">
      <w:pPr>
        <w:snapToGrid w:val="0"/>
        <w:spacing w:line="360" w:lineRule="auto"/>
        <w:ind w:right="48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7、法律、行政法规规定的其他条件；</w:t>
      </w:r>
    </w:p>
    <w:p w14:paraId="647DF9FF">
      <w:pPr>
        <w:widowControl/>
        <w:spacing w:line="480" w:lineRule="auto"/>
        <w:jc w:val="center"/>
        <w:rPr>
          <w:rFonts w:hint="eastAsia" w:ascii="宋体" w:hAnsi="宋体" w:eastAsia="宋体" w:cs="宋体"/>
          <w:b/>
          <w:bCs/>
          <w:color w:val="000000"/>
          <w:kern w:val="0"/>
          <w:sz w:val="24"/>
          <w:szCs w:val="24"/>
          <w:highlight w:val="none"/>
        </w:rPr>
      </w:pPr>
    </w:p>
    <w:p w14:paraId="6E34FFA5">
      <w:pPr>
        <w:widowControl/>
        <w:spacing w:line="48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符合法律、行政法规规定的其他条件的声明函</w:t>
      </w:r>
    </w:p>
    <w:p w14:paraId="03DEAA6E">
      <w:pPr>
        <w:widowControl/>
        <w:spacing w:line="48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u w:val="single"/>
        </w:rPr>
        <w:t>（采购单位名称）</w:t>
      </w:r>
      <w:r>
        <w:rPr>
          <w:rFonts w:hint="eastAsia" w:ascii="宋体" w:hAnsi="宋体" w:eastAsia="宋体" w:cs="宋体"/>
          <w:color w:val="000000"/>
          <w:kern w:val="0"/>
          <w:sz w:val="24"/>
          <w:szCs w:val="24"/>
          <w:highlight w:val="none"/>
        </w:rPr>
        <w:t>：</w:t>
      </w:r>
    </w:p>
    <w:p w14:paraId="2FF7F446">
      <w:pPr>
        <w:widowControl/>
        <w:spacing w:line="48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我公司参与</w:t>
      </w:r>
      <w:r>
        <w:rPr>
          <w:rFonts w:hint="eastAsia" w:ascii="宋体" w:hAnsi="宋体" w:eastAsia="宋体" w:cs="宋体"/>
          <w:color w:val="000000"/>
          <w:kern w:val="0"/>
          <w:sz w:val="24"/>
          <w:szCs w:val="24"/>
          <w:highlight w:val="none"/>
          <w:u w:val="single"/>
        </w:rPr>
        <w:t>（项目名称、项目编号）</w:t>
      </w:r>
      <w:r>
        <w:rPr>
          <w:rFonts w:hint="eastAsia" w:ascii="宋体" w:hAnsi="宋体" w:eastAsia="宋体" w:cs="宋体"/>
          <w:color w:val="000000"/>
          <w:kern w:val="0"/>
          <w:sz w:val="24"/>
          <w:szCs w:val="24"/>
          <w:highlight w:val="none"/>
        </w:rPr>
        <w:t>招标，本公司郑重声明，我公司参加本项目政府采购活动前三年内无重大违法记录，符合《政府采购法》规定的投标单位条件。若贵方在本项目招标过程中发现我公司在政府采购活动前三年内有不符合法律、行政法规规定的其他条件的违法记录，我公司将无条件退出本项目的响应，并承担因此引起的一切后果。我公司对此声明负全部法律责任。</w:t>
      </w:r>
    </w:p>
    <w:p w14:paraId="24412254">
      <w:pPr>
        <w:widowControl/>
        <w:spacing w:line="48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特此声明。</w:t>
      </w:r>
    </w:p>
    <w:p w14:paraId="627D80F4">
      <w:pPr>
        <w:widowControl/>
        <w:spacing w:line="480" w:lineRule="auto"/>
        <w:rPr>
          <w:rFonts w:hint="eastAsia" w:ascii="宋体" w:hAnsi="宋体" w:eastAsia="宋体" w:cs="宋体"/>
          <w:color w:val="000000"/>
          <w:kern w:val="0"/>
          <w:sz w:val="24"/>
          <w:szCs w:val="24"/>
          <w:highlight w:val="none"/>
        </w:rPr>
      </w:pPr>
    </w:p>
    <w:p w14:paraId="55129275">
      <w:pPr>
        <w:widowControl/>
        <w:spacing w:line="480" w:lineRule="auto"/>
        <w:jc w:val="righ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投标人名称（盖章）：XXXXXXX</w:t>
      </w:r>
    </w:p>
    <w:p w14:paraId="062AB1B3">
      <w:pPr>
        <w:widowControl/>
        <w:spacing w:line="480" w:lineRule="auto"/>
        <w:jc w:val="righ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日期：年月日</w:t>
      </w:r>
    </w:p>
    <w:p w14:paraId="47690D29">
      <w:pPr>
        <w:widowControl/>
        <w:rPr>
          <w:rFonts w:hint="eastAsia" w:ascii="宋体" w:hAnsi="宋体" w:eastAsia="宋体" w:cs="宋体"/>
          <w:b/>
          <w:kern w:val="0"/>
          <w:sz w:val="24"/>
          <w:szCs w:val="24"/>
          <w:highlight w:val="none"/>
        </w:rPr>
      </w:pPr>
      <w:r>
        <w:rPr>
          <w:rFonts w:hint="eastAsia" w:ascii="宋体" w:hAnsi="宋体" w:eastAsia="宋体" w:cs="宋体"/>
          <w:color w:val="000000"/>
          <w:kern w:val="0"/>
          <w:sz w:val="24"/>
          <w:szCs w:val="24"/>
          <w:highlight w:val="none"/>
        </w:rPr>
        <w:t>注：[近三年：指成立三年以上的，为提交首次</w:t>
      </w:r>
      <w:r>
        <w:rPr>
          <w:rFonts w:hint="eastAsia" w:ascii="宋体" w:hAnsi="宋体" w:eastAsia="宋体" w:cs="宋体"/>
          <w:color w:val="000000"/>
          <w:kern w:val="0"/>
          <w:sz w:val="24"/>
          <w:szCs w:val="24"/>
          <w:highlight w:val="none"/>
          <w:lang w:eastAsia="zh-CN"/>
        </w:rPr>
        <w:t>响应文件</w:t>
      </w:r>
      <w:r>
        <w:rPr>
          <w:rFonts w:hint="eastAsia" w:ascii="宋体" w:hAnsi="宋体" w:eastAsia="宋体" w:cs="宋体"/>
          <w:color w:val="000000"/>
          <w:kern w:val="0"/>
          <w:sz w:val="24"/>
          <w:szCs w:val="24"/>
          <w:highlight w:val="none"/>
        </w:rPr>
        <w:t>截止时间前三年内；成立不足三年的，为实际时间。]</w:t>
      </w:r>
    </w:p>
    <w:p w14:paraId="6017E37D">
      <w:pPr>
        <w:rPr>
          <w:rFonts w:hint="eastAsia" w:ascii="宋体" w:hAnsi="宋体" w:eastAsia="宋体" w:cs="宋体"/>
          <w:b/>
          <w:kern w:val="0"/>
          <w:sz w:val="24"/>
          <w:szCs w:val="24"/>
          <w:highlight w:val="none"/>
        </w:rPr>
      </w:pPr>
      <w:r>
        <w:rPr>
          <w:rFonts w:hint="eastAsia" w:ascii="宋体" w:hAnsi="宋体" w:eastAsia="宋体" w:cs="宋体"/>
          <w:color w:val="000000"/>
          <w:kern w:val="0"/>
          <w:sz w:val="24"/>
          <w:szCs w:val="24"/>
          <w:highlight w:val="none"/>
        </w:rPr>
        <w:br w:type="page"/>
      </w:r>
    </w:p>
    <w:p w14:paraId="3B86CF6C">
      <w:pPr>
        <w:snapToGrid w:val="0"/>
        <w:spacing w:line="360" w:lineRule="auto"/>
        <w:ind w:right="48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8、投标保证金</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0286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8" w:hRule="atLeast"/>
        </w:trPr>
        <w:tc>
          <w:tcPr>
            <w:tcW w:w="9286" w:type="dxa"/>
          </w:tcPr>
          <w:p w14:paraId="51FE72D8">
            <w:pPr>
              <w:pStyle w:val="4"/>
              <w:numPr>
                <w:ilvl w:val="2"/>
                <w:numId w:val="0"/>
              </w:numPr>
              <w:rPr>
                <w:rFonts w:hint="eastAsia" w:ascii="宋体" w:hAnsi="宋体" w:eastAsia="宋体" w:cs="宋体"/>
                <w:sz w:val="24"/>
                <w:szCs w:val="24"/>
                <w:highlight w:val="none"/>
              </w:rPr>
            </w:pPr>
          </w:p>
          <w:p w14:paraId="00096217">
            <w:pPr>
              <w:rPr>
                <w:rFonts w:hint="eastAsia" w:ascii="宋体" w:hAnsi="宋体" w:eastAsia="宋体" w:cs="宋体"/>
                <w:sz w:val="24"/>
                <w:szCs w:val="24"/>
                <w:highlight w:val="none"/>
              </w:rPr>
            </w:pPr>
          </w:p>
          <w:p w14:paraId="525CD9FB">
            <w:pPr>
              <w:pStyle w:val="4"/>
              <w:numPr>
                <w:ilvl w:val="2"/>
                <w:numId w:val="0"/>
              </w:numPr>
              <w:ind w:left="18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附投标保证金汇款凭证</w:t>
            </w:r>
          </w:p>
          <w:p w14:paraId="2922F294">
            <w:pPr>
              <w:rPr>
                <w:rFonts w:hint="eastAsia" w:ascii="宋体" w:hAnsi="宋体" w:eastAsia="宋体" w:cs="宋体"/>
                <w:sz w:val="24"/>
                <w:szCs w:val="24"/>
                <w:highlight w:val="none"/>
              </w:rPr>
            </w:pPr>
          </w:p>
          <w:p w14:paraId="51DE77BF">
            <w:pPr>
              <w:rPr>
                <w:rFonts w:hint="eastAsia" w:ascii="宋体" w:hAnsi="宋体" w:eastAsia="宋体" w:cs="宋体"/>
                <w:sz w:val="24"/>
                <w:szCs w:val="24"/>
                <w:highlight w:val="none"/>
              </w:rPr>
            </w:pPr>
          </w:p>
        </w:tc>
      </w:tr>
    </w:tbl>
    <w:p w14:paraId="2E41399C">
      <w:pPr>
        <w:rPr>
          <w:rFonts w:hint="eastAsia" w:ascii="宋体" w:hAnsi="宋体" w:eastAsia="宋体" w:cs="宋体"/>
          <w:sz w:val="24"/>
          <w:szCs w:val="24"/>
          <w:highlight w:val="none"/>
        </w:rPr>
      </w:pPr>
    </w:p>
    <w:p w14:paraId="4A1BE3F7">
      <w:pP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br w:type="page"/>
      </w:r>
    </w:p>
    <w:p w14:paraId="126F4A9E">
      <w:pPr>
        <w:widowControl/>
        <w:spacing w:line="360" w:lineRule="auto"/>
        <w:ind w:left="15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9、本项目的特定资格要求</w:t>
      </w:r>
    </w:p>
    <w:p w14:paraId="4D57BA2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（根据竞争性磋商邀请公告本项目的特定资格要求提供相应的材料；未要求的，无需提供）</w:t>
      </w:r>
    </w:p>
    <w:p w14:paraId="1294B38D">
      <w:pPr>
        <w:pStyle w:val="56"/>
        <w:spacing w:before="75" w:beforeAutospacing="0" w:after="75" w:afterAutospacing="0" w:line="360" w:lineRule="auto"/>
        <w:ind w:firstLine="373"/>
        <w:rPr>
          <w:rFonts w:hint="eastAsia" w:ascii="宋体" w:hAnsi="宋体" w:eastAsia="宋体" w:cs="宋体"/>
          <w:sz w:val="24"/>
          <w:szCs w:val="24"/>
          <w:highlight w:val="none"/>
        </w:rPr>
      </w:pPr>
    </w:p>
    <w:p w14:paraId="1EE01C27">
      <w:pPr>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无</w:t>
      </w:r>
      <w:r>
        <w:rPr>
          <w:rFonts w:hint="eastAsia" w:ascii="宋体" w:hAnsi="宋体" w:eastAsia="宋体" w:cs="宋体"/>
          <w:b/>
          <w:kern w:val="0"/>
          <w:sz w:val="24"/>
          <w:szCs w:val="24"/>
          <w:highlight w:val="none"/>
        </w:rPr>
        <w:br w:type="page"/>
      </w:r>
    </w:p>
    <w:p w14:paraId="414F407D">
      <w:pPr>
        <w:spacing w:line="360" w:lineRule="auto"/>
        <w:jc w:val="center"/>
        <w:outlineLvl w:val="0"/>
        <w:rPr>
          <w:rFonts w:hint="eastAsia" w:ascii="宋体" w:hAnsi="宋体" w:eastAsia="宋体" w:cs="宋体"/>
          <w:sz w:val="24"/>
          <w:szCs w:val="24"/>
          <w:highlight w:val="none"/>
        </w:rPr>
      </w:pPr>
      <w:bookmarkStart w:id="204" w:name="_Toc4067"/>
      <w:r>
        <w:rPr>
          <w:rFonts w:hint="eastAsia" w:ascii="宋体" w:hAnsi="宋体" w:eastAsia="宋体" w:cs="宋体"/>
          <w:b/>
          <w:kern w:val="0"/>
          <w:sz w:val="24"/>
          <w:szCs w:val="24"/>
          <w:highlight w:val="none"/>
        </w:rPr>
        <w:t>商务技术文件部分</w:t>
      </w:r>
      <w:bookmarkEnd w:id="204"/>
    </w:p>
    <w:p w14:paraId="5CF76F7B">
      <w:pPr>
        <w:snapToGrid w:val="0"/>
        <w:spacing w:line="360" w:lineRule="auto"/>
        <w:ind w:right="480"/>
        <w:rPr>
          <w:rFonts w:hint="eastAsia" w:ascii="宋体" w:hAnsi="宋体" w:eastAsia="宋体" w:cs="宋体"/>
          <w:b/>
          <w:kern w:val="0"/>
          <w:sz w:val="24"/>
          <w:szCs w:val="24"/>
          <w:highlight w:val="none"/>
          <w:lang w:val="zh-CN"/>
        </w:rPr>
      </w:pPr>
      <w:bookmarkStart w:id="205" w:name="_Toc4380"/>
      <w:r>
        <w:rPr>
          <w:rFonts w:hint="eastAsia" w:ascii="宋体" w:hAnsi="宋体" w:eastAsia="宋体" w:cs="宋体"/>
          <w:b/>
          <w:kern w:val="0"/>
          <w:sz w:val="24"/>
          <w:szCs w:val="24"/>
          <w:highlight w:val="none"/>
          <w:lang w:val="zh-CN"/>
        </w:rPr>
        <w:t>一、响应函</w:t>
      </w:r>
      <w:bookmarkEnd w:id="205"/>
    </w:p>
    <w:p w14:paraId="10A645F6">
      <w:pPr>
        <w:snapToGrid w:val="0"/>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（采购人）、（采购代理机构）</w:t>
      </w:r>
      <w:r>
        <w:rPr>
          <w:rFonts w:hint="eastAsia" w:ascii="宋体" w:hAnsi="宋体" w:eastAsia="宋体" w:cs="宋体"/>
          <w:sz w:val="24"/>
          <w:szCs w:val="24"/>
          <w:highlight w:val="none"/>
        </w:rPr>
        <w:t>：</w:t>
      </w:r>
    </w:p>
    <w:p w14:paraId="5B93E4B9">
      <w:pPr>
        <w:snapToGrid w:val="0"/>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我方参加你方组织的</w:t>
      </w:r>
      <w:r>
        <w:rPr>
          <w:rFonts w:hint="eastAsia" w:ascii="宋体" w:hAnsi="宋体" w:eastAsia="宋体" w:cs="宋体"/>
          <w:sz w:val="24"/>
          <w:szCs w:val="24"/>
          <w:highlight w:val="none"/>
          <w:u w:val="single"/>
        </w:rPr>
        <w:t>【编号：】</w:t>
      </w:r>
      <w:r>
        <w:rPr>
          <w:rFonts w:hint="eastAsia" w:ascii="宋体" w:hAnsi="宋体" w:eastAsia="宋体" w:cs="宋体"/>
          <w:sz w:val="24"/>
          <w:szCs w:val="24"/>
          <w:highlight w:val="none"/>
        </w:rPr>
        <w:t>竞争性磋商的有关活动，并对此项目进行响应。为此：</w:t>
      </w:r>
    </w:p>
    <w:p w14:paraId="7924F7D5">
      <w:pPr>
        <w:numPr>
          <w:ilvl w:val="0"/>
          <w:numId w:val="67"/>
        </w:numPr>
        <w:snapToGrid w:val="0"/>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我方承诺响应有效期从提交响应文件的截止之日起天（不少于90天），本响应文件在响应有效期满之前均具有约束力。</w:t>
      </w:r>
    </w:p>
    <w:p w14:paraId="210AC25A">
      <w:pPr>
        <w:numPr>
          <w:ilvl w:val="0"/>
          <w:numId w:val="67"/>
        </w:numPr>
        <w:snapToGrid w:val="0"/>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我方的响应文件包括以下内容：</w:t>
      </w:r>
    </w:p>
    <w:p w14:paraId="2AD29983">
      <w:pPr>
        <w:numPr>
          <w:ilvl w:val="1"/>
          <w:numId w:val="68"/>
        </w:numPr>
        <w:snapToGrid w:val="0"/>
        <w:spacing w:line="3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资格文件：</w:t>
      </w:r>
    </w:p>
    <w:p w14:paraId="0EB8C3EB">
      <w:pPr>
        <w:numPr>
          <w:ilvl w:val="2"/>
          <w:numId w:val="68"/>
        </w:numPr>
        <w:snapToGrid w:val="0"/>
        <w:spacing w:line="3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符合参加政府采购活动应当具备的一般条件的承诺函；</w:t>
      </w:r>
    </w:p>
    <w:p w14:paraId="71FF6CC1">
      <w:pPr>
        <w:numPr>
          <w:ilvl w:val="2"/>
          <w:numId w:val="68"/>
        </w:numPr>
        <w:snapToGrid w:val="0"/>
        <w:spacing w:line="3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落实政府采购政策需满足的资格要求；</w:t>
      </w:r>
    </w:p>
    <w:p w14:paraId="28144DB4">
      <w:pPr>
        <w:numPr>
          <w:ilvl w:val="2"/>
          <w:numId w:val="68"/>
        </w:numPr>
        <w:snapToGrid w:val="0"/>
        <w:spacing w:line="3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本项目的特定资格要求；</w:t>
      </w:r>
    </w:p>
    <w:p w14:paraId="2599D8C8">
      <w:pPr>
        <w:numPr>
          <w:ilvl w:val="2"/>
          <w:numId w:val="68"/>
        </w:numPr>
        <w:snapToGrid w:val="0"/>
        <w:spacing w:line="3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联合体协议。（如有）</w:t>
      </w:r>
    </w:p>
    <w:p w14:paraId="70CF758D">
      <w:pPr>
        <w:numPr>
          <w:ilvl w:val="1"/>
          <w:numId w:val="68"/>
        </w:numPr>
        <w:snapToGrid w:val="0"/>
        <w:spacing w:line="360" w:lineRule="exac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rPr>
        <w:t>商务技术</w:t>
      </w:r>
      <w:r>
        <w:rPr>
          <w:rFonts w:hint="eastAsia" w:ascii="宋体" w:hAnsi="宋体" w:eastAsia="宋体" w:cs="宋体"/>
          <w:bCs/>
          <w:sz w:val="24"/>
          <w:szCs w:val="24"/>
          <w:highlight w:val="none"/>
          <w:lang w:val="zh-CN"/>
        </w:rPr>
        <w:t>文件：</w:t>
      </w:r>
    </w:p>
    <w:p w14:paraId="0A8C69DA">
      <w:pPr>
        <w:numPr>
          <w:ilvl w:val="2"/>
          <w:numId w:val="68"/>
        </w:numPr>
        <w:snapToGrid w:val="0"/>
        <w:spacing w:line="3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响应函；</w:t>
      </w:r>
    </w:p>
    <w:p w14:paraId="35C72728">
      <w:pPr>
        <w:numPr>
          <w:ilvl w:val="2"/>
          <w:numId w:val="68"/>
        </w:numPr>
        <w:snapToGrid w:val="0"/>
        <w:spacing w:line="3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授权委托书或法定代表人（单位负责人、自然人本人）身份证明；</w:t>
      </w:r>
    </w:p>
    <w:p w14:paraId="69018E27">
      <w:pPr>
        <w:numPr>
          <w:ilvl w:val="2"/>
          <w:numId w:val="68"/>
        </w:numPr>
        <w:snapToGrid w:val="0"/>
        <w:spacing w:line="3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分包意向协议；（如有）</w:t>
      </w:r>
    </w:p>
    <w:p w14:paraId="6DDACCE7">
      <w:pPr>
        <w:numPr>
          <w:ilvl w:val="2"/>
          <w:numId w:val="68"/>
        </w:numPr>
        <w:snapToGrid w:val="0"/>
        <w:spacing w:line="3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符合性审查资料；</w:t>
      </w:r>
    </w:p>
    <w:p w14:paraId="44DDDDE2">
      <w:pPr>
        <w:numPr>
          <w:ilvl w:val="2"/>
          <w:numId w:val="68"/>
        </w:numPr>
        <w:snapToGrid w:val="0"/>
        <w:spacing w:line="3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评标标准相应的商务技术资料；</w:t>
      </w:r>
    </w:p>
    <w:p w14:paraId="29370BEA">
      <w:pPr>
        <w:numPr>
          <w:ilvl w:val="2"/>
          <w:numId w:val="68"/>
        </w:numPr>
        <w:snapToGrid w:val="0"/>
        <w:spacing w:line="3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标的清单；</w:t>
      </w:r>
    </w:p>
    <w:p w14:paraId="54A529E4">
      <w:pPr>
        <w:numPr>
          <w:ilvl w:val="2"/>
          <w:numId w:val="68"/>
        </w:numPr>
        <w:snapToGrid w:val="0"/>
        <w:spacing w:line="3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商务技术偏离表；</w:t>
      </w:r>
    </w:p>
    <w:p w14:paraId="11A94757">
      <w:pPr>
        <w:numPr>
          <w:ilvl w:val="2"/>
          <w:numId w:val="68"/>
        </w:numPr>
        <w:snapToGrid w:val="0"/>
        <w:spacing w:line="360" w:lineRule="exac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政府采购供应商廉洁自律承诺书。</w:t>
      </w:r>
    </w:p>
    <w:p w14:paraId="70CE2E1F">
      <w:pPr>
        <w:numPr>
          <w:ilvl w:val="1"/>
          <w:numId w:val="68"/>
        </w:numPr>
        <w:snapToGrid w:val="0"/>
        <w:spacing w:line="360" w:lineRule="exac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报价文件：</w:t>
      </w:r>
    </w:p>
    <w:p w14:paraId="48DA4A5A">
      <w:pPr>
        <w:numPr>
          <w:ilvl w:val="2"/>
          <w:numId w:val="68"/>
        </w:numPr>
        <w:snapToGrid w:val="0"/>
        <w:spacing w:line="360" w:lineRule="exac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初始报价一览表；</w:t>
      </w:r>
    </w:p>
    <w:p w14:paraId="1CE6499C">
      <w:pPr>
        <w:numPr>
          <w:ilvl w:val="2"/>
          <w:numId w:val="68"/>
        </w:numPr>
        <w:snapToGrid w:val="0"/>
        <w:spacing w:line="360" w:lineRule="exac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报价明细表</w:t>
      </w:r>
    </w:p>
    <w:p w14:paraId="0D7C7B7F">
      <w:pPr>
        <w:snapToGrid w:val="0"/>
        <w:spacing w:line="36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我方承诺除商务技术偏离表列出的偏离外，我方响应磋商文件的全部要求。</w:t>
      </w:r>
    </w:p>
    <w:p w14:paraId="2072F1BA">
      <w:pPr>
        <w:numPr>
          <w:ilvl w:val="0"/>
          <w:numId w:val="67"/>
        </w:numPr>
        <w:snapToGrid w:val="0"/>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如我方成交，我方承诺：</w:t>
      </w:r>
    </w:p>
    <w:p w14:paraId="421BBA50">
      <w:pPr>
        <w:numPr>
          <w:ilvl w:val="1"/>
          <w:numId w:val="69"/>
        </w:numPr>
        <w:snapToGrid w:val="0"/>
        <w:spacing w:line="360" w:lineRule="exact"/>
        <w:ind w:hanging="43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在收到成交通知书后，在成交通知书规定的期限内与你方签订合同；</w:t>
      </w:r>
    </w:p>
    <w:p w14:paraId="31B6ADF0">
      <w:pPr>
        <w:numPr>
          <w:ilvl w:val="1"/>
          <w:numId w:val="69"/>
        </w:numPr>
        <w:snapToGrid w:val="0"/>
        <w:spacing w:line="360" w:lineRule="exact"/>
        <w:ind w:hanging="43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在签订合同时不向你方提出附加条件；</w:t>
      </w:r>
    </w:p>
    <w:p w14:paraId="3F5E9D21">
      <w:pPr>
        <w:numPr>
          <w:ilvl w:val="1"/>
          <w:numId w:val="69"/>
        </w:numPr>
        <w:snapToGrid w:val="0"/>
        <w:spacing w:line="360" w:lineRule="exact"/>
        <w:ind w:hanging="43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按照磋商文件要求提交履约保证金；</w:t>
      </w:r>
    </w:p>
    <w:p w14:paraId="16DFB5D3">
      <w:pPr>
        <w:numPr>
          <w:ilvl w:val="1"/>
          <w:numId w:val="69"/>
        </w:numPr>
        <w:snapToGrid w:val="0"/>
        <w:spacing w:line="360" w:lineRule="exact"/>
        <w:ind w:hanging="43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在合同约定的期限内完成合同规定的全部义务。</w:t>
      </w:r>
    </w:p>
    <w:p w14:paraId="438BF24F">
      <w:pPr>
        <w:numPr>
          <w:ilvl w:val="0"/>
          <w:numId w:val="67"/>
        </w:numPr>
        <w:snapToGrid w:val="0"/>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其他补充说明:。</w:t>
      </w:r>
    </w:p>
    <w:p w14:paraId="5A64EA37">
      <w:pPr>
        <w:autoSpaceDE w:val="0"/>
        <w:autoSpaceDN w:val="0"/>
        <w:snapToGrid w:val="0"/>
        <w:spacing w:line="360" w:lineRule="exact"/>
        <w:ind w:firstLine="3960" w:firstLineChars="1650"/>
        <w:rPr>
          <w:rFonts w:hint="eastAsia" w:ascii="宋体" w:hAnsi="宋体" w:eastAsia="宋体" w:cs="宋体"/>
          <w:kern w:val="0"/>
          <w:sz w:val="24"/>
          <w:szCs w:val="24"/>
          <w:highlight w:val="none"/>
          <w:lang w:val="zh-CN"/>
        </w:rPr>
      </w:pPr>
    </w:p>
    <w:p w14:paraId="050CFCED">
      <w:pPr>
        <w:keepNext w:val="0"/>
        <w:keepLines w:val="0"/>
        <w:pageBreakBefore w:val="0"/>
        <w:widowControl w:val="0"/>
        <w:kinsoku/>
        <w:wordWrap/>
        <w:overflowPunct/>
        <w:topLinePunct w:val="0"/>
        <w:autoSpaceDE/>
        <w:autoSpaceDN/>
        <w:bidi w:val="0"/>
        <w:spacing w:line="360" w:lineRule="auto"/>
        <w:ind w:right="-874" w:rightChars="-416" w:firstLine="5280" w:firstLineChars="2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供应商名称（盖公章或电子签章）：</w:t>
      </w:r>
    </w:p>
    <w:p w14:paraId="06BA5E2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日期：年月日</w:t>
      </w:r>
    </w:p>
    <w:p w14:paraId="0EFD788F">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7FD43A0B">
      <w:pPr>
        <w:widowControl/>
        <w:adjustRightInd/>
        <w:jc w:val="left"/>
        <w:rPr>
          <w:rFonts w:hint="eastAsia" w:ascii="宋体" w:hAnsi="宋体" w:eastAsia="宋体" w:cs="宋体"/>
          <w:b/>
          <w:kern w:val="0"/>
          <w:sz w:val="24"/>
          <w:szCs w:val="24"/>
          <w:highlight w:val="none"/>
          <w:lang w:val="zh-CN"/>
        </w:rPr>
      </w:pPr>
    </w:p>
    <w:p w14:paraId="3F26A245">
      <w:pPr>
        <w:snapToGrid w:val="0"/>
        <w:spacing w:line="360" w:lineRule="auto"/>
        <w:ind w:right="480"/>
        <w:rPr>
          <w:rFonts w:hint="eastAsia" w:ascii="宋体" w:hAnsi="宋体" w:eastAsia="宋体" w:cs="宋体"/>
          <w:b/>
          <w:kern w:val="0"/>
          <w:sz w:val="24"/>
          <w:szCs w:val="24"/>
          <w:highlight w:val="none"/>
          <w:lang w:val="zh-CN"/>
        </w:rPr>
      </w:pPr>
      <w:bookmarkStart w:id="206" w:name="_Toc14613"/>
      <w:r>
        <w:rPr>
          <w:rFonts w:hint="eastAsia" w:ascii="宋体" w:hAnsi="宋体" w:eastAsia="宋体" w:cs="宋体"/>
          <w:b/>
          <w:kern w:val="0"/>
          <w:sz w:val="24"/>
          <w:szCs w:val="24"/>
          <w:highlight w:val="none"/>
          <w:lang w:val="zh-CN"/>
        </w:rPr>
        <w:t>二、授权委托书或法定代表人（单位负责人、自然人本人）身份证明</w:t>
      </w:r>
      <w:bookmarkEnd w:id="206"/>
    </w:p>
    <w:p w14:paraId="6A2D8893">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b/>
          <w:kern w:val="0"/>
          <w:sz w:val="24"/>
          <w:szCs w:val="24"/>
          <w:highlight w:val="none"/>
          <w:lang w:val="zh-CN"/>
        </w:rPr>
        <w:t>授权委托书</w:t>
      </w:r>
    </w:p>
    <w:p w14:paraId="05054E2E">
      <w:pPr>
        <w:snapToGrid w:val="0"/>
        <w:spacing w:line="360" w:lineRule="auto"/>
        <w:rPr>
          <w:rFonts w:hint="eastAsia" w:ascii="宋体" w:hAnsi="宋体" w:eastAsia="宋体" w:cs="宋体"/>
          <w:sz w:val="24"/>
          <w:szCs w:val="24"/>
          <w:highlight w:val="none"/>
        </w:rPr>
      </w:pPr>
    </w:p>
    <w:p w14:paraId="2F602D78">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（采购人）、（采购代理机构）</w:t>
      </w:r>
      <w:r>
        <w:rPr>
          <w:rFonts w:hint="eastAsia" w:ascii="宋体" w:hAnsi="宋体" w:eastAsia="宋体" w:cs="宋体"/>
          <w:kern w:val="0"/>
          <w:sz w:val="24"/>
          <w:szCs w:val="24"/>
          <w:highlight w:val="none"/>
          <w:lang w:val="zh-CN"/>
        </w:rPr>
        <w:t>：</w:t>
      </w:r>
    </w:p>
    <w:p w14:paraId="09D94116">
      <w:pPr>
        <w:snapToGrid w:val="0"/>
        <w:spacing w:line="360" w:lineRule="auto"/>
        <w:ind w:firstLine="576"/>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现</w:t>
      </w:r>
      <w:r>
        <w:rPr>
          <w:rFonts w:hint="eastAsia" w:ascii="宋体" w:hAnsi="宋体" w:eastAsia="宋体" w:cs="宋体"/>
          <w:kern w:val="0"/>
          <w:sz w:val="24"/>
          <w:szCs w:val="24"/>
          <w:highlight w:val="none"/>
          <w:lang w:val="zh-CN"/>
        </w:rPr>
        <w:t>委托（姓名）为我方代理人（身份证号码：，手机：），以我方名义处理</w:t>
      </w:r>
      <w:r>
        <w:rPr>
          <w:rFonts w:hint="eastAsia" w:ascii="宋体" w:hAnsi="宋体" w:eastAsia="宋体" w:cs="宋体"/>
          <w:sz w:val="24"/>
          <w:szCs w:val="24"/>
          <w:highlight w:val="none"/>
        </w:rPr>
        <w:t>【编号：】</w:t>
      </w:r>
      <w:r>
        <w:rPr>
          <w:rFonts w:hint="eastAsia" w:ascii="宋体" w:hAnsi="宋体" w:eastAsia="宋体" w:cs="宋体"/>
          <w:kern w:val="0"/>
          <w:sz w:val="24"/>
          <w:szCs w:val="24"/>
          <w:highlight w:val="none"/>
          <w:lang w:val="zh-CN"/>
        </w:rPr>
        <w:t>政府采购响应的一切事项，其法律后果由我方承担。</w:t>
      </w:r>
    </w:p>
    <w:p w14:paraId="14E41325">
      <w:pPr>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委托期限</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zh-CN"/>
        </w:rPr>
        <w:t>自年月日起至年月日止。</w:t>
      </w:r>
    </w:p>
    <w:tbl>
      <w:tblPr>
        <w:tblStyle w:val="61"/>
        <w:tblW w:w="88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3"/>
        <w:gridCol w:w="4416"/>
      </w:tblGrid>
      <w:tr w14:paraId="063F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4463" w:type="dxa"/>
            <w:vAlign w:val="center"/>
          </w:tcPr>
          <w:p w14:paraId="5551E69E">
            <w:pPr>
              <w:pStyle w:val="29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法定代表人身份证复印件</w:t>
            </w:r>
          </w:p>
          <w:p w14:paraId="337C2C58">
            <w:pPr>
              <w:pStyle w:val="29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正面</w:t>
            </w:r>
          </w:p>
          <w:p w14:paraId="3B8AB5FD">
            <w:pPr>
              <w:pStyle w:val="29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（身份证复印件需清晰可辨认）</w:t>
            </w:r>
          </w:p>
        </w:tc>
        <w:tc>
          <w:tcPr>
            <w:tcW w:w="4416" w:type="dxa"/>
            <w:vAlign w:val="center"/>
          </w:tcPr>
          <w:p w14:paraId="12B62F04">
            <w:pPr>
              <w:pStyle w:val="29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被授权人身份证复印件</w:t>
            </w:r>
          </w:p>
          <w:p w14:paraId="4104344A">
            <w:pPr>
              <w:pStyle w:val="29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正面</w:t>
            </w:r>
          </w:p>
          <w:p w14:paraId="5EC0A148">
            <w:pPr>
              <w:pStyle w:val="29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（身份证复印件需清晰可辨认）</w:t>
            </w:r>
          </w:p>
        </w:tc>
      </w:tr>
      <w:tr w14:paraId="0169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4463" w:type="dxa"/>
            <w:vAlign w:val="center"/>
          </w:tcPr>
          <w:p w14:paraId="2577DF03">
            <w:pPr>
              <w:pStyle w:val="29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法定代表人身份证复印件</w:t>
            </w:r>
          </w:p>
          <w:p w14:paraId="61FF52E1">
            <w:pPr>
              <w:pStyle w:val="29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反面</w:t>
            </w:r>
          </w:p>
          <w:p w14:paraId="65F62317">
            <w:pPr>
              <w:pStyle w:val="29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（身份证复印件需清晰可辨认）</w:t>
            </w:r>
          </w:p>
        </w:tc>
        <w:tc>
          <w:tcPr>
            <w:tcW w:w="4416" w:type="dxa"/>
            <w:vAlign w:val="center"/>
          </w:tcPr>
          <w:p w14:paraId="1407B101">
            <w:pPr>
              <w:pStyle w:val="29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被授权人身份证复印件</w:t>
            </w:r>
          </w:p>
          <w:p w14:paraId="43445E6C">
            <w:pPr>
              <w:pStyle w:val="29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反面</w:t>
            </w:r>
          </w:p>
          <w:p w14:paraId="70B51C21">
            <w:pPr>
              <w:pStyle w:val="29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（身份证复印件需清晰可辨认）</w:t>
            </w:r>
          </w:p>
        </w:tc>
      </w:tr>
    </w:tbl>
    <w:p w14:paraId="48CB5A3E">
      <w:pPr>
        <w:snapToGrid w:val="0"/>
        <w:spacing w:line="360" w:lineRule="auto"/>
        <w:ind w:firstLine="480" w:firstLineChars="200"/>
        <w:rPr>
          <w:rFonts w:hint="eastAsia" w:ascii="宋体" w:hAnsi="宋体" w:eastAsia="宋体" w:cs="宋体"/>
          <w:kern w:val="0"/>
          <w:sz w:val="24"/>
          <w:szCs w:val="24"/>
          <w:highlight w:val="none"/>
        </w:rPr>
      </w:pPr>
    </w:p>
    <w:p w14:paraId="0131D235">
      <w:pPr>
        <w:snapToGrid w:val="0"/>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特此告知。</w:t>
      </w:r>
    </w:p>
    <w:p w14:paraId="2D8D8256">
      <w:pPr>
        <w:pStyle w:val="23"/>
        <w:rPr>
          <w:rFonts w:hint="eastAsia" w:ascii="宋体" w:hAnsi="宋体" w:eastAsia="宋体" w:cs="宋体"/>
          <w:sz w:val="24"/>
          <w:szCs w:val="24"/>
          <w:highlight w:val="none"/>
        </w:rPr>
      </w:pPr>
    </w:p>
    <w:p w14:paraId="4FD1F849">
      <w:pPr>
        <w:keepNext w:val="0"/>
        <w:keepLines w:val="0"/>
        <w:pageBreakBefore w:val="0"/>
        <w:widowControl w:val="0"/>
        <w:kinsoku/>
        <w:wordWrap/>
        <w:overflowPunct/>
        <w:topLinePunct w:val="0"/>
        <w:autoSpaceDE/>
        <w:autoSpaceDN/>
        <w:bidi w:val="0"/>
        <w:adjustRightInd w:val="0"/>
        <w:snapToGrid/>
        <w:spacing w:line="360" w:lineRule="auto"/>
        <w:ind w:right="-874" w:rightChars="-416" w:firstLine="5280" w:firstLineChars="2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供应商名称（盖公章或电子签章）：</w:t>
      </w:r>
    </w:p>
    <w:p w14:paraId="13B43C10">
      <w:pPr>
        <w:keepNext w:val="0"/>
        <w:keepLines w:val="0"/>
        <w:pageBreakBefore w:val="0"/>
        <w:widowControl w:val="0"/>
        <w:kinsoku/>
        <w:wordWrap/>
        <w:overflowPunct/>
        <w:topLinePunct w:val="0"/>
        <w:autoSpaceDE/>
        <w:autoSpaceDN/>
        <w:bidi w:val="0"/>
        <w:adjustRightInd w:val="0"/>
        <w:snapToGrid/>
        <w:spacing w:line="360" w:lineRule="auto"/>
        <w:ind w:right="-874" w:rightChars="-416" w:firstLine="5280" w:firstLineChars="2200"/>
        <w:textAlignment w:val="auto"/>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法定代表人（签字或盖章）：</w:t>
      </w:r>
    </w:p>
    <w:p w14:paraId="7E9F807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日期：年月日</w:t>
      </w:r>
    </w:p>
    <w:p w14:paraId="58BE853C">
      <w:pPr>
        <w:snapToGrid w:val="0"/>
        <w:spacing w:line="360" w:lineRule="auto"/>
        <w:rPr>
          <w:rFonts w:hint="eastAsia" w:ascii="宋体" w:hAnsi="宋体" w:eastAsia="宋体" w:cs="宋体"/>
          <w:kern w:val="0"/>
          <w:sz w:val="24"/>
          <w:szCs w:val="24"/>
          <w:highlight w:val="none"/>
          <w:lang w:val="zh-CN"/>
        </w:rPr>
      </w:pPr>
    </w:p>
    <w:p w14:paraId="50C125A4">
      <w:pPr>
        <w:rPr>
          <w:rFonts w:hint="eastAsia" w:ascii="宋体" w:hAnsi="宋体" w:eastAsia="宋体" w:cs="宋体"/>
          <w:b/>
          <w:bCs/>
          <w:sz w:val="24"/>
          <w:szCs w:val="24"/>
          <w:highlight w:val="none"/>
        </w:rPr>
      </w:pPr>
    </w:p>
    <w:p w14:paraId="64883410">
      <w:pPr>
        <w:rPr>
          <w:rFonts w:hint="eastAsia" w:ascii="宋体" w:hAnsi="宋体" w:eastAsia="宋体" w:cs="宋体"/>
          <w:b/>
          <w:kern w:val="0"/>
          <w:sz w:val="24"/>
          <w:szCs w:val="24"/>
          <w:highlight w:val="none"/>
          <w:lang w:val="zh-CN"/>
        </w:rPr>
      </w:pPr>
      <w:r>
        <w:rPr>
          <w:rFonts w:hint="eastAsia" w:ascii="宋体" w:hAnsi="宋体" w:eastAsia="宋体" w:cs="宋体"/>
          <w:b/>
          <w:kern w:val="0"/>
          <w:sz w:val="24"/>
          <w:szCs w:val="24"/>
          <w:highlight w:val="none"/>
          <w:lang w:val="zh-CN"/>
        </w:rPr>
        <w:br w:type="page"/>
      </w:r>
    </w:p>
    <w:p w14:paraId="253D329F">
      <w:pPr>
        <w:autoSpaceDE w:val="0"/>
        <w:autoSpaceDN w:val="0"/>
        <w:spacing w:line="360" w:lineRule="auto"/>
        <w:jc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lang w:val="zh-CN"/>
        </w:rPr>
        <w:t>法定代表人、单位负责人或自然人本人</w:t>
      </w:r>
      <w:r>
        <w:rPr>
          <w:rFonts w:hint="eastAsia" w:ascii="宋体" w:hAnsi="宋体" w:eastAsia="宋体" w:cs="宋体"/>
          <w:b/>
          <w:sz w:val="24"/>
          <w:szCs w:val="24"/>
          <w:highlight w:val="none"/>
        </w:rPr>
        <w:t>的身份证明（适用于法定代表人、单位负责人或者自然人本人代表供应商参加响应）</w:t>
      </w:r>
    </w:p>
    <w:p w14:paraId="68ED663D">
      <w:pPr>
        <w:pStyle w:val="621"/>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身份证件扫描件：</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10CA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jc w:val="center"/>
        </w:trPr>
        <w:tc>
          <w:tcPr>
            <w:tcW w:w="5000" w:type="pct"/>
          </w:tcPr>
          <w:p w14:paraId="2D376BF3">
            <w:pPr>
              <w:pStyle w:val="621"/>
              <w:adjustRightIn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正面：反面：</w:t>
            </w:r>
          </w:p>
          <w:p w14:paraId="5FA6F14B">
            <w:pPr>
              <w:pStyle w:val="621"/>
              <w:adjustRightInd w:val="0"/>
              <w:spacing w:line="360" w:lineRule="auto"/>
              <w:rPr>
                <w:rFonts w:hint="eastAsia" w:ascii="宋体" w:hAnsi="宋体" w:eastAsia="宋体" w:cs="宋体"/>
                <w:bCs/>
                <w:sz w:val="24"/>
                <w:szCs w:val="24"/>
                <w:highlight w:val="none"/>
              </w:rPr>
            </w:pPr>
          </w:p>
        </w:tc>
      </w:tr>
    </w:tbl>
    <w:p w14:paraId="0B46C88D">
      <w:pPr>
        <w:snapToGrid w:val="0"/>
        <w:spacing w:line="360" w:lineRule="auto"/>
        <w:ind w:firstLine="576"/>
        <w:jc w:val="center"/>
        <w:rPr>
          <w:rFonts w:hint="eastAsia" w:ascii="宋体" w:hAnsi="宋体" w:eastAsia="宋体" w:cs="宋体"/>
          <w:kern w:val="0"/>
          <w:sz w:val="24"/>
          <w:szCs w:val="24"/>
          <w:highlight w:val="none"/>
          <w:lang w:val="zh-CN"/>
        </w:rPr>
      </w:pPr>
    </w:p>
    <w:p w14:paraId="014A7222">
      <w:pPr>
        <w:keepNext w:val="0"/>
        <w:keepLines w:val="0"/>
        <w:pageBreakBefore w:val="0"/>
        <w:widowControl w:val="0"/>
        <w:kinsoku/>
        <w:wordWrap/>
        <w:overflowPunct/>
        <w:topLinePunct w:val="0"/>
        <w:autoSpaceDE/>
        <w:autoSpaceDN/>
        <w:bidi w:val="0"/>
        <w:spacing w:line="360" w:lineRule="auto"/>
        <w:ind w:right="-874" w:rightChars="-416" w:firstLine="5280" w:firstLineChars="2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供应商名称（盖公章或电子签章）：</w:t>
      </w:r>
    </w:p>
    <w:p w14:paraId="634B6BDD">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日期：年月日</w:t>
      </w:r>
    </w:p>
    <w:p w14:paraId="18598647">
      <w:pPr>
        <w:jc w:val="center"/>
        <w:rPr>
          <w:rFonts w:hint="eastAsia" w:ascii="宋体" w:hAnsi="宋体" w:eastAsia="宋体" w:cs="宋体"/>
          <w:b/>
          <w:sz w:val="24"/>
          <w:szCs w:val="24"/>
          <w:highlight w:val="none"/>
        </w:rPr>
      </w:pPr>
    </w:p>
    <w:p w14:paraId="7CC85249">
      <w:pPr>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授权代表的身份证（复印件）</w:t>
      </w:r>
    </w:p>
    <w:p w14:paraId="3588E974">
      <w:pPr>
        <w:pStyle w:val="621"/>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授权代表身份证件扫描件：</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495F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5000" w:type="pct"/>
            <w:shd w:val="clear" w:color="auto" w:fill="auto"/>
          </w:tcPr>
          <w:p w14:paraId="1B9F1E28">
            <w:pPr>
              <w:pStyle w:val="621"/>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正面：反面：</w:t>
            </w:r>
          </w:p>
          <w:p w14:paraId="38460E41">
            <w:pPr>
              <w:pStyle w:val="621"/>
              <w:spacing w:line="360" w:lineRule="auto"/>
              <w:rPr>
                <w:rFonts w:hint="eastAsia" w:ascii="宋体" w:hAnsi="宋体" w:eastAsia="宋体" w:cs="宋体"/>
                <w:bCs/>
                <w:sz w:val="24"/>
                <w:szCs w:val="24"/>
                <w:highlight w:val="none"/>
              </w:rPr>
            </w:pPr>
          </w:p>
        </w:tc>
      </w:tr>
    </w:tbl>
    <w:p w14:paraId="65DD879B">
      <w:pPr>
        <w:snapToGrid w:val="0"/>
        <w:spacing w:line="360" w:lineRule="auto"/>
        <w:ind w:firstLine="576"/>
        <w:jc w:val="right"/>
        <w:rPr>
          <w:rFonts w:hint="eastAsia" w:ascii="宋体" w:hAnsi="宋体" w:eastAsia="宋体" w:cs="宋体"/>
          <w:kern w:val="0"/>
          <w:sz w:val="24"/>
          <w:szCs w:val="24"/>
          <w:highlight w:val="none"/>
          <w:lang w:val="zh-CN"/>
        </w:rPr>
      </w:pPr>
    </w:p>
    <w:p w14:paraId="0E19402F">
      <w:pPr>
        <w:keepNext w:val="0"/>
        <w:keepLines w:val="0"/>
        <w:pageBreakBefore w:val="0"/>
        <w:widowControl w:val="0"/>
        <w:kinsoku/>
        <w:wordWrap/>
        <w:overflowPunct/>
        <w:topLinePunct w:val="0"/>
        <w:autoSpaceDE/>
        <w:autoSpaceDN/>
        <w:bidi w:val="0"/>
        <w:spacing w:line="360" w:lineRule="auto"/>
        <w:ind w:right="-874" w:rightChars="-416" w:firstLine="5280" w:firstLineChars="2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供应商名称（盖公章或电子签章）：</w:t>
      </w:r>
    </w:p>
    <w:p w14:paraId="6EEE77F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日期：年月日</w:t>
      </w:r>
    </w:p>
    <w:p w14:paraId="1D33DD56">
      <w:pPr>
        <w:snapToGrid w:val="0"/>
        <w:spacing w:line="360" w:lineRule="auto"/>
        <w:ind w:firstLine="576"/>
        <w:jc w:val="center"/>
        <w:rPr>
          <w:rFonts w:hint="eastAsia" w:ascii="宋体" w:hAnsi="宋体" w:eastAsia="宋体" w:cs="宋体"/>
          <w:sz w:val="24"/>
          <w:szCs w:val="24"/>
          <w:highlight w:val="none"/>
        </w:rPr>
      </w:pPr>
    </w:p>
    <w:p w14:paraId="2870FC3C">
      <w:pPr>
        <w:widowControl/>
        <w:adjustRightInd/>
        <w:jc w:val="left"/>
        <w:rPr>
          <w:rFonts w:hint="eastAsia" w:ascii="宋体" w:hAnsi="宋体" w:eastAsia="宋体" w:cs="宋体"/>
          <w:b/>
          <w:kern w:val="0"/>
          <w:sz w:val="24"/>
          <w:szCs w:val="24"/>
          <w:highlight w:val="none"/>
          <w:lang w:val="zh-CN"/>
        </w:rPr>
      </w:pPr>
      <w:r>
        <w:rPr>
          <w:rFonts w:hint="eastAsia" w:ascii="宋体" w:hAnsi="宋体" w:eastAsia="宋体" w:cs="宋体"/>
          <w:b/>
          <w:kern w:val="0"/>
          <w:sz w:val="24"/>
          <w:szCs w:val="24"/>
          <w:highlight w:val="none"/>
          <w:lang w:val="zh-CN"/>
        </w:rPr>
        <w:br w:type="page"/>
      </w:r>
    </w:p>
    <w:p w14:paraId="7854840F">
      <w:pPr>
        <w:rPr>
          <w:rFonts w:hint="eastAsia" w:ascii="宋体" w:hAnsi="宋体" w:eastAsia="宋体" w:cs="宋体"/>
          <w:b/>
          <w:kern w:val="0"/>
          <w:sz w:val="24"/>
          <w:szCs w:val="24"/>
          <w:highlight w:val="none"/>
          <w:lang w:val="zh-CN"/>
        </w:rPr>
      </w:pPr>
      <w:bookmarkStart w:id="207" w:name="_Toc16247"/>
    </w:p>
    <w:p w14:paraId="5A7E2BFE">
      <w:pPr>
        <w:snapToGrid w:val="0"/>
        <w:spacing w:line="360" w:lineRule="auto"/>
        <w:outlineLvl w:val="0"/>
        <w:rPr>
          <w:rFonts w:hint="eastAsia" w:ascii="宋体" w:hAnsi="宋体" w:eastAsia="宋体" w:cs="宋体"/>
          <w:b/>
          <w:kern w:val="0"/>
          <w:sz w:val="24"/>
          <w:szCs w:val="24"/>
          <w:highlight w:val="none"/>
          <w:lang w:val="zh-CN"/>
        </w:rPr>
      </w:pPr>
      <w:r>
        <w:rPr>
          <w:rFonts w:hint="eastAsia" w:ascii="宋体" w:hAnsi="宋体" w:eastAsia="宋体" w:cs="宋体"/>
          <w:b/>
          <w:kern w:val="0"/>
          <w:sz w:val="24"/>
          <w:szCs w:val="24"/>
          <w:highlight w:val="none"/>
          <w:lang w:val="zh-CN"/>
        </w:rPr>
        <w:t>三、评标标准相应的商务技术资料</w:t>
      </w:r>
      <w:bookmarkEnd w:id="207"/>
    </w:p>
    <w:p w14:paraId="4DC8649D">
      <w:pPr>
        <w:snapToGrid w:val="0"/>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（按磋商文件第五部分评标办法前附表中“响应文件中评标标准相应的商务技术资料目录”提供资料）</w:t>
      </w:r>
    </w:p>
    <w:p w14:paraId="5C012ADC">
      <w:pPr>
        <w:snapToGrid w:val="0"/>
        <w:spacing w:line="360" w:lineRule="auto"/>
        <w:ind w:right="480"/>
        <w:rPr>
          <w:rFonts w:hint="eastAsia" w:ascii="宋体" w:hAnsi="宋体" w:eastAsia="宋体" w:cs="宋体"/>
          <w:b/>
          <w:kern w:val="0"/>
          <w:sz w:val="24"/>
          <w:szCs w:val="24"/>
          <w:highlight w:val="none"/>
        </w:rPr>
      </w:pPr>
    </w:p>
    <w:p w14:paraId="3DCCA304">
      <w:pPr>
        <w:snapToGrid w:val="0"/>
        <w:spacing w:line="360" w:lineRule="auto"/>
        <w:ind w:right="48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3.1技术参数偏离表</w:t>
      </w:r>
    </w:p>
    <w:tbl>
      <w:tblPr>
        <w:tblStyle w:val="6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3379"/>
        <w:gridCol w:w="3253"/>
        <w:gridCol w:w="1442"/>
        <w:gridCol w:w="895"/>
      </w:tblGrid>
      <w:tr w14:paraId="558C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6" w:type="pct"/>
            <w:vAlign w:val="center"/>
          </w:tcPr>
          <w:p w14:paraId="0AB8D478">
            <w:pPr>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715" w:type="pct"/>
            <w:vAlign w:val="center"/>
          </w:tcPr>
          <w:p w14:paraId="5BFCA262">
            <w:pPr>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磋商文件章节及具体内容</w:t>
            </w:r>
          </w:p>
        </w:tc>
        <w:tc>
          <w:tcPr>
            <w:tcW w:w="1651" w:type="pct"/>
            <w:vAlign w:val="center"/>
          </w:tcPr>
          <w:p w14:paraId="70D00BF5">
            <w:pPr>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响应文件章节及具体内容</w:t>
            </w:r>
          </w:p>
        </w:tc>
        <w:tc>
          <w:tcPr>
            <w:tcW w:w="732" w:type="pct"/>
            <w:vAlign w:val="center"/>
          </w:tcPr>
          <w:p w14:paraId="329C6038">
            <w:pPr>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偏离说明</w:t>
            </w:r>
          </w:p>
        </w:tc>
        <w:tc>
          <w:tcPr>
            <w:tcW w:w="454" w:type="pct"/>
            <w:vAlign w:val="center"/>
          </w:tcPr>
          <w:p w14:paraId="587CC22A">
            <w:pPr>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tc>
      </w:tr>
      <w:tr w14:paraId="2075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6" w:type="pct"/>
            <w:vAlign w:val="center"/>
          </w:tcPr>
          <w:p w14:paraId="6F028832">
            <w:pPr>
              <w:snapToGrid w:val="0"/>
              <w:spacing w:line="4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715" w:type="pct"/>
            <w:vAlign w:val="center"/>
          </w:tcPr>
          <w:p w14:paraId="357E7247">
            <w:pPr>
              <w:snapToGrid w:val="0"/>
              <w:spacing w:line="400" w:lineRule="exact"/>
              <w:jc w:val="center"/>
              <w:rPr>
                <w:rFonts w:hint="eastAsia" w:ascii="宋体" w:hAnsi="宋体" w:eastAsia="宋体" w:cs="宋体"/>
                <w:b/>
                <w:kern w:val="0"/>
                <w:sz w:val="24"/>
                <w:szCs w:val="24"/>
                <w:highlight w:val="none"/>
              </w:rPr>
            </w:pPr>
          </w:p>
        </w:tc>
        <w:tc>
          <w:tcPr>
            <w:tcW w:w="1651" w:type="pct"/>
            <w:vAlign w:val="center"/>
          </w:tcPr>
          <w:p w14:paraId="3893AA87">
            <w:pPr>
              <w:snapToGrid w:val="0"/>
              <w:spacing w:line="400" w:lineRule="exact"/>
              <w:jc w:val="center"/>
              <w:rPr>
                <w:rFonts w:hint="eastAsia" w:ascii="宋体" w:hAnsi="宋体" w:eastAsia="宋体" w:cs="宋体"/>
                <w:b/>
                <w:kern w:val="0"/>
                <w:sz w:val="24"/>
                <w:szCs w:val="24"/>
                <w:highlight w:val="none"/>
              </w:rPr>
            </w:pPr>
          </w:p>
        </w:tc>
        <w:tc>
          <w:tcPr>
            <w:tcW w:w="732" w:type="pct"/>
            <w:vAlign w:val="center"/>
          </w:tcPr>
          <w:p w14:paraId="323D0D4C">
            <w:pPr>
              <w:snapToGrid w:val="0"/>
              <w:spacing w:line="400" w:lineRule="exact"/>
              <w:jc w:val="center"/>
              <w:rPr>
                <w:rFonts w:hint="eastAsia" w:ascii="宋体" w:hAnsi="宋体" w:eastAsia="宋体" w:cs="宋体"/>
                <w:b/>
                <w:kern w:val="0"/>
                <w:sz w:val="24"/>
                <w:szCs w:val="24"/>
                <w:highlight w:val="none"/>
              </w:rPr>
            </w:pPr>
          </w:p>
        </w:tc>
        <w:tc>
          <w:tcPr>
            <w:tcW w:w="454" w:type="pct"/>
            <w:vAlign w:val="center"/>
          </w:tcPr>
          <w:p w14:paraId="7EFAB98D">
            <w:pPr>
              <w:snapToGrid w:val="0"/>
              <w:spacing w:line="400" w:lineRule="exact"/>
              <w:jc w:val="center"/>
              <w:rPr>
                <w:rFonts w:hint="eastAsia" w:ascii="宋体" w:hAnsi="宋体" w:eastAsia="宋体" w:cs="宋体"/>
                <w:b/>
                <w:kern w:val="0"/>
                <w:sz w:val="24"/>
                <w:szCs w:val="24"/>
                <w:highlight w:val="none"/>
              </w:rPr>
            </w:pPr>
          </w:p>
        </w:tc>
      </w:tr>
      <w:tr w14:paraId="6804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6" w:type="pct"/>
            <w:vAlign w:val="center"/>
          </w:tcPr>
          <w:p w14:paraId="02F9BC06">
            <w:pPr>
              <w:snapToGrid w:val="0"/>
              <w:spacing w:line="4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1715" w:type="pct"/>
            <w:vAlign w:val="center"/>
          </w:tcPr>
          <w:p w14:paraId="27D5E0B7">
            <w:pPr>
              <w:snapToGrid w:val="0"/>
              <w:spacing w:line="400" w:lineRule="exact"/>
              <w:jc w:val="center"/>
              <w:rPr>
                <w:rFonts w:hint="eastAsia" w:ascii="宋体" w:hAnsi="宋体" w:eastAsia="宋体" w:cs="宋体"/>
                <w:b/>
                <w:kern w:val="0"/>
                <w:sz w:val="24"/>
                <w:szCs w:val="24"/>
                <w:highlight w:val="none"/>
              </w:rPr>
            </w:pPr>
          </w:p>
        </w:tc>
        <w:tc>
          <w:tcPr>
            <w:tcW w:w="1651" w:type="pct"/>
            <w:vAlign w:val="center"/>
          </w:tcPr>
          <w:p w14:paraId="57818090">
            <w:pPr>
              <w:snapToGrid w:val="0"/>
              <w:spacing w:line="400" w:lineRule="exact"/>
              <w:jc w:val="center"/>
              <w:rPr>
                <w:rFonts w:hint="eastAsia" w:ascii="宋体" w:hAnsi="宋体" w:eastAsia="宋体" w:cs="宋体"/>
                <w:b/>
                <w:kern w:val="0"/>
                <w:sz w:val="24"/>
                <w:szCs w:val="24"/>
                <w:highlight w:val="none"/>
              </w:rPr>
            </w:pPr>
          </w:p>
        </w:tc>
        <w:tc>
          <w:tcPr>
            <w:tcW w:w="732" w:type="pct"/>
            <w:vAlign w:val="center"/>
          </w:tcPr>
          <w:p w14:paraId="560E8EC3">
            <w:pPr>
              <w:snapToGrid w:val="0"/>
              <w:spacing w:line="400" w:lineRule="exact"/>
              <w:jc w:val="center"/>
              <w:rPr>
                <w:rFonts w:hint="eastAsia" w:ascii="宋体" w:hAnsi="宋体" w:eastAsia="宋体" w:cs="宋体"/>
                <w:b/>
                <w:kern w:val="0"/>
                <w:sz w:val="24"/>
                <w:szCs w:val="24"/>
                <w:highlight w:val="none"/>
              </w:rPr>
            </w:pPr>
          </w:p>
        </w:tc>
        <w:tc>
          <w:tcPr>
            <w:tcW w:w="454" w:type="pct"/>
            <w:vAlign w:val="center"/>
          </w:tcPr>
          <w:p w14:paraId="2251F10C">
            <w:pPr>
              <w:snapToGrid w:val="0"/>
              <w:spacing w:line="400" w:lineRule="exact"/>
              <w:jc w:val="center"/>
              <w:rPr>
                <w:rFonts w:hint="eastAsia" w:ascii="宋体" w:hAnsi="宋体" w:eastAsia="宋体" w:cs="宋体"/>
                <w:b/>
                <w:kern w:val="0"/>
                <w:sz w:val="24"/>
                <w:szCs w:val="24"/>
                <w:highlight w:val="none"/>
              </w:rPr>
            </w:pPr>
          </w:p>
        </w:tc>
      </w:tr>
      <w:tr w14:paraId="04A3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6" w:type="pct"/>
            <w:vAlign w:val="center"/>
          </w:tcPr>
          <w:p w14:paraId="640F778A">
            <w:pPr>
              <w:snapToGrid w:val="0"/>
              <w:spacing w:line="4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tc>
        <w:tc>
          <w:tcPr>
            <w:tcW w:w="1715" w:type="pct"/>
            <w:vAlign w:val="center"/>
          </w:tcPr>
          <w:p w14:paraId="716D37CE">
            <w:pPr>
              <w:snapToGrid w:val="0"/>
              <w:spacing w:line="400" w:lineRule="exact"/>
              <w:jc w:val="center"/>
              <w:rPr>
                <w:rFonts w:hint="eastAsia" w:ascii="宋体" w:hAnsi="宋体" w:eastAsia="宋体" w:cs="宋体"/>
                <w:b/>
                <w:kern w:val="0"/>
                <w:sz w:val="24"/>
                <w:szCs w:val="24"/>
                <w:highlight w:val="none"/>
              </w:rPr>
            </w:pPr>
          </w:p>
        </w:tc>
        <w:tc>
          <w:tcPr>
            <w:tcW w:w="1651" w:type="pct"/>
            <w:vAlign w:val="center"/>
          </w:tcPr>
          <w:p w14:paraId="3318A86E">
            <w:pPr>
              <w:snapToGrid w:val="0"/>
              <w:spacing w:line="400" w:lineRule="exact"/>
              <w:jc w:val="center"/>
              <w:rPr>
                <w:rFonts w:hint="eastAsia" w:ascii="宋体" w:hAnsi="宋体" w:eastAsia="宋体" w:cs="宋体"/>
                <w:b/>
                <w:kern w:val="0"/>
                <w:sz w:val="24"/>
                <w:szCs w:val="24"/>
                <w:highlight w:val="none"/>
              </w:rPr>
            </w:pPr>
          </w:p>
        </w:tc>
        <w:tc>
          <w:tcPr>
            <w:tcW w:w="732" w:type="pct"/>
            <w:vAlign w:val="center"/>
          </w:tcPr>
          <w:p w14:paraId="238D3965">
            <w:pPr>
              <w:snapToGrid w:val="0"/>
              <w:spacing w:line="400" w:lineRule="exact"/>
              <w:jc w:val="center"/>
              <w:rPr>
                <w:rFonts w:hint="eastAsia" w:ascii="宋体" w:hAnsi="宋体" w:eastAsia="宋体" w:cs="宋体"/>
                <w:b/>
                <w:kern w:val="0"/>
                <w:sz w:val="24"/>
                <w:szCs w:val="24"/>
                <w:highlight w:val="none"/>
              </w:rPr>
            </w:pPr>
          </w:p>
        </w:tc>
        <w:tc>
          <w:tcPr>
            <w:tcW w:w="454" w:type="pct"/>
            <w:vAlign w:val="center"/>
          </w:tcPr>
          <w:p w14:paraId="3E55668D">
            <w:pPr>
              <w:snapToGrid w:val="0"/>
              <w:spacing w:line="400" w:lineRule="exact"/>
              <w:jc w:val="center"/>
              <w:rPr>
                <w:rFonts w:hint="eastAsia" w:ascii="宋体" w:hAnsi="宋体" w:eastAsia="宋体" w:cs="宋体"/>
                <w:b/>
                <w:kern w:val="0"/>
                <w:sz w:val="24"/>
                <w:szCs w:val="24"/>
                <w:highlight w:val="none"/>
              </w:rPr>
            </w:pPr>
          </w:p>
        </w:tc>
      </w:tr>
      <w:tr w14:paraId="1077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6" w:type="pct"/>
            <w:vAlign w:val="center"/>
          </w:tcPr>
          <w:p w14:paraId="03A2143F">
            <w:pPr>
              <w:snapToGrid w:val="0"/>
              <w:spacing w:line="400" w:lineRule="exact"/>
              <w:jc w:val="center"/>
              <w:rPr>
                <w:rFonts w:hint="eastAsia" w:ascii="宋体" w:hAnsi="宋体" w:eastAsia="宋体" w:cs="宋体"/>
                <w:kern w:val="0"/>
                <w:sz w:val="24"/>
                <w:szCs w:val="24"/>
                <w:highlight w:val="none"/>
              </w:rPr>
            </w:pPr>
          </w:p>
        </w:tc>
        <w:tc>
          <w:tcPr>
            <w:tcW w:w="1715" w:type="pct"/>
            <w:vAlign w:val="center"/>
          </w:tcPr>
          <w:p w14:paraId="67A916A0">
            <w:pPr>
              <w:snapToGrid w:val="0"/>
              <w:spacing w:line="400" w:lineRule="exact"/>
              <w:jc w:val="center"/>
              <w:rPr>
                <w:rFonts w:hint="eastAsia" w:ascii="宋体" w:hAnsi="宋体" w:eastAsia="宋体" w:cs="宋体"/>
                <w:b/>
                <w:kern w:val="0"/>
                <w:sz w:val="24"/>
                <w:szCs w:val="24"/>
                <w:highlight w:val="none"/>
              </w:rPr>
            </w:pPr>
          </w:p>
        </w:tc>
        <w:tc>
          <w:tcPr>
            <w:tcW w:w="1651" w:type="pct"/>
            <w:vAlign w:val="center"/>
          </w:tcPr>
          <w:p w14:paraId="5939679A">
            <w:pPr>
              <w:snapToGrid w:val="0"/>
              <w:spacing w:line="400" w:lineRule="exact"/>
              <w:jc w:val="center"/>
              <w:rPr>
                <w:rFonts w:hint="eastAsia" w:ascii="宋体" w:hAnsi="宋体" w:eastAsia="宋体" w:cs="宋体"/>
                <w:b/>
                <w:kern w:val="0"/>
                <w:sz w:val="24"/>
                <w:szCs w:val="24"/>
                <w:highlight w:val="none"/>
              </w:rPr>
            </w:pPr>
          </w:p>
        </w:tc>
        <w:tc>
          <w:tcPr>
            <w:tcW w:w="732" w:type="pct"/>
            <w:vAlign w:val="center"/>
          </w:tcPr>
          <w:p w14:paraId="666C7D62">
            <w:pPr>
              <w:snapToGrid w:val="0"/>
              <w:spacing w:line="400" w:lineRule="exact"/>
              <w:jc w:val="center"/>
              <w:rPr>
                <w:rFonts w:hint="eastAsia" w:ascii="宋体" w:hAnsi="宋体" w:eastAsia="宋体" w:cs="宋体"/>
                <w:b/>
                <w:kern w:val="0"/>
                <w:sz w:val="24"/>
                <w:szCs w:val="24"/>
                <w:highlight w:val="none"/>
              </w:rPr>
            </w:pPr>
          </w:p>
        </w:tc>
        <w:tc>
          <w:tcPr>
            <w:tcW w:w="454" w:type="pct"/>
            <w:vAlign w:val="center"/>
          </w:tcPr>
          <w:p w14:paraId="08D3E810">
            <w:pPr>
              <w:snapToGrid w:val="0"/>
              <w:spacing w:line="400" w:lineRule="exact"/>
              <w:jc w:val="center"/>
              <w:rPr>
                <w:rFonts w:hint="eastAsia" w:ascii="宋体" w:hAnsi="宋体" w:eastAsia="宋体" w:cs="宋体"/>
                <w:b/>
                <w:kern w:val="0"/>
                <w:sz w:val="24"/>
                <w:szCs w:val="24"/>
                <w:highlight w:val="none"/>
              </w:rPr>
            </w:pPr>
          </w:p>
        </w:tc>
      </w:tr>
      <w:tr w14:paraId="69DF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6" w:type="pct"/>
            <w:vAlign w:val="center"/>
          </w:tcPr>
          <w:p w14:paraId="2BDCE45A">
            <w:pPr>
              <w:snapToGrid w:val="0"/>
              <w:spacing w:line="400" w:lineRule="exact"/>
              <w:jc w:val="center"/>
              <w:rPr>
                <w:rFonts w:hint="eastAsia" w:ascii="宋体" w:hAnsi="宋体" w:eastAsia="宋体" w:cs="宋体"/>
                <w:kern w:val="0"/>
                <w:sz w:val="24"/>
                <w:szCs w:val="24"/>
                <w:highlight w:val="none"/>
              </w:rPr>
            </w:pPr>
          </w:p>
        </w:tc>
        <w:tc>
          <w:tcPr>
            <w:tcW w:w="1715" w:type="pct"/>
            <w:vAlign w:val="center"/>
          </w:tcPr>
          <w:p w14:paraId="49A8401B">
            <w:pPr>
              <w:snapToGrid w:val="0"/>
              <w:spacing w:line="400" w:lineRule="exact"/>
              <w:jc w:val="center"/>
              <w:rPr>
                <w:rFonts w:hint="eastAsia" w:ascii="宋体" w:hAnsi="宋体" w:eastAsia="宋体" w:cs="宋体"/>
                <w:b/>
                <w:kern w:val="0"/>
                <w:sz w:val="24"/>
                <w:szCs w:val="24"/>
                <w:highlight w:val="none"/>
              </w:rPr>
            </w:pPr>
          </w:p>
        </w:tc>
        <w:tc>
          <w:tcPr>
            <w:tcW w:w="1651" w:type="pct"/>
            <w:vAlign w:val="center"/>
          </w:tcPr>
          <w:p w14:paraId="07E8A300">
            <w:pPr>
              <w:snapToGrid w:val="0"/>
              <w:spacing w:line="400" w:lineRule="exact"/>
              <w:jc w:val="center"/>
              <w:rPr>
                <w:rFonts w:hint="eastAsia" w:ascii="宋体" w:hAnsi="宋体" w:eastAsia="宋体" w:cs="宋体"/>
                <w:b/>
                <w:kern w:val="0"/>
                <w:sz w:val="24"/>
                <w:szCs w:val="24"/>
                <w:highlight w:val="none"/>
              </w:rPr>
            </w:pPr>
          </w:p>
        </w:tc>
        <w:tc>
          <w:tcPr>
            <w:tcW w:w="732" w:type="pct"/>
            <w:vAlign w:val="center"/>
          </w:tcPr>
          <w:p w14:paraId="5BE48D2F">
            <w:pPr>
              <w:snapToGrid w:val="0"/>
              <w:spacing w:line="400" w:lineRule="exact"/>
              <w:jc w:val="center"/>
              <w:rPr>
                <w:rFonts w:hint="eastAsia" w:ascii="宋体" w:hAnsi="宋体" w:eastAsia="宋体" w:cs="宋体"/>
                <w:b/>
                <w:kern w:val="0"/>
                <w:sz w:val="24"/>
                <w:szCs w:val="24"/>
                <w:highlight w:val="none"/>
              </w:rPr>
            </w:pPr>
          </w:p>
        </w:tc>
        <w:tc>
          <w:tcPr>
            <w:tcW w:w="454" w:type="pct"/>
            <w:vAlign w:val="center"/>
          </w:tcPr>
          <w:p w14:paraId="740339C2">
            <w:pPr>
              <w:snapToGrid w:val="0"/>
              <w:spacing w:line="400" w:lineRule="exact"/>
              <w:jc w:val="center"/>
              <w:rPr>
                <w:rFonts w:hint="eastAsia" w:ascii="宋体" w:hAnsi="宋体" w:eastAsia="宋体" w:cs="宋体"/>
                <w:b/>
                <w:kern w:val="0"/>
                <w:sz w:val="24"/>
                <w:szCs w:val="24"/>
                <w:highlight w:val="none"/>
              </w:rPr>
            </w:pPr>
          </w:p>
        </w:tc>
      </w:tr>
      <w:tr w14:paraId="2790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6" w:type="pct"/>
            <w:vAlign w:val="center"/>
          </w:tcPr>
          <w:p w14:paraId="52557163">
            <w:pPr>
              <w:snapToGrid w:val="0"/>
              <w:spacing w:line="400" w:lineRule="exact"/>
              <w:jc w:val="center"/>
              <w:rPr>
                <w:rFonts w:hint="eastAsia" w:ascii="宋体" w:hAnsi="宋体" w:eastAsia="宋体" w:cs="宋体"/>
                <w:kern w:val="0"/>
                <w:sz w:val="24"/>
                <w:szCs w:val="24"/>
                <w:highlight w:val="none"/>
              </w:rPr>
            </w:pPr>
          </w:p>
        </w:tc>
        <w:tc>
          <w:tcPr>
            <w:tcW w:w="1715" w:type="pct"/>
            <w:vAlign w:val="center"/>
          </w:tcPr>
          <w:p w14:paraId="2A196FDA">
            <w:pPr>
              <w:snapToGrid w:val="0"/>
              <w:spacing w:line="400" w:lineRule="exact"/>
              <w:jc w:val="center"/>
              <w:rPr>
                <w:rFonts w:hint="eastAsia" w:ascii="宋体" w:hAnsi="宋体" w:eastAsia="宋体" w:cs="宋体"/>
                <w:b/>
                <w:kern w:val="0"/>
                <w:sz w:val="24"/>
                <w:szCs w:val="24"/>
                <w:highlight w:val="none"/>
              </w:rPr>
            </w:pPr>
          </w:p>
        </w:tc>
        <w:tc>
          <w:tcPr>
            <w:tcW w:w="1651" w:type="pct"/>
            <w:vAlign w:val="center"/>
          </w:tcPr>
          <w:p w14:paraId="7B0F9118">
            <w:pPr>
              <w:snapToGrid w:val="0"/>
              <w:spacing w:line="400" w:lineRule="exact"/>
              <w:jc w:val="center"/>
              <w:rPr>
                <w:rFonts w:hint="eastAsia" w:ascii="宋体" w:hAnsi="宋体" w:eastAsia="宋体" w:cs="宋体"/>
                <w:b/>
                <w:kern w:val="0"/>
                <w:sz w:val="24"/>
                <w:szCs w:val="24"/>
                <w:highlight w:val="none"/>
              </w:rPr>
            </w:pPr>
          </w:p>
        </w:tc>
        <w:tc>
          <w:tcPr>
            <w:tcW w:w="732" w:type="pct"/>
            <w:vAlign w:val="center"/>
          </w:tcPr>
          <w:p w14:paraId="21684BC2">
            <w:pPr>
              <w:snapToGrid w:val="0"/>
              <w:spacing w:line="400" w:lineRule="exact"/>
              <w:jc w:val="center"/>
              <w:rPr>
                <w:rFonts w:hint="eastAsia" w:ascii="宋体" w:hAnsi="宋体" w:eastAsia="宋体" w:cs="宋体"/>
                <w:b/>
                <w:kern w:val="0"/>
                <w:sz w:val="24"/>
                <w:szCs w:val="24"/>
                <w:highlight w:val="none"/>
              </w:rPr>
            </w:pPr>
          </w:p>
        </w:tc>
        <w:tc>
          <w:tcPr>
            <w:tcW w:w="454" w:type="pct"/>
            <w:vAlign w:val="center"/>
          </w:tcPr>
          <w:p w14:paraId="21ADF851">
            <w:pPr>
              <w:snapToGrid w:val="0"/>
              <w:spacing w:line="400" w:lineRule="exact"/>
              <w:jc w:val="center"/>
              <w:rPr>
                <w:rFonts w:hint="eastAsia" w:ascii="宋体" w:hAnsi="宋体" w:eastAsia="宋体" w:cs="宋体"/>
                <w:b/>
                <w:kern w:val="0"/>
                <w:sz w:val="24"/>
                <w:szCs w:val="24"/>
                <w:highlight w:val="none"/>
              </w:rPr>
            </w:pPr>
          </w:p>
        </w:tc>
      </w:tr>
    </w:tbl>
    <w:p w14:paraId="5ADAC4F6">
      <w:p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供应商保证：除商务技术偏离表列出的偏离外，供应商响应磋商文件的全部要求</w:t>
      </w:r>
    </w:p>
    <w:p w14:paraId="17D5A153">
      <w:pPr>
        <w:autoSpaceDE w:val="0"/>
        <w:autoSpaceDN w:val="0"/>
        <w:spacing w:line="360" w:lineRule="auto"/>
        <w:rPr>
          <w:rFonts w:hint="eastAsia" w:ascii="宋体" w:hAnsi="宋体" w:eastAsia="宋体" w:cs="宋体"/>
          <w:kern w:val="0"/>
          <w:sz w:val="24"/>
          <w:szCs w:val="24"/>
          <w:highlight w:val="none"/>
        </w:rPr>
      </w:pPr>
    </w:p>
    <w:p w14:paraId="57034235">
      <w:pPr>
        <w:keepNext w:val="0"/>
        <w:keepLines w:val="0"/>
        <w:pageBreakBefore w:val="0"/>
        <w:widowControl w:val="0"/>
        <w:kinsoku/>
        <w:wordWrap/>
        <w:overflowPunct/>
        <w:topLinePunct w:val="0"/>
        <w:autoSpaceDE/>
        <w:autoSpaceDN/>
        <w:bidi w:val="0"/>
        <w:spacing w:line="360" w:lineRule="auto"/>
        <w:ind w:right="-874" w:rightChars="-416" w:firstLine="5280" w:firstLineChars="2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供应商名称（盖公章或电子签章）：</w:t>
      </w:r>
    </w:p>
    <w:p w14:paraId="6B6E4FD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日期：年月日</w:t>
      </w:r>
    </w:p>
    <w:p w14:paraId="36DDA427">
      <w:pPr>
        <w:spacing w:line="360" w:lineRule="auto"/>
        <w:ind w:firstLine="218" w:firstLineChars="91"/>
        <w:jc w:val="left"/>
        <w:rPr>
          <w:rFonts w:hint="eastAsia" w:ascii="宋体" w:hAnsi="宋体" w:eastAsia="宋体" w:cs="宋体"/>
          <w:kern w:val="0"/>
          <w:sz w:val="24"/>
          <w:szCs w:val="24"/>
          <w:highlight w:val="none"/>
        </w:rPr>
      </w:pPr>
    </w:p>
    <w:p w14:paraId="197FEA03">
      <w:pP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br w:type="page"/>
      </w:r>
    </w:p>
    <w:p w14:paraId="599C9319">
      <w:pPr>
        <w:rPr>
          <w:rFonts w:hint="eastAsia" w:ascii="宋体" w:hAnsi="宋体" w:eastAsia="宋体" w:cs="宋体"/>
          <w:sz w:val="24"/>
          <w:szCs w:val="24"/>
          <w:highlight w:val="none"/>
        </w:rPr>
      </w:pPr>
    </w:p>
    <w:p w14:paraId="402832E1">
      <w:pP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3.</w:t>
      </w:r>
      <w:r>
        <w:rPr>
          <w:rFonts w:hint="eastAsia" w:ascii="宋体" w:hAnsi="宋体" w:eastAsia="宋体" w:cs="宋体"/>
          <w:b/>
          <w:kern w:val="0"/>
          <w:sz w:val="24"/>
          <w:szCs w:val="24"/>
          <w:highlight w:val="none"/>
          <w:lang w:val="en-US" w:eastAsia="zh-CN"/>
        </w:rPr>
        <w:t>2</w:t>
      </w:r>
      <w:r>
        <w:rPr>
          <w:rFonts w:hint="eastAsia" w:ascii="宋体" w:hAnsi="宋体" w:eastAsia="宋体" w:cs="宋体"/>
          <w:b/>
          <w:kern w:val="0"/>
          <w:sz w:val="24"/>
          <w:szCs w:val="24"/>
          <w:highlight w:val="none"/>
        </w:rPr>
        <w:t>同类业绩</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1526"/>
        <w:gridCol w:w="1618"/>
        <w:gridCol w:w="1397"/>
        <w:gridCol w:w="1397"/>
        <w:gridCol w:w="1178"/>
        <w:gridCol w:w="1616"/>
      </w:tblGrid>
      <w:tr w14:paraId="6150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1044" w:type="dxa"/>
          </w:tcPr>
          <w:p w14:paraId="300FEE26">
            <w:pPr>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526" w:type="dxa"/>
          </w:tcPr>
          <w:p w14:paraId="6637AA98">
            <w:pPr>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项目名称</w:t>
            </w:r>
          </w:p>
        </w:tc>
        <w:tc>
          <w:tcPr>
            <w:tcW w:w="1618" w:type="dxa"/>
          </w:tcPr>
          <w:p w14:paraId="242DC41E">
            <w:pPr>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甲方单位</w:t>
            </w:r>
          </w:p>
        </w:tc>
        <w:tc>
          <w:tcPr>
            <w:tcW w:w="1397" w:type="dxa"/>
          </w:tcPr>
          <w:p w14:paraId="27066F69">
            <w:pPr>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项目金额</w:t>
            </w:r>
          </w:p>
        </w:tc>
        <w:tc>
          <w:tcPr>
            <w:tcW w:w="1397" w:type="dxa"/>
          </w:tcPr>
          <w:p w14:paraId="7AAFE651">
            <w:pPr>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合同签订时间</w:t>
            </w:r>
          </w:p>
        </w:tc>
        <w:tc>
          <w:tcPr>
            <w:tcW w:w="1178" w:type="dxa"/>
            <w:vAlign w:val="center"/>
          </w:tcPr>
          <w:p w14:paraId="1441AB94">
            <w:pPr>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实施地点</w:t>
            </w:r>
          </w:p>
        </w:tc>
        <w:tc>
          <w:tcPr>
            <w:tcW w:w="1616" w:type="dxa"/>
            <w:vAlign w:val="center"/>
          </w:tcPr>
          <w:p w14:paraId="12135729">
            <w:pPr>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合同主要服务内容</w:t>
            </w:r>
          </w:p>
        </w:tc>
      </w:tr>
      <w:tr w14:paraId="37AB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4" w:type="dxa"/>
          </w:tcPr>
          <w:p w14:paraId="0DC5C3BA">
            <w:pPr>
              <w:pStyle w:val="15"/>
              <w:ind w:firstLine="480"/>
              <w:rPr>
                <w:rFonts w:hint="eastAsia" w:ascii="宋体" w:hAnsi="宋体" w:eastAsia="宋体" w:cs="宋体"/>
                <w:sz w:val="24"/>
                <w:szCs w:val="24"/>
                <w:highlight w:val="none"/>
              </w:rPr>
            </w:pPr>
          </w:p>
        </w:tc>
        <w:tc>
          <w:tcPr>
            <w:tcW w:w="1526" w:type="dxa"/>
          </w:tcPr>
          <w:p w14:paraId="34E3C0D5">
            <w:pPr>
              <w:pStyle w:val="15"/>
              <w:ind w:firstLine="480"/>
              <w:rPr>
                <w:rFonts w:hint="eastAsia" w:ascii="宋体" w:hAnsi="宋体" w:eastAsia="宋体" w:cs="宋体"/>
                <w:sz w:val="24"/>
                <w:szCs w:val="24"/>
                <w:highlight w:val="none"/>
              </w:rPr>
            </w:pPr>
          </w:p>
        </w:tc>
        <w:tc>
          <w:tcPr>
            <w:tcW w:w="1618" w:type="dxa"/>
          </w:tcPr>
          <w:p w14:paraId="1B9BB0BE">
            <w:pPr>
              <w:pStyle w:val="15"/>
              <w:ind w:firstLine="480"/>
              <w:rPr>
                <w:rFonts w:hint="eastAsia" w:ascii="宋体" w:hAnsi="宋体" w:eastAsia="宋体" w:cs="宋体"/>
                <w:sz w:val="24"/>
                <w:szCs w:val="24"/>
                <w:highlight w:val="none"/>
              </w:rPr>
            </w:pPr>
          </w:p>
        </w:tc>
        <w:tc>
          <w:tcPr>
            <w:tcW w:w="1397" w:type="dxa"/>
          </w:tcPr>
          <w:p w14:paraId="7490A8AD">
            <w:pPr>
              <w:pStyle w:val="15"/>
              <w:ind w:firstLine="480"/>
              <w:rPr>
                <w:rFonts w:hint="eastAsia" w:ascii="宋体" w:hAnsi="宋体" w:eastAsia="宋体" w:cs="宋体"/>
                <w:sz w:val="24"/>
                <w:szCs w:val="24"/>
                <w:highlight w:val="none"/>
              </w:rPr>
            </w:pPr>
          </w:p>
        </w:tc>
        <w:tc>
          <w:tcPr>
            <w:tcW w:w="1397" w:type="dxa"/>
          </w:tcPr>
          <w:p w14:paraId="68BF8158">
            <w:pPr>
              <w:pStyle w:val="15"/>
              <w:ind w:firstLine="480"/>
              <w:rPr>
                <w:rFonts w:hint="eastAsia" w:ascii="宋体" w:hAnsi="宋体" w:eastAsia="宋体" w:cs="宋体"/>
                <w:sz w:val="24"/>
                <w:szCs w:val="24"/>
                <w:highlight w:val="none"/>
              </w:rPr>
            </w:pPr>
          </w:p>
        </w:tc>
        <w:tc>
          <w:tcPr>
            <w:tcW w:w="1178" w:type="dxa"/>
          </w:tcPr>
          <w:p w14:paraId="6FFDD5EF">
            <w:pPr>
              <w:pStyle w:val="15"/>
              <w:ind w:firstLine="480"/>
              <w:rPr>
                <w:rFonts w:hint="eastAsia" w:ascii="宋体" w:hAnsi="宋体" w:eastAsia="宋体" w:cs="宋体"/>
                <w:sz w:val="24"/>
                <w:szCs w:val="24"/>
                <w:highlight w:val="none"/>
              </w:rPr>
            </w:pPr>
          </w:p>
        </w:tc>
        <w:tc>
          <w:tcPr>
            <w:tcW w:w="1616" w:type="dxa"/>
          </w:tcPr>
          <w:p w14:paraId="3460EE01">
            <w:pPr>
              <w:pStyle w:val="15"/>
              <w:ind w:firstLine="480"/>
              <w:rPr>
                <w:rFonts w:hint="eastAsia" w:ascii="宋体" w:hAnsi="宋体" w:eastAsia="宋体" w:cs="宋体"/>
                <w:sz w:val="24"/>
                <w:szCs w:val="24"/>
                <w:highlight w:val="none"/>
              </w:rPr>
            </w:pPr>
          </w:p>
        </w:tc>
      </w:tr>
      <w:tr w14:paraId="23D3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4" w:type="dxa"/>
          </w:tcPr>
          <w:p w14:paraId="6AFB6CAA">
            <w:pPr>
              <w:pStyle w:val="15"/>
              <w:ind w:firstLine="480"/>
              <w:rPr>
                <w:rFonts w:hint="eastAsia" w:ascii="宋体" w:hAnsi="宋体" w:eastAsia="宋体" w:cs="宋体"/>
                <w:sz w:val="24"/>
                <w:szCs w:val="24"/>
                <w:highlight w:val="none"/>
              </w:rPr>
            </w:pPr>
          </w:p>
        </w:tc>
        <w:tc>
          <w:tcPr>
            <w:tcW w:w="1526" w:type="dxa"/>
          </w:tcPr>
          <w:p w14:paraId="57BCD6ED">
            <w:pPr>
              <w:pStyle w:val="15"/>
              <w:ind w:firstLine="480"/>
              <w:rPr>
                <w:rFonts w:hint="eastAsia" w:ascii="宋体" w:hAnsi="宋体" w:eastAsia="宋体" w:cs="宋体"/>
                <w:sz w:val="24"/>
                <w:szCs w:val="24"/>
                <w:highlight w:val="none"/>
              </w:rPr>
            </w:pPr>
          </w:p>
        </w:tc>
        <w:tc>
          <w:tcPr>
            <w:tcW w:w="1618" w:type="dxa"/>
          </w:tcPr>
          <w:p w14:paraId="62D8E596">
            <w:pPr>
              <w:pStyle w:val="15"/>
              <w:ind w:firstLine="480"/>
              <w:rPr>
                <w:rFonts w:hint="eastAsia" w:ascii="宋体" w:hAnsi="宋体" w:eastAsia="宋体" w:cs="宋体"/>
                <w:sz w:val="24"/>
                <w:szCs w:val="24"/>
                <w:highlight w:val="none"/>
              </w:rPr>
            </w:pPr>
          </w:p>
        </w:tc>
        <w:tc>
          <w:tcPr>
            <w:tcW w:w="1397" w:type="dxa"/>
          </w:tcPr>
          <w:p w14:paraId="0BF3AD73">
            <w:pPr>
              <w:pStyle w:val="15"/>
              <w:ind w:firstLine="480"/>
              <w:rPr>
                <w:rFonts w:hint="eastAsia" w:ascii="宋体" w:hAnsi="宋体" w:eastAsia="宋体" w:cs="宋体"/>
                <w:sz w:val="24"/>
                <w:szCs w:val="24"/>
                <w:highlight w:val="none"/>
              </w:rPr>
            </w:pPr>
          </w:p>
        </w:tc>
        <w:tc>
          <w:tcPr>
            <w:tcW w:w="1397" w:type="dxa"/>
          </w:tcPr>
          <w:p w14:paraId="5CDCD64F">
            <w:pPr>
              <w:pStyle w:val="15"/>
              <w:ind w:firstLine="480"/>
              <w:rPr>
                <w:rFonts w:hint="eastAsia" w:ascii="宋体" w:hAnsi="宋体" w:eastAsia="宋体" w:cs="宋体"/>
                <w:sz w:val="24"/>
                <w:szCs w:val="24"/>
                <w:highlight w:val="none"/>
              </w:rPr>
            </w:pPr>
          </w:p>
        </w:tc>
        <w:tc>
          <w:tcPr>
            <w:tcW w:w="1178" w:type="dxa"/>
          </w:tcPr>
          <w:p w14:paraId="6A987F8C">
            <w:pPr>
              <w:pStyle w:val="15"/>
              <w:ind w:firstLine="480"/>
              <w:rPr>
                <w:rFonts w:hint="eastAsia" w:ascii="宋体" w:hAnsi="宋体" w:eastAsia="宋体" w:cs="宋体"/>
                <w:sz w:val="24"/>
                <w:szCs w:val="24"/>
                <w:highlight w:val="none"/>
              </w:rPr>
            </w:pPr>
          </w:p>
        </w:tc>
        <w:tc>
          <w:tcPr>
            <w:tcW w:w="1616" w:type="dxa"/>
          </w:tcPr>
          <w:p w14:paraId="07B81EB9">
            <w:pPr>
              <w:pStyle w:val="15"/>
              <w:ind w:firstLine="480"/>
              <w:rPr>
                <w:rFonts w:hint="eastAsia" w:ascii="宋体" w:hAnsi="宋体" w:eastAsia="宋体" w:cs="宋体"/>
                <w:sz w:val="24"/>
                <w:szCs w:val="24"/>
                <w:highlight w:val="none"/>
              </w:rPr>
            </w:pPr>
          </w:p>
        </w:tc>
      </w:tr>
      <w:tr w14:paraId="5590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4" w:type="dxa"/>
          </w:tcPr>
          <w:p w14:paraId="00EA8030">
            <w:pPr>
              <w:pStyle w:val="15"/>
              <w:ind w:firstLine="480"/>
              <w:rPr>
                <w:rFonts w:hint="eastAsia" w:ascii="宋体" w:hAnsi="宋体" w:eastAsia="宋体" w:cs="宋体"/>
                <w:sz w:val="24"/>
                <w:szCs w:val="24"/>
                <w:highlight w:val="none"/>
              </w:rPr>
            </w:pPr>
          </w:p>
        </w:tc>
        <w:tc>
          <w:tcPr>
            <w:tcW w:w="1526" w:type="dxa"/>
          </w:tcPr>
          <w:p w14:paraId="444EF5A7">
            <w:pPr>
              <w:pStyle w:val="15"/>
              <w:ind w:firstLine="480"/>
              <w:rPr>
                <w:rFonts w:hint="eastAsia" w:ascii="宋体" w:hAnsi="宋体" w:eastAsia="宋体" w:cs="宋体"/>
                <w:sz w:val="24"/>
                <w:szCs w:val="24"/>
                <w:highlight w:val="none"/>
              </w:rPr>
            </w:pPr>
          </w:p>
        </w:tc>
        <w:tc>
          <w:tcPr>
            <w:tcW w:w="1618" w:type="dxa"/>
          </w:tcPr>
          <w:p w14:paraId="6F550F34">
            <w:pPr>
              <w:pStyle w:val="15"/>
              <w:ind w:firstLine="480"/>
              <w:rPr>
                <w:rFonts w:hint="eastAsia" w:ascii="宋体" w:hAnsi="宋体" w:eastAsia="宋体" w:cs="宋体"/>
                <w:sz w:val="24"/>
                <w:szCs w:val="24"/>
                <w:highlight w:val="none"/>
              </w:rPr>
            </w:pPr>
          </w:p>
        </w:tc>
        <w:tc>
          <w:tcPr>
            <w:tcW w:w="1397" w:type="dxa"/>
          </w:tcPr>
          <w:p w14:paraId="792276CC">
            <w:pPr>
              <w:pStyle w:val="15"/>
              <w:ind w:firstLine="480"/>
              <w:rPr>
                <w:rFonts w:hint="eastAsia" w:ascii="宋体" w:hAnsi="宋体" w:eastAsia="宋体" w:cs="宋体"/>
                <w:sz w:val="24"/>
                <w:szCs w:val="24"/>
                <w:highlight w:val="none"/>
              </w:rPr>
            </w:pPr>
          </w:p>
        </w:tc>
        <w:tc>
          <w:tcPr>
            <w:tcW w:w="1397" w:type="dxa"/>
          </w:tcPr>
          <w:p w14:paraId="306B4209">
            <w:pPr>
              <w:pStyle w:val="15"/>
              <w:ind w:firstLine="480"/>
              <w:rPr>
                <w:rFonts w:hint="eastAsia" w:ascii="宋体" w:hAnsi="宋体" w:eastAsia="宋体" w:cs="宋体"/>
                <w:sz w:val="24"/>
                <w:szCs w:val="24"/>
                <w:highlight w:val="none"/>
              </w:rPr>
            </w:pPr>
          </w:p>
        </w:tc>
        <w:tc>
          <w:tcPr>
            <w:tcW w:w="1178" w:type="dxa"/>
          </w:tcPr>
          <w:p w14:paraId="2D21112A">
            <w:pPr>
              <w:pStyle w:val="15"/>
              <w:ind w:firstLine="480"/>
              <w:rPr>
                <w:rFonts w:hint="eastAsia" w:ascii="宋体" w:hAnsi="宋体" w:eastAsia="宋体" w:cs="宋体"/>
                <w:sz w:val="24"/>
                <w:szCs w:val="24"/>
                <w:highlight w:val="none"/>
              </w:rPr>
            </w:pPr>
          </w:p>
        </w:tc>
        <w:tc>
          <w:tcPr>
            <w:tcW w:w="1616" w:type="dxa"/>
          </w:tcPr>
          <w:p w14:paraId="7F907F25">
            <w:pPr>
              <w:pStyle w:val="15"/>
              <w:ind w:firstLine="480"/>
              <w:rPr>
                <w:rFonts w:hint="eastAsia" w:ascii="宋体" w:hAnsi="宋体" w:eastAsia="宋体" w:cs="宋体"/>
                <w:sz w:val="24"/>
                <w:szCs w:val="24"/>
                <w:highlight w:val="none"/>
              </w:rPr>
            </w:pPr>
          </w:p>
        </w:tc>
      </w:tr>
      <w:tr w14:paraId="3E04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4" w:type="dxa"/>
          </w:tcPr>
          <w:p w14:paraId="2CA66ED2">
            <w:pPr>
              <w:pStyle w:val="15"/>
              <w:ind w:firstLine="480"/>
              <w:rPr>
                <w:rFonts w:hint="eastAsia" w:ascii="宋体" w:hAnsi="宋体" w:eastAsia="宋体" w:cs="宋体"/>
                <w:sz w:val="24"/>
                <w:szCs w:val="24"/>
                <w:highlight w:val="none"/>
              </w:rPr>
            </w:pPr>
          </w:p>
        </w:tc>
        <w:tc>
          <w:tcPr>
            <w:tcW w:w="1526" w:type="dxa"/>
          </w:tcPr>
          <w:p w14:paraId="6F76F2CF">
            <w:pPr>
              <w:pStyle w:val="15"/>
              <w:ind w:firstLine="480"/>
              <w:rPr>
                <w:rFonts w:hint="eastAsia" w:ascii="宋体" w:hAnsi="宋体" w:eastAsia="宋体" w:cs="宋体"/>
                <w:sz w:val="24"/>
                <w:szCs w:val="24"/>
                <w:highlight w:val="none"/>
              </w:rPr>
            </w:pPr>
          </w:p>
        </w:tc>
        <w:tc>
          <w:tcPr>
            <w:tcW w:w="1618" w:type="dxa"/>
          </w:tcPr>
          <w:p w14:paraId="4D7F3F4A">
            <w:pPr>
              <w:pStyle w:val="15"/>
              <w:ind w:firstLine="480"/>
              <w:rPr>
                <w:rFonts w:hint="eastAsia" w:ascii="宋体" w:hAnsi="宋体" w:eastAsia="宋体" w:cs="宋体"/>
                <w:sz w:val="24"/>
                <w:szCs w:val="24"/>
                <w:highlight w:val="none"/>
              </w:rPr>
            </w:pPr>
          </w:p>
        </w:tc>
        <w:tc>
          <w:tcPr>
            <w:tcW w:w="1397" w:type="dxa"/>
          </w:tcPr>
          <w:p w14:paraId="70D0AD41">
            <w:pPr>
              <w:pStyle w:val="15"/>
              <w:ind w:firstLine="480"/>
              <w:rPr>
                <w:rFonts w:hint="eastAsia" w:ascii="宋体" w:hAnsi="宋体" w:eastAsia="宋体" w:cs="宋体"/>
                <w:sz w:val="24"/>
                <w:szCs w:val="24"/>
                <w:highlight w:val="none"/>
              </w:rPr>
            </w:pPr>
          </w:p>
        </w:tc>
        <w:tc>
          <w:tcPr>
            <w:tcW w:w="1397" w:type="dxa"/>
          </w:tcPr>
          <w:p w14:paraId="45C95403">
            <w:pPr>
              <w:pStyle w:val="15"/>
              <w:ind w:firstLine="480"/>
              <w:rPr>
                <w:rFonts w:hint="eastAsia" w:ascii="宋体" w:hAnsi="宋体" w:eastAsia="宋体" w:cs="宋体"/>
                <w:sz w:val="24"/>
                <w:szCs w:val="24"/>
                <w:highlight w:val="none"/>
              </w:rPr>
            </w:pPr>
          </w:p>
        </w:tc>
        <w:tc>
          <w:tcPr>
            <w:tcW w:w="1178" w:type="dxa"/>
          </w:tcPr>
          <w:p w14:paraId="7DEFA970">
            <w:pPr>
              <w:pStyle w:val="15"/>
              <w:ind w:firstLine="480"/>
              <w:rPr>
                <w:rFonts w:hint="eastAsia" w:ascii="宋体" w:hAnsi="宋体" w:eastAsia="宋体" w:cs="宋体"/>
                <w:sz w:val="24"/>
                <w:szCs w:val="24"/>
                <w:highlight w:val="none"/>
              </w:rPr>
            </w:pPr>
          </w:p>
        </w:tc>
        <w:tc>
          <w:tcPr>
            <w:tcW w:w="1616" w:type="dxa"/>
          </w:tcPr>
          <w:p w14:paraId="57E6967D">
            <w:pPr>
              <w:pStyle w:val="15"/>
              <w:ind w:firstLine="480"/>
              <w:rPr>
                <w:rFonts w:hint="eastAsia" w:ascii="宋体" w:hAnsi="宋体" w:eastAsia="宋体" w:cs="宋体"/>
                <w:sz w:val="24"/>
                <w:szCs w:val="24"/>
                <w:highlight w:val="none"/>
              </w:rPr>
            </w:pPr>
          </w:p>
        </w:tc>
      </w:tr>
      <w:tr w14:paraId="3E11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4" w:type="dxa"/>
          </w:tcPr>
          <w:p w14:paraId="132214DF">
            <w:pPr>
              <w:pStyle w:val="15"/>
              <w:ind w:firstLine="480"/>
              <w:rPr>
                <w:rFonts w:hint="eastAsia" w:ascii="宋体" w:hAnsi="宋体" w:eastAsia="宋体" w:cs="宋体"/>
                <w:sz w:val="24"/>
                <w:szCs w:val="24"/>
                <w:highlight w:val="none"/>
              </w:rPr>
            </w:pPr>
          </w:p>
        </w:tc>
        <w:tc>
          <w:tcPr>
            <w:tcW w:w="1526" w:type="dxa"/>
          </w:tcPr>
          <w:p w14:paraId="04DF172D">
            <w:pPr>
              <w:pStyle w:val="15"/>
              <w:ind w:firstLine="480"/>
              <w:rPr>
                <w:rFonts w:hint="eastAsia" w:ascii="宋体" w:hAnsi="宋体" w:eastAsia="宋体" w:cs="宋体"/>
                <w:sz w:val="24"/>
                <w:szCs w:val="24"/>
                <w:highlight w:val="none"/>
              </w:rPr>
            </w:pPr>
          </w:p>
        </w:tc>
        <w:tc>
          <w:tcPr>
            <w:tcW w:w="1618" w:type="dxa"/>
          </w:tcPr>
          <w:p w14:paraId="78654D6F">
            <w:pPr>
              <w:pStyle w:val="15"/>
              <w:ind w:firstLine="480"/>
              <w:rPr>
                <w:rFonts w:hint="eastAsia" w:ascii="宋体" w:hAnsi="宋体" w:eastAsia="宋体" w:cs="宋体"/>
                <w:sz w:val="24"/>
                <w:szCs w:val="24"/>
                <w:highlight w:val="none"/>
              </w:rPr>
            </w:pPr>
          </w:p>
        </w:tc>
        <w:tc>
          <w:tcPr>
            <w:tcW w:w="1397" w:type="dxa"/>
          </w:tcPr>
          <w:p w14:paraId="5DE48011">
            <w:pPr>
              <w:pStyle w:val="15"/>
              <w:ind w:firstLine="480"/>
              <w:rPr>
                <w:rFonts w:hint="eastAsia" w:ascii="宋体" w:hAnsi="宋体" w:eastAsia="宋体" w:cs="宋体"/>
                <w:sz w:val="24"/>
                <w:szCs w:val="24"/>
                <w:highlight w:val="none"/>
              </w:rPr>
            </w:pPr>
          </w:p>
        </w:tc>
        <w:tc>
          <w:tcPr>
            <w:tcW w:w="1397" w:type="dxa"/>
          </w:tcPr>
          <w:p w14:paraId="4A67384B">
            <w:pPr>
              <w:pStyle w:val="15"/>
              <w:ind w:firstLine="480"/>
              <w:rPr>
                <w:rFonts w:hint="eastAsia" w:ascii="宋体" w:hAnsi="宋体" w:eastAsia="宋体" w:cs="宋体"/>
                <w:sz w:val="24"/>
                <w:szCs w:val="24"/>
                <w:highlight w:val="none"/>
              </w:rPr>
            </w:pPr>
          </w:p>
        </w:tc>
        <w:tc>
          <w:tcPr>
            <w:tcW w:w="1178" w:type="dxa"/>
          </w:tcPr>
          <w:p w14:paraId="0C8E11D8">
            <w:pPr>
              <w:pStyle w:val="15"/>
              <w:ind w:firstLine="480"/>
              <w:rPr>
                <w:rFonts w:hint="eastAsia" w:ascii="宋体" w:hAnsi="宋体" w:eastAsia="宋体" w:cs="宋体"/>
                <w:sz w:val="24"/>
                <w:szCs w:val="24"/>
                <w:highlight w:val="none"/>
              </w:rPr>
            </w:pPr>
          </w:p>
        </w:tc>
        <w:tc>
          <w:tcPr>
            <w:tcW w:w="1616" w:type="dxa"/>
          </w:tcPr>
          <w:p w14:paraId="1C196E72">
            <w:pPr>
              <w:pStyle w:val="15"/>
              <w:ind w:firstLine="480"/>
              <w:rPr>
                <w:rFonts w:hint="eastAsia" w:ascii="宋体" w:hAnsi="宋体" w:eastAsia="宋体" w:cs="宋体"/>
                <w:sz w:val="24"/>
                <w:szCs w:val="24"/>
                <w:highlight w:val="none"/>
              </w:rPr>
            </w:pPr>
          </w:p>
        </w:tc>
      </w:tr>
      <w:tr w14:paraId="295F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4" w:type="dxa"/>
          </w:tcPr>
          <w:p w14:paraId="14479715">
            <w:pPr>
              <w:pStyle w:val="15"/>
              <w:ind w:firstLine="480"/>
              <w:rPr>
                <w:rFonts w:hint="eastAsia" w:ascii="宋体" w:hAnsi="宋体" w:eastAsia="宋体" w:cs="宋体"/>
                <w:sz w:val="24"/>
                <w:szCs w:val="24"/>
                <w:highlight w:val="none"/>
              </w:rPr>
            </w:pPr>
          </w:p>
        </w:tc>
        <w:tc>
          <w:tcPr>
            <w:tcW w:w="1526" w:type="dxa"/>
          </w:tcPr>
          <w:p w14:paraId="0F823DF9">
            <w:pPr>
              <w:pStyle w:val="15"/>
              <w:ind w:firstLine="480"/>
              <w:rPr>
                <w:rFonts w:hint="eastAsia" w:ascii="宋体" w:hAnsi="宋体" w:eastAsia="宋体" w:cs="宋体"/>
                <w:sz w:val="24"/>
                <w:szCs w:val="24"/>
                <w:highlight w:val="none"/>
              </w:rPr>
            </w:pPr>
          </w:p>
        </w:tc>
        <w:tc>
          <w:tcPr>
            <w:tcW w:w="1618" w:type="dxa"/>
          </w:tcPr>
          <w:p w14:paraId="675106F7">
            <w:pPr>
              <w:pStyle w:val="15"/>
              <w:ind w:firstLine="480"/>
              <w:rPr>
                <w:rFonts w:hint="eastAsia" w:ascii="宋体" w:hAnsi="宋体" w:eastAsia="宋体" w:cs="宋体"/>
                <w:sz w:val="24"/>
                <w:szCs w:val="24"/>
                <w:highlight w:val="none"/>
              </w:rPr>
            </w:pPr>
          </w:p>
        </w:tc>
        <w:tc>
          <w:tcPr>
            <w:tcW w:w="1397" w:type="dxa"/>
          </w:tcPr>
          <w:p w14:paraId="64E165C1">
            <w:pPr>
              <w:pStyle w:val="15"/>
              <w:ind w:firstLine="480"/>
              <w:rPr>
                <w:rFonts w:hint="eastAsia" w:ascii="宋体" w:hAnsi="宋体" w:eastAsia="宋体" w:cs="宋体"/>
                <w:sz w:val="24"/>
                <w:szCs w:val="24"/>
                <w:highlight w:val="none"/>
              </w:rPr>
            </w:pPr>
          </w:p>
        </w:tc>
        <w:tc>
          <w:tcPr>
            <w:tcW w:w="1397" w:type="dxa"/>
          </w:tcPr>
          <w:p w14:paraId="1E42CEB2">
            <w:pPr>
              <w:pStyle w:val="15"/>
              <w:ind w:firstLine="480"/>
              <w:rPr>
                <w:rFonts w:hint="eastAsia" w:ascii="宋体" w:hAnsi="宋体" w:eastAsia="宋体" w:cs="宋体"/>
                <w:sz w:val="24"/>
                <w:szCs w:val="24"/>
                <w:highlight w:val="none"/>
              </w:rPr>
            </w:pPr>
          </w:p>
        </w:tc>
        <w:tc>
          <w:tcPr>
            <w:tcW w:w="1178" w:type="dxa"/>
          </w:tcPr>
          <w:p w14:paraId="29F4ACD5">
            <w:pPr>
              <w:pStyle w:val="15"/>
              <w:ind w:firstLine="480"/>
              <w:rPr>
                <w:rFonts w:hint="eastAsia" w:ascii="宋体" w:hAnsi="宋体" w:eastAsia="宋体" w:cs="宋体"/>
                <w:sz w:val="24"/>
                <w:szCs w:val="24"/>
                <w:highlight w:val="none"/>
              </w:rPr>
            </w:pPr>
          </w:p>
        </w:tc>
        <w:tc>
          <w:tcPr>
            <w:tcW w:w="1616" w:type="dxa"/>
          </w:tcPr>
          <w:p w14:paraId="01304AD0">
            <w:pPr>
              <w:pStyle w:val="15"/>
              <w:ind w:firstLine="480"/>
              <w:rPr>
                <w:rFonts w:hint="eastAsia" w:ascii="宋体" w:hAnsi="宋体" w:eastAsia="宋体" w:cs="宋体"/>
                <w:sz w:val="24"/>
                <w:szCs w:val="24"/>
                <w:highlight w:val="none"/>
              </w:rPr>
            </w:pPr>
          </w:p>
        </w:tc>
      </w:tr>
      <w:tr w14:paraId="56BD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44" w:type="dxa"/>
          </w:tcPr>
          <w:p w14:paraId="603FE116">
            <w:pPr>
              <w:pStyle w:val="15"/>
              <w:ind w:firstLine="480"/>
              <w:rPr>
                <w:rFonts w:hint="eastAsia" w:ascii="宋体" w:hAnsi="宋体" w:eastAsia="宋体" w:cs="宋体"/>
                <w:sz w:val="24"/>
                <w:szCs w:val="24"/>
                <w:highlight w:val="none"/>
              </w:rPr>
            </w:pPr>
          </w:p>
        </w:tc>
        <w:tc>
          <w:tcPr>
            <w:tcW w:w="1526" w:type="dxa"/>
          </w:tcPr>
          <w:p w14:paraId="25BC0083">
            <w:pPr>
              <w:pStyle w:val="15"/>
              <w:ind w:firstLine="480"/>
              <w:rPr>
                <w:rFonts w:hint="eastAsia" w:ascii="宋体" w:hAnsi="宋体" w:eastAsia="宋体" w:cs="宋体"/>
                <w:sz w:val="24"/>
                <w:szCs w:val="24"/>
                <w:highlight w:val="none"/>
              </w:rPr>
            </w:pPr>
          </w:p>
        </w:tc>
        <w:tc>
          <w:tcPr>
            <w:tcW w:w="1618" w:type="dxa"/>
          </w:tcPr>
          <w:p w14:paraId="159E8102">
            <w:pPr>
              <w:pStyle w:val="15"/>
              <w:ind w:firstLine="480"/>
              <w:rPr>
                <w:rFonts w:hint="eastAsia" w:ascii="宋体" w:hAnsi="宋体" w:eastAsia="宋体" w:cs="宋体"/>
                <w:sz w:val="24"/>
                <w:szCs w:val="24"/>
                <w:highlight w:val="none"/>
              </w:rPr>
            </w:pPr>
          </w:p>
        </w:tc>
        <w:tc>
          <w:tcPr>
            <w:tcW w:w="1397" w:type="dxa"/>
          </w:tcPr>
          <w:p w14:paraId="5CB72E42">
            <w:pPr>
              <w:pStyle w:val="15"/>
              <w:ind w:firstLine="480"/>
              <w:rPr>
                <w:rFonts w:hint="eastAsia" w:ascii="宋体" w:hAnsi="宋体" w:eastAsia="宋体" w:cs="宋体"/>
                <w:sz w:val="24"/>
                <w:szCs w:val="24"/>
                <w:highlight w:val="none"/>
              </w:rPr>
            </w:pPr>
          </w:p>
        </w:tc>
        <w:tc>
          <w:tcPr>
            <w:tcW w:w="1397" w:type="dxa"/>
          </w:tcPr>
          <w:p w14:paraId="30181A28">
            <w:pPr>
              <w:pStyle w:val="15"/>
              <w:ind w:firstLine="480"/>
              <w:rPr>
                <w:rFonts w:hint="eastAsia" w:ascii="宋体" w:hAnsi="宋体" w:eastAsia="宋体" w:cs="宋体"/>
                <w:sz w:val="24"/>
                <w:szCs w:val="24"/>
                <w:highlight w:val="none"/>
              </w:rPr>
            </w:pPr>
          </w:p>
        </w:tc>
        <w:tc>
          <w:tcPr>
            <w:tcW w:w="1178" w:type="dxa"/>
          </w:tcPr>
          <w:p w14:paraId="620B0BB1">
            <w:pPr>
              <w:pStyle w:val="15"/>
              <w:ind w:firstLine="480"/>
              <w:rPr>
                <w:rFonts w:hint="eastAsia" w:ascii="宋体" w:hAnsi="宋体" w:eastAsia="宋体" w:cs="宋体"/>
                <w:sz w:val="24"/>
                <w:szCs w:val="24"/>
                <w:highlight w:val="none"/>
              </w:rPr>
            </w:pPr>
          </w:p>
        </w:tc>
        <w:tc>
          <w:tcPr>
            <w:tcW w:w="1616" w:type="dxa"/>
          </w:tcPr>
          <w:p w14:paraId="7F9770C0">
            <w:pPr>
              <w:pStyle w:val="15"/>
              <w:ind w:firstLine="480"/>
              <w:rPr>
                <w:rFonts w:hint="eastAsia" w:ascii="宋体" w:hAnsi="宋体" w:eastAsia="宋体" w:cs="宋体"/>
                <w:sz w:val="24"/>
                <w:szCs w:val="24"/>
                <w:highlight w:val="none"/>
              </w:rPr>
            </w:pPr>
          </w:p>
        </w:tc>
      </w:tr>
    </w:tbl>
    <w:p w14:paraId="78F80B61">
      <w:p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注：须提供合同关键页（金额页、内容页、盖章页等，合同未能体现金额的提供合同期内实际开具的发票扫描件）或其他有效证明材料（如结算清单或中标通知书等）扫描件</w:t>
      </w:r>
    </w:p>
    <w:p w14:paraId="17E47729">
      <w:pP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br w:type="page"/>
      </w:r>
    </w:p>
    <w:p w14:paraId="33515D4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kern w:val="0"/>
          <w:sz w:val="24"/>
          <w:szCs w:val="24"/>
          <w:highlight w:val="none"/>
          <w:lang w:eastAsia="zh-CN"/>
        </w:rPr>
      </w:pPr>
      <w:r>
        <w:rPr>
          <w:rFonts w:hint="eastAsia" w:ascii="宋体" w:hAnsi="宋体" w:eastAsia="宋体" w:cs="宋体"/>
          <w:b/>
          <w:kern w:val="0"/>
          <w:sz w:val="24"/>
          <w:szCs w:val="24"/>
          <w:highlight w:val="none"/>
          <w:lang w:val="en-US" w:eastAsia="zh-CN"/>
        </w:rPr>
        <w:t>3.3</w:t>
      </w:r>
      <w:r>
        <w:rPr>
          <w:rFonts w:hint="eastAsia" w:ascii="宋体" w:hAnsi="宋体" w:eastAsia="宋体" w:cs="宋体"/>
          <w:b/>
          <w:kern w:val="0"/>
          <w:sz w:val="24"/>
          <w:szCs w:val="24"/>
          <w:highlight w:val="none"/>
          <w:lang w:eastAsia="zh-CN"/>
        </w:rPr>
        <w:t>投标人认为有必要提供的其他资料（格式自拟）</w:t>
      </w:r>
    </w:p>
    <w:p w14:paraId="6C421638">
      <w:pPr>
        <w:bidi w:val="0"/>
        <w:rPr>
          <w:rFonts w:hint="eastAsia" w:ascii="宋体" w:hAnsi="宋体" w:eastAsia="宋体" w:cs="宋体"/>
          <w:sz w:val="24"/>
          <w:szCs w:val="24"/>
          <w:highlight w:val="none"/>
          <w:lang w:eastAsia="zh-CN"/>
        </w:rPr>
      </w:pPr>
    </w:p>
    <w:p w14:paraId="697BABBE">
      <w:pPr>
        <w:rPr>
          <w:rFonts w:hint="eastAsia" w:ascii="宋体" w:hAnsi="宋体" w:eastAsia="宋体" w:cs="宋体"/>
          <w:b/>
          <w:kern w:val="0"/>
          <w:sz w:val="24"/>
          <w:szCs w:val="24"/>
          <w:highlight w:val="none"/>
          <w:lang w:val="zh-CN"/>
        </w:rPr>
      </w:pPr>
    </w:p>
    <w:p w14:paraId="52F3FBD3">
      <w:pPr>
        <w:rPr>
          <w:rFonts w:hint="eastAsia" w:ascii="宋体" w:hAnsi="宋体" w:eastAsia="宋体" w:cs="宋体"/>
          <w:b/>
          <w:bCs/>
          <w:sz w:val="24"/>
          <w:szCs w:val="24"/>
          <w:highlight w:val="none"/>
        </w:rPr>
      </w:pPr>
    </w:p>
    <w:p w14:paraId="22167DB1">
      <w:pPr>
        <w:spacing w:line="360" w:lineRule="auto"/>
        <w:rPr>
          <w:rFonts w:hint="eastAsia" w:ascii="宋体" w:hAnsi="宋体" w:eastAsia="宋体" w:cs="宋体"/>
          <w:b/>
          <w:bCs/>
          <w:kern w:val="0"/>
          <w:sz w:val="24"/>
          <w:szCs w:val="24"/>
          <w:highlight w:val="none"/>
        </w:rPr>
      </w:pPr>
    </w:p>
    <w:p w14:paraId="005DAE00">
      <w:pPr>
        <w:rPr>
          <w:rFonts w:hint="eastAsia" w:ascii="宋体" w:hAnsi="宋体" w:eastAsia="宋体" w:cs="宋体"/>
          <w:sz w:val="24"/>
          <w:szCs w:val="24"/>
          <w:highlight w:val="none"/>
        </w:rPr>
      </w:pPr>
    </w:p>
    <w:p w14:paraId="3F1B7B84">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78ACF145">
      <w:pPr>
        <w:pStyle w:val="32"/>
        <w:rPr>
          <w:rFonts w:hint="eastAsia" w:ascii="宋体" w:hAnsi="宋体" w:eastAsia="宋体" w:cs="宋体"/>
          <w:sz w:val="24"/>
          <w:szCs w:val="24"/>
          <w:highlight w:val="none"/>
        </w:rPr>
      </w:pPr>
    </w:p>
    <w:p w14:paraId="151EFD6F">
      <w:pPr>
        <w:tabs>
          <w:tab w:val="left" w:pos="2790"/>
          <w:tab w:val="left" w:pos="4230"/>
        </w:tabs>
        <w:autoSpaceDE w:val="0"/>
        <w:autoSpaceDN w:val="0"/>
        <w:spacing w:line="360" w:lineRule="auto"/>
        <w:ind w:right="1400"/>
        <w:jc w:val="center"/>
        <w:rPr>
          <w:rFonts w:hint="eastAsia" w:ascii="宋体" w:hAnsi="宋体" w:eastAsia="宋体" w:cs="宋体"/>
          <w:b/>
          <w:bCs/>
          <w:kern w:val="0"/>
          <w:sz w:val="24"/>
          <w:szCs w:val="24"/>
          <w:highlight w:val="none"/>
          <w:lang w:val="zh-CN"/>
        </w:rPr>
      </w:pPr>
    </w:p>
    <w:p w14:paraId="14474E37">
      <w:pPr>
        <w:rPr>
          <w:rFonts w:hint="eastAsia" w:ascii="宋体" w:hAnsi="宋体" w:eastAsia="宋体" w:cs="宋体"/>
          <w:b/>
          <w:kern w:val="0"/>
          <w:sz w:val="24"/>
          <w:szCs w:val="24"/>
          <w:highlight w:val="none"/>
          <w:lang w:val="zh-CN"/>
        </w:rPr>
      </w:pPr>
      <w:bookmarkStart w:id="208" w:name="_Toc10266"/>
      <w:r>
        <w:rPr>
          <w:rFonts w:hint="eastAsia" w:ascii="宋体" w:hAnsi="宋体" w:eastAsia="宋体" w:cs="宋体"/>
          <w:b/>
          <w:kern w:val="0"/>
          <w:sz w:val="24"/>
          <w:szCs w:val="24"/>
          <w:highlight w:val="none"/>
          <w:lang w:val="zh-CN"/>
        </w:rPr>
        <w:t>四、政府采购供应商廉洁自律承诺书</w:t>
      </w:r>
      <w:bookmarkEnd w:id="208"/>
    </w:p>
    <w:p w14:paraId="791B1AFE">
      <w:pPr>
        <w:snapToGrid w:val="0"/>
        <w:spacing w:line="360" w:lineRule="auto"/>
        <w:rPr>
          <w:rFonts w:hint="eastAsia" w:ascii="宋体" w:hAnsi="宋体" w:eastAsia="宋体" w:cs="宋体"/>
          <w:sz w:val="24"/>
          <w:szCs w:val="24"/>
          <w:highlight w:val="none"/>
        </w:rPr>
      </w:pPr>
    </w:p>
    <w:p w14:paraId="0AC492C0">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sz w:val="24"/>
          <w:szCs w:val="24"/>
          <w:highlight w:val="none"/>
          <w:u w:val="single"/>
        </w:rPr>
        <w:t>（采购人）、（采购代理机构）</w:t>
      </w:r>
      <w:r>
        <w:rPr>
          <w:rFonts w:hint="eastAsia" w:ascii="宋体" w:hAnsi="宋体" w:eastAsia="宋体" w:cs="宋体"/>
          <w:kern w:val="0"/>
          <w:sz w:val="24"/>
          <w:szCs w:val="24"/>
          <w:highlight w:val="none"/>
          <w:lang w:val="zh-CN"/>
        </w:rPr>
        <w:t>：</w:t>
      </w:r>
    </w:p>
    <w:p w14:paraId="72F42867">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我单位响应你</w:t>
      </w:r>
      <w:r>
        <w:rPr>
          <w:rFonts w:hint="eastAsia" w:ascii="宋体" w:hAnsi="宋体" w:eastAsia="宋体" w:cs="宋体"/>
          <w:sz w:val="24"/>
          <w:szCs w:val="24"/>
          <w:highlight w:val="none"/>
        </w:rPr>
        <w:t>单位</w:t>
      </w:r>
      <w:r>
        <w:rPr>
          <w:rFonts w:hint="eastAsia" w:ascii="宋体" w:hAnsi="宋体" w:eastAsia="宋体" w:cs="宋体"/>
          <w:kern w:val="0"/>
          <w:sz w:val="24"/>
          <w:szCs w:val="24"/>
          <w:highlight w:val="none"/>
          <w:lang w:val="zh-CN"/>
        </w:rPr>
        <w:t>项目采购要求参加响应。在这次响应过程中和成交后，我们将严格遵守国家法律法规要求，并郑重承诺：</w:t>
      </w:r>
    </w:p>
    <w:p w14:paraId="5BC7822D">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一、不向项目有关人员及部门赠送礼金礼物、有价证券、回扣以及中介费、介绍费、咨询费等好处费；</w:t>
      </w:r>
    </w:p>
    <w:p w14:paraId="52C5B055">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二、不为项目有关人员及部门报销应由你方单位或个人支付的费用；</w:t>
      </w:r>
    </w:p>
    <w:p w14:paraId="3A8E7B6E">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三、不向项目有关人员及部门提供有可能影响公正的宴请和健身娱乐等活动；</w:t>
      </w:r>
    </w:p>
    <w:p w14:paraId="751C5FAD">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四、不为项目有关人员及部门出国（境）、旅游等提供方便；</w:t>
      </w:r>
    </w:p>
    <w:p w14:paraId="018FEBAC">
      <w:pPr>
        <w:autoSpaceDE w:val="0"/>
        <w:autoSpaceDN w:val="0"/>
        <w:spacing w:line="360" w:lineRule="auto"/>
        <w:ind w:left="481" w:leftChars="229"/>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五、不为项目有关人员个人装修住房、婚丧嫁娶、配偶子女工作安排等提供</w:t>
      </w:r>
    </w:p>
    <w:p w14:paraId="3A936A6A">
      <w:pPr>
        <w:autoSpaceDE w:val="0"/>
        <w:autoSpaceDN w:val="0"/>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好处；</w:t>
      </w:r>
    </w:p>
    <w:p w14:paraId="19C38BBE">
      <w:pPr>
        <w:autoSpaceDE w:val="0"/>
        <w:autoSpaceDN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六、严格遵守《中华人民共和国政府采购法》《中华人民共和国招标投标法》《中华人民共和国民法典》等法律法规，诚实守信，合法经营，坚决抵制各种违法违纪行为。</w:t>
      </w:r>
    </w:p>
    <w:p w14:paraId="7E5C2452">
      <w:pPr>
        <w:autoSpaceDE w:val="0"/>
        <w:autoSpaceDN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如违反上述承诺，你</w:t>
      </w:r>
      <w:r>
        <w:rPr>
          <w:rFonts w:hint="eastAsia" w:ascii="宋体" w:hAnsi="宋体" w:eastAsia="宋体" w:cs="宋体"/>
          <w:sz w:val="24"/>
          <w:szCs w:val="24"/>
          <w:highlight w:val="none"/>
        </w:rPr>
        <w:t>单位</w:t>
      </w:r>
      <w:r>
        <w:rPr>
          <w:rFonts w:hint="eastAsia" w:ascii="宋体" w:hAnsi="宋体" w:eastAsia="宋体" w:cs="宋体"/>
          <w:kern w:val="0"/>
          <w:sz w:val="24"/>
          <w:szCs w:val="24"/>
          <w:highlight w:val="none"/>
          <w:lang w:val="zh-CN"/>
        </w:rPr>
        <w:t>有权立即取消我单位响应、成交或在建项目的建设资格，有权拒绝我单位在一定时期内进入你</w:t>
      </w:r>
      <w:r>
        <w:rPr>
          <w:rFonts w:hint="eastAsia" w:ascii="宋体" w:hAnsi="宋体" w:eastAsia="宋体" w:cs="宋体"/>
          <w:sz w:val="24"/>
          <w:szCs w:val="24"/>
          <w:highlight w:val="none"/>
        </w:rPr>
        <w:t>单位</w:t>
      </w:r>
      <w:r>
        <w:rPr>
          <w:rFonts w:hint="eastAsia" w:ascii="宋体" w:hAnsi="宋体" w:eastAsia="宋体" w:cs="宋体"/>
          <w:kern w:val="0"/>
          <w:sz w:val="24"/>
          <w:szCs w:val="24"/>
          <w:highlight w:val="none"/>
          <w:lang w:val="zh-CN"/>
        </w:rPr>
        <w:t>进行项目建设或其他经营活动，并通报市财政局。由此引起的相应损失均由我单位承担。</w:t>
      </w:r>
    </w:p>
    <w:p w14:paraId="1BBE3D48">
      <w:pPr>
        <w:autoSpaceDE w:val="0"/>
        <w:autoSpaceDN w:val="0"/>
        <w:spacing w:line="360" w:lineRule="auto"/>
        <w:ind w:left="2"/>
        <w:jc w:val="left"/>
        <w:rPr>
          <w:rFonts w:hint="eastAsia" w:ascii="宋体" w:hAnsi="宋体" w:eastAsia="宋体" w:cs="宋体"/>
          <w:kern w:val="0"/>
          <w:sz w:val="24"/>
          <w:szCs w:val="24"/>
          <w:highlight w:val="none"/>
          <w:lang w:val="zh-CN"/>
        </w:rPr>
      </w:pPr>
    </w:p>
    <w:p w14:paraId="0F0423F5">
      <w:pPr>
        <w:autoSpaceDE w:val="0"/>
        <w:autoSpaceDN w:val="0"/>
        <w:spacing w:line="360" w:lineRule="auto"/>
        <w:ind w:left="2"/>
        <w:jc w:val="left"/>
        <w:rPr>
          <w:rFonts w:hint="eastAsia" w:ascii="宋体" w:hAnsi="宋体" w:eastAsia="宋体" w:cs="宋体"/>
          <w:kern w:val="0"/>
          <w:sz w:val="24"/>
          <w:szCs w:val="24"/>
          <w:highlight w:val="none"/>
          <w:lang w:val="zh-CN"/>
        </w:rPr>
      </w:pPr>
    </w:p>
    <w:p w14:paraId="2A42731D">
      <w:pPr>
        <w:keepNext w:val="0"/>
        <w:keepLines w:val="0"/>
        <w:pageBreakBefore w:val="0"/>
        <w:widowControl w:val="0"/>
        <w:kinsoku/>
        <w:wordWrap/>
        <w:overflowPunct/>
        <w:topLinePunct w:val="0"/>
        <w:autoSpaceDE/>
        <w:autoSpaceDN/>
        <w:bidi w:val="0"/>
        <w:spacing w:line="360" w:lineRule="auto"/>
        <w:ind w:right="-874" w:rightChars="-416" w:firstLine="5280" w:firstLineChars="2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供应商名称（盖公章或电子签章）：</w:t>
      </w:r>
    </w:p>
    <w:p w14:paraId="0CEDC02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日期：年月日</w:t>
      </w:r>
    </w:p>
    <w:p w14:paraId="2FBA36F7">
      <w:pPr>
        <w:tabs>
          <w:tab w:val="left" w:pos="0"/>
        </w:tabs>
        <w:autoSpaceDE w:val="0"/>
        <w:autoSpaceDN w:val="0"/>
        <w:spacing w:line="360" w:lineRule="auto"/>
        <w:ind w:firstLine="1928" w:firstLineChars="800"/>
        <w:rPr>
          <w:rFonts w:hint="eastAsia" w:ascii="宋体" w:hAnsi="宋体" w:eastAsia="宋体" w:cs="宋体"/>
          <w:b/>
          <w:bCs/>
          <w:sz w:val="24"/>
          <w:szCs w:val="24"/>
          <w:highlight w:val="none"/>
        </w:rPr>
      </w:pPr>
    </w:p>
    <w:p w14:paraId="245DF49A">
      <w:pPr>
        <w:tabs>
          <w:tab w:val="left" w:pos="0"/>
        </w:tabs>
        <w:autoSpaceDE w:val="0"/>
        <w:autoSpaceDN w:val="0"/>
        <w:spacing w:line="360" w:lineRule="auto"/>
        <w:ind w:firstLine="1928" w:firstLineChars="800"/>
        <w:rPr>
          <w:rFonts w:hint="eastAsia" w:ascii="宋体" w:hAnsi="宋体" w:eastAsia="宋体" w:cs="宋体"/>
          <w:b/>
          <w:bCs/>
          <w:sz w:val="24"/>
          <w:szCs w:val="24"/>
          <w:highlight w:val="none"/>
        </w:rPr>
      </w:pPr>
    </w:p>
    <w:p w14:paraId="5BDC8BE9">
      <w:pPr>
        <w:tabs>
          <w:tab w:val="left" w:pos="0"/>
        </w:tabs>
        <w:autoSpaceDE w:val="0"/>
        <w:autoSpaceDN w:val="0"/>
        <w:spacing w:line="360" w:lineRule="auto"/>
        <w:jc w:val="center"/>
        <w:rPr>
          <w:rFonts w:hint="eastAsia" w:ascii="宋体" w:hAnsi="宋体" w:eastAsia="宋体" w:cs="宋体"/>
          <w:b/>
          <w:bCs/>
          <w:sz w:val="24"/>
          <w:szCs w:val="24"/>
          <w:highlight w:val="none"/>
        </w:rPr>
      </w:pPr>
    </w:p>
    <w:p w14:paraId="27420154">
      <w:pPr>
        <w:widowControl/>
        <w:adjustRightInd/>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14:paraId="3DEE3BBE">
      <w:pPr>
        <w:spacing w:line="360" w:lineRule="auto"/>
        <w:jc w:val="center"/>
        <w:outlineLvl w:val="0"/>
        <w:rPr>
          <w:rFonts w:hint="eastAsia" w:ascii="宋体" w:hAnsi="宋体" w:eastAsia="宋体" w:cs="宋体"/>
          <w:b/>
          <w:kern w:val="0"/>
          <w:sz w:val="24"/>
          <w:szCs w:val="24"/>
          <w:highlight w:val="none"/>
        </w:rPr>
      </w:pPr>
      <w:bookmarkStart w:id="209" w:name="_Toc17614"/>
      <w:r>
        <w:rPr>
          <w:rFonts w:hint="eastAsia" w:ascii="宋体" w:hAnsi="宋体" w:eastAsia="宋体" w:cs="宋体"/>
          <w:b/>
          <w:kern w:val="0"/>
          <w:sz w:val="24"/>
          <w:szCs w:val="24"/>
          <w:highlight w:val="none"/>
        </w:rPr>
        <w:t>报价文件部分</w:t>
      </w:r>
      <w:bookmarkEnd w:id="209"/>
    </w:p>
    <w:p w14:paraId="29597F1F">
      <w:pPr>
        <w:snapToGrid w:val="0"/>
        <w:spacing w:line="360" w:lineRule="auto"/>
        <w:jc w:val="center"/>
        <w:outlineLvl w:val="0"/>
        <w:rPr>
          <w:rFonts w:hint="eastAsia" w:ascii="宋体" w:hAnsi="宋体" w:eastAsia="宋体" w:cs="宋体"/>
          <w:b/>
          <w:kern w:val="0"/>
          <w:sz w:val="24"/>
          <w:szCs w:val="24"/>
          <w:highlight w:val="none"/>
        </w:rPr>
      </w:pPr>
      <w:bookmarkStart w:id="210" w:name="_Toc31049"/>
      <w:r>
        <w:rPr>
          <w:rFonts w:hint="eastAsia" w:ascii="宋体" w:hAnsi="宋体" w:eastAsia="宋体" w:cs="宋体"/>
          <w:b/>
          <w:kern w:val="0"/>
          <w:sz w:val="24"/>
          <w:szCs w:val="24"/>
          <w:highlight w:val="none"/>
        </w:rPr>
        <w:t>一、初始报价一览表</w:t>
      </w:r>
      <w:bookmarkEnd w:id="210"/>
    </w:p>
    <w:p w14:paraId="0BFC5932">
      <w:pPr>
        <w:spacing w:line="360" w:lineRule="auto"/>
        <w:ind w:right="480"/>
        <w:rPr>
          <w:rFonts w:hint="eastAsia" w:ascii="宋体" w:hAnsi="宋体" w:eastAsia="宋体" w:cs="宋体"/>
          <w:color w:val="000000" w:themeColor="text1"/>
          <w:sz w:val="24"/>
          <w:szCs w:val="24"/>
          <w:highlight w:val="none"/>
          <w14:textFill>
            <w14:solidFill>
              <w14:schemeClr w14:val="tx1"/>
            </w14:solidFill>
          </w14:textFill>
        </w:rPr>
      </w:pPr>
    </w:p>
    <w:p w14:paraId="5A4C6E8F">
      <w:pPr>
        <w:spacing w:line="360" w:lineRule="auto"/>
        <w:ind w:right="480"/>
        <w:rPr>
          <w:rFonts w:hint="eastAsia" w:ascii="宋体" w:hAnsi="宋体" w:eastAsia="宋体" w:cs="宋体"/>
          <w:sz w:val="24"/>
          <w:szCs w:val="24"/>
          <w:highlight w:val="none"/>
          <w:lang w:eastAsia="zh-CN"/>
        </w:rPr>
      </w:pPr>
      <w:r>
        <w:rPr>
          <w:rFonts w:hint="eastAsia" w:ascii="宋体" w:hAnsi="宋体" w:eastAsia="宋体" w:cs="宋体"/>
          <w:color w:val="000000" w:themeColor="text1"/>
          <w:sz w:val="24"/>
          <w:szCs w:val="24"/>
          <w:highlight w:val="none"/>
          <w14:textFill>
            <w14:solidFill>
              <w14:schemeClr w14:val="tx1"/>
            </w14:solidFill>
          </w14:textFill>
        </w:rPr>
        <w:t>项目名称：</w:t>
      </w:r>
    </w:p>
    <w:p w14:paraId="4C7F2BE4">
      <w:pPr>
        <w:spacing w:line="360" w:lineRule="auto"/>
        <w:ind w:righ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tbl>
      <w:tblPr>
        <w:tblStyle w:val="61"/>
        <w:tblW w:w="953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668"/>
        <w:gridCol w:w="1459"/>
        <w:gridCol w:w="1747"/>
        <w:gridCol w:w="1646"/>
        <w:gridCol w:w="1184"/>
        <w:gridCol w:w="1184"/>
      </w:tblGrid>
      <w:tr w14:paraId="5C0D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49" w:type="dxa"/>
            <w:tcBorders>
              <w:top w:val="single" w:color="auto" w:sz="4" w:space="0"/>
            </w:tcBorders>
            <w:noWrap/>
            <w:vAlign w:val="center"/>
          </w:tcPr>
          <w:p w14:paraId="5CB31BAC">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1668" w:type="dxa"/>
            <w:tcBorders>
              <w:top w:val="single" w:color="auto" w:sz="4" w:space="0"/>
            </w:tcBorders>
            <w:shd w:val="clear" w:color="auto" w:fill="auto"/>
            <w:noWrap w:val="0"/>
            <w:vAlign w:val="center"/>
          </w:tcPr>
          <w:p w14:paraId="30B2D0B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2"/>
                <w:sz w:val="24"/>
                <w:szCs w:val="24"/>
                <w:highlight w:val="none"/>
                <w:u w:val="none"/>
                <w:lang w:val="en-US" w:eastAsia="zh-CN" w:bidi="ar-SA"/>
              </w:rPr>
              <w:t>标项名称</w:t>
            </w:r>
          </w:p>
        </w:tc>
        <w:tc>
          <w:tcPr>
            <w:tcW w:w="1459" w:type="dxa"/>
            <w:tcBorders>
              <w:top w:val="single" w:color="auto" w:sz="4" w:space="0"/>
            </w:tcBorders>
            <w:shd w:val="clear" w:color="auto" w:fill="auto"/>
            <w:noWrap/>
            <w:vAlign w:val="center"/>
          </w:tcPr>
          <w:p w14:paraId="1266414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2"/>
                <w:sz w:val="24"/>
                <w:szCs w:val="24"/>
                <w:highlight w:val="none"/>
                <w:u w:val="none"/>
                <w:lang w:val="en-US" w:eastAsia="zh-CN" w:bidi="ar-SA"/>
              </w:rPr>
              <w:t>报价（元）</w:t>
            </w:r>
          </w:p>
        </w:tc>
        <w:tc>
          <w:tcPr>
            <w:tcW w:w="1747" w:type="dxa"/>
            <w:tcBorders>
              <w:top w:val="single" w:color="auto" w:sz="4" w:space="0"/>
            </w:tcBorders>
            <w:shd w:val="clear" w:color="auto" w:fill="auto"/>
            <w:noWrap w:val="0"/>
            <w:vAlign w:val="center"/>
          </w:tcPr>
          <w:p w14:paraId="109B1482">
            <w:pPr>
              <w:tabs>
                <w:tab w:val="left" w:pos="623"/>
              </w:tabs>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合同履约期限</w:t>
            </w:r>
          </w:p>
        </w:tc>
        <w:tc>
          <w:tcPr>
            <w:tcW w:w="1646" w:type="dxa"/>
            <w:tcBorders>
              <w:top w:val="single" w:color="auto" w:sz="4" w:space="0"/>
            </w:tcBorders>
            <w:shd w:val="clear" w:color="auto" w:fill="auto"/>
            <w:noWrap w:val="0"/>
            <w:vAlign w:val="center"/>
          </w:tcPr>
          <w:p w14:paraId="3E242398">
            <w:pPr>
              <w:tabs>
                <w:tab w:val="left" w:pos="623"/>
              </w:tabs>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供货期/服务项目负责人</w:t>
            </w:r>
          </w:p>
        </w:tc>
        <w:tc>
          <w:tcPr>
            <w:tcW w:w="1184" w:type="dxa"/>
            <w:tcBorders>
              <w:top w:val="single" w:color="auto" w:sz="4" w:space="0"/>
            </w:tcBorders>
            <w:noWrap w:val="0"/>
            <w:vAlign w:val="center"/>
          </w:tcPr>
          <w:p w14:paraId="66A68DB7">
            <w:pPr>
              <w:tabs>
                <w:tab w:val="left" w:pos="623"/>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保证金缴纳方式</w:t>
            </w:r>
          </w:p>
        </w:tc>
        <w:tc>
          <w:tcPr>
            <w:tcW w:w="1184" w:type="dxa"/>
            <w:tcBorders>
              <w:top w:val="single" w:color="auto" w:sz="4" w:space="0"/>
            </w:tcBorders>
            <w:noWrap w:val="0"/>
            <w:vAlign w:val="center"/>
          </w:tcPr>
          <w:p w14:paraId="04115CF8">
            <w:pPr>
              <w:tabs>
                <w:tab w:val="left" w:pos="623"/>
              </w:tabs>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备注</w:t>
            </w:r>
          </w:p>
        </w:tc>
      </w:tr>
      <w:tr w14:paraId="4D85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49" w:type="dxa"/>
            <w:noWrap/>
            <w:vAlign w:val="center"/>
          </w:tcPr>
          <w:p w14:paraId="53B5B65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1668" w:type="dxa"/>
            <w:noWrap w:val="0"/>
            <w:vAlign w:val="center"/>
          </w:tcPr>
          <w:p w14:paraId="03B4D56A">
            <w:pPr>
              <w:widowControl/>
              <w:jc w:val="center"/>
              <w:rPr>
                <w:rFonts w:hint="eastAsia" w:ascii="宋体" w:hAnsi="宋体" w:eastAsia="宋体" w:cs="宋体"/>
                <w:kern w:val="0"/>
                <w:sz w:val="24"/>
                <w:szCs w:val="24"/>
                <w:highlight w:val="none"/>
              </w:rPr>
            </w:pPr>
          </w:p>
        </w:tc>
        <w:tc>
          <w:tcPr>
            <w:tcW w:w="1459" w:type="dxa"/>
            <w:noWrap/>
            <w:vAlign w:val="center"/>
          </w:tcPr>
          <w:p w14:paraId="7DCF0488">
            <w:pPr>
              <w:widowControl/>
              <w:jc w:val="center"/>
              <w:rPr>
                <w:rFonts w:hint="eastAsia" w:ascii="宋体" w:hAnsi="宋体" w:eastAsia="宋体" w:cs="宋体"/>
                <w:kern w:val="0"/>
                <w:sz w:val="24"/>
                <w:szCs w:val="24"/>
                <w:highlight w:val="none"/>
              </w:rPr>
            </w:pPr>
          </w:p>
        </w:tc>
        <w:tc>
          <w:tcPr>
            <w:tcW w:w="1747" w:type="dxa"/>
            <w:noWrap w:val="0"/>
            <w:vAlign w:val="top"/>
          </w:tcPr>
          <w:p w14:paraId="2456DEC9">
            <w:pPr>
              <w:widowControl/>
              <w:jc w:val="center"/>
              <w:rPr>
                <w:rFonts w:hint="eastAsia" w:ascii="宋体" w:hAnsi="宋体" w:eastAsia="宋体" w:cs="宋体"/>
                <w:kern w:val="0"/>
                <w:sz w:val="24"/>
                <w:szCs w:val="24"/>
                <w:highlight w:val="none"/>
              </w:rPr>
            </w:pPr>
          </w:p>
        </w:tc>
        <w:tc>
          <w:tcPr>
            <w:tcW w:w="1646" w:type="dxa"/>
            <w:noWrap w:val="0"/>
            <w:vAlign w:val="top"/>
          </w:tcPr>
          <w:p w14:paraId="5E79A745">
            <w:pPr>
              <w:widowControl/>
              <w:jc w:val="center"/>
              <w:rPr>
                <w:rFonts w:hint="eastAsia" w:ascii="宋体" w:hAnsi="宋体" w:eastAsia="宋体" w:cs="宋体"/>
                <w:kern w:val="0"/>
                <w:sz w:val="24"/>
                <w:szCs w:val="24"/>
                <w:highlight w:val="none"/>
              </w:rPr>
            </w:pPr>
          </w:p>
        </w:tc>
        <w:tc>
          <w:tcPr>
            <w:tcW w:w="1184" w:type="dxa"/>
            <w:noWrap w:val="0"/>
            <w:vAlign w:val="top"/>
          </w:tcPr>
          <w:p w14:paraId="4FEC874B">
            <w:pPr>
              <w:widowControl/>
              <w:jc w:val="center"/>
              <w:rPr>
                <w:rFonts w:hint="eastAsia" w:ascii="宋体" w:hAnsi="宋体" w:eastAsia="宋体" w:cs="宋体"/>
                <w:kern w:val="0"/>
                <w:sz w:val="24"/>
                <w:szCs w:val="24"/>
                <w:highlight w:val="none"/>
              </w:rPr>
            </w:pPr>
          </w:p>
        </w:tc>
        <w:tc>
          <w:tcPr>
            <w:tcW w:w="1184" w:type="dxa"/>
            <w:noWrap w:val="0"/>
            <w:vAlign w:val="top"/>
          </w:tcPr>
          <w:p w14:paraId="28484ADE">
            <w:pPr>
              <w:widowControl/>
              <w:jc w:val="center"/>
              <w:rPr>
                <w:rFonts w:hint="eastAsia" w:ascii="宋体" w:hAnsi="宋体" w:eastAsia="宋体" w:cs="宋体"/>
                <w:kern w:val="0"/>
                <w:sz w:val="24"/>
                <w:szCs w:val="24"/>
                <w:highlight w:val="none"/>
              </w:rPr>
            </w:pPr>
          </w:p>
        </w:tc>
      </w:tr>
      <w:tr w14:paraId="4541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49" w:type="dxa"/>
            <w:noWrap/>
            <w:vAlign w:val="center"/>
          </w:tcPr>
          <w:p w14:paraId="6AC6971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c>
          <w:tcPr>
            <w:tcW w:w="1668" w:type="dxa"/>
            <w:noWrap w:val="0"/>
            <w:vAlign w:val="center"/>
          </w:tcPr>
          <w:p w14:paraId="2526C9BD">
            <w:pPr>
              <w:widowControl/>
              <w:jc w:val="center"/>
              <w:rPr>
                <w:rFonts w:hint="eastAsia" w:ascii="宋体" w:hAnsi="宋体" w:eastAsia="宋体" w:cs="宋体"/>
                <w:kern w:val="0"/>
                <w:sz w:val="24"/>
                <w:szCs w:val="24"/>
                <w:highlight w:val="none"/>
              </w:rPr>
            </w:pPr>
          </w:p>
        </w:tc>
        <w:tc>
          <w:tcPr>
            <w:tcW w:w="1459" w:type="dxa"/>
            <w:noWrap/>
            <w:vAlign w:val="center"/>
          </w:tcPr>
          <w:p w14:paraId="62B950FB">
            <w:pPr>
              <w:widowControl/>
              <w:jc w:val="center"/>
              <w:rPr>
                <w:rFonts w:hint="eastAsia" w:ascii="宋体" w:hAnsi="宋体" w:eastAsia="宋体" w:cs="宋体"/>
                <w:kern w:val="0"/>
                <w:sz w:val="24"/>
                <w:szCs w:val="24"/>
                <w:highlight w:val="none"/>
              </w:rPr>
            </w:pPr>
          </w:p>
        </w:tc>
        <w:tc>
          <w:tcPr>
            <w:tcW w:w="1747" w:type="dxa"/>
            <w:noWrap w:val="0"/>
            <w:vAlign w:val="top"/>
          </w:tcPr>
          <w:p w14:paraId="27BCF346">
            <w:pPr>
              <w:widowControl/>
              <w:jc w:val="center"/>
              <w:rPr>
                <w:rFonts w:hint="eastAsia" w:ascii="宋体" w:hAnsi="宋体" w:eastAsia="宋体" w:cs="宋体"/>
                <w:kern w:val="0"/>
                <w:sz w:val="24"/>
                <w:szCs w:val="24"/>
                <w:highlight w:val="none"/>
              </w:rPr>
            </w:pPr>
          </w:p>
        </w:tc>
        <w:tc>
          <w:tcPr>
            <w:tcW w:w="1646" w:type="dxa"/>
            <w:noWrap w:val="0"/>
            <w:vAlign w:val="top"/>
          </w:tcPr>
          <w:p w14:paraId="40AB7F2B">
            <w:pPr>
              <w:widowControl/>
              <w:jc w:val="center"/>
              <w:rPr>
                <w:rFonts w:hint="eastAsia" w:ascii="宋体" w:hAnsi="宋体" w:eastAsia="宋体" w:cs="宋体"/>
                <w:kern w:val="0"/>
                <w:sz w:val="24"/>
                <w:szCs w:val="24"/>
                <w:highlight w:val="none"/>
              </w:rPr>
            </w:pPr>
          </w:p>
        </w:tc>
        <w:tc>
          <w:tcPr>
            <w:tcW w:w="1184" w:type="dxa"/>
            <w:noWrap w:val="0"/>
            <w:vAlign w:val="top"/>
          </w:tcPr>
          <w:p w14:paraId="1F10E6D0">
            <w:pPr>
              <w:widowControl/>
              <w:jc w:val="center"/>
              <w:rPr>
                <w:rFonts w:hint="eastAsia" w:ascii="宋体" w:hAnsi="宋体" w:eastAsia="宋体" w:cs="宋体"/>
                <w:kern w:val="0"/>
                <w:sz w:val="24"/>
                <w:szCs w:val="24"/>
                <w:highlight w:val="none"/>
              </w:rPr>
            </w:pPr>
          </w:p>
        </w:tc>
        <w:tc>
          <w:tcPr>
            <w:tcW w:w="1184" w:type="dxa"/>
            <w:noWrap w:val="0"/>
            <w:vAlign w:val="top"/>
          </w:tcPr>
          <w:p w14:paraId="55886C76">
            <w:pPr>
              <w:widowControl/>
              <w:jc w:val="center"/>
              <w:rPr>
                <w:rFonts w:hint="eastAsia" w:ascii="宋体" w:hAnsi="宋体" w:eastAsia="宋体" w:cs="宋体"/>
                <w:kern w:val="0"/>
                <w:sz w:val="24"/>
                <w:szCs w:val="24"/>
                <w:highlight w:val="none"/>
              </w:rPr>
            </w:pPr>
          </w:p>
        </w:tc>
      </w:tr>
      <w:tr w14:paraId="326A3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49" w:type="dxa"/>
            <w:shd w:val="clear" w:color="auto" w:fill="auto"/>
            <w:noWrap/>
            <w:vAlign w:val="center"/>
          </w:tcPr>
          <w:p w14:paraId="3799E17A">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w:t>
            </w:r>
          </w:p>
        </w:tc>
        <w:tc>
          <w:tcPr>
            <w:tcW w:w="1668" w:type="dxa"/>
            <w:shd w:val="clear" w:color="auto" w:fill="auto"/>
            <w:noWrap w:val="0"/>
            <w:vAlign w:val="center"/>
          </w:tcPr>
          <w:p w14:paraId="7C5D0654">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w:t>
            </w:r>
          </w:p>
        </w:tc>
        <w:tc>
          <w:tcPr>
            <w:tcW w:w="1459" w:type="dxa"/>
            <w:shd w:val="clear" w:color="auto" w:fill="auto"/>
            <w:noWrap/>
            <w:vAlign w:val="center"/>
          </w:tcPr>
          <w:p w14:paraId="7C489D07">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w:t>
            </w:r>
          </w:p>
        </w:tc>
        <w:tc>
          <w:tcPr>
            <w:tcW w:w="1747" w:type="dxa"/>
            <w:shd w:val="clear" w:color="auto" w:fill="auto"/>
            <w:noWrap w:val="0"/>
            <w:vAlign w:val="center"/>
          </w:tcPr>
          <w:p w14:paraId="63413668">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w:t>
            </w:r>
          </w:p>
        </w:tc>
        <w:tc>
          <w:tcPr>
            <w:tcW w:w="1646" w:type="dxa"/>
            <w:shd w:val="clear" w:color="auto" w:fill="auto"/>
            <w:noWrap w:val="0"/>
            <w:vAlign w:val="center"/>
          </w:tcPr>
          <w:p w14:paraId="665B007A">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w:t>
            </w:r>
          </w:p>
        </w:tc>
        <w:tc>
          <w:tcPr>
            <w:tcW w:w="1184" w:type="dxa"/>
            <w:shd w:val="clear" w:color="auto" w:fill="auto"/>
            <w:noWrap w:val="0"/>
            <w:vAlign w:val="center"/>
          </w:tcPr>
          <w:p w14:paraId="46E6F3F8">
            <w:pPr>
              <w:widowControl/>
              <w:jc w:val="center"/>
              <w:rPr>
                <w:rFonts w:hint="eastAsia" w:ascii="宋体" w:hAnsi="宋体" w:eastAsia="宋体" w:cs="宋体"/>
                <w:kern w:val="0"/>
                <w:sz w:val="24"/>
                <w:szCs w:val="24"/>
                <w:highlight w:val="none"/>
                <w:lang w:val="en-US" w:eastAsia="zh-CN"/>
              </w:rPr>
            </w:pPr>
          </w:p>
        </w:tc>
        <w:tc>
          <w:tcPr>
            <w:tcW w:w="1184" w:type="dxa"/>
            <w:shd w:val="clear" w:color="auto" w:fill="auto"/>
            <w:noWrap w:val="0"/>
            <w:vAlign w:val="center"/>
          </w:tcPr>
          <w:p w14:paraId="3F003A50">
            <w:pPr>
              <w:widowControl/>
              <w:jc w:val="center"/>
              <w:rPr>
                <w:rFonts w:hint="eastAsia" w:ascii="宋体" w:hAnsi="宋体" w:eastAsia="宋体" w:cs="宋体"/>
                <w:kern w:val="0"/>
                <w:sz w:val="24"/>
                <w:szCs w:val="24"/>
                <w:highlight w:val="none"/>
                <w:lang w:val="en-US" w:eastAsia="zh-CN"/>
              </w:rPr>
            </w:pPr>
          </w:p>
        </w:tc>
      </w:tr>
      <w:tr w14:paraId="3C22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3776" w:type="dxa"/>
            <w:gridSpan w:val="3"/>
            <w:noWrap/>
            <w:vAlign w:val="center"/>
          </w:tcPr>
          <w:p w14:paraId="3E6B5BB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合计总价（元）</w:t>
            </w:r>
          </w:p>
        </w:tc>
        <w:tc>
          <w:tcPr>
            <w:tcW w:w="3393" w:type="dxa"/>
            <w:gridSpan w:val="2"/>
            <w:noWrap w:val="0"/>
            <w:vAlign w:val="center"/>
          </w:tcPr>
          <w:p w14:paraId="78865482">
            <w:pPr>
              <w:widowControl/>
              <w:jc w:val="center"/>
              <w:rPr>
                <w:rFonts w:hint="eastAsia" w:ascii="宋体" w:hAnsi="宋体" w:eastAsia="宋体" w:cs="宋体"/>
                <w:kern w:val="0"/>
                <w:sz w:val="24"/>
                <w:szCs w:val="24"/>
                <w:highlight w:val="none"/>
                <w:lang w:val="en-US" w:eastAsia="zh-CN"/>
              </w:rPr>
            </w:pPr>
          </w:p>
        </w:tc>
        <w:tc>
          <w:tcPr>
            <w:tcW w:w="1184" w:type="dxa"/>
            <w:noWrap w:val="0"/>
            <w:vAlign w:val="center"/>
          </w:tcPr>
          <w:p w14:paraId="59FE381D">
            <w:pPr>
              <w:widowControl/>
              <w:jc w:val="center"/>
              <w:rPr>
                <w:rFonts w:hint="eastAsia" w:ascii="宋体" w:hAnsi="宋体" w:eastAsia="宋体" w:cs="宋体"/>
                <w:kern w:val="0"/>
                <w:sz w:val="24"/>
                <w:szCs w:val="24"/>
                <w:highlight w:val="none"/>
                <w:lang w:val="en-US" w:eastAsia="zh-CN"/>
              </w:rPr>
            </w:pPr>
          </w:p>
        </w:tc>
        <w:tc>
          <w:tcPr>
            <w:tcW w:w="1184" w:type="dxa"/>
            <w:noWrap w:val="0"/>
            <w:vAlign w:val="center"/>
          </w:tcPr>
          <w:p w14:paraId="45164820">
            <w:pPr>
              <w:widowControl/>
              <w:jc w:val="center"/>
              <w:rPr>
                <w:rFonts w:hint="eastAsia" w:ascii="宋体" w:hAnsi="宋体" w:eastAsia="宋体" w:cs="宋体"/>
                <w:kern w:val="0"/>
                <w:sz w:val="24"/>
                <w:szCs w:val="24"/>
                <w:highlight w:val="none"/>
                <w:lang w:val="en-US" w:eastAsia="zh-CN"/>
              </w:rPr>
            </w:pPr>
          </w:p>
        </w:tc>
      </w:tr>
    </w:tbl>
    <w:p w14:paraId="17CBE59A">
      <w:pPr>
        <w:pStyle w:val="643"/>
        <w:jc w:val="center"/>
        <w:outlineLvl w:val="2"/>
        <w:rPr>
          <w:rFonts w:hint="eastAsia" w:ascii="宋体" w:hAnsi="宋体" w:eastAsia="宋体" w:cs="宋体"/>
          <w:sz w:val="24"/>
          <w:szCs w:val="24"/>
          <w:highlight w:val="none"/>
        </w:rPr>
      </w:pPr>
    </w:p>
    <w:p w14:paraId="1BC7B6A3">
      <w:pPr>
        <w:numPr>
          <w:ilvl w:val="0"/>
          <w:numId w:val="70"/>
        </w:numPr>
        <w:snapToGrid w:val="0"/>
        <w:spacing w:line="360" w:lineRule="auto"/>
        <w:ind w:left="-2" w:leftChars="-1" w:firstLine="480" w:firstLineChars="200"/>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备注：此报价含税、含运费，为到场落地含税价。最终根据所报单价以实际发生量进行结算。</w:t>
      </w:r>
    </w:p>
    <w:p w14:paraId="629B2C6B">
      <w:pPr>
        <w:snapToGrid w:val="0"/>
        <w:spacing w:line="360" w:lineRule="auto"/>
        <w:ind w:left="480"/>
        <w:rPr>
          <w:rFonts w:hint="eastAsia" w:ascii="宋体" w:hAnsi="宋体" w:eastAsia="宋体" w:cs="宋体"/>
          <w:b/>
          <w:kern w:val="0"/>
          <w:sz w:val="24"/>
          <w:szCs w:val="24"/>
          <w:highlight w:val="none"/>
          <w:lang w:val="zh-CN"/>
        </w:rPr>
      </w:pPr>
    </w:p>
    <w:p w14:paraId="07887A70">
      <w:pPr>
        <w:pStyle w:val="23"/>
        <w:rPr>
          <w:rFonts w:hint="eastAsia" w:ascii="宋体" w:hAnsi="宋体" w:eastAsia="宋体" w:cs="宋体"/>
          <w:b/>
          <w:kern w:val="0"/>
          <w:sz w:val="24"/>
          <w:szCs w:val="24"/>
          <w:highlight w:val="none"/>
          <w:lang w:val="zh-CN"/>
        </w:rPr>
      </w:pPr>
    </w:p>
    <w:p w14:paraId="6B9271E9">
      <w:pPr>
        <w:pStyle w:val="23"/>
        <w:rPr>
          <w:rFonts w:hint="eastAsia" w:ascii="宋体" w:hAnsi="宋体" w:eastAsia="宋体" w:cs="宋体"/>
          <w:b/>
          <w:kern w:val="0"/>
          <w:sz w:val="24"/>
          <w:szCs w:val="24"/>
          <w:highlight w:val="none"/>
          <w:lang w:val="en-US" w:eastAsia="zh-CN"/>
        </w:rPr>
      </w:pPr>
    </w:p>
    <w:p w14:paraId="3CD5113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br w:type="page"/>
      </w:r>
    </w:p>
    <w:p w14:paraId="5CF13D1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附件1：</w:t>
      </w:r>
    </w:p>
    <w:p w14:paraId="6B990A0B">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b/>
          <w:spacing w:val="6"/>
          <w:sz w:val="24"/>
          <w:szCs w:val="24"/>
          <w:highlight w:val="none"/>
        </w:rPr>
      </w:pPr>
      <w:bookmarkStart w:id="211" w:name="OLE_LINK13"/>
      <w:bookmarkStart w:id="212" w:name="OLE_LINK14"/>
      <w:r>
        <w:rPr>
          <w:rFonts w:hint="eastAsia" w:ascii="宋体" w:hAnsi="宋体" w:eastAsia="宋体" w:cs="宋体"/>
          <w:b/>
          <w:spacing w:val="6"/>
          <w:sz w:val="24"/>
          <w:szCs w:val="24"/>
          <w:highlight w:val="none"/>
        </w:rPr>
        <w:t>残疾人福利性单位声明函</w:t>
      </w:r>
    </w:p>
    <w:bookmarkEnd w:id="211"/>
    <w:bookmarkEnd w:id="212"/>
    <w:p w14:paraId="3BD7809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spacing w:val="6"/>
          <w:sz w:val="24"/>
          <w:szCs w:val="24"/>
          <w:highlight w:val="none"/>
        </w:rPr>
      </w:pPr>
    </w:p>
    <w:p w14:paraId="2D637F3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EB16E3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本单位对上述声明的真实性负责。如有虚假，将依法承担相应责任。</w:t>
      </w:r>
    </w:p>
    <w:p w14:paraId="2A7E5D4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highlight w:val="none"/>
        </w:rPr>
      </w:pPr>
    </w:p>
    <w:p w14:paraId="7E7A566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highlight w:val="none"/>
        </w:rPr>
      </w:pPr>
    </w:p>
    <w:p w14:paraId="5701FC88">
      <w:pPr>
        <w:spacing w:line="360" w:lineRule="auto"/>
        <w:ind w:right="-874" w:rightChars="-416"/>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供应商名称（盖公章或电子签章）：</w:t>
      </w:r>
    </w:p>
    <w:p w14:paraId="5EA68161">
      <w:pPr>
        <w:spacing w:line="360" w:lineRule="auto"/>
        <w:ind w:right="-874" w:rightChars="-416" w:firstLine="5280" w:firstLineChars="2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日期：年月日</w:t>
      </w:r>
    </w:p>
    <w:p w14:paraId="5FBD76FD">
      <w:pPr>
        <w:pStyle w:val="23"/>
        <w:rPr>
          <w:rFonts w:hint="eastAsia" w:ascii="宋体" w:hAnsi="宋体" w:eastAsia="宋体" w:cs="宋体"/>
          <w:sz w:val="24"/>
          <w:szCs w:val="24"/>
          <w:highlight w:val="none"/>
        </w:rPr>
      </w:pPr>
    </w:p>
    <w:p w14:paraId="633A8EC3">
      <w:pPr>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br w:type="page"/>
      </w:r>
    </w:p>
    <w:p w14:paraId="088C746F">
      <w:pPr>
        <w:spacing w:line="360" w:lineRule="auto"/>
        <w:jc w:val="left"/>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附件2：质疑函范本及制作说明</w:t>
      </w:r>
    </w:p>
    <w:p w14:paraId="1FFBC324">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质疑函范本</w:t>
      </w:r>
    </w:p>
    <w:p w14:paraId="1A92B40F">
      <w:pPr>
        <w:keepNext w:val="0"/>
        <w:keepLines w:val="0"/>
        <w:pageBreakBefore w:val="0"/>
        <w:kinsoku/>
        <w:wordWrap/>
        <w:overflowPunct/>
        <w:topLinePunct w:val="0"/>
        <w:autoSpaceDE/>
        <w:autoSpaceDN/>
        <w:bidi w:val="0"/>
        <w:adjustRightInd w:val="0"/>
        <w:snapToGrid w:val="0"/>
        <w:spacing w:beforeLines="100"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一、质疑供应商基本信息</w:t>
      </w:r>
    </w:p>
    <w:p w14:paraId="42ADC14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u w:val="dotted"/>
          <w:lang w:eastAsia="zh-CN"/>
        </w:rPr>
      </w:pPr>
      <w:r>
        <w:rPr>
          <w:rFonts w:hint="eastAsia" w:ascii="宋体" w:hAnsi="宋体" w:eastAsia="宋体" w:cs="宋体"/>
          <w:sz w:val="24"/>
          <w:szCs w:val="24"/>
          <w:highlight w:val="none"/>
        </w:rPr>
        <w:t>质疑供应商：</w:t>
      </w:r>
    </w:p>
    <w:p w14:paraId="75A765C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地址：邮编：</w:t>
      </w:r>
    </w:p>
    <w:p w14:paraId="48A4D73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联系人：联系电话：</w:t>
      </w:r>
    </w:p>
    <w:p w14:paraId="40BD226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u w:val="dotted"/>
          <w:lang w:eastAsia="zh-CN"/>
        </w:rPr>
      </w:pPr>
      <w:r>
        <w:rPr>
          <w:rFonts w:hint="eastAsia" w:ascii="宋体" w:hAnsi="宋体" w:eastAsia="宋体" w:cs="宋体"/>
          <w:sz w:val="24"/>
          <w:szCs w:val="24"/>
          <w:highlight w:val="none"/>
        </w:rPr>
        <w:t>授权代表：</w:t>
      </w:r>
    </w:p>
    <w:p w14:paraId="3B1EDD1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联系电话：</w:t>
      </w:r>
    </w:p>
    <w:p w14:paraId="55EF444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地址：邮编：</w:t>
      </w:r>
    </w:p>
    <w:p w14:paraId="7B04610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二、质疑项目基本情况</w:t>
      </w:r>
    </w:p>
    <w:p w14:paraId="1975B5F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质疑项目的名称：</w:t>
      </w:r>
    </w:p>
    <w:p w14:paraId="1F827EC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质疑项目的编号：包号：</w:t>
      </w:r>
    </w:p>
    <w:p w14:paraId="1A665EB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u w:val="dotted"/>
          <w:lang w:eastAsia="zh-CN"/>
        </w:rPr>
      </w:pPr>
      <w:r>
        <w:rPr>
          <w:rFonts w:hint="eastAsia" w:ascii="宋体" w:hAnsi="宋体" w:eastAsia="宋体" w:cs="宋体"/>
          <w:sz w:val="24"/>
          <w:szCs w:val="24"/>
          <w:highlight w:val="none"/>
        </w:rPr>
        <w:t>采购人名称：</w:t>
      </w:r>
    </w:p>
    <w:p w14:paraId="2283862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采购文件获取日期：</w:t>
      </w:r>
    </w:p>
    <w:p w14:paraId="70AA548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三、质疑事项具体内容</w:t>
      </w:r>
    </w:p>
    <w:p w14:paraId="5B67CC1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u w:val="dotted"/>
          <w:lang w:eastAsia="zh-CN"/>
        </w:rPr>
      </w:pPr>
      <w:r>
        <w:rPr>
          <w:rFonts w:hint="eastAsia" w:ascii="宋体" w:hAnsi="宋体" w:eastAsia="宋体" w:cs="宋体"/>
          <w:sz w:val="24"/>
          <w:szCs w:val="24"/>
          <w:highlight w:val="none"/>
        </w:rPr>
        <w:t>质疑事项1：</w:t>
      </w:r>
    </w:p>
    <w:p w14:paraId="1ED579F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u w:val="dotted"/>
          <w:lang w:eastAsia="zh-CN"/>
        </w:rPr>
      </w:pPr>
      <w:r>
        <w:rPr>
          <w:rFonts w:hint="eastAsia" w:ascii="宋体" w:hAnsi="宋体" w:eastAsia="宋体" w:cs="宋体"/>
          <w:sz w:val="24"/>
          <w:szCs w:val="24"/>
          <w:highlight w:val="none"/>
        </w:rPr>
        <w:t>事实依据：</w:t>
      </w:r>
    </w:p>
    <w:p w14:paraId="4B72143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eastAsia="zh-CN"/>
        </w:rPr>
      </w:pPr>
    </w:p>
    <w:p w14:paraId="5FE1C4A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u w:val="dotted"/>
          <w:lang w:eastAsia="zh-CN"/>
        </w:rPr>
      </w:pPr>
      <w:r>
        <w:rPr>
          <w:rFonts w:hint="eastAsia" w:ascii="宋体" w:hAnsi="宋体" w:eastAsia="宋体" w:cs="宋体"/>
          <w:sz w:val="24"/>
          <w:szCs w:val="24"/>
          <w:highlight w:val="none"/>
        </w:rPr>
        <w:t>法律依据：</w:t>
      </w:r>
    </w:p>
    <w:p w14:paraId="4B07B01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u w:val="dotted"/>
          <w:lang w:eastAsia="zh-CN"/>
        </w:rPr>
      </w:pPr>
    </w:p>
    <w:p w14:paraId="40A4B3E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14:paraId="76BFC83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5D627DD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四、与质疑事项相关的质疑请求</w:t>
      </w:r>
    </w:p>
    <w:p w14:paraId="16993DC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u w:val="dotted"/>
          <w:lang w:eastAsia="zh-CN"/>
        </w:rPr>
      </w:pPr>
      <w:r>
        <w:rPr>
          <w:rFonts w:hint="eastAsia" w:ascii="宋体" w:hAnsi="宋体" w:eastAsia="宋体" w:cs="宋体"/>
          <w:sz w:val="24"/>
          <w:szCs w:val="24"/>
          <w:highlight w:val="none"/>
        </w:rPr>
        <w:t>请求：</w:t>
      </w:r>
    </w:p>
    <w:p w14:paraId="1BC78AEB">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签字(签章)：公章：</w:t>
      </w:r>
    </w:p>
    <w:p w14:paraId="37433DCF">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日期：</w:t>
      </w:r>
    </w:p>
    <w:p w14:paraId="01A35ADC">
      <w:pPr>
        <w:rPr>
          <w:rFonts w:hint="eastAsia" w:ascii="宋体" w:hAnsi="宋体" w:eastAsia="宋体" w:cs="宋体"/>
          <w:b/>
          <w:sz w:val="24"/>
          <w:szCs w:val="24"/>
          <w:highlight w:val="none"/>
        </w:rPr>
      </w:pPr>
    </w:p>
    <w:p w14:paraId="3E67576F">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质疑函制作说明：</w:t>
      </w:r>
    </w:p>
    <w:p w14:paraId="63AF43C4">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1.供应商提出质疑时，应提交质疑函和必要的证明材料。</w:t>
      </w:r>
    </w:p>
    <w:p w14:paraId="752DE590">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szCs w:val="24"/>
          <w:highlight w:val="none"/>
        </w:rPr>
        <w:t>供应商签署的授权委托书。授权委托书应载明代理人的姓名或者名称、代理事项、具体权限、期限和相关事项。</w:t>
      </w:r>
    </w:p>
    <w:p w14:paraId="098C9C7B">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3.质疑供应商若对项目的某一分包进行质疑，质疑函中应列明具体分包号。</w:t>
      </w:r>
    </w:p>
    <w:p w14:paraId="492F5DC2">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4.质疑函的质疑事项应具体、明确，并有必要的事实依据和法律依据。</w:t>
      </w:r>
    </w:p>
    <w:p w14:paraId="116D5A1A">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5.质疑函的质疑请求应与质疑事项相关。</w:t>
      </w:r>
    </w:p>
    <w:p w14:paraId="5090B1E3">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6.质疑供应商为自然人的，质疑函应由本人签字；质疑供应商为法人或者其他组织的，质疑函应由法定代表人、主要负责人，或者其授权代表签字或者盖章，并加盖公章。</w:t>
      </w:r>
    </w:p>
    <w:p w14:paraId="49BD33C8">
      <w:pPr>
        <w:widowControl/>
        <w:spacing w:line="360" w:lineRule="auto"/>
        <w:ind w:firstLine="480" w:firstLineChars="200"/>
        <w:jc w:val="left"/>
        <w:rPr>
          <w:rFonts w:hint="eastAsia" w:ascii="宋体" w:hAnsi="宋体" w:eastAsia="宋体" w:cs="宋体"/>
          <w:sz w:val="24"/>
          <w:szCs w:val="24"/>
          <w:highlight w:val="none"/>
        </w:rPr>
      </w:pPr>
    </w:p>
    <w:p w14:paraId="3EF7CFD1">
      <w:pPr>
        <w:spacing w:line="360" w:lineRule="auto"/>
        <w:jc w:val="left"/>
        <w:rPr>
          <w:rFonts w:hint="eastAsia" w:ascii="宋体" w:hAnsi="宋体" w:eastAsia="宋体" w:cs="宋体"/>
          <w:b/>
          <w:spacing w:val="6"/>
          <w:sz w:val="24"/>
          <w:szCs w:val="24"/>
          <w:highlight w:val="none"/>
        </w:rPr>
      </w:pPr>
      <w:r>
        <w:rPr>
          <w:rFonts w:hint="eastAsia" w:ascii="宋体" w:hAnsi="宋体" w:eastAsia="宋体" w:cs="宋体"/>
          <w:b/>
          <w:sz w:val="24"/>
          <w:szCs w:val="24"/>
          <w:highlight w:val="none"/>
        </w:rPr>
        <w:br w:type="page"/>
      </w:r>
      <w:r>
        <w:rPr>
          <w:rFonts w:hint="eastAsia" w:ascii="宋体" w:hAnsi="宋体" w:eastAsia="宋体" w:cs="宋体"/>
          <w:b/>
          <w:spacing w:val="6"/>
          <w:sz w:val="24"/>
          <w:szCs w:val="24"/>
          <w:highlight w:val="none"/>
        </w:rPr>
        <w:t>附件3：投诉书范本及制作说明</w:t>
      </w:r>
    </w:p>
    <w:p w14:paraId="2C85CAE7">
      <w:pPr>
        <w:spacing w:line="360" w:lineRule="auto"/>
        <w:jc w:val="center"/>
        <w:rPr>
          <w:rFonts w:hint="eastAsia" w:ascii="宋体" w:hAnsi="宋体" w:eastAsia="宋体" w:cs="宋体"/>
          <w:b/>
          <w:sz w:val="24"/>
          <w:szCs w:val="24"/>
          <w:highlight w:val="none"/>
        </w:rPr>
      </w:pPr>
    </w:p>
    <w:p w14:paraId="73596173">
      <w:pPr>
        <w:spacing w:line="360" w:lineRule="auto"/>
        <w:jc w:val="center"/>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投诉书范本</w:t>
      </w:r>
    </w:p>
    <w:p w14:paraId="6E77730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一、投诉相关主体基本情况</w:t>
      </w:r>
    </w:p>
    <w:p w14:paraId="51AB4920">
      <w:pPr>
        <w:spacing w:line="360" w:lineRule="auto"/>
        <w:rPr>
          <w:rFonts w:hint="eastAsia" w:ascii="宋体" w:hAnsi="宋体" w:eastAsia="宋体" w:cs="宋体"/>
          <w:sz w:val="24"/>
          <w:szCs w:val="24"/>
          <w:highlight w:val="none"/>
          <w:u w:val="dotted"/>
          <w:lang w:eastAsia="zh-CN"/>
        </w:rPr>
      </w:pPr>
      <w:r>
        <w:rPr>
          <w:rFonts w:hint="eastAsia" w:ascii="宋体" w:hAnsi="宋体" w:eastAsia="宋体" w:cs="宋体"/>
          <w:sz w:val="24"/>
          <w:szCs w:val="24"/>
          <w:highlight w:val="none"/>
        </w:rPr>
        <w:t>投诉人：</w:t>
      </w:r>
    </w:p>
    <w:p w14:paraId="6450CA04">
      <w:pPr>
        <w:spacing w:line="360"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地址：邮编：</w:t>
      </w:r>
    </w:p>
    <w:p w14:paraId="50E75445">
      <w:pPr>
        <w:tabs>
          <w:tab w:val="left" w:pos="6510"/>
        </w:tabs>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法定代表人/主要负责人：</w:t>
      </w:r>
    </w:p>
    <w:p w14:paraId="5080640F">
      <w:pPr>
        <w:tabs>
          <w:tab w:val="left" w:pos="6510"/>
        </w:tabs>
        <w:spacing w:line="360" w:lineRule="auto"/>
        <w:rPr>
          <w:rFonts w:hint="eastAsia" w:ascii="宋体" w:hAnsi="宋体" w:eastAsia="宋体" w:cs="宋体"/>
          <w:sz w:val="24"/>
          <w:szCs w:val="24"/>
          <w:highlight w:val="none"/>
          <w:u w:val="dotted"/>
          <w:lang w:eastAsia="zh-CN"/>
        </w:rPr>
      </w:pPr>
      <w:r>
        <w:rPr>
          <w:rFonts w:hint="eastAsia" w:ascii="宋体" w:hAnsi="宋体" w:eastAsia="宋体" w:cs="宋体"/>
          <w:sz w:val="24"/>
          <w:szCs w:val="24"/>
          <w:highlight w:val="none"/>
        </w:rPr>
        <w:t>联系电话：</w:t>
      </w:r>
    </w:p>
    <w:p w14:paraId="344AC71F">
      <w:pPr>
        <w:spacing w:line="360" w:lineRule="auto"/>
        <w:rPr>
          <w:rFonts w:hint="eastAsia" w:ascii="宋体" w:hAnsi="宋体" w:eastAsia="宋体" w:cs="宋体"/>
          <w:sz w:val="24"/>
          <w:szCs w:val="24"/>
          <w:highlight w:val="none"/>
          <w:u w:val="dotted"/>
          <w:lang w:eastAsia="zh-CN"/>
        </w:rPr>
      </w:pPr>
      <w:r>
        <w:rPr>
          <w:rFonts w:hint="eastAsia" w:ascii="宋体" w:hAnsi="宋体" w:eastAsia="宋体" w:cs="宋体"/>
          <w:sz w:val="24"/>
          <w:szCs w:val="24"/>
          <w:highlight w:val="none"/>
        </w:rPr>
        <w:t>授权代表：联系电话</w:t>
      </w:r>
      <w:r>
        <w:rPr>
          <w:rFonts w:hint="eastAsia" w:ascii="宋体" w:hAnsi="宋体" w:eastAsia="宋体" w:cs="宋体"/>
          <w:sz w:val="24"/>
          <w:szCs w:val="24"/>
          <w:highlight w:val="none"/>
          <w:u w:val="dotted"/>
        </w:rPr>
        <w:t>：</w:t>
      </w:r>
    </w:p>
    <w:p w14:paraId="5FE384FA">
      <w:pPr>
        <w:spacing w:line="360" w:lineRule="auto"/>
        <w:rPr>
          <w:rFonts w:hint="eastAsia" w:ascii="宋体" w:hAnsi="宋体" w:eastAsia="宋体" w:cs="宋体"/>
          <w:sz w:val="24"/>
          <w:szCs w:val="24"/>
          <w:highlight w:val="none"/>
          <w:u w:val="dotted"/>
          <w:lang w:eastAsia="zh-CN"/>
        </w:rPr>
      </w:pPr>
      <w:r>
        <w:rPr>
          <w:rFonts w:hint="eastAsia" w:ascii="宋体" w:hAnsi="宋体" w:eastAsia="宋体" w:cs="宋体"/>
          <w:sz w:val="24"/>
          <w:szCs w:val="24"/>
          <w:highlight w:val="none"/>
        </w:rPr>
        <w:t>地址：邮编：</w:t>
      </w:r>
    </w:p>
    <w:p w14:paraId="229C5341">
      <w:pPr>
        <w:spacing w:line="360"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被投诉人1：</w:t>
      </w:r>
    </w:p>
    <w:p w14:paraId="34306C02">
      <w:pPr>
        <w:spacing w:line="360"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地址：邮编：</w:t>
      </w:r>
    </w:p>
    <w:p w14:paraId="5AB6A258">
      <w:pPr>
        <w:spacing w:line="360"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联系人：联系电话：</w:t>
      </w:r>
    </w:p>
    <w:p w14:paraId="22D5C21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被投诉人2</w:t>
      </w:r>
    </w:p>
    <w:p w14:paraId="7CF9F964">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14:paraId="25796E07">
      <w:pPr>
        <w:spacing w:line="360"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相关供应商：</w:t>
      </w:r>
    </w:p>
    <w:p w14:paraId="3EF26A90">
      <w:pPr>
        <w:spacing w:line="360"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地址：邮编：</w:t>
      </w:r>
    </w:p>
    <w:p w14:paraId="7B7F5740">
      <w:pPr>
        <w:spacing w:line="360"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联系人：联系电话：</w:t>
      </w:r>
    </w:p>
    <w:p w14:paraId="79F736C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二、投诉项目基本情况</w:t>
      </w:r>
    </w:p>
    <w:p w14:paraId="40A03E62">
      <w:pPr>
        <w:spacing w:line="360" w:lineRule="auto"/>
        <w:rPr>
          <w:rFonts w:hint="eastAsia" w:ascii="宋体" w:hAnsi="宋体" w:eastAsia="宋体" w:cs="宋体"/>
          <w:sz w:val="24"/>
          <w:szCs w:val="24"/>
          <w:highlight w:val="none"/>
          <w:u w:val="dotted"/>
          <w:lang w:eastAsia="zh-CN"/>
        </w:rPr>
      </w:pPr>
      <w:r>
        <w:rPr>
          <w:rFonts w:hint="eastAsia" w:ascii="宋体" w:hAnsi="宋体" w:eastAsia="宋体" w:cs="宋体"/>
          <w:sz w:val="24"/>
          <w:szCs w:val="24"/>
          <w:highlight w:val="none"/>
        </w:rPr>
        <w:t>采购项目名称：</w:t>
      </w:r>
    </w:p>
    <w:p w14:paraId="3BA8CD29">
      <w:pPr>
        <w:spacing w:line="360"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采购项目编号：包号：</w:t>
      </w:r>
    </w:p>
    <w:p w14:paraId="34700DB9">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采购人名称：</w:t>
      </w:r>
    </w:p>
    <w:p w14:paraId="45555C3C">
      <w:pPr>
        <w:spacing w:line="360"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代理机构名称：</w:t>
      </w:r>
    </w:p>
    <w:p w14:paraId="5252D3B1">
      <w:pPr>
        <w:spacing w:line="360" w:lineRule="auto"/>
        <w:rPr>
          <w:rFonts w:hint="eastAsia" w:ascii="宋体" w:hAnsi="宋体" w:eastAsia="宋体" w:cs="宋体"/>
          <w:sz w:val="24"/>
          <w:szCs w:val="24"/>
          <w:highlight w:val="none"/>
          <w:u w:val="dotted"/>
          <w:lang w:eastAsia="zh-CN"/>
        </w:rPr>
      </w:pPr>
      <w:r>
        <w:rPr>
          <w:rFonts w:hint="eastAsia" w:ascii="宋体" w:hAnsi="宋体" w:eastAsia="宋体" w:cs="宋体"/>
          <w:sz w:val="24"/>
          <w:szCs w:val="24"/>
          <w:highlight w:val="none"/>
        </w:rPr>
        <w:t>采购文件公告:</w:t>
      </w:r>
      <w:r>
        <w:rPr>
          <w:rFonts w:hint="eastAsia" w:ascii="宋体" w:hAnsi="宋体" w:eastAsia="宋体" w:cs="宋体"/>
          <w:sz w:val="24"/>
          <w:szCs w:val="24"/>
          <w:highlight w:val="none"/>
          <w:u w:val="dotted"/>
        </w:rPr>
        <w:t>是/否</w:t>
      </w:r>
      <w:r>
        <w:rPr>
          <w:rFonts w:hint="eastAsia" w:ascii="宋体" w:hAnsi="宋体" w:eastAsia="宋体" w:cs="宋体"/>
          <w:sz w:val="24"/>
          <w:szCs w:val="24"/>
          <w:highlight w:val="none"/>
        </w:rPr>
        <w:t>公告期限：</w:t>
      </w:r>
    </w:p>
    <w:p w14:paraId="4DC271D8">
      <w:pPr>
        <w:spacing w:line="360"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采购结果公告:</w:t>
      </w:r>
      <w:r>
        <w:rPr>
          <w:rFonts w:hint="eastAsia" w:ascii="宋体" w:hAnsi="宋体" w:eastAsia="宋体" w:cs="宋体"/>
          <w:sz w:val="24"/>
          <w:szCs w:val="24"/>
          <w:highlight w:val="none"/>
          <w:u w:val="dotted"/>
        </w:rPr>
        <w:t>是/否</w:t>
      </w:r>
      <w:r>
        <w:rPr>
          <w:rFonts w:hint="eastAsia" w:ascii="宋体" w:hAnsi="宋体" w:eastAsia="宋体" w:cs="宋体"/>
          <w:sz w:val="24"/>
          <w:szCs w:val="24"/>
          <w:highlight w:val="none"/>
        </w:rPr>
        <w:t>公告期限：</w:t>
      </w:r>
    </w:p>
    <w:p w14:paraId="0FC2EEA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三、质疑基本情况</w:t>
      </w:r>
    </w:p>
    <w:p w14:paraId="09FE77E6">
      <w:pPr>
        <w:spacing w:line="360" w:lineRule="auto"/>
        <w:ind w:firstLine="480" w:firstLineChars="200"/>
        <w:rPr>
          <w:rFonts w:hint="eastAsia" w:ascii="宋体" w:hAnsi="宋体" w:eastAsia="宋体" w:cs="宋体"/>
          <w:sz w:val="24"/>
          <w:szCs w:val="24"/>
          <w:highlight w:val="none"/>
          <w:u w:val="dotted"/>
          <w:lang w:eastAsia="zh-CN"/>
        </w:rPr>
      </w:pPr>
      <w:r>
        <w:rPr>
          <w:rFonts w:hint="eastAsia" w:ascii="宋体" w:hAnsi="宋体" w:eastAsia="宋体" w:cs="宋体"/>
          <w:sz w:val="24"/>
          <w:szCs w:val="24"/>
          <w:highlight w:val="none"/>
        </w:rPr>
        <w:t>投诉人于年月日,向提出质疑，质疑事项为：</w:t>
      </w:r>
    </w:p>
    <w:p w14:paraId="50029869">
      <w:pPr>
        <w:spacing w:line="360" w:lineRule="auto"/>
        <w:rPr>
          <w:rFonts w:hint="eastAsia" w:ascii="宋体" w:hAnsi="宋体" w:eastAsia="宋体" w:cs="宋体"/>
          <w:sz w:val="24"/>
          <w:szCs w:val="24"/>
          <w:highlight w:val="none"/>
          <w:u w:val="dotted"/>
          <w:lang w:eastAsia="zh-CN"/>
        </w:rPr>
      </w:pPr>
    </w:p>
    <w:p w14:paraId="72DC765A">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采购人/代理机构</w:t>
      </w:r>
      <w:r>
        <w:rPr>
          <w:rFonts w:hint="eastAsia" w:ascii="宋体" w:hAnsi="宋体" w:eastAsia="宋体" w:cs="宋体"/>
          <w:sz w:val="24"/>
          <w:szCs w:val="24"/>
          <w:highlight w:val="none"/>
        </w:rPr>
        <w:t>于年月日,就质疑事项作出了答复/没有在法定期限内作出答复。</w:t>
      </w:r>
    </w:p>
    <w:p w14:paraId="1223705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四、投诉事项具体内容</w:t>
      </w:r>
    </w:p>
    <w:p w14:paraId="70120AF2">
      <w:pPr>
        <w:spacing w:line="360"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投诉事项1：</w:t>
      </w:r>
    </w:p>
    <w:p w14:paraId="62448CA0">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事实依据：</w:t>
      </w:r>
    </w:p>
    <w:p w14:paraId="5B6B18C9">
      <w:pPr>
        <w:spacing w:line="360" w:lineRule="auto"/>
        <w:rPr>
          <w:rFonts w:hint="eastAsia" w:ascii="宋体" w:hAnsi="宋体" w:eastAsia="宋体" w:cs="宋体"/>
          <w:sz w:val="24"/>
          <w:szCs w:val="24"/>
          <w:highlight w:val="none"/>
          <w:u w:val="dotted"/>
          <w:lang w:eastAsia="zh-CN"/>
        </w:rPr>
      </w:pPr>
    </w:p>
    <w:p w14:paraId="483363DE">
      <w:pPr>
        <w:spacing w:line="360"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法律依据：</w:t>
      </w:r>
    </w:p>
    <w:p w14:paraId="0CC038E8">
      <w:pPr>
        <w:spacing w:line="360" w:lineRule="auto"/>
        <w:rPr>
          <w:rFonts w:hint="eastAsia" w:ascii="宋体" w:hAnsi="宋体" w:eastAsia="宋体" w:cs="宋体"/>
          <w:sz w:val="24"/>
          <w:szCs w:val="24"/>
          <w:highlight w:val="none"/>
          <w:u w:val="dotted"/>
          <w:lang w:eastAsia="zh-CN"/>
        </w:rPr>
      </w:pPr>
    </w:p>
    <w:p w14:paraId="1BAA1F1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投诉事项2</w:t>
      </w:r>
    </w:p>
    <w:p w14:paraId="77300940">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14:paraId="0C762A2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五、与投诉事项相关的投诉请求</w:t>
      </w:r>
    </w:p>
    <w:p w14:paraId="7604C305">
      <w:pPr>
        <w:spacing w:line="360"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请求：</w:t>
      </w:r>
    </w:p>
    <w:p w14:paraId="4A4517BF">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签字(签章)：公章：</w:t>
      </w:r>
    </w:p>
    <w:p w14:paraId="4712268F">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日期：</w:t>
      </w:r>
    </w:p>
    <w:p w14:paraId="76E4EC3B">
      <w:pPr>
        <w:spacing w:line="360" w:lineRule="auto"/>
        <w:rPr>
          <w:rFonts w:hint="eastAsia" w:ascii="宋体" w:hAnsi="宋体" w:eastAsia="宋体" w:cs="宋体"/>
          <w:b/>
          <w:sz w:val="24"/>
          <w:szCs w:val="24"/>
          <w:highlight w:val="none"/>
        </w:rPr>
      </w:pPr>
    </w:p>
    <w:p w14:paraId="17CA0B44">
      <w:pPr>
        <w:spacing w:line="360" w:lineRule="auto"/>
        <w:rPr>
          <w:rFonts w:hint="eastAsia" w:ascii="宋体" w:hAnsi="宋体" w:eastAsia="宋体" w:cs="宋体"/>
          <w:b/>
          <w:sz w:val="24"/>
          <w:szCs w:val="24"/>
          <w:highlight w:val="none"/>
        </w:rPr>
      </w:pPr>
    </w:p>
    <w:p w14:paraId="5C498E20">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投诉书制作说明：</w:t>
      </w:r>
    </w:p>
    <w:p w14:paraId="2A2A735E">
      <w:pPr>
        <w:widowControl/>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1.投诉人提起投诉时，应当提交投诉书和必要的证明材料，并按照被投诉人和与投诉事项有关的供应商数量提供投诉书副本。</w:t>
      </w:r>
    </w:p>
    <w:p w14:paraId="16E3AE50">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2.投诉人若委托代理人进行投诉的，投诉书应按照要求列明“授权代表”的有关内容，并在附件中提交由</w:t>
      </w:r>
      <w:r>
        <w:rPr>
          <w:rFonts w:hint="eastAsia" w:ascii="宋体" w:hAnsi="宋体" w:eastAsia="宋体" w:cs="宋体"/>
          <w:kern w:val="0"/>
          <w:sz w:val="24"/>
          <w:szCs w:val="24"/>
          <w:highlight w:val="none"/>
        </w:rPr>
        <w:t>投诉人签署的授权委托书。授权委托书应当载明代理人的姓名或者名称、代理事项、具体权限、期限和相关事项。</w:t>
      </w:r>
    </w:p>
    <w:p w14:paraId="59AF2510">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3.投诉人若对项目的某一分包进行投诉，投诉书应列明具体分包号。</w:t>
      </w:r>
    </w:p>
    <w:p w14:paraId="1BEF8B9A">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4.投诉书应简要列明质疑事项，质疑函、质疑答复等作为附件材料提供。</w:t>
      </w:r>
    </w:p>
    <w:p w14:paraId="63882CFE">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5.投诉书的投诉事项应具体、明确，并有必要的事实依据和法律依据。</w:t>
      </w:r>
    </w:p>
    <w:p w14:paraId="28CC24C9">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6.投诉书的投诉请求应与投诉事项相关。</w:t>
      </w:r>
    </w:p>
    <w:p w14:paraId="44EB1539">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7.投诉人为自然人的，投诉书应当由本人签字；投诉人为法人或者其他组织的，投诉书应当由法定代表人、主要负责人，或者其授权代表签字或者盖章，并加盖公章。</w:t>
      </w:r>
    </w:p>
    <w:p w14:paraId="454C009D">
      <w:pPr>
        <w:rPr>
          <w:rFonts w:hint="eastAsia" w:ascii="宋体" w:hAnsi="宋体" w:eastAsia="宋体" w:cs="宋体"/>
          <w:b/>
          <w:sz w:val="24"/>
          <w:szCs w:val="24"/>
          <w:highlight w:val="none"/>
        </w:rPr>
      </w:pPr>
    </w:p>
    <w:p w14:paraId="61D03FB8">
      <w:pPr>
        <w:widowControl/>
        <w:adjustRightInd/>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51F46EA4">
      <w:pPr>
        <w:autoSpaceDE w:val="0"/>
        <w:autoSpaceDN w:val="0"/>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附件4：</w:t>
      </w:r>
      <w:r>
        <w:rPr>
          <w:rFonts w:hint="eastAsia" w:ascii="宋体" w:hAnsi="宋体" w:eastAsia="宋体" w:cs="宋体"/>
          <w:b/>
          <w:bCs/>
          <w:sz w:val="24"/>
          <w:szCs w:val="24"/>
          <w:highlight w:val="none"/>
        </w:rPr>
        <w:t>业务专用章使用说明函</w:t>
      </w:r>
    </w:p>
    <w:p w14:paraId="4C7A33FD">
      <w:pPr>
        <w:autoSpaceDE w:val="0"/>
        <w:autoSpaceDN w:val="0"/>
        <w:rPr>
          <w:rFonts w:hint="eastAsia" w:ascii="宋体" w:hAnsi="宋体" w:eastAsia="宋体" w:cs="宋体"/>
          <w:b/>
          <w:spacing w:val="6"/>
          <w:sz w:val="24"/>
          <w:szCs w:val="24"/>
          <w:highlight w:val="none"/>
        </w:rPr>
      </w:pPr>
    </w:p>
    <w:p w14:paraId="5688A84B">
      <w:pPr>
        <w:spacing w:line="360" w:lineRule="auto"/>
        <w:jc w:val="center"/>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业务专用章使用说明函</w:t>
      </w:r>
    </w:p>
    <w:p w14:paraId="0EA93245">
      <w:pPr>
        <w:spacing w:line="360" w:lineRule="auto"/>
        <w:rPr>
          <w:rFonts w:hint="eastAsia" w:ascii="宋体" w:hAnsi="宋体" w:eastAsia="宋体" w:cs="宋体"/>
          <w:sz w:val="24"/>
          <w:szCs w:val="24"/>
          <w:highlight w:val="none"/>
          <w:u w:val="single"/>
        </w:rPr>
      </w:pPr>
    </w:p>
    <w:p w14:paraId="42088F9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（采购人）、（采购代理机构）</w:t>
      </w:r>
    </w:p>
    <w:p w14:paraId="17CF3BF0">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lang w:val="zh-CN"/>
        </w:rPr>
        <w:t>我方</w:t>
      </w:r>
      <w:r>
        <w:rPr>
          <w:rFonts w:hint="eastAsia" w:ascii="宋体" w:hAnsi="宋体" w:eastAsia="宋体" w:cs="宋体"/>
          <w:sz w:val="24"/>
          <w:szCs w:val="24"/>
          <w:highlight w:val="none"/>
        </w:rPr>
        <w:t>(供应商全称)是中华人民共和国依法登记注册的合法企业，</w:t>
      </w:r>
      <w:r>
        <w:rPr>
          <w:rFonts w:hint="eastAsia" w:ascii="宋体" w:hAnsi="宋体" w:eastAsia="宋体" w:cs="宋体"/>
          <w:bCs/>
          <w:sz w:val="24"/>
          <w:szCs w:val="24"/>
          <w:highlight w:val="none"/>
        </w:rPr>
        <w:t>在参加</w:t>
      </w:r>
      <w:r>
        <w:rPr>
          <w:rFonts w:hint="eastAsia" w:ascii="宋体" w:hAnsi="宋体" w:eastAsia="宋体" w:cs="宋体"/>
          <w:sz w:val="24"/>
          <w:szCs w:val="24"/>
          <w:highlight w:val="none"/>
        </w:rPr>
        <w:t>你方组织的【编号：】采购</w:t>
      </w:r>
      <w:r>
        <w:rPr>
          <w:rFonts w:hint="eastAsia" w:ascii="宋体" w:hAnsi="宋体" w:eastAsia="宋体" w:cs="宋体"/>
          <w:bCs/>
          <w:sz w:val="24"/>
          <w:szCs w:val="24"/>
          <w:highlight w:val="none"/>
        </w:rPr>
        <w:t>活动中作如下说明：</w:t>
      </w:r>
      <w:r>
        <w:rPr>
          <w:rFonts w:hint="eastAsia" w:ascii="宋体" w:hAnsi="宋体" w:eastAsia="宋体" w:cs="宋体"/>
          <w:sz w:val="24"/>
          <w:szCs w:val="24"/>
          <w:highlight w:val="none"/>
        </w:rPr>
        <w:t>我方所使用的“XX专用章”与法定名称章具有同等的法律效力，对使用“XX专用章”的行为予以完全承认，并愿意承担相应责任。</w:t>
      </w:r>
    </w:p>
    <w:p w14:paraId="495194C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特此说明。</w:t>
      </w:r>
    </w:p>
    <w:p w14:paraId="485B5C2D">
      <w:pPr>
        <w:spacing w:line="360" w:lineRule="auto"/>
        <w:ind w:firstLine="494"/>
        <w:rPr>
          <w:rFonts w:hint="eastAsia" w:ascii="宋体" w:hAnsi="宋体" w:eastAsia="宋体" w:cs="宋体"/>
          <w:sz w:val="24"/>
          <w:szCs w:val="24"/>
          <w:highlight w:val="none"/>
        </w:rPr>
      </w:pPr>
    </w:p>
    <w:p w14:paraId="61DDB75B">
      <w:pPr>
        <w:spacing w:line="360" w:lineRule="auto"/>
        <w:ind w:firstLine="494"/>
        <w:rPr>
          <w:rFonts w:hint="eastAsia" w:ascii="宋体" w:hAnsi="宋体" w:eastAsia="宋体" w:cs="宋体"/>
          <w:sz w:val="24"/>
          <w:szCs w:val="24"/>
          <w:highlight w:val="none"/>
        </w:rPr>
      </w:pPr>
    </w:p>
    <w:p w14:paraId="3FD856B9">
      <w:pPr>
        <w:spacing w:line="360" w:lineRule="auto"/>
        <w:ind w:right="-874" w:rightChars="-416"/>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供应商名称（盖公章或电子签章）：</w:t>
      </w:r>
    </w:p>
    <w:p w14:paraId="521FAD4D">
      <w:pPr>
        <w:spacing w:line="360" w:lineRule="auto"/>
        <w:ind w:right="-874" w:rightChars="-416" w:firstLine="5280" w:firstLineChars="2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日期：年月日</w:t>
      </w:r>
    </w:p>
    <w:p w14:paraId="3392538C">
      <w:pPr>
        <w:rPr>
          <w:rFonts w:hint="eastAsia" w:ascii="宋体" w:hAnsi="宋体" w:eastAsia="宋体" w:cs="宋体"/>
          <w:b/>
          <w:bCs/>
          <w:sz w:val="24"/>
          <w:szCs w:val="24"/>
          <w:highlight w:val="none"/>
        </w:rPr>
      </w:pPr>
    </w:p>
    <w:p w14:paraId="48DC93F7">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附：</w:t>
      </w:r>
    </w:p>
    <w:p w14:paraId="34E4C53D">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LmFpYi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AuYWli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val="0"/>
          <w:bCs w:val="0"/>
          <w:sz w:val="24"/>
          <w:szCs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GYAnZ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val="0"/>
          <w:bCs w:val="0"/>
          <w:sz w:val="24"/>
          <w:szCs w:val="24"/>
          <w:highlight w:val="none"/>
        </w:rPr>
        <w:t>供应商法定名称章（印模）供应商“XX专用章”（印模）</w:t>
      </w:r>
    </w:p>
    <w:p w14:paraId="03906C04">
      <w:pPr>
        <w:autoSpaceDE w:val="0"/>
        <w:autoSpaceDN w:val="0"/>
        <w:jc w:val="center"/>
        <w:rPr>
          <w:rFonts w:hint="eastAsia" w:ascii="宋体" w:hAnsi="宋体" w:eastAsia="宋体" w:cs="宋体"/>
          <w:b/>
          <w:spacing w:val="6"/>
          <w:sz w:val="24"/>
          <w:szCs w:val="24"/>
          <w:highlight w:val="none"/>
        </w:rPr>
      </w:pPr>
    </w:p>
    <w:p w14:paraId="4EC03B02">
      <w:pPr>
        <w:autoSpaceDE w:val="0"/>
        <w:autoSpaceDN w:val="0"/>
        <w:jc w:val="center"/>
        <w:rPr>
          <w:rFonts w:hint="eastAsia" w:ascii="宋体" w:hAnsi="宋体" w:eastAsia="宋体" w:cs="宋体"/>
          <w:b/>
          <w:spacing w:val="6"/>
          <w:sz w:val="24"/>
          <w:szCs w:val="24"/>
          <w:highlight w:val="none"/>
        </w:rPr>
      </w:pPr>
    </w:p>
    <w:p w14:paraId="2045D273">
      <w:pPr>
        <w:autoSpaceDE w:val="0"/>
        <w:autoSpaceDN w:val="0"/>
        <w:jc w:val="center"/>
        <w:rPr>
          <w:rFonts w:hint="eastAsia" w:ascii="宋体" w:hAnsi="宋体" w:eastAsia="宋体" w:cs="宋体"/>
          <w:b/>
          <w:spacing w:val="6"/>
          <w:sz w:val="24"/>
          <w:szCs w:val="24"/>
          <w:highlight w:val="none"/>
        </w:rPr>
      </w:pPr>
    </w:p>
    <w:p w14:paraId="5BBB4FE7">
      <w:pPr>
        <w:autoSpaceDE w:val="0"/>
        <w:autoSpaceDN w:val="0"/>
        <w:jc w:val="center"/>
        <w:rPr>
          <w:rFonts w:hint="eastAsia" w:ascii="宋体" w:hAnsi="宋体" w:eastAsia="宋体" w:cs="宋体"/>
          <w:b/>
          <w:spacing w:val="6"/>
          <w:sz w:val="24"/>
          <w:szCs w:val="24"/>
          <w:highlight w:val="none"/>
        </w:rPr>
      </w:pPr>
    </w:p>
    <w:p w14:paraId="3FE4FD2B">
      <w:pPr>
        <w:autoSpaceDE w:val="0"/>
        <w:autoSpaceDN w:val="0"/>
        <w:jc w:val="center"/>
        <w:rPr>
          <w:rFonts w:hint="eastAsia" w:ascii="宋体" w:hAnsi="宋体" w:eastAsia="宋体" w:cs="宋体"/>
          <w:b/>
          <w:spacing w:val="6"/>
          <w:sz w:val="24"/>
          <w:szCs w:val="24"/>
          <w:highlight w:val="none"/>
        </w:rPr>
      </w:pPr>
    </w:p>
    <w:p w14:paraId="38DD8BF7">
      <w:pPr>
        <w:autoSpaceDE w:val="0"/>
        <w:autoSpaceDN w:val="0"/>
        <w:jc w:val="center"/>
        <w:rPr>
          <w:rFonts w:hint="eastAsia" w:ascii="宋体" w:hAnsi="宋体" w:eastAsia="宋体" w:cs="宋体"/>
          <w:b/>
          <w:spacing w:val="6"/>
          <w:sz w:val="24"/>
          <w:szCs w:val="24"/>
          <w:highlight w:val="none"/>
        </w:rPr>
      </w:pPr>
    </w:p>
    <w:p w14:paraId="78D20392">
      <w:pPr>
        <w:autoSpaceDE w:val="0"/>
        <w:autoSpaceDN w:val="0"/>
        <w:jc w:val="center"/>
        <w:rPr>
          <w:rFonts w:hint="eastAsia" w:ascii="宋体" w:hAnsi="宋体" w:eastAsia="宋体" w:cs="宋体"/>
          <w:b/>
          <w:spacing w:val="6"/>
          <w:sz w:val="24"/>
          <w:szCs w:val="24"/>
          <w:highlight w:val="none"/>
        </w:rPr>
      </w:pPr>
    </w:p>
    <w:p w14:paraId="6B2A5C0F">
      <w:pPr>
        <w:autoSpaceDE w:val="0"/>
        <w:autoSpaceDN w:val="0"/>
        <w:jc w:val="center"/>
        <w:rPr>
          <w:rFonts w:hint="eastAsia" w:ascii="宋体" w:hAnsi="宋体" w:eastAsia="宋体" w:cs="宋体"/>
          <w:b/>
          <w:spacing w:val="6"/>
          <w:sz w:val="24"/>
          <w:szCs w:val="24"/>
          <w:highlight w:val="none"/>
        </w:rPr>
      </w:pPr>
    </w:p>
    <w:p w14:paraId="384FF772">
      <w:pPr>
        <w:autoSpaceDE w:val="0"/>
        <w:autoSpaceDN w:val="0"/>
        <w:jc w:val="center"/>
        <w:rPr>
          <w:rFonts w:hint="eastAsia" w:ascii="宋体" w:hAnsi="宋体" w:eastAsia="宋体" w:cs="宋体"/>
          <w:b/>
          <w:spacing w:val="6"/>
          <w:sz w:val="24"/>
          <w:szCs w:val="24"/>
          <w:highlight w:val="none"/>
        </w:rPr>
      </w:pPr>
    </w:p>
    <w:p w14:paraId="2849FEE3">
      <w:pPr>
        <w:autoSpaceDE w:val="0"/>
        <w:autoSpaceDN w:val="0"/>
        <w:jc w:val="both"/>
        <w:rPr>
          <w:rFonts w:hint="eastAsia" w:ascii="宋体" w:hAnsi="宋体" w:eastAsia="宋体" w:cs="宋体"/>
          <w:b/>
          <w:spacing w:val="6"/>
          <w:sz w:val="24"/>
          <w:szCs w:val="24"/>
          <w:highlight w:val="none"/>
        </w:rPr>
      </w:pPr>
    </w:p>
    <w:p w14:paraId="3398B086">
      <w:pPr>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br w:type="page"/>
      </w:r>
    </w:p>
    <w:p w14:paraId="3E9F5E48">
      <w:pPr>
        <w:autoSpaceDE w:val="0"/>
        <w:autoSpaceDN w:val="0"/>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附件5：中小企业声明函</w:t>
      </w:r>
    </w:p>
    <w:p w14:paraId="0F6F6746">
      <w:pPr>
        <w:spacing w:line="360" w:lineRule="auto"/>
        <w:jc w:val="center"/>
        <w:rPr>
          <w:rFonts w:hint="eastAsia" w:ascii="宋体" w:hAnsi="宋体" w:eastAsia="宋体" w:cs="宋体"/>
          <w:sz w:val="24"/>
          <w:szCs w:val="24"/>
          <w:highlight w:val="none"/>
          <w:u w:val="single"/>
        </w:rPr>
      </w:pPr>
    </w:p>
    <w:p w14:paraId="38E5F37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中小企业声明函(货物)</w:t>
      </w:r>
    </w:p>
    <w:p w14:paraId="11633C4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[2020]46号)的规定，本公司(联合体)参加(单位名称)的(项目名称)采购活动，提供的货物全部由符合政策要求的中小企业制造。相关企业(含联合体中的中小企业、签订分包意向协议的中小企业)的具体情况如下:</w:t>
      </w:r>
    </w:p>
    <w:p w14:paraId="48CC1EC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1.(标的名称)，属于(采购文件中明确的所属行业);制造商</w:t>
      </w:r>
      <w:r>
        <w:rPr>
          <w:rFonts w:hint="eastAsia" w:ascii="宋体" w:hAnsi="宋体" w:eastAsia="宋体" w:cs="宋体"/>
          <w:sz w:val="24"/>
          <w:szCs w:val="24"/>
          <w:highlight w:val="none"/>
          <w:lang w:val="en-US" w:eastAsia="zh-CN"/>
        </w:rPr>
        <w:t>或承接商</w:t>
      </w:r>
      <w:r>
        <w:rPr>
          <w:rFonts w:hint="eastAsia" w:ascii="宋体" w:hAnsi="宋体" w:eastAsia="宋体" w:cs="宋体"/>
          <w:sz w:val="24"/>
          <w:szCs w:val="24"/>
          <w:highlight w:val="none"/>
        </w:rPr>
        <w:t>(企业名称)，从业人员人，营业收入为万元，资产总额为万元，属于(中型企业、小型企业、微型企业);</w:t>
      </w:r>
    </w:p>
    <w:p w14:paraId="14FCFDF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2.(标的名称)，属于(采购文件中明确的所属行业);</w:t>
      </w:r>
      <w:r>
        <w:rPr>
          <w:rFonts w:hint="eastAsia" w:ascii="宋体" w:hAnsi="宋体" w:eastAsia="宋体" w:cs="宋体"/>
          <w:sz w:val="24"/>
          <w:szCs w:val="24"/>
          <w:highlight w:val="none"/>
          <w:lang w:eastAsia="zh-CN"/>
        </w:rPr>
        <w:t>制造商或承接商</w:t>
      </w:r>
      <w:r>
        <w:rPr>
          <w:rFonts w:hint="eastAsia" w:ascii="宋体" w:hAnsi="宋体" w:eastAsia="宋体" w:cs="宋体"/>
          <w:sz w:val="24"/>
          <w:szCs w:val="24"/>
          <w:highlight w:val="none"/>
        </w:rPr>
        <w:t>为(企业名称)，从业人员人，营业收入为万元，资产总额为万元，属于(中型企业、小型企业、微型企业);</w:t>
      </w:r>
    </w:p>
    <w:p w14:paraId="0A25986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0C801F6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64233BC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2BA64F5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right"/>
        <w:textAlignment w:val="auto"/>
        <w:rPr>
          <w:rFonts w:hint="eastAsia" w:ascii="宋体" w:hAnsi="宋体" w:eastAsia="宋体" w:cs="宋体"/>
          <w:sz w:val="24"/>
          <w:szCs w:val="24"/>
          <w:highlight w:val="none"/>
        </w:rPr>
      </w:pPr>
    </w:p>
    <w:p w14:paraId="5C4C277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企业名称（盖章）：</w:t>
      </w:r>
    </w:p>
    <w:p w14:paraId="6BC3844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p w14:paraId="195D9F79">
      <w:pPr>
        <w:keepNext w:val="0"/>
        <w:keepLines w:val="0"/>
        <w:pageBreakBefore w:val="0"/>
        <w:widowControl w:val="0"/>
        <w:kinsoku/>
        <w:wordWrap/>
        <w:overflowPunct/>
        <w:topLinePunct w:val="0"/>
        <w:autoSpaceDE/>
        <w:autoSpaceDN/>
        <w:bidi w:val="0"/>
        <w:adjustRightInd w:val="0"/>
        <w:snapToGrid/>
        <w:spacing w:line="360" w:lineRule="auto"/>
        <w:ind w:right="420" w:firstLine="480" w:firstLineChars="200"/>
        <w:textAlignment w:val="auto"/>
        <w:rPr>
          <w:rFonts w:hint="eastAsia" w:ascii="宋体" w:hAnsi="宋体" w:eastAsia="宋体" w:cs="宋体"/>
          <w:sz w:val="24"/>
          <w:szCs w:val="24"/>
          <w:highlight w:val="none"/>
          <w:vertAlign w:val="superscript"/>
        </w:rPr>
      </w:pPr>
    </w:p>
    <w:p w14:paraId="72F757D4">
      <w:pPr>
        <w:keepNext w:val="0"/>
        <w:keepLines w:val="0"/>
        <w:pageBreakBefore w:val="0"/>
        <w:widowControl w:val="0"/>
        <w:kinsoku/>
        <w:wordWrap/>
        <w:overflowPunct/>
        <w:topLinePunct w:val="0"/>
        <w:autoSpaceDE/>
        <w:autoSpaceDN/>
        <w:bidi w:val="0"/>
        <w:adjustRightInd w:val="0"/>
        <w:snapToGrid/>
        <w:spacing w:line="360" w:lineRule="auto"/>
        <w:ind w:right="42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vertAlign w:val="superscript"/>
        </w:rPr>
        <w:t>1</w:t>
      </w:r>
      <w:r>
        <w:rPr>
          <w:rFonts w:hint="eastAsia" w:ascii="宋体" w:hAnsi="宋体" w:eastAsia="宋体" w:cs="宋体"/>
          <w:sz w:val="24"/>
          <w:szCs w:val="24"/>
          <w:highlight w:val="none"/>
        </w:rPr>
        <w:t>从业人员、营业收入、资产总额填报上一年度数据，无上一年度数据的新成立企业可不填报。</w:t>
      </w:r>
    </w:p>
    <w:p w14:paraId="5E37076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sz w:val="24"/>
          <w:szCs w:val="24"/>
          <w:highlight w:val="none"/>
        </w:rPr>
      </w:pPr>
    </w:p>
    <w:p w14:paraId="2A518D12">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0D3B70D4">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z w:val="24"/>
          <w:szCs w:val="24"/>
          <w:highlight w:val="none"/>
        </w:rPr>
      </w:pPr>
      <w:r>
        <w:rPr>
          <w:rFonts w:hint="eastAsia" w:ascii="宋体" w:hAnsi="宋体" w:eastAsia="宋体" w:cs="宋体"/>
          <w:b/>
          <w:bCs/>
          <w:spacing w:val="-7"/>
          <w:sz w:val="24"/>
          <w:szCs w:val="24"/>
          <w:highlight w:val="none"/>
        </w:rPr>
        <w:t>中小企业声明函（工程、服务）</w:t>
      </w:r>
    </w:p>
    <w:p w14:paraId="75C154AC">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本公司（联合体）郑重声明，根据《政府采购促进中小企业发展管理办法》（财库﹝2020﹞46号）的规定，本公司（联合体）参加</w:t>
      </w:r>
      <w:r>
        <w:rPr>
          <w:rFonts w:hint="eastAsia" w:ascii="宋体" w:hAnsi="宋体" w:eastAsia="宋体" w:cs="宋体"/>
          <w:spacing w:val="-7"/>
          <w:sz w:val="24"/>
          <w:szCs w:val="24"/>
          <w:highlight w:val="none"/>
          <w:u w:val="single"/>
        </w:rPr>
        <w:t>（单位名称）</w:t>
      </w:r>
      <w:r>
        <w:rPr>
          <w:rFonts w:hint="eastAsia" w:ascii="宋体" w:hAnsi="宋体" w:eastAsia="宋体" w:cs="宋体"/>
          <w:spacing w:val="-7"/>
          <w:sz w:val="24"/>
          <w:szCs w:val="24"/>
          <w:highlight w:val="none"/>
        </w:rPr>
        <w:t>的</w:t>
      </w:r>
      <w:r>
        <w:rPr>
          <w:rFonts w:hint="eastAsia" w:ascii="宋体" w:hAnsi="宋体" w:eastAsia="宋体" w:cs="宋体"/>
          <w:spacing w:val="-7"/>
          <w:sz w:val="24"/>
          <w:szCs w:val="24"/>
          <w:highlight w:val="none"/>
          <w:u w:val="single"/>
        </w:rPr>
        <w:t>（项目名称）</w:t>
      </w:r>
      <w:r>
        <w:rPr>
          <w:rFonts w:hint="eastAsia" w:ascii="宋体" w:hAnsi="宋体" w:eastAsia="宋体" w:cs="宋体"/>
          <w:spacing w:val="-7"/>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9FB04D5">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1.</w:t>
      </w:r>
      <w:r>
        <w:rPr>
          <w:rFonts w:hint="eastAsia" w:ascii="宋体" w:hAnsi="宋体" w:eastAsia="宋体" w:cs="宋体"/>
          <w:spacing w:val="-7"/>
          <w:sz w:val="24"/>
          <w:szCs w:val="24"/>
          <w:highlight w:val="none"/>
          <w:u w:val="single"/>
        </w:rPr>
        <w:t>（标的名称）</w:t>
      </w:r>
      <w:r>
        <w:rPr>
          <w:rFonts w:hint="eastAsia" w:ascii="宋体" w:hAnsi="宋体" w:eastAsia="宋体" w:cs="宋体"/>
          <w:spacing w:val="-7"/>
          <w:sz w:val="24"/>
          <w:szCs w:val="24"/>
          <w:highlight w:val="none"/>
        </w:rPr>
        <w:t>，属于</w:t>
      </w:r>
      <w:r>
        <w:rPr>
          <w:rFonts w:hint="eastAsia" w:ascii="宋体" w:hAnsi="宋体" w:eastAsia="宋体" w:cs="宋体"/>
          <w:spacing w:val="-7"/>
          <w:sz w:val="24"/>
          <w:szCs w:val="24"/>
          <w:highlight w:val="none"/>
          <w:u w:val="single"/>
        </w:rPr>
        <w:t>（采购文件中明确的所属行业）</w:t>
      </w:r>
      <w:r>
        <w:rPr>
          <w:rFonts w:hint="eastAsia" w:ascii="宋体" w:hAnsi="宋体" w:eastAsia="宋体" w:cs="宋体"/>
          <w:spacing w:val="-7"/>
          <w:sz w:val="24"/>
          <w:szCs w:val="24"/>
          <w:highlight w:val="none"/>
        </w:rPr>
        <w:t>；承建（承接）企业为</w:t>
      </w:r>
      <w:r>
        <w:rPr>
          <w:rFonts w:hint="eastAsia" w:ascii="宋体" w:hAnsi="宋体" w:eastAsia="宋体" w:cs="宋体"/>
          <w:spacing w:val="-7"/>
          <w:sz w:val="24"/>
          <w:szCs w:val="24"/>
          <w:highlight w:val="none"/>
          <w:u w:val="single"/>
        </w:rPr>
        <w:t>（企业名称）</w:t>
      </w:r>
      <w:r>
        <w:rPr>
          <w:rFonts w:hint="eastAsia" w:ascii="宋体" w:hAnsi="宋体" w:eastAsia="宋体" w:cs="宋体"/>
          <w:spacing w:val="-7"/>
          <w:sz w:val="24"/>
          <w:szCs w:val="24"/>
          <w:highlight w:val="none"/>
        </w:rPr>
        <w:t>，从业人员人，营业收入为万元，资产总额为万元，属于</w:t>
      </w:r>
      <w:r>
        <w:rPr>
          <w:rFonts w:hint="eastAsia" w:ascii="宋体" w:hAnsi="宋体" w:eastAsia="宋体" w:cs="宋体"/>
          <w:spacing w:val="-7"/>
          <w:sz w:val="24"/>
          <w:szCs w:val="24"/>
          <w:highlight w:val="none"/>
          <w:u w:val="single"/>
        </w:rPr>
        <w:t>（中型企业、小型企业、微型企业）</w:t>
      </w:r>
      <w:r>
        <w:rPr>
          <w:rFonts w:hint="eastAsia" w:ascii="宋体" w:hAnsi="宋体" w:eastAsia="宋体" w:cs="宋体"/>
          <w:spacing w:val="-7"/>
          <w:sz w:val="24"/>
          <w:szCs w:val="24"/>
          <w:highlight w:val="none"/>
        </w:rPr>
        <w:t>；</w:t>
      </w:r>
    </w:p>
    <w:p w14:paraId="5FF6DF77">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w:t>
      </w:r>
      <w:r>
        <w:rPr>
          <w:rFonts w:hint="eastAsia" w:ascii="宋体" w:hAnsi="宋体" w:eastAsia="宋体" w:cs="宋体"/>
          <w:spacing w:val="-7"/>
          <w:sz w:val="24"/>
          <w:szCs w:val="24"/>
          <w:highlight w:val="none"/>
          <w:u w:val="single"/>
        </w:rPr>
        <w:t>（标的名称）</w:t>
      </w:r>
      <w:r>
        <w:rPr>
          <w:rFonts w:hint="eastAsia" w:ascii="宋体" w:hAnsi="宋体" w:eastAsia="宋体" w:cs="宋体"/>
          <w:spacing w:val="-7"/>
          <w:sz w:val="24"/>
          <w:szCs w:val="24"/>
          <w:highlight w:val="none"/>
        </w:rPr>
        <w:t>，属于</w:t>
      </w:r>
      <w:r>
        <w:rPr>
          <w:rFonts w:hint="eastAsia" w:ascii="宋体" w:hAnsi="宋体" w:eastAsia="宋体" w:cs="宋体"/>
          <w:spacing w:val="-7"/>
          <w:sz w:val="24"/>
          <w:szCs w:val="24"/>
          <w:highlight w:val="none"/>
          <w:u w:val="single"/>
        </w:rPr>
        <w:t>（采购文件中明确的所属行业）</w:t>
      </w:r>
      <w:r>
        <w:rPr>
          <w:rFonts w:hint="eastAsia" w:ascii="宋体" w:hAnsi="宋体" w:eastAsia="宋体" w:cs="宋体"/>
          <w:spacing w:val="-7"/>
          <w:sz w:val="24"/>
          <w:szCs w:val="24"/>
          <w:highlight w:val="none"/>
        </w:rPr>
        <w:t>；承建（承接）企业为</w:t>
      </w:r>
      <w:r>
        <w:rPr>
          <w:rFonts w:hint="eastAsia" w:ascii="宋体" w:hAnsi="宋体" w:eastAsia="宋体" w:cs="宋体"/>
          <w:spacing w:val="-7"/>
          <w:sz w:val="24"/>
          <w:szCs w:val="24"/>
          <w:highlight w:val="none"/>
          <w:u w:val="single"/>
        </w:rPr>
        <w:t>（企业名称）</w:t>
      </w:r>
      <w:r>
        <w:rPr>
          <w:rFonts w:hint="eastAsia" w:ascii="宋体" w:hAnsi="宋体" w:eastAsia="宋体" w:cs="宋体"/>
          <w:spacing w:val="-7"/>
          <w:sz w:val="24"/>
          <w:szCs w:val="24"/>
          <w:highlight w:val="none"/>
        </w:rPr>
        <w:t>，从业人员人，营业收入为万元，资产总额为万元，属于</w:t>
      </w:r>
      <w:r>
        <w:rPr>
          <w:rFonts w:hint="eastAsia" w:ascii="宋体" w:hAnsi="宋体" w:eastAsia="宋体" w:cs="宋体"/>
          <w:spacing w:val="-7"/>
          <w:sz w:val="24"/>
          <w:szCs w:val="24"/>
          <w:highlight w:val="none"/>
          <w:u w:val="single"/>
        </w:rPr>
        <w:t>（中型企业、小型企业、微型企业）</w:t>
      </w:r>
      <w:r>
        <w:rPr>
          <w:rFonts w:hint="eastAsia" w:ascii="宋体" w:hAnsi="宋体" w:eastAsia="宋体" w:cs="宋体"/>
          <w:spacing w:val="-7"/>
          <w:sz w:val="24"/>
          <w:szCs w:val="24"/>
          <w:highlight w:val="none"/>
        </w:rPr>
        <w:t>；</w:t>
      </w:r>
    </w:p>
    <w:p w14:paraId="0DA88759">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w:t>
      </w:r>
    </w:p>
    <w:p w14:paraId="45B525F9">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以上企业，不属于大企业的分支机构，不存在控股股东为大企业的情形，也不存在与大企业的负责人为同一人的情形。</w:t>
      </w:r>
    </w:p>
    <w:p w14:paraId="375C5FC5">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52" w:firstLineChars="200"/>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本企业对上述声明内容的真实性负责。如有虚假，将依法承担相应责任。</w:t>
      </w:r>
    </w:p>
    <w:p w14:paraId="4B79231A">
      <w:pPr>
        <w:pStyle w:val="23"/>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80" w:firstLineChars="200"/>
        <w:textAlignment w:val="baseline"/>
        <w:rPr>
          <w:rFonts w:hint="eastAsia" w:ascii="宋体" w:hAnsi="宋体" w:eastAsia="宋体" w:cs="宋体"/>
          <w:sz w:val="24"/>
          <w:szCs w:val="24"/>
          <w:highlight w:val="none"/>
        </w:rPr>
      </w:pPr>
    </w:p>
    <w:p w14:paraId="72109560">
      <w:pPr>
        <w:pStyle w:val="23"/>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80" w:firstLineChars="200"/>
        <w:textAlignment w:val="baseline"/>
        <w:rPr>
          <w:rFonts w:hint="eastAsia" w:ascii="宋体" w:hAnsi="宋体" w:eastAsia="宋体" w:cs="宋体"/>
          <w:sz w:val="24"/>
          <w:szCs w:val="24"/>
          <w:highlight w:val="none"/>
        </w:rPr>
      </w:pPr>
    </w:p>
    <w:p w14:paraId="6564841B">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72"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pacing w:val="-2"/>
          <w:sz w:val="24"/>
          <w:szCs w:val="24"/>
          <w:highlight w:val="none"/>
        </w:rPr>
        <w:t>企业名称（盖章</w:t>
      </w:r>
      <w:r>
        <w:rPr>
          <w:rFonts w:hint="eastAsia" w:ascii="宋体" w:hAnsi="宋体" w:eastAsia="宋体" w:cs="宋体"/>
          <w:sz w:val="24"/>
          <w:szCs w:val="24"/>
          <w:highlight w:val="none"/>
        </w:rPr>
        <w:t>）：</w:t>
      </w:r>
    </w:p>
    <w:p w14:paraId="18FB4886">
      <w:pPr>
        <w:pStyle w:val="2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日期：</w:t>
      </w:r>
      <w:r>
        <w:rPr>
          <w:rFonts w:hint="eastAsia" w:ascii="宋体" w:hAnsi="宋体" w:eastAsia="宋体" w:cs="宋体"/>
          <w:spacing w:val="-2"/>
          <w:sz w:val="24"/>
          <w:szCs w:val="24"/>
          <w:highlight w:val="none"/>
          <w:u w:val="single"/>
          <w:lang w:val="en-US" w:eastAsia="zh-CN"/>
        </w:rPr>
        <w:t>2025</w:t>
      </w:r>
      <w:r>
        <w:rPr>
          <w:rFonts w:hint="eastAsia" w:ascii="宋体" w:hAnsi="宋体" w:eastAsia="宋体" w:cs="宋体"/>
          <w:spacing w:val="-2"/>
          <w:sz w:val="24"/>
          <w:szCs w:val="24"/>
          <w:highlight w:val="none"/>
          <w:lang w:val="en-US" w:eastAsia="zh-CN"/>
        </w:rPr>
        <w:t>年月日</w:t>
      </w:r>
    </w:p>
    <w:p w14:paraId="3343EC42">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06B8D09A">
      <w:pPr>
        <w:autoSpaceDE w:val="0"/>
        <w:autoSpaceDN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中小企业相关政策</w:t>
      </w:r>
    </w:p>
    <w:p w14:paraId="7B72DEFD">
      <w:pPr>
        <w:pStyle w:val="624"/>
        <w:snapToGrid w:val="0"/>
        <w:spacing w:line="500" w:lineRule="exact"/>
        <w:ind w:firstLine="400"/>
        <w:rPr>
          <w:rFonts w:hint="eastAsia" w:ascii="宋体" w:hAnsi="宋体" w:eastAsia="宋体" w:cs="宋体"/>
          <w:b/>
          <w:sz w:val="24"/>
          <w:szCs w:val="24"/>
          <w:highlight w:val="none"/>
        </w:rPr>
      </w:pPr>
      <w:r>
        <w:rPr>
          <w:rFonts w:hint="eastAsia" w:ascii="宋体" w:hAnsi="宋体" w:eastAsia="宋体" w:cs="宋体"/>
          <w:sz w:val="24"/>
          <w:szCs w:val="24"/>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67444548">
      <w:pPr>
        <w:pStyle w:val="624"/>
        <w:snapToGrid w:val="0"/>
        <w:spacing w:line="500" w:lineRule="exact"/>
        <w:ind w:firstLine="562"/>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中小企业划型标准规定</w:t>
      </w:r>
    </w:p>
    <w:p w14:paraId="0018795E">
      <w:pPr>
        <w:pStyle w:val="624"/>
        <w:adjustRightInd w:val="0"/>
        <w:snapToGrid w:val="0"/>
        <w:spacing w:line="360" w:lineRule="auto"/>
        <w:ind w:firstLine="424"/>
        <w:rPr>
          <w:rFonts w:hint="eastAsia" w:ascii="宋体" w:hAnsi="宋体" w:eastAsia="宋体" w:cs="宋体"/>
          <w:spacing w:val="6"/>
          <w:sz w:val="24"/>
          <w:szCs w:val="24"/>
          <w:highlight w:val="none"/>
        </w:rPr>
      </w:pPr>
    </w:p>
    <w:p w14:paraId="1DE54D42">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一、根据《中华人民共和国中小企业促进法》和《</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"https://www.shui5.cn/article/47/26142.html" </w:instrText>
      </w:r>
      <w:r>
        <w:rPr>
          <w:rFonts w:hint="eastAsia" w:ascii="宋体" w:hAnsi="宋体" w:eastAsia="宋体" w:cs="宋体"/>
          <w:sz w:val="24"/>
          <w:szCs w:val="24"/>
          <w:highlight w:val="none"/>
        </w:rPr>
        <w:fldChar w:fldCharType="separate"/>
      </w:r>
      <w:r>
        <w:rPr>
          <w:rFonts w:hint="eastAsia" w:ascii="宋体" w:hAnsi="宋体" w:eastAsia="宋体" w:cs="宋体"/>
          <w:spacing w:val="6"/>
          <w:sz w:val="24"/>
          <w:szCs w:val="24"/>
          <w:highlight w:val="none"/>
        </w:rPr>
        <w:t>国务院关于进一步促进中小企业发展的若干意见</w:t>
      </w:r>
      <w:r>
        <w:rPr>
          <w:rFonts w:hint="eastAsia" w:ascii="宋体" w:hAnsi="宋体" w:eastAsia="宋体" w:cs="宋体"/>
          <w:spacing w:val="6"/>
          <w:sz w:val="24"/>
          <w:szCs w:val="24"/>
          <w:highlight w:val="none"/>
        </w:rPr>
        <w:fldChar w:fldCharType="end"/>
      </w:r>
      <w:r>
        <w:rPr>
          <w:rFonts w:hint="eastAsia" w:ascii="宋体" w:hAnsi="宋体" w:eastAsia="宋体" w:cs="宋体"/>
          <w:spacing w:val="6"/>
          <w:sz w:val="24"/>
          <w:szCs w:val="24"/>
          <w:highlight w:val="none"/>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"https://www.shui5.cn/article/47/26142.html" </w:instrText>
      </w:r>
      <w:r>
        <w:rPr>
          <w:rFonts w:hint="eastAsia" w:ascii="宋体" w:hAnsi="宋体" w:eastAsia="宋体" w:cs="宋体"/>
          <w:sz w:val="24"/>
          <w:szCs w:val="24"/>
          <w:highlight w:val="none"/>
        </w:rPr>
        <w:fldChar w:fldCharType="separate"/>
      </w:r>
      <w:r>
        <w:rPr>
          <w:rFonts w:hint="eastAsia" w:ascii="宋体" w:hAnsi="宋体" w:eastAsia="宋体" w:cs="宋体"/>
          <w:spacing w:val="6"/>
          <w:sz w:val="24"/>
          <w:szCs w:val="24"/>
          <w:highlight w:val="none"/>
        </w:rPr>
        <w:t>国发〔2009〕36号</w:t>
      </w:r>
      <w:r>
        <w:rPr>
          <w:rFonts w:hint="eastAsia" w:ascii="宋体" w:hAnsi="宋体" w:eastAsia="宋体" w:cs="宋体"/>
          <w:spacing w:val="6"/>
          <w:sz w:val="24"/>
          <w:szCs w:val="24"/>
          <w:highlight w:val="none"/>
        </w:rPr>
        <w:fldChar w:fldCharType="end"/>
      </w:r>
      <w:r>
        <w:rPr>
          <w:rFonts w:hint="eastAsia" w:ascii="宋体" w:hAnsi="宋体" w:eastAsia="宋体" w:cs="宋体"/>
          <w:spacing w:val="6"/>
          <w:sz w:val="24"/>
          <w:szCs w:val="24"/>
          <w:highlight w:val="none"/>
        </w:rPr>
        <w:t>)，制定本规定。</w:t>
      </w:r>
    </w:p>
    <w:p w14:paraId="404A51AC">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二、中小企业划分为中型、小型、微型三种类型，具体标准根据企业从业人员、营业收入、资产总额等指标，结合行业特点制定。</w:t>
      </w:r>
    </w:p>
    <w:p w14:paraId="3F393360">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D9CB813">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四、各行业划型标准为：</w:t>
      </w:r>
    </w:p>
    <w:p w14:paraId="59847EBF">
      <w:pPr>
        <w:pStyle w:val="624"/>
        <w:adjustRightInd w:val="0"/>
        <w:snapToGrid w:val="0"/>
        <w:spacing w:line="360" w:lineRule="auto"/>
        <w:ind w:firstLine="424"/>
        <w:rPr>
          <w:rFonts w:hint="eastAsia" w:ascii="宋体" w:hAnsi="宋体" w:eastAsia="宋体" w:cs="宋体"/>
          <w:spacing w:val="6"/>
          <w:sz w:val="24"/>
          <w:szCs w:val="24"/>
          <w:highlight w:val="none"/>
        </w:rPr>
      </w:pPr>
    </w:p>
    <w:p w14:paraId="36B229A2">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0CDDA6B9">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DB25C94">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ABE3703">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E627096">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F13A686">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0EF5B69">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B2B11EC">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B7279C4">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0FFE835">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AB17640">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152173A">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0DD50F9">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59BAC85">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92871B2">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40FF99E">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0939BB25">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五、企业类型的划分以统计部门的统计数据为依据。</w:t>
      </w:r>
    </w:p>
    <w:p w14:paraId="69FE7A18">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六、本规定适用于在中华人民共和国境内依法设立的各类所有制和各种组织形式的企业。个体工商户和本规定以外的行业，参照本规定进行划型。</w:t>
      </w:r>
    </w:p>
    <w:p w14:paraId="6A4BC9AC">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B81D3F4">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八、本规定由工业和信息化部、国家统计局会同有关部门根据《国民经济行业分类》修订情况和企业发展变化情况适时修订。</w:t>
      </w:r>
    </w:p>
    <w:p w14:paraId="71912409">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九、本规定由工业和信息化部、国家统计局会同有关部门负责解释。</w:t>
      </w:r>
    </w:p>
    <w:p w14:paraId="4CE46292">
      <w:pPr>
        <w:pStyle w:val="624"/>
        <w:adjustRightInd w:val="0"/>
        <w:snapToGrid w:val="0"/>
        <w:spacing w:line="360" w:lineRule="auto"/>
        <w:ind w:firstLine="424"/>
        <w:rPr>
          <w:rFonts w:hint="eastAsia" w:ascii="宋体" w:hAnsi="宋体" w:eastAsia="宋体" w:cs="宋体"/>
          <w:sz w:val="24"/>
          <w:szCs w:val="24"/>
          <w:highlight w:val="none"/>
          <w:lang w:eastAsia="zh-CN"/>
        </w:rPr>
        <w:sectPr>
          <w:headerReference r:id="rId9" w:type="default"/>
          <w:footerReference r:id="rId10" w:type="default"/>
          <w:pgSz w:w="11906" w:h="16838"/>
          <w:pgMar w:top="1134" w:right="1134" w:bottom="1134" w:left="1134" w:header="851" w:footer="992" w:gutter="0"/>
          <w:pgNumType w:fmt="decimal" w:start="1"/>
          <w:cols w:space="720" w:num="1"/>
          <w:docGrid w:linePitch="312" w:charSpace="0"/>
        </w:sectPr>
      </w:pPr>
      <w:r>
        <w:rPr>
          <w:rFonts w:hint="eastAsia" w:ascii="宋体" w:hAnsi="宋体" w:eastAsia="宋体" w:cs="宋体"/>
          <w:spacing w:val="6"/>
          <w:sz w:val="24"/>
          <w:szCs w:val="24"/>
          <w:highlight w:val="none"/>
        </w:rPr>
        <w:t>十、本规定自发布之日起执行，原国家经贸委、原国家计委、财政部和国家统计局2003年颁布的《</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"https://www.shui5.cn/article/df/24263.html" </w:instrText>
      </w:r>
      <w:r>
        <w:rPr>
          <w:rFonts w:hint="eastAsia" w:ascii="宋体" w:hAnsi="宋体" w:eastAsia="宋体" w:cs="宋体"/>
          <w:sz w:val="24"/>
          <w:szCs w:val="24"/>
          <w:highlight w:val="none"/>
        </w:rPr>
        <w:fldChar w:fldCharType="separate"/>
      </w:r>
      <w:r>
        <w:rPr>
          <w:rFonts w:hint="eastAsia" w:ascii="宋体" w:hAnsi="宋体" w:eastAsia="宋体" w:cs="宋体"/>
          <w:spacing w:val="6"/>
          <w:sz w:val="24"/>
          <w:szCs w:val="24"/>
          <w:highlight w:val="none"/>
        </w:rPr>
        <w:t>中小企业标准暂行规定</w:t>
      </w:r>
      <w:r>
        <w:rPr>
          <w:rFonts w:hint="eastAsia" w:ascii="宋体" w:hAnsi="宋体" w:eastAsia="宋体" w:cs="宋体"/>
          <w:spacing w:val="6"/>
          <w:sz w:val="24"/>
          <w:szCs w:val="24"/>
          <w:highlight w:val="none"/>
        </w:rPr>
        <w:fldChar w:fldCharType="end"/>
      </w:r>
      <w:r>
        <w:rPr>
          <w:rFonts w:hint="eastAsia" w:ascii="宋体" w:hAnsi="宋体" w:eastAsia="宋体" w:cs="宋体"/>
          <w:spacing w:val="6"/>
          <w:sz w:val="24"/>
          <w:szCs w:val="24"/>
          <w:highlight w:val="none"/>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"https://www.shui5.cn/article/df/24263.html" </w:instrText>
      </w:r>
      <w:r>
        <w:rPr>
          <w:rFonts w:hint="eastAsia" w:ascii="宋体" w:hAnsi="宋体" w:eastAsia="宋体" w:cs="宋体"/>
          <w:sz w:val="24"/>
          <w:szCs w:val="24"/>
          <w:highlight w:val="none"/>
        </w:rPr>
        <w:fldChar w:fldCharType="separate"/>
      </w:r>
      <w:r>
        <w:rPr>
          <w:rFonts w:hint="eastAsia" w:ascii="宋体" w:hAnsi="宋体" w:eastAsia="宋体" w:cs="宋体"/>
          <w:spacing w:val="6"/>
          <w:sz w:val="24"/>
          <w:szCs w:val="24"/>
          <w:highlight w:val="none"/>
        </w:rPr>
        <w:t>国经贸中小企[2003]143号</w:t>
      </w:r>
      <w:r>
        <w:rPr>
          <w:rFonts w:hint="eastAsia" w:ascii="宋体" w:hAnsi="宋体" w:eastAsia="宋体" w:cs="宋体"/>
          <w:spacing w:val="6"/>
          <w:sz w:val="24"/>
          <w:szCs w:val="24"/>
          <w:highlight w:val="none"/>
        </w:rPr>
        <w:fldChar w:fldCharType="end"/>
      </w:r>
      <w:r>
        <w:rPr>
          <w:rFonts w:hint="eastAsia" w:ascii="宋体" w:hAnsi="宋体" w:eastAsia="宋体" w:cs="宋体"/>
          <w:spacing w:val="6"/>
          <w:sz w:val="24"/>
          <w:szCs w:val="24"/>
          <w:highlight w:val="none"/>
        </w:rPr>
        <w:t>同时废止。</w:t>
      </w:r>
    </w:p>
    <w:p w14:paraId="71CA4341">
      <w:pPr>
        <w:pStyle w:val="624"/>
        <w:adjustRightInd w:val="0"/>
        <w:snapToGrid w:val="0"/>
        <w:spacing w:line="360" w:lineRule="auto"/>
        <w:ind w:firstLine="602"/>
        <w:rPr>
          <w:rFonts w:hint="eastAsia" w:ascii="宋体" w:hAnsi="宋体" w:eastAsia="宋体" w:cs="宋体"/>
          <w:b/>
          <w:sz w:val="24"/>
          <w:szCs w:val="24"/>
          <w:highlight w:val="none"/>
        </w:rPr>
      </w:pPr>
      <w:r>
        <w:rPr>
          <w:rFonts w:hint="eastAsia" w:ascii="宋体" w:hAnsi="宋体" w:eastAsia="宋体" w:cs="宋体"/>
          <w:sz w:val="24"/>
          <w:szCs w:val="24"/>
          <w:highlight w:val="none"/>
          <w:lang w:val="en-US"/>
        </w:rPr>
        <w:drawing>
          <wp:anchor distT="0" distB="0" distL="114300" distR="114300" simplePos="0" relativeHeight="251662336" behindDoc="1" locked="0" layoutInCell="1" allowOverlap="1">
            <wp:simplePos x="0" y="0"/>
            <wp:positionH relativeFrom="column">
              <wp:posOffset>-2258695</wp:posOffset>
            </wp:positionH>
            <wp:positionV relativeFrom="paragraph">
              <wp:posOffset>1873250</wp:posOffset>
            </wp:positionV>
            <wp:extent cx="8983980" cy="5429885"/>
            <wp:effectExtent l="0" t="0" r="18415" b="7620"/>
            <wp:wrapTight wrapText="bothSides">
              <wp:wrapPolygon>
                <wp:start x="21600" y="3"/>
                <wp:lineTo x="27" y="3"/>
                <wp:lineTo x="27" y="21524"/>
                <wp:lineTo x="21600" y="21524"/>
                <wp:lineTo x="21600" y="3"/>
              </wp:wrapPolygon>
            </wp:wrapTight>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13" cstate="print"/>
                    <a:stretch>
                      <a:fillRect/>
                    </a:stretch>
                  </pic:blipFill>
                  <pic:spPr>
                    <a:xfrm rot="16200000">
                      <a:off x="0" y="0"/>
                      <a:ext cx="8983980" cy="5429885"/>
                    </a:xfrm>
                    <a:prstGeom prst="rect">
                      <a:avLst/>
                    </a:prstGeom>
                    <a:noFill/>
                    <a:ln>
                      <a:noFill/>
                    </a:ln>
                  </pic:spPr>
                </pic:pic>
              </a:graphicData>
            </a:graphic>
          </wp:anchor>
        </w:drawing>
      </w:r>
    </w:p>
    <w:p w14:paraId="6810FF07">
      <w:pPr>
        <w:rPr>
          <w:rFonts w:hint="eastAsia" w:ascii="宋体" w:hAnsi="宋体" w:eastAsia="宋体" w:cs="宋体"/>
          <w:b/>
          <w:sz w:val="24"/>
          <w:szCs w:val="24"/>
          <w:highlight w:val="none"/>
        </w:rPr>
      </w:pPr>
    </w:p>
    <w:sectPr>
      <w:pgSz w:w="11906" w:h="16838"/>
      <w:pgMar w:top="1174" w:right="1417" w:bottom="1151" w:left="1417" w:header="851" w:footer="992"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0000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2FE13">
    <w:pPr>
      <w:pStyle w:val="38"/>
      <w:framePr w:wrap="around" w:vAnchor="text" w:hAnchor="margin" w:xAlign="right" w:y="1"/>
      <w:rPr>
        <w:rStyle w:val="65"/>
      </w:rPr>
    </w:pPr>
    <w:r>
      <w:fldChar w:fldCharType="begin"/>
    </w:r>
    <w:r>
      <w:rPr>
        <w:rStyle w:val="65"/>
      </w:rPr>
      <w:instrText xml:space="preserve">PAGE  </w:instrText>
    </w:r>
    <w:r>
      <w:fldChar w:fldCharType="end"/>
    </w:r>
  </w:p>
  <w:p w14:paraId="20D1E1A4">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98376">
    <w:pPr>
      <w:pStyle w:val="38"/>
      <w:jc w:val="both"/>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A2C57">
    <w:pPr>
      <w:pStyle w:val="38"/>
      <w:jc w:val="center"/>
      <w:rPr>
        <w:rFonts w:ascii="仿宋_GB2312" w:eastAsia="仿宋_GB2312"/>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FB565">
    <w:pPr>
      <w:pStyle w:val="38"/>
      <w:jc w:val="center"/>
      <w:rPr>
        <w:rFonts w:ascii="仿宋_GB2312" w:eastAsia="仿宋_GB2312"/>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9B695">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29B695">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416CA">
    <w:pPr>
      <w:pStyle w:val="57"/>
      <w:pBdr>
        <w:bottom w:val="single" w:color="auto" w:sz="4" w:space="0"/>
      </w:pBdr>
      <w:ind w:firstLine="180" w:firstLineChars="100"/>
      <w:jc w:val="right"/>
      <w:rPr>
        <w:rFonts w:ascii="仿宋" w:hAnsi="仿宋" w:eastAsia="仿宋" w:cs="仿宋"/>
        <w:b w:val="0"/>
        <w:kern w:val="2"/>
        <w:sz w:val="18"/>
        <w:szCs w:val="18"/>
        <w:lang w:val="en-US"/>
      </w:rPr>
    </w:pPr>
    <w:r>
      <w:rPr>
        <w:rFonts w:hint="eastAsia" w:ascii="仿宋" w:hAnsi="仿宋" w:eastAsia="仿宋" w:cs="仿宋"/>
        <w:b w:val="0"/>
        <w:kern w:val="2"/>
        <w:sz w:val="18"/>
        <w:szCs w:val="18"/>
        <w:lang w:val="en-US"/>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2AEDA">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97B72">
    <w:pPr>
      <w:pStyle w:val="39"/>
      <w:jc w:val="right"/>
      <w:rPr>
        <w:rFonts w:ascii="仿宋" w:hAnsi="仿宋" w:eastAsia="仿宋" w:cs="仿宋"/>
        <w:b/>
        <w:bCs/>
      </w:rPr>
    </w:pPr>
    <w:r>
      <w:rPr>
        <w:rFonts w:hint="eastAsia" w:ascii="仿宋" w:hAnsi="仿宋" w:eastAsia="仿宋" w:cs="仿宋"/>
        <w:b/>
        <w:bCs/>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F4604">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60E34"/>
    <w:multiLevelType w:val="singleLevel"/>
    <w:tmpl w:val="80660E34"/>
    <w:lvl w:ilvl="0" w:tentative="0">
      <w:start w:val="1"/>
      <w:numFmt w:val="decimal"/>
      <w:lvlText w:val="%1."/>
      <w:lvlJc w:val="left"/>
      <w:pPr>
        <w:tabs>
          <w:tab w:val="left" w:pos="397"/>
        </w:tabs>
        <w:ind w:left="340" w:hanging="340"/>
      </w:pPr>
      <w:rPr>
        <w:rFonts w:hint="default"/>
      </w:rPr>
    </w:lvl>
  </w:abstractNum>
  <w:abstractNum w:abstractNumId="1">
    <w:nsid w:val="8E020B7A"/>
    <w:multiLevelType w:val="multilevel"/>
    <w:tmpl w:val="8E020B7A"/>
    <w:lvl w:ilvl="0" w:tentative="0">
      <w:start w:val="11"/>
      <w:numFmt w:val="decimal"/>
      <w:lvlText w:val="%1."/>
      <w:lvlJc w:val="left"/>
      <w:pPr>
        <w:ind w:left="425" w:hanging="425"/>
      </w:pPr>
      <w:rPr>
        <w:rFonts w:hint="default" w:ascii="宋体" w:hAnsi="宋体" w:eastAsia="宋体" w:cs="宋体"/>
      </w:rPr>
    </w:lvl>
    <w:lvl w:ilvl="1" w:tentative="0">
      <w:start w:val="2"/>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ascii="宋体" w:hAnsi="宋体" w:eastAsia="宋体" w:cs="宋体"/>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9192F06C"/>
    <w:multiLevelType w:val="singleLevel"/>
    <w:tmpl w:val="9192F06C"/>
    <w:lvl w:ilvl="0" w:tentative="0">
      <w:start w:val="1"/>
      <w:numFmt w:val="chineseCounting"/>
      <w:suff w:val="nothing"/>
      <w:lvlText w:val="%1、"/>
      <w:lvlJc w:val="left"/>
      <w:pPr>
        <w:ind w:left="0" w:firstLine="420"/>
      </w:pPr>
      <w:rPr>
        <w:rFonts w:hint="eastAsia"/>
      </w:rPr>
    </w:lvl>
  </w:abstractNum>
  <w:abstractNum w:abstractNumId="3">
    <w:nsid w:val="962016DF"/>
    <w:multiLevelType w:val="multilevel"/>
    <w:tmpl w:val="962016DF"/>
    <w:lvl w:ilvl="0" w:tentative="0">
      <w:start w:val="18"/>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
    <w:nsid w:val="97211B0E"/>
    <w:multiLevelType w:val="multilevel"/>
    <w:tmpl w:val="97211B0E"/>
    <w:lvl w:ilvl="0" w:tentative="0">
      <w:start w:val="15"/>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
    <w:nsid w:val="9A7733CE"/>
    <w:multiLevelType w:val="singleLevel"/>
    <w:tmpl w:val="9A7733CE"/>
    <w:lvl w:ilvl="0" w:tentative="0">
      <w:start w:val="1"/>
      <w:numFmt w:val="decimal"/>
      <w:lvlText w:val="(%1)"/>
      <w:lvlJc w:val="left"/>
      <w:pPr>
        <w:ind w:left="425" w:hanging="425"/>
      </w:pPr>
      <w:rPr>
        <w:rFonts w:hint="default"/>
      </w:rPr>
    </w:lvl>
  </w:abstractNum>
  <w:abstractNum w:abstractNumId="6">
    <w:nsid w:val="B1E04445"/>
    <w:multiLevelType w:val="multilevel"/>
    <w:tmpl w:val="B1E04445"/>
    <w:lvl w:ilvl="0" w:tentative="0">
      <w:start w:val="2"/>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7">
    <w:nsid w:val="B96E7FB5"/>
    <w:multiLevelType w:val="multilevel"/>
    <w:tmpl w:val="B96E7FB5"/>
    <w:lvl w:ilvl="0" w:tentative="0">
      <w:start w:val="7"/>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8">
    <w:nsid w:val="BBB98913"/>
    <w:multiLevelType w:val="multilevel"/>
    <w:tmpl w:val="BBB98913"/>
    <w:lvl w:ilvl="0" w:tentative="0">
      <w:start w:val="27"/>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9">
    <w:nsid w:val="BD2C3FEC"/>
    <w:multiLevelType w:val="singleLevel"/>
    <w:tmpl w:val="BD2C3FEC"/>
    <w:lvl w:ilvl="0" w:tentative="0">
      <w:start w:val="1"/>
      <w:numFmt w:val="decimal"/>
      <w:lvlText w:val="(%1)"/>
      <w:lvlJc w:val="left"/>
      <w:pPr>
        <w:ind w:left="425" w:hanging="425"/>
      </w:pPr>
      <w:rPr>
        <w:rFonts w:hint="default"/>
      </w:rPr>
    </w:lvl>
  </w:abstractNum>
  <w:abstractNum w:abstractNumId="10">
    <w:nsid w:val="C3422329"/>
    <w:multiLevelType w:val="multilevel"/>
    <w:tmpl w:val="C3422329"/>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1">
    <w:nsid w:val="C4237D12"/>
    <w:multiLevelType w:val="singleLevel"/>
    <w:tmpl w:val="C4237D12"/>
    <w:lvl w:ilvl="0" w:tentative="0">
      <w:start w:val="4"/>
      <w:numFmt w:val="decimal"/>
      <w:suff w:val="nothing"/>
      <w:lvlText w:val="（%1）"/>
      <w:lvlJc w:val="left"/>
    </w:lvl>
  </w:abstractNum>
  <w:abstractNum w:abstractNumId="12">
    <w:nsid w:val="C48E556B"/>
    <w:multiLevelType w:val="multilevel"/>
    <w:tmpl w:val="C48E556B"/>
    <w:lvl w:ilvl="0" w:tentative="0">
      <w:start w:val="11"/>
      <w:numFmt w:val="decimal"/>
      <w:lvlText w:val="%1."/>
      <w:lvlJc w:val="left"/>
      <w:pPr>
        <w:ind w:left="425" w:hanging="425"/>
      </w:pPr>
      <w:rPr>
        <w:rFonts w:hint="default"/>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3">
    <w:nsid w:val="C58839CE"/>
    <w:multiLevelType w:val="singleLevel"/>
    <w:tmpl w:val="C58839CE"/>
    <w:lvl w:ilvl="0" w:tentative="0">
      <w:start w:val="1"/>
      <w:numFmt w:val="decimal"/>
      <w:lvlText w:val="(%1)"/>
      <w:lvlJc w:val="left"/>
      <w:pPr>
        <w:ind w:left="425" w:hanging="425"/>
      </w:pPr>
      <w:rPr>
        <w:rFonts w:hint="default"/>
      </w:rPr>
    </w:lvl>
  </w:abstractNum>
  <w:abstractNum w:abstractNumId="14">
    <w:nsid w:val="CAC07571"/>
    <w:multiLevelType w:val="singleLevel"/>
    <w:tmpl w:val="CAC07571"/>
    <w:lvl w:ilvl="0" w:tentative="0">
      <w:start w:val="1"/>
      <w:numFmt w:val="decimal"/>
      <w:lvlText w:val="%1."/>
      <w:lvlJc w:val="center"/>
      <w:pPr>
        <w:tabs>
          <w:tab w:val="left" w:pos="42"/>
        </w:tabs>
        <w:ind w:left="71" w:hanging="45"/>
      </w:pPr>
      <w:rPr>
        <w:rFonts w:hint="default" w:ascii="宋体" w:hAnsi="宋体" w:eastAsia="宋体" w:cs="宋体"/>
      </w:rPr>
    </w:lvl>
  </w:abstractNum>
  <w:abstractNum w:abstractNumId="15">
    <w:nsid w:val="CC846126"/>
    <w:multiLevelType w:val="singleLevel"/>
    <w:tmpl w:val="CC846126"/>
    <w:lvl w:ilvl="0" w:tentative="0">
      <w:start w:val="1"/>
      <w:numFmt w:val="decimal"/>
      <w:suff w:val="nothing"/>
      <w:lvlText w:val="（%1）"/>
      <w:lvlJc w:val="left"/>
    </w:lvl>
  </w:abstractNum>
  <w:abstractNum w:abstractNumId="16">
    <w:nsid w:val="CCB3DD79"/>
    <w:multiLevelType w:val="singleLevel"/>
    <w:tmpl w:val="CCB3DD79"/>
    <w:lvl w:ilvl="0" w:tentative="0">
      <w:start w:val="4"/>
      <w:numFmt w:val="chineseCounting"/>
      <w:suff w:val="space"/>
      <w:lvlText w:val="第%1部分"/>
      <w:lvlJc w:val="left"/>
      <w:rPr>
        <w:rFonts w:hint="eastAsia"/>
      </w:rPr>
    </w:lvl>
  </w:abstractNum>
  <w:abstractNum w:abstractNumId="17">
    <w:nsid w:val="D0C8852C"/>
    <w:multiLevelType w:val="singleLevel"/>
    <w:tmpl w:val="D0C8852C"/>
    <w:lvl w:ilvl="0" w:tentative="0">
      <w:start w:val="1"/>
      <w:numFmt w:val="decimal"/>
      <w:suff w:val="nothing"/>
      <w:lvlText w:val="%1、"/>
      <w:lvlJc w:val="left"/>
    </w:lvl>
  </w:abstractNum>
  <w:abstractNum w:abstractNumId="18">
    <w:nsid w:val="D933C6BD"/>
    <w:multiLevelType w:val="singleLevel"/>
    <w:tmpl w:val="D933C6BD"/>
    <w:lvl w:ilvl="0" w:tentative="0">
      <w:start w:val="1"/>
      <w:numFmt w:val="decimal"/>
      <w:suff w:val="nothing"/>
      <w:lvlText w:val="%1、"/>
      <w:lvlJc w:val="left"/>
      <w:pPr>
        <w:ind w:left="72" w:leftChars="0" w:firstLine="0" w:firstLineChars="0"/>
      </w:pPr>
    </w:lvl>
  </w:abstractNum>
  <w:abstractNum w:abstractNumId="19">
    <w:nsid w:val="DFDB276E"/>
    <w:multiLevelType w:val="singleLevel"/>
    <w:tmpl w:val="DFDB276E"/>
    <w:lvl w:ilvl="0" w:tentative="0">
      <w:start w:val="1"/>
      <w:numFmt w:val="chineseCounting"/>
      <w:suff w:val="nothing"/>
      <w:lvlText w:val="%1、"/>
      <w:lvlJc w:val="left"/>
      <w:pPr>
        <w:ind w:left="0" w:firstLine="420"/>
      </w:pPr>
      <w:rPr>
        <w:rFonts w:hint="eastAsia"/>
      </w:rPr>
    </w:lvl>
  </w:abstractNum>
  <w:abstractNum w:abstractNumId="20">
    <w:nsid w:val="E1ACEA70"/>
    <w:multiLevelType w:val="multilevel"/>
    <w:tmpl w:val="E1ACEA70"/>
    <w:lvl w:ilvl="0" w:tentative="0">
      <w:start w:val="4"/>
      <w:numFmt w:val="decimal"/>
      <w:lvlText w:val="%1."/>
      <w:lvlJc w:val="left"/>
      <w:pPr>
        <w:ind w:left="425" w:hanging="425"/>
      </w:pPr>
      <w:rPr>
        <w:rFonts w:hint="default"/>
      </w:rPr>
    </w:lvl>
    <w:lvl w:ilvl="1" w:tentative="0">
      <w:start w:val="3"/>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1">
    <w:nsid w:val="E20630FF"/>
    <w:multiLevelType w:val="multilevel"/>
    <w:tmpl w:val="E20630FF"/>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2">
    <w:nsid w:val="E79DFC4E"/>
    <w:multiLevelType w:val="multilevel"/>
    <w:tmpl w:val="E79DFC4E"/>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3">
    <w:nsid w:val="EC6B8095"/>
    <w:multiLevelType w:val="multilevel"/>
    <w:tmpl w:val="EC6B8095"/>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4">
    <w:nsid w:val="EDF9013E"/>
    <w:multiLevelType w:val="multilevel"/>
    <w:tmpl w:val="EDF9013E"/>
    <w:lvl w:ilvl="0" w:tentative="0">
      <w:start w:val="14"/>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5">
    <w:nsid w:val="EE123F54"/>
    <w:multiLevelType w:val="singleLevel"/>
    <w:tmpl w:val="EE123F54"/>
    <w:lvl w:ilvl="0" w:tentative="0">
      <w:start w:val="3"/>
      <w:numFmt w:val="decimal"/>
      <w:lvlText w:val="%1."/>
      <w:lvlJc w:val="left"/>
      <w:pPr>
        <w:tabs>
          <w:tab w:val="left" w:pos="312"/>
        </w:tabs>
      </w:pPr>
    </w:lvl>
  </w:abstractNum>
  <w:abstractNum w:abstractNumId="26">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7">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3"/>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2"/>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1"/>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4"/>
      <w:lvlText w:val=""/>
      <w:lvlJc w:val="left"/>
      <w:pPr>
        <w:tabs>
          <w:tab w:val="left" w:pos="4200"/>
        </w:tabs>
        <w:ind w:left="4200" w:hanging="420"/>
      </w:pPr>
      <w:rPr>
        <w:rFonts w:hint="default" w:ascii="Wingdings" w:hAnsi="Wingdings"/>
      </w:rPr>
    </w:lvl>
  </w:abstractNum>
  <w:abstractNum w:abstractNumId="28">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9">
    <w:nsid w:val="00EF540E"/>
    <w:multiLevelType w:val="singleLevel"/>
    <w:tmpl w:val="00EF540E"/>
    <w:lvl w:ilvl="0" w:tentative="0">
      <w:start w:val="1"/>
      <w:numFmt w:val="decimal"/>
      <w:lvlText w:val="%1."/>
      <w:lvlJc w:val="left"/>
      <w:pPr>
        <w:tabs>
          <w:tab w:val="left" w:pos="312"/>
        </w:tabs>
      </w:pPr>
    </w:lvl>
  </w:abstractNum>
  <w:abstractNum w:abstractNumId="30">
    <w:nsid w:val="04C46C8E"/>
    <w:multiLevelType w:val="multilevel"/>
    <w:tmpl w:val="04C46C8E"/>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1">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32">
    <w:nsid w:val="12ECF7D5"/>
    <w:multiLevelType w:val="multilevel"/>
    <w:tmpl w:val="12ECF7D5"/>
    <w:lvl w:ilvl="0" w:tentative="0">
      <w:start w:val="3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3">
    <w:nsid w:val="13E9CB99"/>
    <w:multiLevelType w:val="multilevel"/>
    <w:tmpl w:val="13E9CB99"/>
    <w:lvl w:ilvl="0" w:tentative="0">
      <w:start w:val="4"/>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4">
    <w:nsid w:val="16C24B78"/>
    <w:multiLevelType w:val="multilevel"/>
    <w:tmpl w:val="16C24B78"/>
    <w:lvl w:ilvl="0" w:tentative="0">
      <w:start w:val="1"/>
      <w:numFmt w:val="lowerLetter"/>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5">
    <w:nsid w:val="16D76FFA"/>
    <w:multiLevelType w:val="multilevel"/>
    <w:tmpl w:val="16D76FFA"/>
    <w:lvl w:ilvl="0" w:tentative="0">
      <w:start w:val="17"/>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6">
    <w:nsid w:val="1CE5D359"/>
    <w:multiLevelType w:val="singleLevel"/>
    <w:tmpl w:val="1CE5D359"/>
    <w:lvl w:ilvl="0" w:tentative="0">
      <w:start w:val="1"/>
      <w:numFmt w:val="decimal"/>
      <w:lvlText w:val="%1."/>
      <w:lvlJc w:val="left"/>
      <w:pPr>
        <w:tabs>
          <w:tab w:val="left" w:pos="312"/>
        </w:tabs>
      </w:pPr>
    </w:lvl>
  </w:abstractNum>
  <w:abstractNum w:abstractNumId="37">
    <w:nsid w:val="1F05AE93"/>
    <w:multiLevelType w:val="singleLevel"/>
    <w:tmpl w:val="1F05AE93"/>
    <w:lvl w:ilvl="0" w:tentative="0">
      <w:start w:val="1"/>
      <w:numFmt w:val="decimal"/>
      <w:suff w:val="nothing"/>
      <w:lvlText w:val="（%1）"/>
      <w:lvlJc w:val="left"/>
    </w:lvl>
  </w:abstractNum>
  <w:abstractNum w:abstractNumId="38">
    <w:nsid w:val="207439DD"/>
    <w:multiLevelType w:val="multilevel"/>
    <w:tmpl w:val="207439DD"/>
    <w:lvl w:ilvl="0" w:tentative="0">
      <w:start w:val="4"/>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9">
    <w:nsid w:val="21A491E2"/>
    <w:multiLevelType w:val="singleLevel"/>
    <w:tmpl w:val="21A491E2"/>
    <w:lvl w:ilvl="0" w:tentative="0">
      <w:start w:val="1"/>
      <w:numFmt w:val="decimal"/>
      <w:lvlText w:val="%1."/>
      <w:lvlJc w:val="left"/>
      <w:pPr>
        <w:tabs>
          <w:tab w:val="left" w:pos="312"/>
        </w:tabs>
      </w:pPr>
    </w:lvl>
  </w:abstractNum>
  <w:abstractNum w:abstractNumId="40">
    <w:nsid w:val="22374A03"/>
    <w:multiLevelType w:val="multilevel"/>
    <w:tmpl w:val="22374A03"/>
    <w:lvl w:ilvl="0" w:tentative="0">
      <w:start w:val="1"/>
      <w:numFmt w:val="lowerLetter"/>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1">
    <w:nsid w:val="29D789B5"/>
    <w:multiLevelType w:val="singleLevel"/>
    <w:tmpl w:val="29D789B5"/>
    <w:lvl w:ilvl="0" w:tentative="0">
      <w:start w:val="1"/>
      <w:numFmt w:val="decimal"/>
      <w:lvlText w:val="%1."/>
      <w:lvlJc w:val="left"/>
      <w:pPr>
        <w:ind w:left="425" w:hanging="425"/>
      </w:pPr>
      <w:rPr>
        <w:rFonts w:hint="default"/>
      </w:rPr>
    </w:lvl>
  </w:abstractNum>
  <w:abstractNum w:abstractNumId="42">
    <w:nsid w:val="2A4E901C"/>
    <w:multiLevelType w:val="multilevel"/>
    <w:tmpl w:val="2A4E901C"/>
    <w:lvl w:ilvl="0" w:tentative="0">
      <w:start w:val="20"/>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3">
    <w:nsid w:val="2EA85F27"/>
    <w:multiLevelType w:val="multilevel"/>
    <w:tmpl w:val="2EA85F27"/>
    <w:lvl w:ilvl="0" w:tentative="0">
      <w:start w:val="6"/>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4">
    <w:nsid w:val="2ED9EEBE"/>
    <w:multiLevelType w:val="multilevel"/>
    <w:tmpl w:val="2ED9EEBE"/>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5">
    <w:nsid w:val="320E0114"/>
    <w:multiLevelType w:val="multilevel"/>
    <w:tmpl w:val="320E0114"/>
    <w:lvl w:ilvl="0" w:tentative="0">
      <w:start w:val="13"/>
      <w:numFmt w:val="decimal"/>
      <w:lvlText w:val="%1."/>
      <w:lvlJc w:val="left"/>
      <w:pPr>
        <w:ind w:left="425" w:hanging="425"/>
      </w:pPr>
      <w:rPr>
        <w:rFonts w:hint="default"/>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6">
    <w:nsid w:val="32FAC5EF"/>
    <w:multiLevelType w:val="multilevel"/>
    <w:tmpl w:val="32FAC5EF"/>
    <w:lvl w:ilvl="0" w:tentative="0">
      <w:start w:val="4"/>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7">
    <w:nsid w:val="369C5F2A"/>
    <w:multiLevelType w:val="singleLevel"/>
    <w:tmpl w:val="369C5F2A"/>
    <w:lvl w:ilvl="0" w:tentative="0">
      <w:start w:val="1"/>
      <w:numFmt w:val="chineseCounting"/>
      <w:suff w:val="nothing"/>
      <w:lvlText w:val="%1、"/>
      <w:lvlJc w:val="left"/>
      <w:rPr>
        <w:rFonts w:hint="eastAsia"/>
      </w:rPr>
    </w:lvl>
  </w:abstractNum>
  <w:abstractNum w:abstractNumId="48">
    <w:nsid w:val="36ED0084"/>
    <w:multiLevelType w:val="multilevel"/>
    <w:tmpl w:val="36ED0084"/>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9">
    <w:nsid w:val="485D5A86"/>
    <w:multiLevelType w:val="multilevel"/>
    <w:tmpl w:val="485D5A86"/>
    <w:lvl w:ilvl="0" w:tentative="0">
      <w:start w:val="1"/>
      <w:numFmt w:val="lowerLetter"/>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0">
    <w:nsid w:val="4A976031"/>
    <w:multiLevelType w:val="multilevel"/>
    <w:tmpl w:val="4A976031"/>
    <w:lvl w:ilvl="0" w:tentative="0">
      <w:start w:val="11"/>
      <w:numFmt w:val="decimal"/>
      <w:lvlText w:val="%1."/>
      <w:lvlJc w:val="left"/>
      <w:pPr>
        <w:ind w:left="425" w:hanging="425"/>
      </w:pPr>
      <w:rPr>
        <w:rFonts w:hint="default" w:ascii="宋体" w:hAnsi="宋体" w:eastAsia="宋体" w:cs="宋体"/>
      </w:rPr>
    </w:lvl>
    <w:lvl w:ilvl="1" w:tentative="0">
      <w:start w:val="3"/>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1">
    <w:nsid w:val="4CFA10E1"/>
    <w:multiLevelType w:val="multilevel"/>
    <w:tmpl w:val="4CFA10E1"/>
    <w:lvl w:ilvl="0" w:tentative="0">
      <w:start w:val="25"/>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2">
    <w:nsid w:val="4D67B4D0"/>
    <w:multiLevelType w:val="multilevel"/>
    <w:tmpl w:val="4D67B4D0"/>
    <w:lvl w:ilvl="0" w:tentative="0">
      <w:start w:val="5"/>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3">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54">
    <w:nsid w:val="5063E2BC"/>
    <w:multiLevelType w:val="multilevel"/>
    <w:tmpl w:val="5063E2BC"/>
    <w:lvl w:ilvl="0" w:tentative="0">
      <w:start w:val="29"/>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5">
    <w:nsid w:val="50AF38A8"/>
    <w:multiLevelType w:val="singleLevel"/>
    <w:tmpl w:val="50AF38A8"/>
    <w:lvl w:ilvl="0" w:tentative="0">
      <w:start w:val="1"/>
      <w:numFmt w:val="chineseCounting"/>
      <w:suff w:val="nothing"/>
      <w:lvlText w:val="%1、"/>
      <w:lvlJc w:val="left"/>
      <w:rPr>
        <w:rFonts w:hint="eastAsia"/>
      </w:rPr>
    </w:lvl>
  </w:abstractNum>
  <w:abstractNum w:abstractNumId="56">
    <w:nsid w:val="52B48799"/>
    <w:multiLevelType w:val="multilevel"/>
    <w:tmpl w:val="52B48799"/>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7">
    <w:nsid w:val="53FC25CE"/>
    <w:multiLevelType w:val="singleLevel"/>
    <w:tmpl w:val="53FC25CE"/>
    <w:lvl w:ilvl="0" w:tentative="0">
      <w:start w:val="1"/>
      <w:numFmt w:val="decimal"/>
      <w:lvlText w:val="%1."/>
      <w:lvlJc w:val="left"/>
      <w:pPr>
        <w:ind w:left="425" w:hanging="425"/>
      </w:pPr>
      <w:rPr>
        <w:rFonts w:hint="default"/>
      </w:rPr>
    </w:lvl>
  </w:abstractNum>
  <w:abstractNum w:abstractNumId="58">
    <w:nsid w:val="5737B475"/>
    <w:multiLevelType w:val="multilevel"/>
    <w:tmpl w:val="5737B475"/>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9">
    <w:nsid w:val="578B3BD2"/>
    <w:multiLevelType w:val="multilevel"/>
    <w:tmpl w:val="578B3BD2"/>
    <w:lvl w:ilvl="0" w:tentative="0">
      <w:start w:val="1"/>
      <w:numFmt w:val="decimal"/>
      <w:pStyle w:val="415"/>
      <w:lvlText w:val="%1"/>
      <w:lvlJc w:val="left"/>
      <w:pPr>
        <w:tabs>
          <w:tab w:val="left" w:pos="480"/>
        </w:tabs>
        <w:ind w:left="480" w:hanging="480"/>
      </w:pPr>
      <w:rPr>
        <w:rFonts w:hint="eastAsia"/>
        <w:sz w:val="44"/>
        <w:szCs w:val="44"/>
      </w:rPr>
    </w:lvl>
    <w:lvl w:ilvl="1" w:tentative="0">
      <w:start w:val="1"/>
      <w:numFmt w:val="decimal"/>
      <w:pStyle w:val="33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4"/>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0">
    <w:nsid w:val="621B3A68"/>
    <w:multiLevelType w:val="multilevel"/>
    <w:tmpl w:val="621B3A6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1">
    <w:nsid w:val="64338D45"/>
    <w:multiLevelType w:val="multilevel"/>
    <w:tmpl w:val="64338D45"/>
    <w:lvl w:ilvl="0" w:tentative="0">
      <w:start w:val="6"/>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2">
    <w:nsid w:val="650DB387"/>
    <w:multiLevelType w:val="singleLevel"/>
    <w:tmpl w:val="650DB387"/>
    <w:lvl w:ilvl="0" w:tentative="0">
      <w:start w:val="1"/>
      <w:numFmt w:val="decimal"/>
      <w:lvlText w:val="(%1)"/>
      <w:lvlJc w:val="left"/>
      <w:pPr>
        <w:ind w:left="425" w:hanging="425"/>
      </w:pPr>
      <w:rPr>
        <w:rFonts w:hint="default"/>
      </w:rPr>
    </w:lvl>
  </w:abstractNum>
  <w:abstractNum w:abstractNumId="63">
    <w:nsid w:val="660117B0"/>
    <w:multiLevelType w:val="multilevel"/>
    <w:tmpl w:val="660117B0"/>
    <w:lvl w:ilvl="0" w:tentative="0">
      <w:start w:val="12"/>
      <w:numFmt w:val="decimal"/>
      <w:lvlText w:val="%1."/>
      <w:lvlJc w:val="left"/>
      <w:pPr>
        <w:ind w:left="425" w:hanging="425"/>
      </w:pPr>
      <w:rPr>
        <w:rFonts w:hint="default"/>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4">
    <w:nsid w:val="662A2411"/>
    <w:multiLevelType w:val="multilevel"/>
    <w:tmpl w:val="662A2411"/>
    <w:lvl w:ilvl="0" w:tentative="0">
      <w:start w:val="3"/>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5">
    <w:nsid w:val="66CEE4D7"/>
    <w:multiLevelType w:val="singleLevel"/>
    <w:tmpl w:val="66CEE4D7"/>
    <w:lvl w:ilvl="0" w:tentative="0">
      <w:start w:val="1"/>
      <w:numFmt w:val="decimal"/>
      <w:suff w:val="nothing"/>
      <w:lvlText w:val="%1、"/>
      <w:lvlJc w:val="left"/>
    </w:lvl>
  </w:abstractNum>
  <w:abstractNum w:abstractNumId="66">
    <w:nsid w:val="69071B2E"/>
    <w:multiLevelType w:val="singleLevel"/>
    <w:tmpl w:val="69071B2E"/>
    <w:lvl w:ilvl="0" w:tentative="0">
      <w:start w:val="1"/>
      <w:numFmt w:val="decimal"/>
      <w:suff w:val="nothing"/>
      <w:lvlText w:val="（%1）"/>
      <w:lvlJc w:val="left"/>
    </w:lvl>
  </w:abstractNum>
  <w:abstractNum w:abstractNumId="67">
    <w:nsid w:val="73596DCC"/>
    <w:multiLevelType w:val="multilevel"/>
    <w:tmpl w:val="73596DCC"/>
    <w:lvl w:ilvl="0" w:tentative="0">
      <w:start w:val="1"/>
      <w:numFmt w:val="bullet"/>
      <w:pStyle w:val="32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8">
    <w:nsid w:val="755308F2"/>
    <w:multiLevelType w:val="singleLevel"/>
    <w:tmpl w:val="755308F2"/>
    <w:lvl w:ilvl="0" w:tentative="0">
      <w:start w:val="1"/>
      <w:numFmt w:val="decimal"/>
      <w:suff w:val="nothing"/>
      <w:lvlText w:val="（%1）"/>
      <w:lvlJc w:val="left"/>
    </w:lvl>
  </w:abstractNum>
  <w:abstractNum w:abstractNumId="69">
    <w:nsid w:val="75AFE56F"/>
    <w:multiLevelType w:val="multilevel"/>
    <w:tmpl w:val="75AFE56F"/>
    <w:lvl w:ilvl="0" w:tentative="0">
      <w:start w:val="19"/>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31"/>
  </w:num>
  <w:num w:numId="2">
    <w:abstractNumId w:val="28"/>
  </w:num>
  <w:num w:numId="3">
    <w:abstractNumId w:val="26"/>
  </w:num>
  <w:num w:numId="4">
    <w:abstractNumId w:val="27"/>
  </w:num>
  <w:num w:numId="5">
    <w:abstractNumId w:val="59"/>
  </w:num>
  <w:num w:numId="6">
    <w:abstractNumId w:val="67"/>
  </w:num>
  <w:num w:numId="7">
    <w:abstractNumId w:val="47"/>
  </w:num>
  <w:num w:numId="8">
    <w:abstractNumId w:val="25"/>
  </w:num>
  <w:num w:numId="9">
    <w:abstractNumId w:val="0"/>
  </w:num>
  <w:num w:numId="10">
    <w:abstractNumId w:val="23"/>
  </w:num>
  <w:num w:numId="11">
    <w:abstractNumId w:val="10"/>
  </w:num>
  <w:num w:numId="12">
    <w:abstractNumId w:val="58"/>
  </w:num>
  <w:num w:numId="13">
    <w:abstractNumId w:val="30"/>
  </w:num>
  <w:num w:numId="14">
    <w:abstractNumId w:val="38"/>
  </w:num>
  <w:num w:numId="15">
    <w:abstractNumId w:val="11"/>
  </w:num>
  <w:num w:numId="16">
    <w:abstractNumId w:val="14"/>
  </w:num>
  <w:num w:numId="17">
    <w:abstractNumId w:val="6"/>
  </w:num>
  <w:num w:numId="18">
    <w:abstractNumId w:val="64"/>
  </w:num>
  <w:num w:numId="19">
    <w:abstractNumId w:val="33"/>
  </w:num>
  <w:num w:numId="20">
    <w:abstractNumId w:val="20"/>
  </w:num>
  <w:num w:numId="21">
    <w:abstractNumId w:val="52"/>
  </w:num>
  <w:num w:numId="22">
    <w:abstractNumId w:val="43"/>
  </w:num>
  <w:num w:numId="23">
    <w:abstractNumId w:val="44"/>
  </w:num>
  <w:num w:numId="24">
    <w:abstractNumId w:val="12"/>
  </w:num>
  <w:num w:numId="25">
    <w:abstractNumId w:val="1"/>
  </w:num>
  <w:num w:numId="26">
    <w:abstractNumId w:val="50"/>
  </w:num>
  <w:num w:numId="27">
    <w:abstractNumId w:val="63"/>
  </w:num>
  <w:num w:numId="28">
    <w:abstractNumId w:val="45"/>
  </w:num>
  <w:num w:numId="29">
    <w:abstractNumId w:val="24"/>
  </w:num>
  <w:num w:numId="30">
    <w:abstractNumId w:val="4"/>
  </w:num>
  <w:num w:numId="31">
    <w:abstractNumId w:val="35"/>
  </w:num>
  <w:num w:numId="32">
    <w:abstractNumId w:val="3"/>
  </w:num>
  <w:num w:numId="33">
    <w:abstractNumId w:val="69"/>
  </w:num>
  <w:num w:numId="34">
    <w:abstractNumId w:val="42"/>
  </w:num>
  <w:num w:numId="35">
    <w:abstractNumId w:val="51"/>
  </w:num>
  <w:num w:numId="36">
    <w:abstractNumId w:val="8"/>
  </w:num>
  <w:num w:numId="37">
    <w:abstractNumId w:val="54"/>
  </w:num>
  <w:num w:numId="38">
    <w:abstractNumId w:val="32"/>
  </w:num>
  <w:num w:numId="39">
    <w:abstractNumId w:val="16"/>
  </w:num>
  <w:num w:numId="40">
    <w:abstractNumId w:val="65"/>
  </w:num>
  <w:num w:numId="41">
    <w:abstractNumId w:val="18"/>
  </w:num>
  <w:num w:numId="42">
    <w:abstractNumId w:val="55"/>
  </w:num>
  <w:num w:numId="43">
    <w:abstractNumId w:val="68"/>
  </w:num>
  <w:num w:numId="44">
    <w:abstractNumId w:val="37"/>
  </w:num>
  <w:num w:numId="45">
    <w:abstractNumId w:val="15"/>
  </w:num>
  <w:num w:numId="46">
    <w:abstractNumId w:val="66"/>
  </w:num>
  <w:num w:numId="47">
    <w:abstractNumId w:val="60"/>
  </w:num>
  <w:num w:numId="48">
    <w:abstractNumId w:val="5"/>
  </w:num>
  <w:num w:numId="49">
    <w:abstractNumId w:val="13"/>
  </w:num>
  <w:num w:numId="50">
    <w:abstractNumId w:val="9"/>
  </w:num>
  <w:num w:numId="51">
    <w:abstractNumId w:val="62"/>
  </w:num>
  <w:num w:numId="52">
    <w:abstractNumId w:val="2"/>
  </w:num>
  <w:num w:numId="53">
    <w:abstractNumId w:val="41"/>
  </w:num>
  <w:num w:numId="54">
    <w:abstractNumId w:val="36"/>
  </w:num>
  <w:num w:numId="55">
    <w:abstractNumId w:val="39"/>
  </w:num>
  <w:num w:numId="56">
    <w:abstractNumId w:val="29"/>
  </w:num>
  <w:num w:numId="57">
    <w:abstractNumId w:val="57"/>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num>
  <w:num w:numId="60">
    <w:abstractNumId w:val="40"/>
  </w:num>
  <w:num w:numId="61">
    <w:abstractNumId w:val="19"/>
  </w:num>
  <w:num w:numId="62">
    <w:abstractNumId w:val="21"/>
  </w:num>
  <w:num w:numId="63">
    <w:abstractNumId w:val="22"/>
  </w:num>
  <w:num w:numId="64">
    <w:abstractNumId w:val="46"/>
  </w:num>
  <w:num w:numId="65">
    <w:abstractNumId w:val="61"/>
  </w:num>
  <w:num w:numId="66">
    <w:abstractNumId w:val="7"/>
  </w:num>
  <w:num w:numId="67">
    <w:abstractNumId w:val="53"/>
  </w:num>
  <w:num w:numId="68">
    <w:abstractNumId w:val="56"/>
  </w:num>
  <w:num w:numId="69">
    <w:abstractNumId w:val="48"/>
  </w:num>
  <w:num w:numId="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M2ZlNjM0M2FiYjAxMWU1N2NiNzJhNWI4MWQyYTgifQ=="/>
    <w:docVar w:name="KSO_WPS_MARK_KEY" w:val="ec62f164-a369-4e0b-99e3-03c71f0fbbb1"/>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4D39"/>
    <w:rsid w:val="0005501B"/>
    <w:rsid w:val="000554C7"/>
    <w:rsid w:val="00055A61"/>
    <w:rsid w:val="00056118"/>
    <w:rsid w:val="000578A3"/>
    <w:rsid w:val="00057FC8"/>
    <w:rsid w:val="000600BA"/>
    <w:rsid w:val="00061A3C"/>
    <w:rsid w:val="00061B5E"/>
    <w:rsid w:val="000620B0"/>
    <w:rsid w:val="000646CA"/>
    <w:rsid w:val="00064D05"/>
    <w:rsid w:val="00065473"/>
    <w:rsid w:val="00065868"/>
    <w:rsid w:val="000665C4"/>
    <w:rsid w:val="00067821"/>
    <w:rsid w:val="0006785E"/>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4727"/>
    <w:rsid w:val="000C47AE"/>
    <w:rsid w:val="000C51AD"/>
    <w:rsid w:val="000C5374"/>
    <w:rsid w:val="000C5EC0"/>
    <w:rsid w:val="000C6688"/>
    <w:rsid w:val="000C7BEB"/>
    <w:rsid w:val="000D11E5"/>
    <w:rsid w:val="000D1D28"/>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94D"/>
    <w:rsid w:val="001B4CA8"/>
    <w:rsid w:val="001B572D"/>
    <w:rsid w:val="001B738E"/>
    <w:rsid w:val="001B7B69"/>
    <w:rsid w:val="001C0DD2"/>
    <w:rsid w:val="001C10BD"/>
    <w:rsid w:val="001C1955"/>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E31"/>
    <w:rsid w:val="00237FA2"/>
    <w:rsid w:val="00240F67"/>
    <w:rsid w:val="00241144"/>
    <w:rsid w:val="00242009"/>
    <w:rsid w:val="00242510"/>
    <w:rsid w:val="00243F5D"/>
    <w:rsid w:val="0024415B"/>
    <w:rsid w:val="00247422"/>
    <w:rsid w:val="00247BA2"/>
    <w:rsid w:val="00251CB4"/>
    <w:rsid w:val="002531BD"/>
    <w:rsid w:val="002533FE"/>
    <w:rsid w:val="002537FC"/>
    <w:rsid w:val="002543EF"/>
    <w:rsid w:val="00255146"/>
    <w:rsid w:val="0025631F"/>
    <w:rsid w:val="00256986"/>
    <w:rsid w:val="00257246"/>
    <w:rsid w:val="00263044"/>
    <w:rsid w:val="00263759"/>
    <w:rsid w:val="0026385E"/>
    <w:rsid w:val="002645DB"/>
    <w:rsid w:val="0026470B"/>
    <w:rsid w:val="0026486D"/>
    <w:rsid w:val="00264CEB"/>
    <w:rsid w:val="002660C3"/>
    <w:rsid w:val="00266DE1"/>
    <w:rsid w:val="00266E08"/>
    <w:rsid w:val="00267E43"/>
    <w:rsid w:val="00273C5F"/>
    <w:rsid w:val="00274C6D"/>
    <w:rsid w:val="002751CA"/>
    <w:rsid w:val="0027544D"/>
    <w:rsid w:val="002778AB"/>
    <w:rsid w:val="002802A5"/>
    <w:rsid w:val="00281BCB"/>
    <w:rsid w:val="00282CA4"/>
    <w:rsid w:val="00283F52"/>
    <w:rsid w:val="0028583E"/>
    <w:rsid w:val="00285FF3"/>
    <w:rsid w:val="0028744E"/>
    <w:rsid w:val="0028766A"/>
    <w:rsid w:val="00287936"/>
    <w:rsid w:val="002903C5"/>
    <w:rsid w:val="00290A99"/>
    <w:rsid w:val="00290EAF"/>
    <w:rsid w:val="0029159A"/>
    <w:rsid w:val="00292AA1"/>
    <w:rsid w:val="0029499D"/>
    <w:rsid w:val="00294A13"/>
    <w:rsid w:val="00295073"/>
    <w:rsid w:val="0029704D"/>
    <w:rsid w:val="002979C5"/>
    <w:rsid w:val="00297AF5"/>
    <w:rsid w:val="002A02D6"/>
    <w:rsid w:val="002A07C4"/>
    <w:rsid w:val="002A0921"/>
    <w:rsid w:val="002A2001"/>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EDB"/>
    <w:rsid w:val="00312378"/>
    <w:rsid w:val="00312DFC"/>
    <w:rsid w:val="0031318C"/>
    <w:rsid w:val="00313C9D"/>
    <w:rsid w:val="00314C5A"/>
    <w:rsid w:val="0031531A"/>
    <w:rsid w:val="00315394"/>
    <w:rsid w:val="00315A0E"/>
    <w:rsid w:val="00315D77"/>
    <w:rsid w:val="00316CDE"/>
    <w:rsid w:val="00317012"/>
    <w:rsid w:val="0032226B"/>
    <w:rsid w:val="00324B2F"/>
    <w:rsid w:val="00326106"/>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60304"/>
    <w:rsid w:val="00365427"/>
    <w:rsid w:val="003669C8"/>
    <w:rsid w:val="00366CEB"/>
    <w:rsid w:val="00366D8A"/>
    <w:rsid w:val="003679D3"/>
    <w:rsid w:val="00367A87"/>
    <w:rsid w:val="003703CE"/>
    <w:rsid w:val="00371C6D"/>
    <w:rsid w:val="003726FA"/>
    <w:rsid w:val="00372C89"/>
    <w:rsid w:val="00372E9A"/>
    <w:rsid w:val="00374677"/>
    <w:rsid w:val="0037632F"/>
    <w:rsid w:val="00377B26"/>
    <w:rsid w:val="00381014"/>
    <w:rsid w:val="00381F60"/>
    <w:rsid w:val="00382C74"/>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24"/>
    <w:rsid w:val="003A03EF"/>
    <w:rsid w:val="003A12B6"/>
    <w:rsid w:val="003A20D5"/>
    <w:rsid w:val="003A24CC"/>
    <w:rsid w:val="003A2EE8"/>
    <w:rsid w:val="003A373C"/>
    <w:rsid w:val="003A5378"/>
    <w:rsid w:val="003A5567"/>
    <w:rsid w:val="003A7E2B"/>
    <w:rsid w:val="003A7E40"/>
    <w:rsid w:val="003B0336"/>
    <w:rsid w:val="003B0A3A"/>
    <w:rsid w:val="003B4810"/>
    <w:rsid w:val="003B514E"/>
    <w:rsid w:val="003B5E0A"/>
    <w:rsid w:val="003B613B"/>
    <w:rsid w:val="003B636A"/>
    <w:rsid w:val="003C011C"/>
    <w:rsid w:val="003C0EB6"/>
    <w:rsid w:val="003C435B"/>
    <w:rsid w:val="003C4EBE"/>
    <w:rsid w:val="003C654D"/>
    <w:rsid w:val="003C685A"/>
    <w:rsid w:val="003C6E9C"/>
    <w:rsid w:val="003C7F12"/>
    <w:rsid w:val="003D03D6"/>
    <w:rsid w:val="003D04C3"/>
    <w:rsid w:val="003D14C8"/>
    <w:rsid w:val="003D1517"/>
    <w:rsid w:val="003D2DA0"/>
    <w:rsid w:val="003D34C3"/>
    <w:rsid w:val="003D5ADB"/>
    <w:rsid w:val="003D663E"/>
    <w:rsid w:val="003D6793"/>
    <w:rsid w:val="003D6B03"/>
    <w:rsid w:val="003D75D8"/>
    <w:rsid w:val="003E0746"/>
    <w:rsid w:val="003E0E7C"/>
    <w:rsid w:val="003E2476"/>
    <w:rsid w:val="003E336A"/>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28E6"/>
    <w:rsid w:val="0044739A"/>
    <w:rsid w:val="004475F7"/>
    <w:rsid w:val="00447DFB"/>
    <w:rsid w:val="00450B22"/>
    <w:rsid w:val="004533CE"/>
    <w:rsid w:val="004543AB"/>
    <w:rsid w:val="00454BF5"/>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64C6"/>
    <w:rsid w:val="00477247"/>
    <w:rsid w:val="004776BB"/>
    <w:rsid w:val="00480DC5"/>
    <w:rsid w:val="00481886"/>
    <w:rsid w:val="00482288"/>
    <w:rsid w:val="00483984"/>
    <w:rsid w:val="00483BC7"/>
    <w:rsid w:val="00483CF0"/>
    <w:rsid w:val="00484D4D"/>
    <w:rsid w:val="0048664F"/>
    <w:rsid w:val="004868AD"/>
    <w:rsid w:val="00486D00"/>
    <w:rsid w:val="00487FE1"/>
    <w:rsid w:val="00490707"/>
    <w:rsid w:val="00490815"/>
    <w:rsid w:val="004914E8"/>
    <w:rsid w:val="00492B76"/>
    <w:rsid w:val="0049333E"/>
    <w:rsid w:val="0049418F"/>
    <w:rsid w:val="00495DC6"/>
    <w:rsid w:val="00497AAD"/>
    <w:rsid w:val="00497D1A"/>
    <w:rsid w:val="00497FE6"/>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730"/>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5E2D"/>
    <w:rsid w:val="00536B03"/>
    <w:rsid w:val="00537917"/>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779"/>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F7"/>
    <w:rsid w:val="0058767F"/>
    <w:rsid w:val="00587D7B"/>
    <w:rsid w:val="005901B7"/>
    <w:rsid w:val="005904DB"/>
    <w:rsid w:val="00592825"/>
    <w:rsid w:val="005931BD"/>
    <w:rsid w:val="00594437"/>
    <w:rsid w:val="005955EB"/>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D7DA4"/>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4AA8"/>
    <w:rsid w:val="00635B73"/>
    <w:rsid w:val="006368A8"/>
    <w:rsid w:val="00636CC7"/>
    <w:rsid w:val="00637F27"/>
    <w:rsid w:val="00643F89"/>
    <w:rsid w:val="00644BED"/>
    <w:rsid w:val="00644E2E"/>
    <w:rsid w:val="00645CB4"/>
    <w:rsid w:val="006470DC"/>
    <w:rsid w:val="00651F59"/>
    <w:rsid w:val="00652CF5"/>
    <w:rsid w:val="0065343E"/>
    <w:rsid w:val="00653C7C"/>
    <w:rsid w:val="006558CD"/>
    <w:rsid w:val="00656D49"/>
    <w:rsid w:val="00656E4D"/>
    <w:rsid w:val="006576BA"/>
    <w:rsid w:val="00662401"/>
    <w:rsid w:val="00662D3D"/>
    <w:rsid w:val="00662F1F"/>
    <w:rsid w:val="00664936"/>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78D"/>
    <w:rsid w:val="006C09CC"/>
    <w:rsid w:val="006C09F4"/>
    <w:rsid w:val="006C3EFE"/>
    <w:rsid w:val="006C4D29"/>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60AC"/>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476D"/>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7BF9"/>
    <w:rsid w:val="007F2C38"/>
    <w:rsid w:val="007F30C6"/>
    <w:rsid w:val="007F3651"/>
    <w:rsid w:val="007F3752"/>
    <w:rsid w:val="007F4318"/>
    <w:rsid w:val="007F47DA"/>
    <w:rsid w:val="007F4E52"/>
    <w:rsid w:val="007F4F84"/>
    <w:rsid w:val="007F55A4"/>
    <w:rsid w:val="007F661E"/>
    <w:rsid w:val="007F75BB"/>
    <w:rsid w:val="00800766"/>
    <w:rsid w:val="00801D90"/>
    <w:rsid w:val="0080348B"/>
    <w:rsid w:val="00803EB0"/>
    <w:rsid w:val="00803EEF"/>
    <w:rsid w:val="008052CE"/>
    <w:rsid w:val="008052DB"/>
    <w:rsid w:val="0080705B"/>
    <w:rsid w:val="0081000F"/>
    <w:rsid w:val="0081264E"/>
    <w:rsid w:val="00812A1A"/>
    <w:rsid w:val="00812DFF"/>
    <w:rsid w:val="0081383A"/>
    <w:rsid w:val="00814DE6"/>
    <w:rsid w:val="00814FC7"/>
    <w:rsid w:val="00816FE0"/>
    <w:rsid w:val="00817416"/>
    <w:rsid w:val="00817583"/>
    <w:rsid w:val="00817FAD"/>
    <w:rsid w:val="00821306"/>
    <w:rsid w:val="00821D85"/>
    <w:rsid w:val="0082207E"/>
    <w:rsid w:val="00823FFD"/>
    <w:rsid w:val="0082427D"/>
    <w:rsid w:val="0082646C"/>
    <w:rsid w:val="00830052"/>
    <w:rsid w:val="008300D0"/>
    <w:rsid w:val="0083257C"/>
    <w:rsid w:val="00833307"/>
    <w:rsid w:val="00833583"/>
    <w:rsid w:val="00833B5B"/>
    <w:rsid w:val="00833E9A"/>
    <w:rsid w:val="00834FEF"/>
    <w:rsid w:val="00836323"/>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570"/>
    <w:rsid w:val="008C2059"/>
    <w:rsid w:val="008C58E7"/>
    <w:rsid w:val="008C65F4"/>
    <w:rsid w:val="008C7368"/>
    <w:rsid w:val="008D0E65"/>
    <w:rsid w:val="008D1FAF"/>
    <w:rsid w:val="008D2259"/>
    <w:rsid w:val="008D33FE"/>
    <w:rsid w:val="008D3B9F"/>
    <w:rsid w:val="008D3D02"/>
    <w:rsid w:val="008D54C0"/>
    <w:rsid w:val="008D5760"/>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9000F2"/>
    <w:rsid w:val="0090079D"/>
    <w:rsid w:val="00900D2C"/>
    <w:rsid w:val="00901F0E"/>
    <w:rsid w:val="0090408F"/>
    <w:rsid w:val="0090446A"/>
    <w:rsid w:val="00904DC3"/>
    <w:rsid w:val="00905469"/>
    <w:rsid w:val="0090629C"/>
    <w:rsid w:val="009065C6"/>
    <w:rsid w:val="00906EA2"/>
    <w:rsid w:val="00907278"/>
    <w:rsid w:val="009128B8"/>
    <w:rsid w:val="00915679"/>
    <w:rsid w:val="009159C2"/>
    <w:rsid w:val="009175AF"/>
    <w:rsid w:val="00920A06"/>
    <w:rsid w:val="009221CB"/>
    <w:rsid w:val="00922320"/>
    <w:rsid w:val="00923643"/>
    <w:rsid w:val="009261DB"/>
    <w:rsid w:val="0092623E"/>
    <w:rsid w:val="00931C63"/>
    <w:rsid w:val="00931D10"/>
    <w:rsid w:val="0093386D"/>
    <w:rsid w:val="00934E17"/>
    <w:rsid w:val="00935194"/>
    <w:rsid w:val="00936378"/>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3EA"/>
    <w:rsid w:val="0096049C"/>
    <w:rsid w:val="00960DE4"/>
    <w:rsid w:val="00961A4F"/>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4F8"/>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76D"/>
    <w:rsid w:val="00A35AA9"/>
    <w:rsid w:val="00A364BC"/>
    <w:rsid w:val="00A3786A"/>
    <w:rsid w:val="00A402ED"/>
    <w:rsid w:val="00A40685"/>
    <w:rsid w:val="00A41123"/>
    <w:rsid w:val="00A41819"/>
    <w:rsid w:val="00A41C9A"/>
    <w:rsid w:val="00A42F49"/>
    <w:rsid w:val="00A433DA"/>
    <w:rsid w:val="00A433E8"/>
    <w:rsid w:val="00A44A45"/>
    <w:rsid w:val="00A4534D"/>
    <w:rsid w:val="00A46C6D"/>
    <w:rsid w:val="00A472B8"/>
    <w:rsid w:val="00A502F5"/>
    <w:rsid w:val="00A504F4"/>
    <w:rsid w:val="00A51577"/>
    <w:rsid w:val="00A51B47"/>
    <w:rsid w:val="00A526CE"/>
    <w:rsid w:val="00A54DC0"/>
    <w:rsid w:val="00A550C9"/>
    <w:rsid w:val="00A55228"/>
    <w:rsid w:val="00A564DE"/>
    <w:rsid w:val="00A61B91"/>
    <w:rsid w:val="00A63335"/>
    <w:rsid w:val="00A63685"/>
    <w:rsid w:val="00A63DDD"/>
    <w:rsid w:val="00A66473"/>
    <w:rsid w:val="00A66E28"/>
    <w:rsid w:val="00A67D58"/>
    <w:rsid w:val="00A70590"/>
    <w:rsid w:val="00A71542"/>
    <w:rsid w:val="00A71FA0"/>
    <w:rsid w:val="00A72B5A"/>
    <w:rsid w:val="00A72C1A"/>
    <w:rsid w:val="00A74021"/>
    <w:rsid w:val="00A7463E"/>
    <w:rsid w:val="00A765B1"/>
    <w:rsid w:val="00A772F2"/>
    <w:rsid w:val="00A77828"/>
    <w:rsid w:val="00A8073D"/>
    <w:rsid w:val="00A807A2"/>
    <w:rsid w:val="00A80D02"/>
    <w:rsid w:val="00A812A8"/>
    <w:rsid w:val="00A82D32"/>
    <w:rsid w:val="00A82EAE"/>
    <w:rsid w:val="00A839DC"/>
    <w:rsid w:val="00A84BA2"/>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288"/>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971"/>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56B8"/>
    <w:rsid w:val="00B37B8E"/>
    <w:rsid w:val="00B40222"/>
    <w:rsid w:val="00B404C3"/>
    <w:rsid w:val="00B40BA6"/>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ED9"/>
    <w:rsid w:val="00BA2C82"/>
    <w:rsid w:val="00BA2E8A"/>
    <w:rsid w:val="00BA583B"/>
    <w:rsid w:val="00BA5EC7"/>
    <w:rsid w:val="00BA6319"/>
    <w:rsid w:val="00BA63CE"/>
    <w:rsid w:val="00BA6551"/>
    <w:rsid w:val="00BA6791"/>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6F56"/>
    <w:rsid w:val="00BD7941"/>
    <w:rsid w:val="00BE0C55"/>
    <w:rsid w:val="00BE11A2"/>
    <w:rsid w:val="00BE246C"/>
    <w:rsid w:val="00BE2657"/>
    <w:rsid w:val="00BE37AE"/>
    <w:rsid w:val="00BE73C3"/>
    <w:rsid w:val="00BF03C0"/>
    <w:rsid w:val="00BF21D4"/>
    <w:rsid w:val="00BF4A15"/>
    <w:rsid w:val="00BF4E27"/>
    <w:rsid w:val="00BF6D77"/>
    <w:rsid w:val="00C0378E"/>
    <w:rsid w:val="00C04258"/>
    <w:rsid w:val="00C05AFD"/>
    <w:rsid w:val="00C0724C"/>
    <w:rsid w:val="00C07AEF"/>
    <w:rsid w:val="00C07C11"/>
    <w:rsid w:val="00C10015"/>
    <w:rsid w:val="00C12ECB"/>
    <w:rsid w:val="00C1373A"/>
    <w:rsid w:val="00C13AD4"/>
    <w:rsid w:val="00C14ABD"/>
    <w:rsid w:val="00C151E0"/>
    <w:rsid w:val="00C20051"/>
    <w:rsid w:val="00C20B79"/>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4E90"/>
    <w:rsid w:val="00C75A8F"/>
    <w:rsid w:val="00C81716"/>
    <w:rsid w:val="00C82795"/>
    <w:rsid w:val="00C832CB"/>
    <w:rsid w:val="00C84085"/>
    <w:rsid w:val="00C8722F"/>
    <w:rsid w:val="00C8779E"/>
    <w:rsid w:val="00C87850"/>
    <w:rsid w:val="00C87BD0"/>
    <w:rsid w:val="00C907CA"/>
    <w:rsid w:val="00C90B95"/>
    <w:rsid w:val="00C90CA9"/>
    <w:rsid w:val="00C9354F"/>
    <w:rsid w:val="00C93B40"/>
    <w:rsid w:val="00C93D48"/>
    <w:rsid w:val="00C93DB5"/>
    <w:rsid w:val="00C97DD7"/>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25"/>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599"/>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59B0"/>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5C"/>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43006"/>
    <w:rsid w:val="00E43551"/>
    <w:rsid w:val="00E43C59"/>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1D0"/>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530"/>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2864"/>
    <w:rsid w:val="00F03E4C"/>
    <w:rsid w:val="00F0665D"/>
    <w:rsid w:val="00F06D42"/>
    <w:rsid w:val="00F07134"/>
    <w:rsid w:val="00F07378"/>
    <w:rsid w:val="00F10B81"/>
    <w:rsid w:val="00F11353"/>
    <w:rsid w:val="00F14CD1"/>
    <w:rsid w:val="00F15115"/>
    <w:rsid w:val="00F15D8C"/>
    <w:rsid w:val="00F16E1A"/>
    <w:rsid w:val="00F20197"/>
    <w:rsid w:val="00F20607"/>
    <w:rsid w:val="00F208BB"/>
    <w:rsid w:val="00F20D7A"/>
    <w:rsid w:val="00F210BE"/>
    <w:rsid w:val="00F211FC"/>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642"/>
    <w:rsid w:val="00F419B8"/>
    <w:rsid w:val="00F41C0F"/>
    <w:rsid w:val="00F42856"/>
    <w:rsid w:val="00F43390"/>
    <w:rsid w:val="00F43EF6"/>
    <w:rsid w:val="00F4482B"/>
    <w:rsid w:val="00F44F02"/>
    <w:rsid w:val="00F4526B"/>
    <w:rsid w:val="00F462DF"/>
    <w:rsid w:val="00F4662D"/>
    <w:rsid w:val="00F468AC"/>
    <w:rsid w:val="00F47316"/>
    <w:rsid w:val="00F47507"/>
    <w:rsid w:val="00F5052D"/>
    <w:rsid w:val="00F50BF0"/>
    <w:rsid w:val="00F51A82"/>
    <w:rsid w:val="00F5254B"/>
    <w:rsid w:val="00F53A44"/>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44FD"/>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AE2"/>
    <w:rsid w:val="00FD5546"/>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116312F"/>
    <w:rsid w:val="01213882"/>
    <w:rsid w:val="013712F7"/>
    <w:rsid w:val="016B1BE3"/>
    <w:rsid w:val="017B3C02"/>
    <w:rsid w:val="0194674A"/>
    <w:rsid w:val="01AA1480"/>
    <w:rsid w:val="02235B0E"/>
    <w:rsid w:val="02A227A1"/>
    <w:rsid w:val="02AB3D4B"/>
    <w:rsid w:val="02BD36A4"/>
    <w:rsid w:val="02C1356F"/>
    <w:rsid w:val="02DA0C0E"/>
    <w:rsid w:val="02E132C9"/>
    <w:rsid w:val="02F74BED"/>
    <w:rsid w:val="02FF0DA1"/>
    <w:rsid w:val="03405FC4"/>
    <w:rsid w:val="03726617"/>
    <w:rsid w:val="03767EB5"/>
    <w:rsid w:val="03795BF7"/>
    <w:rsid w:val="038967C3"/>
    <w:rsid w:val="03B7227C"/>
    <w:rsid w:val="03D07644"/>
    <w:rsid w:val="03DD35E4"/>
    <w:rsid w:val="04165784"/>
    <w:rsid w:val="041751E6"/>
    <w:rsid w:val="041A21CD"/>
    <w:rsid w:val="04877E26"/>
    <w:rsid w:val="049A5E25"/>
    <w:rsid w:val="049F168E"/>
    <w:rsid w:val="04AB1DE0"/>
    <w:rsid w:val="058E033E"/>
    <w:rsid w:val="065A6178"/>
    <w:rsid w:val="069A65B0"/>
    <w:rsid w:val="06D80E87"/>
    <w:rsid w:val="06DA075B"/>
    <w:rsid w:val="07293490"/>
    <w:rsid w:val="075562B7"/>
    <w:rsid w:val="07C136C9"/>
    <w:rsid w:val="07E955A0"/>
    <w:rsid w:val="082B15CF"/>
    <w:rsid w:val="089A5F51"/>
    <w:rsid w:val="091837BC"/>
    <w:rsid w:val="093305F6"/>
    <w:rsid w:val="09635222"/>
    <w:rsid w:val="096609CC"/>
    <w:rsid w:val="096B2097"/>
    <w:rsid w:val="096C5132"/>
    <w:rsid w:val="09C76BC9"/>
    <w:rsid w:val="09EC22C7"/>
    <w:rsid w:val="09EC23CF"/>
    <w:rsid w:val="0A081A83"/>
    <w:rsid w:val="0A261F09"/>
    <w:rsid w:val="0A382368"/>
    <w:rsid w:val="0A5B7E63"/>
    <w:rsid w:val="0A686F49"/>
    <w:rsid w:val="0A803220"/>
    <w:rsid w:val="0A8E01DA"/>
    <w:rsid w:val="0B335FE1"/>
    <w:rsid w:val="0B680A2B"/>
    <w:rsid w:val="0B9A2BAF"/>
    <w:rsid w:val="0BC67500"/>
    <w:rsid w:val="0BD205AB"/>
    <w:rsid w:val="0BD7795F"/>
    <w:rsid w:val="0BD95485"/>
    <w:rsid w:val="0BEF2EFA"/>
    <w:rsid w:val="0C451EF5"/>
    <w:rsid w:val="0C6048D0"/>
    <w:rsid w:val="0C6236CC"/>
    <w:rsid w:val="0C87121B"/>
    <w:rsid w:val="0CA830A9"/>
    <w:rsid w:val="0CB16402"/>
    <w:rsid w:val="0CE560AB"/>
    <w:rsid w:val="0CF4714D"/>
    <w:rsid w:val="0D35126B"/>
    <w:rsid w:val="0D692839"/>
    <w:rsid w:val="0DA815B3"/>
    <w:rsid w:val="0DB6446C"/>
    <w:rsid w:val="0DBA12E6"/>
    <w:rsid w:val="0DC12A1D"/>
    <w:rsid w:val="0DF702FE"/>
    <w:rsid w:val="0E0132C0"/>
    <w:rsid w:val="0E3F698B"/>
    <w:rsid w:val="0E6F0323"/>
    <w:rsid w:val="0E794CFD"/>
    <w:rsid w:val="0E8A515C"/>
    <w:rsid w:val="0EA370F2"/>
    <w:rsid w:val="0EFD592E"/>
    <w:rsid w:val="0F1756A9"/>
    <w:rsid w:val="0F21508F"/>
    <w:rsid w:val="0F2509E1"/>
    <w:rsid w:val="0F2C31E8"/>
    <w:rsid w:val="0F3612AE"/>
    <w:rsid w:val="0F4E1CE6"/>
    <w:rsid w:val="0F783207"/>
    <w:rsid w:val="0F816ACD"/>
    <w:rsid w:val="0FA22032"/>
    <w:rsid w:val="0FA43FFC"/>
    <w:rsid w:val="0FBD6E6C"/>
    <w:rsid w:val="10090303"/>
    <w:rsid w:val="10104C9F"/>
    <w:rsid w:val="103C0F1F"/>
    <w:rsid w:val="1077526D"/>
    <w:rsid w:val="107D739E"/>
    <w:rsid w:val="108A20F6"/>
    <w:rsid w:val="10B00808"/>
    <w:rsid w:val="10B047CF"/>
    <w:rsid w:val="10EA1EE2"/>
    <w:rsid w:val="10F460E3"/>
    <w:rsid w:val="10FC16EA"/>
    <w:rsid w:val="110248AB"/>
    <w:rsid w:val="112E661A"/>
    <w:rsid w:val="116E48C1"/>
    <w:rsid w:val="117457FA"/>
    <w:rsid w:val="11851C0B"/>
    <w:rsid w:val="118963A1"/>
    <w:rsid w:val="119A3908"/>
    <w:rsid w:val="119F4A7B"/>
    <w:rsid w:val="11BB73DB"/>
    <w:rsid w:val="11D72467"/>
    <w:rsid w:val="11F36B75"/>
    <w:rsid w:val="1209283C"/>
    <w:rsid w:val="125C25AB"/>
    <w:rsid w:val="127723A9"/>
    <w:rsid w:val="12C32D62"/>
    <w:rsid w:val="12EF558E"/>
    <w:rsid w:val="12FB56AD"/>
    <w:rsid w:val="13072A44"/>
    <w:rsid w:val="138A662F"/>
    <w:rsid w:val="139A7964"/>
    <w:rsid w:val="13AC7923"/>
    <w:rsid w:val="141334FE"/>
    <w:rsid w:val="141C6857"/>
    <w:rsid w:val="14347775"/>
    <w:rsid w:val="14376071"/>
    <w:rsid w:val="145044FA"/>
    <w:rsid w:val="146A15AA"/>
    <w:rsid w:val="148B12E6"/>
    <w:rsid w:val="14D15E38"/>
    <w:rsid w:val="14DC7D94"/>
    <w:rsid w:val="14DD74F4"/>
    <w:rsid w:val="14F71E39"/>
    <w:rsid w:val="151A3375"/>
    <w:rsid w:val="153C0833"/>
    <w:rsid w:val="15415E49"/>
    <w:rsid w:val="15595A18"/>
    <w:rsid w:val="156758B0"/>
    <w:rsid w:val="1574621E"/>
    <w:rsid w:val="15836462"/>
    <w:rsid w:val="158E72E0"/>
    <w:rsid w:val="15AF44E1"/>
    <w:rsid w:val="15CE488C"/>
    <w:rsid w:val="163C318F"/>
    <w:rsid w:val="165327F6"/>
    <w:rsid w:val="16ED6288"/>
    <w:rsid w:val="16F5338F"/>
    <w:rsid w:val="17017F86"/>
    <w:rsid w:val="172577D0"/>
    <w:rsid w:val="172C5003"/>
    <w:rsid w:val="173C2D6C"/>
    <w:rsid w:val="175D340E"/>
    <w:rsid w:val="17665529"/>
    <w:rsid w:val="178763DD"/>
    <w:rsid w:val="17E05DED"/>
    <w:rsid w:val="17E42A2B"/>
    <w:rsid w:val="1854026E"/>
    <w:rsid w:val="18581E27"/>
    <w:rsid w:val="1862520D"/>
    <w:rsid w:val="18A0517D"/>
    <w:rsid w:val="19111AC2"/>
    <w:rsid w:val="19122E2A"/>
    <w:rsid w:val="19235F91"/>
    <w:rsid w:val="19763EFC"/>
    <w:rsid w:val="198E7E72"/>
    <w:rsid w:val="199C5D44"/>
    <w:rsid w:val="19B80DD0"/>
    <w:rsid w:val="19E97D6B"/>
    <w:rsid w:val="1A20727A"/>
    <w:rsid w:val="1A293A7B"/>
    <w:rsid w:val="1A6661B5"/>
    <w:rsid w:val="1A733BDB"/>
    <w:rsid w:val="1A976C37"/>
    <w:rsid w:val="1ADC0AEE"/>
    <w:rsid w:val="1ADD15C5"/>
    <w:rsid w:val="1ADF5B23"/>
    <w:rsid w:val="1AF23E6D"/>
    <w:rsid w:val="1B204418"/>
    <w:rsid w:val="1B2A271F"/>
    <w:rsid w:val="1B881A78"/>
    <w:rsid w:val="1B890139"/>
    <w:rsid w:val="1B966EEF"/>
    <w:rsid w:val="1B99078D"/>
    <w:rsid w:val="1B9C202B"/>
    <w:rsid w:val="1BBC447B"/>
    <w:rsid w:val="1BEC0933"/>
    <w:rsid w:val="1C157672"/>
    <w:rsid w:val="1C1B73F4"/>
    <w:rsid w:val="1C4E71BE"/>
    <w:rsid w:val="1C4E77C9"/>
    <w:rsid w:val="1C744D56"/>
    <w:rsid w:val="1CB3762C"/>
    <w:rsid w:val="1CE82102"/>
    <w:rsid w:val="1CF230FA"/>
    <w:rsid w:val="1D266CE1"/>
    <w:rsid w:val="1D3963AF"/>
    <w:rsid w:val="1D4E37F9"/>
    <w:rsid w:val="1D526A56"/>
    <w:rsid w:val="1DB25B36"/>
    <w:rsid w:val="1DD261D8"/>
    <w:rsid w:val="1E23203A"/>
    <w:rsid w:val="1E37603B"/>
    <w:rsid w:val="1E560BB7"/>
    <w:rsid w:val="1E610255"/>
    <w:rsid w:val="1E714A66"/>
    <w:rsid w:val="1EC4411D"/>
    <w:rsid w:val="1EC57AEB"/>
    <w:rsid w:val="1ED33FB6"/>
    <w:rsid w:val="1F090C74"/>
    <w:rsid w:val="1F30765A"/>
    <w:rsid w:val="1F3709E9"/>
    <w:rsid w:val="1F5B65F2"/>
    <w:rsid w:val="1F881244"/>
    <w:rsid w:val="1FD1489B"/>
    <w:rsid w:val="1FD4433F"/>
    <w:rsid w:val="1FE868A9"/>
    <w:rsid w:val="201C7BDE"/>
    <w:rsid w:val="20672C08"/>
    <w:rsid w:val="20CF4C51"/>
    <w:rsid w:val="211E26D6"/>
    <w:rsid w:val="21283D08"/>
    <w:rsid w:val="21464F13"/>
    <w:rsid w:val="221029B7"/>
    <w:rsid w:val="221C344A"/>
    <w:rsid w:val="2221328A"/>
    <w:rsid w:val="22617B2B"/>
    <w:rsid w:val="22687826"/>
    <w:rsid w:val="2274785E"/>
    <w:rsid w:val="22A068A5"/>
    <w:rsid w:val="22D8603F"/>
    <w:rsid w:val="22FB28B0"/>
    <w:rsid w:val="232F6FF2"/>
    <w:rsid w:val="235D3988"/>
    <w:rsid w:val="23A44173"/>
    <w:rsid w:val="23FC3835"/>
    <w:rsid w:val="24030E99"/>
    <w:rsid w:val="242A28CA"/>
    <w:rsid w:val="24305A06"/>
    <w:rsid w:val="245276D1"/>
    <w:rsid w:val="24FD4458"/>
    <w:rsid w:val="250775A5"/>
    <w:rsid w:val="2513335E"/>
    <w:rsid w:val="258F1E36"/>
    <w:rsid w:val="25B12B77"/>
    <w:rsid w:val="25B440B3"/>
    <w:rsid w:val="25B763DF"/>
    <w:rsid w:val="25C7239A"/>
    <w:rsid w:val="25CC37A0"/>
    <w:rsid w:val="25CE54D7"/>
    <w:rsid w:val="25E46D6D"/>
    <w:rsid w:val="26086C3B"/>
    <w:rsid w:val="262B1754"/>
    <w:rsid w:val="26355556"/>
    <w:rsid w:val="26BC60C2"/>
    <w:rsid w:val="271433BD"/>
    <w:rsid w:val="277420AE"/>
    <w:rsid w:val="27826579"/>
    <w:rsid w:val="27906EE8"/>
    <w:rsid w:val="279F0451"/>
    <w:rsid w:val="27BC197A"/>
    <w:rsid w:val="27EB05C2"/>
    <w:rsid w:val="281A7ED8"/>
    <w:rsid w:val="281D4DFF"/>
    <w:rsid w:val="282633A8"/>
    <w:rsid w:val="28327F9F"/>
    <w:rsid w:val="28AE0A0C"/>
    <w:rsid w:val="28B61AF9"/>
    <w:rsid w:val="28C83B50"/>
    <w:rsid w:val="28D6093C"/>
    <w:rsid w:val="28F90ABD"/>
    <w:rsid w:val="290A3A07"/>
    <w:rsid w:val="2934651F"/>
    <w:rsid w:val="2953641F"/>
    <w:rsid w:val="295E519C"/>
    <w:rsid w:val="296323DA"/>
    <w:rsid w:val="29770C85"/>
    <w:rsid w:val="299A404E"/>
    <w:rsid w:val="29C16DD8"/>
    <w:rsid w:val="29D532D8"/>
    <w:rsid w:val="2A1A518F"/>
    <w:rsid w:val="2A3E501F"/>
    <w:rsid w:val="2A6E1037"/>
    <w:rsid w:val="2AA1365A"/>
    <w:rsid w:val="2AAD331F"/>
    <w:rsid w:val="2AB033FD"/>
    <w:rsid w:val="2B4350DB"/>
    <w:rsid w:val="2BD3004D"/>
    <w:rsid w:val="2BD443F5"/>
    <w:rsid w:val="2BE91131"/>
    <w:rsid w:val="2C067EBA"/>
    <w:rsid w:val="2C127684"/>
    <w:rsid w:val="2C3F192C"/>
    <w:rsid w:val="2C626979"/>
    <w:rsid w:val="2CC511C7"/>
    <w:rsid w:val="2CE657FC"/>
    <w:rsid w:val="2D306A77"/>
    <w:rsid w:val="2D584392"/>
    <w:rsid w:val="2D5B1D46"/>
    <w:rsid w:val="2D61767E"/>
    <w:rsid w:val="2D653489"/>
    <w:rsid w:val="2D856DC3"/>
    <w:rsid w:val="2DAD1E76"/>
    <w:rsid w:val="2DB262A8"/>
    <w:rsid w:val="2DD15014"/>
    <w:rsid w:val="2DD90EBD"/>
    <w:rsid w:val="2DE72BED"/>
    <w:rsid w:val="2E141EF5"/>
    <w:rsid w:val="2E340ACC"/>
    <w:rsid w:val="2E426A62"/>
    <w:rsid w:val="2E504710"/>
    <w:rsid w:val="2E7D7A9A"/>
    <w:rsid w:val="2EE316FC"/>
    <w:rsid w:val="2EE713B8"/>
    <w:rsid w:val="2F304C45"/>
    <w:rsid w:val="2F3F2FA2"/>
    <w:rsid w:val="2F5C3B54"/>
    <w:rsid w:val="2F762E67"/>
    <w:rsid w:val="2F7964B4"/>
    <w:rsid w:val="2FD25781"/>
    <w:rsid w:val="2FF24A22"/>
    <w:rsid w:val="302C0C3B"/>
    <w:rsid w:val="30AE6B5D"/>
    <w:rsid w:val="30BC651C"/>
    <w:rsid w:val="30C47C02"/>
    <w:rsid w:val="30DE6959"/>
    <w:rsid w:val="30E107B4"/>
    <w:rsid w:val="30E751FB"/>
    <w:rsid w:val="319C6071"/>
    <w:rsid w:val="31CA749A"/>
    <w:rsid w:val="31E9231A"/>
    <w:rsid w:val="32537490"/>
    <w:rsid w:val="327613D0"/>
    <w:rsid w:val="3282783E"/>
    <w:rsid w:val="32985651"/>
    <w:rsid w:val="32DB72BE"/>
    <w:rsid w:val="32FD564D"/>
    <w:rsid w:val="334F468B"/>
    <w:rsid w:val="335B7159"/>
    <w:rsid w:val="33B73A4E"/>
    <w:rsid w:val="33C67A07"/>
    <w:rsid w:val="33E16758"/>
    <w:rsid w:val="33E660E2"/>
    <w:rsid w:val="33FA5E7E"/>
    <w:rsid w:val="34125F30"/>
    <w:rsid w:val="34126ED7"/>
    <w:rsid w:val="342E63AB"/>
    <w:rsid w:val="343B05A8"/>
    <w:rsid w:val="344828F8"/>
    <w:rsid w:val="345D260B"/>
    <w:rsid w:val="34DB5522"/>
    <w:rsid w:val="34F07218"/>
    <w:rsid w:val="35074561"/>
    <w:rsid w:val="35DE3514"/>
    <w:rsid w:val="35EF31B9"/>
    <w:rsid w:val="362D1DA6"/>
    <w:rsid w:val="36341386"/>
    <w:rsid w:val="365302AE"/>
    <w:rsid w:val="365D08DD"/>
    <w:rsid w:val="36894365"/>
    <w:rsid w:val="36BD75CE"/>
    <w:rsid w:val="36CB0CA8"/>
    <w:rsid w:val="377F4883"/>
    <w:rsid w:val="37881557"/>
    <w:rsid w:val="37BC1633"/>
    <w:rsid w:val="384358B1"/>
    <w:rsid w:val="384D4981"/>
    <w:rsid w:val="38E1266E"/>
    <w:rsid w:val="38F60B75"/>
    <w:rsid w:val="3905700A"/>
    <w:rsid w:val="39224DAA"/>
    <w:rsid w:val="39657AA9"/>
    <w:rsid w:val="3974239A"/>
    <w:rsid w:val="39A13F14"/>
    <w:rsid w:val="39C40C73"/>
    <w:rsid w:val="3A19387C"/>
    <w:rsid w:val="3A1C285D"/>
    <w:rsid w:val="3A257964"/>
    <w:rsid w:val="3A3B384F"/>
    <w:rsid w:val="3A7166BD"/>
    <w:rsid w:val="3AA36ADA"/>
    <w:rsid w:val="3AC46190"/>
    <w:rsid w:val="3AE0388B"/>
    <w:rsid w:val="3AE64EF5"/>
    <w:rsid w:val="3AE66A17"/>
    <w:rsid w:val="3AF10C17"/>
    <w:rsid w:val="3B3E520B"/>
    <w:rsid w:val="3B4007CD"/>
    <w:rsid w:val="3B4756B8"/>
    <w:rsid w:val="3B630596"/>
    <w:rsid w:val="3B927D7A"/>
    <w:rsid w:val="3C0E3279"/>
    <w:rsid w:val="3C12666A"/>
    <w:rsid w:val="3C316468"/>
    <w:rsid w:val="3C5F759A"/>
    <w:rsid w:val="3C85293C"/>
    <w:rsid w:val="3C9419A9"/>
    <w:rsid w:val="3CA84C0C"/>
    <w:rsid w:val="3CB274A9"/>
    <w:rsid w:val="3CB43221"/>
    <w:rsid w:val="3D202D44"/>
    <w:rsid w:val="3D5C78D4"/>
    <w:rsid w:val="3DB1150E"/>
    <w:rsid w:val="3DE90CA8"/>
    <w:rsid w:val="3E155F41"/>
    <w:rsid w:val="3E1E41DC"/>
    <w:rsid w:val="3E570308"/>
    <w:rsid w:val="3E6842C3"/>
    <w:rsid w:val="3EAD617A"/>
    <w:rsid w:val="3EDD19E6"/>
    <w:rsid w:val="3F19736B"/>
    <w:rsid w:val="3F722102"/>
    <w:rsid w:val="3F9D1D4A"/>
    <w:rsid w:val="3FCF3ECE"/>
    <w:rsid w:val="401A783F"/>
    <w:rsid w:val="40204E05"/>
    <w:rsid w:val="40844CB8"/>
    <w:rsid w:val="4086308D"/>
    <w:rsid w:val="40AE7F87"/>
    <w:rsid w:val="40CF189E"/>
    <w:rsid w:val="40D93256"/>
    <w:rsid w:val="40F77B80"/>
    <w:rsid w:val="411B48E7"/>
    <w:rsid w:val="4125649B"/>
    <w:rsid w:val="416074D3"/>
    <w:rsid w:val="41856F3A"/>
    <w:rsid w:val="41962EF5"/>
    <w:rsid w:val="419D27EA"/>
    <w:rsid w:val="41A15607"/>
    <w:rsid w:val="41EE14BC"/>
    <w:rsid w:val="42073DF3"/>
    <w:rsid w:val="421A3B26"/>
    <w:rsid w:val="42644DA1"/>
    <w:rsid w:val="4267663F"/>
    <w:rsid w:val="42754E47"/>
    <w:rsid w:val="427B469B"/>
    <w:rsid w:val="429D02B3"/>
    <w:rsid w:val="42D178AE"/>
    <w:rsid w:val="42E1381E"/>
    <w:rsid w:val="432575E5"/>
    <w:rsid w:val="436D237B"/>
    <w:rsid w:val="43803E5D"/>
    <w:rsid w:val="43922329"/>
    <w:rsid w:val="43AC6A00"/>
    <w:rsid w:val="43D67F21"/>
    <w:rsid w:val="43E80B70"/>
    <w:rsid w:val="43FB717C"/>
    <w:rsid w:val="44020D16"/>
    <w:rsid w:val="44191BBB"/>
    <w:rsid w:val="442E1B0B"/>
    <w:rsid w:val="444C01E3"/>
    <w:rsid w:val="44554CBC"/>
    <w:rsid w:val="44B36BB2"/>
    <w:rsid w:val="44C401DD"/>
    <w:rsid w:val="44C85ABB"/>
    <w:rsid w:val="4504286C"/>
    <w:rsid w:val="451E447A"/>
    <w:rsid w:val="45345B76"/>
    <w:rsid w:val="45436477"/>
    <w:rsid w:val="455311FF"/>
    <w:rsid w:val="45800144"/>
    <w:rsid w:val="459A14BC"/>
    <w:rsid w:val="45A04342"/>
    <w:rsid w:val="45BD3146"/>
    <w:rsid w:val="45C142B9"/>
    <w:rsid w:val="45CC5F4C"/>
    <w:rsid w:val="45CD7101"/>
    <w:rsid w:val="45CF4C28"/>
    <w:rsid w:val="45ED3300"/>
    <w:rsid w:val="46001285"/>
    <w:rsid w:val="46673276"/>
    <w:rsid w:val="46875502"/>
    <w:rsid w:val="46E26BDC"/>
    <w:rsid w:val="47307808"/>
    <w:rsid w:val="474B6530"/>
    <w:rsid w:val="47B6609F"/>
    <w:rsid w:val="48215B7E"/>
    <w:rsid w:val="48480CC1"/>
    <w:rsid w:val="486F747C"/>
    <w:rsid w:val="48886D6C"/>
    <w:rsid w:val="489F1E9F"/>
    <w:rsid w:val="48C12F4D"/>
    <w:rsid w:val="48F84495"/>
    <w:rsid w:val="48F86243"/>
    <w:rsid w:val="496061B5"/>
    <w:rsid w:val="49804BB7"/>
    <w:rsid w:val="49903D94"/>
    <w:rsid w:val="49C74BA3"/>
    <w:rsid w:val="49E16FA4"/>
    <w:rsid w:val="49E474B2"/>
    <w:rsid w:val="49EB5DA8"/>
    <w:rsid w:val="4A98797C"/>
    <w:rsid w:val="4AB50890"/>
    <w:rsid w:val="4B7A3887"/>
    <w:rsid w:val="4BCB2D04"/>
    <w:rsid w:val="4C12586E"/>
    <w:rsid w:val="4C1A4723"/>
    <w:rsid w:val="4C615253"/>
    <w:rsid w:val="4C773325"/>
    <w:rsid w:val="4D043409"/>
    <w:rsid w:val="4D0639F4"/>
    <w:rsid w:val="4D3C7046"/>
    <w:rsid w:val="4D4C3002"/>
    <w:rsid w:val="4D861CF6"/>
    <w:rsid w:val="4E165338"/>
    <w:rsid w:val="4E1A4D7E"/>
    <w:rsid w:val="4E460DF6"/>
    <w:rsid w:val="4F0458B0"/>
    <w:rsid w:val="4F144C0B"/>
    <w:rsid w:val="4F18763F"/>
    <w:rsid w:val="4F2953A8"/>
    <w:rsid w:val="4F3F1A48"/>
    <w:rsid w:val="4F4F2B41"/>
    <w:rsid w:val="4F7725B8"/>
    <w:rsid w:val="4F9273F2"/>
    <w:rsid w:val="4FC65F9D"/>
    <w:rsid w:val="4FCB46B2"/>
    <w:rsid w:val="4FD70497"/>
    <w:rsid w:val="4FD7209B"/>
    <w:rsid w:val="5010728A"/>
    <w:rsid w:val="5060304C"/>
    <w:rsid w:val="50983A7B"/>
    <w:rsid w:val="513F5357"/>
    <w:rsid w:val="517D19DC"/>
    <w:rsid w:val="51A0432A"/>
    <w:rsid w:val="51C4760A"/>
    <w:rsid w:val="51F96A8C"/>
    <w:rsid w:val="526112FD"/>
    <w:rsid w:val="527140E5"/>
    <w:rsid w:val="527B23BF"/>
    <w:rsid w:val="5292508F"/>
    <w:rsid w:val="52976ACD"/>
    <w:rsid w:val="52A96B6F"/>
    <w:rsid w:val="52CE2288"/>
    <w:rsid w:val="52D82877"/>
    <w:rsid w:val="53BD2563"/>
    <w:rsid w:val="53E73A84"/>
    <w:rsid w:val="54044FB7"/>
    <w:rsid w:val="54177EC5"/>
    <w:rsid w:val="54260108"/>
    <w:rsid w:val="542955C3"/>
    <w:rsid w:val="549B551B"/>
    <w:rsid w:val="549B6A88"/>
    <w:rsid w:val="549E0B9F"/>
    <w:rsid w:val="54BE3577"/>
    <w:rsid w:val="54CC7EAC"/>
    <w:rsid w:val="54FA5FA0"/>
    <w:rsid w:val="550764A4"/>
    <w:rsid w:val="551926E0"/>
    <w:rsid w:val="555A2783"/>
    <w:rsid w:val="55654C60"/>
    <w:rsid w:val="55757355"/>
    <w:rsid w:val="55CE0A58"/>
    <w:rsid w:val="55EF192A"/>
    <w:rsid w:val="56044BDB"/>
    <w:rsid w:val="56515F3B"/>
    <w:rsid w:val="56625644"/>
    <w:rsid w:val="566A0472"/>
    <w:rsid w:val="56AC561E"/>
    <w:rsid w:val="56B51C18"/>
    <w:rsid w:val="56B714EC"/>
    <w:rsid w:val="56E322E1"/>
    <w:rsid w:val="572052E3"/>
    <w:rsid w:val="572B71CA"/>
    <w:rsid w:val="573174F0"/>
    <w:rsid w:val="575118D0"/>
    <w:rsid w:val="57544F8D"/>
    <w:rsid w:val="58112E7E"/>
    <w:rsid w:val="586268D8"/>
    <w:rsid w:val="58AE4F0C"/>
    <w:rsid w:val="58DD011A"/>
    <w:rsid w:val="59015252"/>
    <w:rsid w:val="594A2AEB"/>
    <w:rsid w:val="596F60AE"/>
    <w:rsid w:val="59741259"/>
    <w:rsid w:val="59A815C0"/>
    <w:rsid w:val="59B83EF9"/>
    <w:rsid w:val="59D16D68"/>
    <w:rsid w:val="5A2A7C7B"/>
    <w:rsid w:val="5AF80325"/>
    <w:rsid w:val="5AFD593B"/>
    <w:rsid w:val="5B2D3083"/>
    <w:rsid w:val="5B527A35"/>
    <w:rsid w:val="5C4D7CA8"/>
    <w:rsid w:val="5C515894"/>
    <w:rsid w:val="5C6F1038"/>
    <w:rsid w:val="5C80234E"/>
    <w:rsid w:val="5C985E1E"/>
    <w:rsid w:val="5D665A1A"/>
    <w:rsid w:val="5D9613BA"/>
    <w:rsid w:val="5DB34EE4"/>
    <w:rsid w:val="5DB55350"/>
    <w:rsid w:val="5DF272AD"/>
    <w:rsid w:val="5DFC012C"/>
    <w:rsid w:val="5E261785"/>
    <w:rsid w:val="5E2A6A47"/>
    <w:rsid w:val="5E59557E"/>
    <w:rsid w:val="5E8A398A"/>
    <w:rsid w:val="5EC31348"/>
    <w:rsid w:val="5EC450EE"/>
    <w:rsid w:val="5EED715D"/>
    <w:rsid w:val="5F16521D"/>
    <w:rsid w:val="5F2B6F1B"/>
    <w:rsid w:val="5F9C79DD"/>
    <w:rsid w:val="5FA840C8"/>
    <w:rsid w:val="5FCC5339"/>
    <w:rsid w:val="5FDB26EF"/>
    <w:rsid w:val="5FEB66AA"/>
    <w:rsid w:val="600A4D82"/>
    <w:rsid w:val="6057789C"/>
    <w:rsid w:val="605D1C1B"/>
    <w:rsid w:val="60651FB9"/>
    <w:rsid w:val="60E53485"/>
    <w:rsid w:val="60EC4488"/>
    <w:rsid w:val="60FA6BA5"/>
    <w:rsid w:val="61054A27"/>
    <w:rsid w:val="611D2366"/>
    <w:rsid w:val="612C4A4F"/>
    <w:rsid w:val="613C66BB"/>
    <w:rsid w:val="61581B1D"/>
    <w:rsid w:val="61587D6F"/>
    <w:rsid w:val="617C3A5E"/>
    <w:rsid w:val="61AB53ED"/>
    <w:rsid w:val="621023F8"/>
    <w:rsid w:val="62134D69"/>
    <w:rsid w:val="62287742"/>
    <w:rsid w:val="623F3B76"/>
    <w:rsid w:val="62494122"/>
    <w:rsid w:val="62885958"/>
    <w:rsid w:val="62A74B0A"/>
    <w:rsid w:val="62D17DD9"/>
    <w:rsid w:val="62E01DCA"/>
    <w:rsid w:val="62F17F61"/>
    <w:rsid w:val="631D301E"/>
    <w:rsid w:val="632D5BB8"/>
    <w:rsid w:val="634E31D8"/>
    <w:rsid w:val="63682953"/>
    <w:rsid w:val="6372336A"/>
    <w:rsid w:val="637744A5"/>
    <w:rsid w:val="63884FE4"/>
    <w:rsid w:val="639F3A33"/>
    <w:rsid w:val="63AD43A2"/>
    <w:rsid w:val="63F2701D"/>
    <w:rsid w:val="63F73D10"/>
    <w:rsid w:val="63FC0E86"/>
    <w:rsid w:val="644F7208"/>
    <w:rsid w:val="64CE2EAA"/>
    <w:rsid w:val="64D64111"/>
    <w:rsid w:val="64F3702B"/>
    <w:rsid w:val="65006754"/>
    <w:rsid w:val="65197815"/>
    <w:rsid w:val="65295CAB"/>
    <w:rsid w:val="652F155D"/>
    <w:rsid w:val="65756473"/>
    <w:rsid w:val="65C6174B"/>
    <w:rsid w:val="65C77C89"/>
    <w:rsid w:val="65EA2FE4"/>
    <w:rsid w:val="662001A3"/>
    <w:rsid w:val="662E75B1"/>
    <w:rsid w:val="66326DE1"/>
    <w:rsid w:val="66342C2E"/>
    <w:rsid w:val="663E784C"/>
    <w:rsid w:val="66611474"/>
    <w:rsid w:val="667A42E4"/>
    <w:rsid w:val="668A2779"/>
    <w:rsid w:val="669453A6"/>
    <w:rsid w:val="66990C0E"/>
    <w:rsid w:val="66D87988"/>
    <w:rsid w:val="67170A94"/>
    <w:rsid w:val="6719117F"/>
    <w:rsid w:val="6723497B"/>
    <w:rsid w:val="67320AA5"/>
    <w:rsid w:val="673821D5"/>
    <w:rsid w:val="67647EAE"/>
    <w:rsid w:val="67915D89"/>
    <w:rsid w:val="67C1666E"/>
    <w:rsid w:val="68014CBD"/>
    <w:rsid w:val="6841330B"/>
    <w:rsid w:val="684C53AD"/>
    <w:rsid w:val="685867EC"/>
    <w:rsid w:val="68612EE3"/>
    <w:rsid w:val="68616F73"/>
    <w:rsid w:val="686E167F"/>
    <w:rsid w:val="686F717E"/>
    <w:rsid w:val="68815DFE"/>
    <w:rsid w:val="68A66960"/>
    <w:rsid w:val="68E65C61"/>
    <w:rsid w:val="691C1682"/>
    <w:rsid w:val="69D05529"/>
    <w:rsid w:val="69DA7573"/>
    <w:rsid w:val="69DD52B6"/>
    <w:rsid w:val="69DF102E"/>
    <w:rsid w:val="6A051F0D"/>
    <w:rsid w:val="6A17386D"/>
    <w:rsid w:val="6A446655"/>
    <w:rsid w:val="6A486BD3"/>
    <w:rsid w:val="6AA81420"/>
    <w:rsid w:val="6AED777A"/>
    <w:rsid w:val="6AFD06FD"/>
    <w:rsid w:val="6B364DC7"/>
    <w:rsid w:val="6B60619E"/>
    <w:rsid w:val="6B8856C9"/>
    <w:rsid w:val="6B90226A"/>
    <w:rsid w:val="6BB81476"/>
    <w:rsid w:val="6BDC4335"/>
    <w:rsid w:val="6C092255"/>
    <w:rsid w:val="6C0B435C"/>
    <w:rsid w:val="6C180827"/>
    <w:rsid w:val="6C1A00FB"/>
    <w:rsid w:val="6C316B4C"/>
    <w:rsid w:val="6C741BBA"/>
    <w:rsid w:val="6CA1081C"/>
    <w:rsid w:val="6CD02EB0"/>
    <w:rsid w:val="6CEB5F3B"/>
    <w:rsid w:val="6D033285"/>
    <w:rsid w:val="6D147885"/>
    <w:rsid w:val="6D2154B9"/>
    <w:rsid w:val="6D54588F"/>
    <w:rsid w:val="6DA46816"/>
    <w:rsid w:val="6DCF0A71"/>
    <w:rsid w:val="6DE44E65"/>
    <w:rsid w:val="6E434F41"/>
    <w:rsid w:val="6E4C1217"/>
    <w:rsid w:val="6E8E12EF"/>
    <w:rsid w:val="6ED749C9"/>
    <w:rsid w:val="6F143527"/>
    <w:rsid w:val="6F257424"/>
    <w:rsid w:val="6FF11ABB"/>
    <w:rsid w:val="700C06A3"/>
    <w:rsid w:val="704A4D27"/>
    <w:rsid w:val="70AE4CA5"/>
    <w:rsid w:val="70F34A4D"/>
    <w:rsid w:val="71347EB1"/>
    <w:rsid w:val="718874D8"/>
    <w:rsid w:val="71940950"/>
    <w:rsid w:val="71A32941"/>
    <w:rsid w:val="71C01745"/>
    <w:rsid w:val="71D43752"/>
    <w:rsid w:val="71E511AB"/>
    <w:rsid w:val="7231619E"/>
    <w:rsid w:val="727367B7"/>
    <w:rsid w:val="72762A5C"/>
    <w:rsid w:val="729B7ABC"/>
    <w:rsid w:val="72AB5F51"/>
    <w:rsid w:val="72BC151F"/>
    <w:rsid w:val="72C96161"/>
    <w:rsid w:val="72EC0317"/>
    <w:rsid w:val="730647AA"/>
    <w:rsid w:val="733F2B3D"/>
    <w:rsid w:val="7395275D"/>
    <w:rsid w:val="739C3AEB"/>
    <w:rsid w:val="73A17EFA"/>
    <w:rsid w:val="73DD6243"/>
    <w:rsid w:val="73F73418"/>
    <w:rsid w:val="7413559A"/>
    <w:rsid w:val="74251D33"/>
    <w:rsid w:val="74480ED8"/>
    <w:rsid w:val="7480340D"/>
    <w:rsid w:val="749C4185"/>
    <w:rsid w:val="74A97861"/>
    <w:rsid w:val="74B52688"/>
    <w:rsid w:val="74F160B9"/>
    <w:rsid w:val="75071439"/>
    <w:rsid w:val="754771C0"/>
    <w:rsid w:val="754C32EF"/>
    <w:rsid w:val="756248C1"/>
    <w:rsid w:val="758C7392"/>
    <w:rsid w:val="758F74DF"/>
    <w:rsid w:val="75954C96"/>
    <w:rsid w:val="75B15059"/>
    <w:rsid w:val="75DA2C18"/>
    <w:rsid w:val="76285B0A"/>
    <w:rsid w:val="76704CDE"/>
    <w:rsid w:val="76BD44A5"/>
    <w:rsid w:val="76CD7981"/>
    <w:rsid w:val="7711659E"/>
    <w:rsid w:val="775319EF"/>
    <w:rsid w:val="7783749C"/>
    <w:rsid w:val="779A47E6"/>
    <w:rsid w:val="77AB3C65"/>
    <w:rsid w:val="78333E5C"/>
    <w:rsid w:val="78511348"/>
    <w:rsid w:val="788A485A"/>
    <w:rsid w:val="789B0816"/>
    <w:rsid w:val="78AA0A59"/>
    <w:rsid w:val="78EF46BD"/>
    <w:rsid w:val="790F1C77"/>
    <w:rsid w:val="79132DE8"/>
    <w:rsid w:val="799A6D1F"/>
    <w:rsid w:val="79C27F0E"/>
    <w:rsid w:val="79F226B7"/>
    <w:rsid w:val="79F93A46"/>
    <w:rsid w:val="79FD2E0A"/>
    <w:rsid w:val="7A1C7734"/>
    <w:rsid w:val="7A67303B"/>
    <w:rsid w:val="7A8A1FED"/>
    <w:rsid w:val="7A9C26DE"/>
    <w:rsid w:val="7A9E639B"/>
    <w:rsid w:val="7AAB1D04"/>
    <w:rsid w:val="7ABA4368"/>
    <w:rsid w:val="7ACC2F08"/>
    <w:rsid w:val="7B257FFD"/>
    <w:rsid w:val="7B4231CA"/>
    <w:rsid w:val="7B4B7D30"/>
    <w:rsid w:val="7B4C4049"/>
    <w:rsid w:val="7C0466D2"/>
    <w:rsid w:val="7C2B1DA5"/>
    <w:rsid w:val="7C37539F"/>
    <w:rsid w:val="7C501917"/>
    <w:rsid w:val="7C670E16"/>
    <w:rsid w:val="7CD50869"/>
    <w:rsid w:val="7CE107C1"/>
    <w:rsid w:val="7CF91FAF"/>
    <w:rsid w:val="7D4A468D"/>
    <w:rsid w:val="7D584F27"/>
    <w:rsid w:val="7D647D58"/>
    <w:rsid w:val="7DB06B11"/>
    <w:rsid w:val="7DB61C4E"/>
    <w:rsid w:val="7DF4317E"/>
    <w:rsid w:val="7E174DE1"/>
    <w:rsid w:val="7E3314F0"/>
    <w:rsid w:val="7E343F39"/>
    <w:rsid w:val="7E3A462D"/>
    <w:rsid w:val="7E64308B"/>
    <w:rsid w:val="7E7609A5"/>
    <w:rsid w:val="7E8A7362"/>
    <w:rsid w:val="7E9A331D"/>
    <w:rsid w:val="7ED14F91"/>
    <w:rsid w:val="7EE37696"/>
    <w:rsid w:val="7F437511"/>
    <w:rsid w:val="7F945FBF"/>
    <w:rsid w:val="7FCD5EC3"/>
    <w:rsid w:val="7FCF6FF7"/>
    <w:rsid w:val="7FF54CAF"/>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numPr>
        <w:ilvl w:val="0"/>
        <w:numId w:val="1"/>
      </w:numPr>
      <w:spacing w:before="340" w:after="330" w:line="578" w:lineRule="auto"/>
      <w:outlineLvl w:val="0"/>
    </w:pPr>
    <w:rPr>
      <w:bCs/>
      <w:kern w:val="44"/>
      <w:sz w:val="44"/>
      <w:szCs w:val="44"/>
    </w:rPr>
  </w:style>
  <w:style w:type="paragraph" w:styleId="3">
    <w:name w:val="heading 2"/>
    <w:basedOn w:val="1"/>
    <w:next w:val="1"/>
    <w:link w:val="632"/>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link w:val="74"/>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3"/>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3"/>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toa heading"/>
    <w:basedOn w:val="1"/>
    <w:next w:val="1"/>
    <w:semiHidden/>
    <w:qFormat/>
    <w:uiPriority w:val="0"/>
    <w:pPr>
      <w:spacing w:before="120"/>
    </w:pPr>
    <w:rPr>
      <w:rFonts w:ascii="Arial" w:hAnsi="Arial" w:cs="Arial"/>
      <w:sz w:val="24"/>
    </w:rPr>
  </w:style>
  <w:style w:type="paragraph" w:styleId="20">
    <w:name w:val="annotation text"/>
    <w:basedOn w:val="1"/>
    <w:link w:val="615"/>
    <w:qFormat/>
    <w:uiPriority w:val="0"/>
    <w:pPr>
      <w:jc w:val="left"/>
    </w:pPr>
  </w:style>
  <w:style w:type="paragraph" w:styleId="21">
    <w:name w:val="Salutation"/>
    <w:basedOn w:val="1"/>
    <w:next w:val="1"/>
    <w:link w:val="484"/>
    <w:qFormat/>
    <w:uiPriority w:val="0"/>
    <w:rPr>
      <w:rFonts w:ascii="仿宋_GB2312" w:eastAsia="仿宋_GB2312"/>
      <w:sz w:val="28"/>
      <w:szCs w:val="20"/>
    </w:rPr>
  </w:style>
  <w:style w:type="paragraph" w:styleId="22">
    <w:name w:val="Body Text 3"/>
    <w:basedOn w:val="1"/>
    <w:link w:val="582"/>
    <w:qFormat/>
    <w:uiPriority w:val="0"/>
    <w:pPr>
      <w:jc w:val="center"/>
    </w:pPr>
    <w:rPr>
      <w:szCs w:val="20"/>
    </w:rPr>
  </w:style>
  <w:style w:type="paragraph" w:styleId="23">
    <w:name w:val="Body Text"/>
    <w:basedOn w:val="1"/>
    <w:link w:val="514"/>
    <w:qFormat/>
    <w:uiPriority w:val="0"/>
    <w:pPr>
      <w:autoSpaceDE w:val="0"/>
      <w:autoSpaceDN w:val="0"/>
      <w:spacing w:line="360" w:lineRule="auto"/>
    </w:pPr>
    <w:rPr>
      <w:rFonts w:ascii="宋体"/>
      <w:sz w:val="24"/>
      <w:szCs w:val="21"/>
      <w:lang w:val="zh-CN"/>
    </w:rPr>
  </w:style>
  <w:style w:type="paragraph" w:styleId="24">
    <w:name w:val="Body Text Indent"/>
    <w:basedOn w:val="1"/>
    <w:next w:val="1"/>
    <w:link w:val="47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91"/>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9"/>
    <w:qFormat/>
    <w:uiPriority w:val="0"/>
    <w:pPr>
      <w:ind w:left="100" w:leftChars="2500"/>
    </w:pPr>
    <w:rPr>
      <w:rFonts w:ascii="宋体"/>
      <w:sz w:val="24"/>
      <w:szCs w:val="21"/>
      <w:lang w:val="zh-CN"/>
    </w:rPr>
  </w:style>
  <w:style w:type="paragraph" w:styleId="36">
    <w:name w:val="Body Text Indent 2"/>
    <w:basedOn w:val="1"/>
    <w:link w:val="505"/>
    <w:qFormat/>
    <w:uiPriority w:val="0"/>
    <w:pPr>
      <w:spacing w:line="360" w:lineRule="auto"/>
      <w:ind w:firstLine="601"/>
      <w:textAlignment w:val="baseline"/>
    </w:pPr>
    <w:rPr>
      <w:rFonts w:ascii="宋体"/>
      <w:kern w:val="0"/>
      <w:sz w:val="28"/>
      <w:szCs w:val="20"/>
    </w:rPr>
  </w:style>
  <w:style w:type="paragraph" w:styleId="37">
    <w:name w:val="Balloon Text"/>
    <w:basedOn w:val="1"/>
    <w:link w:val="616"/>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7"/>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9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5"/>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9"/>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w:basedOn w:val="23"/>
    <w:next w:val="1"/>
    <w:link w:val="547"/>
    <w:qFormat/>
    <w:uiPriority w:val="0"/>
    <w:pPr>
      <w:ind w:firstLine="420"/>
    </w:pPr>
    <w:rPr>
      <w:szCs w:val="20"/>
    </w:rPr>
  </w:style>
  <w:style w:type="paragraph" w:styleId="60">
    <w:name w:val="Body Text First Indent 2"/>
    <w:basedOn w:val="24"/>
    <w:link w:val="504"/>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styleId="72">
    <w:name w:val="HTML Sample"/>
    <w:basedOn w:val="63"/>
    <w:qFormat/>
    <w:uiPriority w:val="0"/>
    <w:rPr>
      <w:rFonts w:ascii="Courier New" w:hAnsi="Courier New"/>
    </w:rPr>
  </w:style>
  <w:style w:type="character" w:customStyle="1" w:styleId="73">
    <w:name w:val="标题 1 Char"/>
    <w:link w:val="2"/>
    <w:qFormat/>
    <w:uiPriority w:val="0"/>
    <w:rPr>
      <w:b/>
      <w:bCs/>
      <w:kern w:val="44"/>
      <w:sz w:val="44"/>
      <w:szCs w:val="44"/>
    </w:rPr>
  </w:style>
  <w:style w:type="character" w:customStyle="1" w:styleId="74">
    <w:name w:val="标题 3 Char"/>
    <w:link w:val="4"/>
    <w:qFormat/>
    <w:uiPriority w:val="0"/>
    <w:rPr>
      <w:b/>
      <w:bCs/>
      <w:sz w:val="32"/>
      <w:szCs w:val="32"/>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8"/>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102"/>
    <w:next w:val="102"/>
    <w:qFormat/>
    <w:uiPriority w:val="0"/>
    <w:pPr>
      <w:spacing w:after="68"/>
    </w:pPr>
    <w:rPr>
      <w:rFonts w:ascii="FHLHE E+ Futura Bk" w:eastAsia="FHLHE E+ Futura Bk" w:cs="Times New Roman"/>
      <w:color w:val="auto"/>
    </w:rPr>
  </w:style>
  <w:style w:type="paragraph" w:customStyle="1" w:styleId="102">
    <w:name w:val="Default"/>
    <w:basedOn w:val="57"/>
    <w:next w:val="2"/>
    <w:link w:val="628"/>
    <w:qFormat/>
    <w:uiPriority w:val="0"/>
    <w:pPr>
      <w:widowControl w:val="0"/>
    </w:pPr>
    <w:rPr>
      <w:rFonts w:ascii="仿宋_GB2312" w:eastAsia="仿宋_GB2312" w:cs="仿宋_GB2312"/>
      <w:color w:val="000000"/>
      <w:szCs w:val="24"/>
      <w:lang w:val="en-US"/>
    </w:rPr>
  </w:style>
  <w:style w:type="paragraph" w:customStyle="1" w:styleId="10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8">
    <w:name w:val="List Paragraph"/>
    <w:basedOn w:val="1"/>
    <w:qFormat/>
    <w:uiPriority w:val="0"/>
    <w:pPr>
      <w:spacing w:line="360" w:lineRule="auto"/>
      <w:ind w:firstLine="200" w:firstLineChars="200"/>
    </w:pPr>
    <w:rPr>
      <w:rFonts w:eastAsia="楷体_GB2312" w:cs="Lucida Sans"/>
      <w:sz w:val="24"/>
    </w:rPr>
  </w:style>
  <w:style w:type="paragraph" w:customStyle="1" w:styleId="10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qFormat/>
    <w:uiPriority w:val="0"/>
    <w:rPr>
      <w:rFonts w:ascii="Tahoma" w:hAnsi="Tahoma"/>
      <w:sz w:val="24"/>
      <w:szCs w:val="20"/>
    </w:rPr>
  </w:style>
  <w:style w:type="paragraph" w:customStyle="1" w:styleId="1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6">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qFormat/>
    <w:uiPriority w:val="0"/>
    <w:pPr>
      <w:spacing w:line="360" w:lineRule="auto"/>
      <w:ind w:firstLine="480" w:firstLineChars="200"/>
    </w:pPr>
    <w:rPr>
      <w:rFonts w:hAnsi="宋体"/>
      <w:sz w:val="24"/>
      <w:szCs w:val="20"/>
    </w:rPr>
  </w:style>
  <w:style w:type="paragraph" w:customStyle="1" w:styleId="123">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1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1">
    <w:name w:val="无间隔1"/>
    <w:link w:val="533"/>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0"/>
    <w:qFormat/>
    <w:uiPriority w:val="0"/>
    <w:pPr>
      <w:tabs>
        <w:tab w:val="left" w:pos="2356"/>
      </w:tabs>
    </w:pPr>
  </w:style>
  <w:style w:type="paragraph" w:customStyle="1" w:styleId="173">
    <w:name w:val="样式 标题 4h4H4Fab-4T5Ref Heading 1rh1Heading sqlsect 1.2.3...."/>
    <w:basedOn w:val="5"/>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1"/>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qFormat/>
    <w:uiPriority w:val="0"/>
    <w:pPr>
      <w:numPr>
        <w:ilvl w:val="3"/>
        <w:numId w:val="4"/>
      </w:numPr>
      <w:tabs>
        <w:tab w:val="left" w:pos="1680"/>
      </w:tabs>
      <w:ind w:left="0"/>
      <w:outlineLvl w:val="3"/>
    </w:pPr>
  </w:style>
  <w:style w:type="paragraph" w:customStyle="1" w:styleId="177">
    <w:name w:val="一级条标题"/>
    <w:basedOn w:val="140"/>
    <w:next w:val="141"/>
    <w:qFormat/>
    <w:uiPriority w:val="0"/>
    <w:pPr>
      <w:tabs>
        <w:tab w:val="left" w:pos="1680"/>
        <w:tab w:val="clear" w:pos="1260"/>
      </w:tabs>
      <w:spacing w:beforeLines="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4">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Lines="50" w:afterLines="50" w:line="360" w:lineRule="auto"/>
      <w:ind w:firstLine="422" w:firstLineChars="200"/>
    </w:pPr>
    <w:rPr>
      <w:b/>
      <w:bCs/>
      <w:szCs w:val="21"/>
    </w:rPr>
  </w:style>
  <w:style w:type="paragraph" w:customStyle="1" w:styleId="202">
    <w:name w:val="标题五"/>
    <w:basedOn w:val="1"/>
    <w:qFormat/>
    <w:uiPriority w:val="0"/>
    <w:pPr>
      <w:adjustRightInd/>
      <w:spacing w:beforeLines="50" w:line="360" w:lineRule="auto"/>
    </w:pPr>
    <w:rPr>
      <w:b/>
      <w:sz w:val="24"/>
    </w:rPr>
  </w:style>
  <w:style w:type="paragraph" w:customStyle="1" w:styleId="203">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2"/>
    <w:qFormat/>
    <w:uiPriority w:val="0"/>
    <w:pPr>
      <w:keepNext w:val="0"/>
      <w:keepLines w:val="0"/>
      <w:numPr>
        <w:numId w:val="0"/>
      </w:numPr>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5"/>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2"/>
    <w:next w:val="1"/>
    <w:unhideWhenUsed/>
    <w:qFormat/>
    <w:uiPriority w:val="39"/>
    <w:pPr>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4"/>
    <w:qFormat/>
    <w:uiPriority w:val="0"/>
    <w:pPr>
      <w:snapToGrid w:val="0"/>
      <w:spacing w:line="360" w:lineRule="auto"/>
    </w:pPr>
    <w:rPr>
      <w:rFonts w:ascii="宋体"/>
      <w:b/>
      <w:sz w:val="24"/>
      <w:szCs w:val="20"/>
    </w:rPr>
  </w:style>
  <w:style w:type="paragraph" w:customStyle="1" w:styleId="23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4"/>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9">
    <w:name w:val="4"/>
    <w:basedOn w:val="1"/>
    <w:next w:val="36"/>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102"/>
    <w:next w:val="102"/>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2"/>
    <w:next w:val="1"/>
    <w:qFormat/>
    <w:uiPriority w:val="39"/>
    <w:pPr>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2"/>
    <w:qFormat/>
    <w:uiPriority w:val="0"/>
    <w:pPr>
      <w:keepNext w:val="0"/>
      <w:keepLines w:val="0"/>
      <w:numPr>
        <w:numId w:val="0"/>
      </w:numPr>
      <w:spacing w:before="0" w:after="100" w:line="360" w:lineRule="auto"/>
      <w:jc w:val="left"/>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styleId="29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qFormat/>
    <w:uiPriority w:val="0"/>
    <w:pPr>
      <w:adjustRightInd/>
      <w:ind w:firstLine="200" w:firstLineChars="200"/>
    </w:pPr>
    <w:rPr>
      <w:rFonts w:ascii="Tahoma" w:hAnsi="Tahoma"/>
      <w:sz w:val="24"/>
      <w:szCs w:val="20"/>
    </w:rPr>
  </w:style>
  <w:style w:type="paragraph" w:customStyle="1" w:styleId="301">
    <w:name w:val="Char Char Char Char Char Char Char1"/>
    <w:basedOn w:val="1"/>
    <w:qFormat/>
    <w:uiPriority w:val="0"/>
    <w:rPr>
      <w:rFonts w:ascii="仿宋_GB2312" w:eastAsia="仿宋_GB2312"/>
      <w:b/>
      <w:sz w:val="32"/>
      <w:szCs w:val="32"/>
    </w:rPr>
  </w:style>
  <w:style w:type="paragraph" w:customStyle="1" w:styleId="3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qFormat/>
    <w:uiPriority w:val="0"/>
    <w:pPr>
      <w:adjustRightInd/>
      <w:spacing w:line="360" w:lineRule="auto"/>
    </w:pPr>
    <w:rPr>
      <w:rFonts w:ascii="宋体" w:hAnsi="宋体"/>
      <w:szCs w:val="20"/>
    </w:rPr>
  </w:style>
  <w:style w:type="paragraph" w:customStyle="1" w:styleId="30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首行缩进"/>
    <w:basedOn w:val="1"/>
    <w:qFormat/>
    <w:uiPriority w:val="0"/>
    <w:pPr>
      <w:spacing w:line="360" w:lineRule="auto"/>
      <w:ind w:firstLine="480" w:firstLineChars="200"/>
    </w:pPr>
    <w:rPr>
      <w:rFonts w:ascii="宋体"/>
      <w:sz w:val="24"/>
      <w:szCs w:val="20"/>
    </w:rPr>
  </w:style>
  <w:style w:type="paragraph" w:customStyle="1" w:styleId="309">
    <w:name w:val="Char1 Char Char Char1"/>
    <w:basedOn w:val="1"/>
    <w:qFormat/>
    <w:uiPriority w:val="0"/>
    <w:pPr>
      <w:adjustRightInd/>
      <w:ind w:firstLine="200" w:firstLineChars="200"/>
    </w:pPr>
    <w:rPr>
      <w:rFonts w:ascii="Tahoma" w:hAnsi="Tahoma"/>
      <w:sz w:val="24"/>
      <w:szCs w:val="20"/>
    </w:rPr>
  </w:style>
  <w:style w:type="paragraph" w:customStyle="1" w:styleId="310">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2">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5">
    <w:name w:val="哈哈正文"/>
    <w:basedOn w:val="1"/>
    <w:link w:val="499"/>
    <w:qFormat/>
    <w:uiPriority w:val="0"/>
    <w:pPr>
      <w:adjustRightInd/>
      <w:spacing w:line="360" w:lineRule="auto"/>
      <w:ind w:firstLine="200" w:firstLineChars="200"/>
    </w:pPr>
    <w:rPr>
      <w:rFonts w:ascii="宋体" w:hAnsi="宋体"/>
      <w:sz w:val="24"/>
      <w:szCs w:val="20"/>
    </w:rPr>
  </w:style>
  <w:style w:type="paragraph" w:customStyle="1" w:styleId="316">
    <w:name w:val="List Paragraph1"/>
    <w:basedOn w:val="1"/>
    <w:qFormat/>
    <w:uiPriority w:val="34"/>
    <w:pPr>
      <w:spacing w:line="360" w:lineRule="auto"/>
      <w:ind w:firstLine="200" w:firstLineChars="200"/>
    </w:pPr>
    <w:rPr>
      <w:rFonts w:eastAsia="楷体_GB2312" w:cs="Lucida Sans"/>
      <w:sz w:val="24"/>
    </w:rPr>
  </w:style>
  <w:style w:type="paragraph" w:customStyle="1" w:styleId="31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0">
    <w:name w:val="Char Char11 Char Char Char Char Char Char Char Char Char1"/>
    <w:basedOn w:val="1"/>
    <w:qFormat/>
    <w:uiPriority w:val="0"/>
    <w:pPr>
      <w:spacing w:line="360" w:lineRule="auto"/>
    </w:pPr>
    <w:rPr>
      <w:szCs w:val="20"/>
    </w:rPr>
  </w:style>
  <w:style w:type="paragraph" w:customStyle="1" w:styleId="32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2">
    <w:name w:val="正文 项目2"/>
    <w:basedOn w:val="323"/>
    <w:qFormat/>
    <w:uiPriority w:val="0"/>
    <w:pPr>
      <w:numPr>
        <w:ilvl w:val="0"/>
        <w:numId w:val="6"/>
      </w:numPr>
      <w:tabs>
        <w:tab w:val="left" w:pos="840"/>
      </w:tabs>
      <w:spacing w:after="0"/>
    </w:pPr>
  </w:style>
  <w:style w:type="paragraph" w:customStyle="1" w:styleId="32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 Char Char1 Char1"/>
    <w:basedOn w:val="1"/>
    <w:qFormat/>
    <w:uiPriority w:val="0"/>
    <w:rPr>
      <w:szCs w:val="20"/>
    </w:rPr>
  </w:style>
  <w:style w:type="paragraph" w:customStyle="1" w:styleId="32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7">
    <w:name w:val="封面"/>
    <w:basedOn w:val="1"/>
    <w:qFormat/>
    <w:uiPriority w:val="0"/>
    <w:pPr>
      <w:spacing w:line="360" w:lineRule="atLeast"/>
      <w:jc w:val="right"/>
      <w:textAlignment w:val="baseline"/>
    </w:pPr>
    <w:rPr>
      <w:rFonts w:ascii="Symbol" w:hAnsi="Symbol"/>
      <w:kern w:val="0"/>
      <w:szCs w:val="20"/>
    </w:rPr>
  </w:style>
  <w:style w:type="paragraph" w:customStyle="1" w:styleId="328">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9">
    <w:name w:val="数字标题3"/>
    <w:basedOn w:val="4"/>
    <w:next w:val="1"/>
    <w:qFormat/>
    <w:uiPriority w:val="0"/>
    <w:pPr>
      <w:numPr>
        <w:numId w:val="0"/>
      </w:numPr>
      <w:spacing w:line="240" w:lineRule="auto"/>
    </w:pPr>
    <w:rPr>
      <w:sz w:val="28"/>
      <w:szCs w:val="28"/>
    </w:rPr>
  </w:style>
  <w:style w:type="paragraph" w:customStyle="1" w:styleId="3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2">
    <w:name w:val="正文（首行缩进2字符）"/>
    <w:basedOn w:val="1"/>
    <w:qFormat/>
    <w:uiPriority w:val="0"/>
    <w:pPr>
      <w:adjustRightInd/>
      <w:spacing w:line="360" w:lineRule="auto"/>
      <w:ind w:firstLine="480" w:firstLineChars="200"/>
    </w:pPr>
    <w:rPr>
      <w:sz w:val="24"/>
      <w:szCs w:val="20"/>
    </w:rPr>
  </w:style>
  <w:style w:type="paragraph" w:customStyle="1" w:styleId="33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4">
    <w:name w:val="正文段"/>
    <w:basedOn w:val="1"/>
    <w:qFormat/>
    <w:uiPriority w:val="0"/>
    <w:pPr>
      <w:widowControl/>
      <w:snapToGrid w:val="0"/>
      <w:spacing w:afterLines="50"/>
      <w:ind w:firstLine="200" w:firstLineChars="200"/>
    </w:pPr>
    <w:rPr>
      <w:kern w:val="0"/>
      <w:sz w:val="24"/>
      <w:szCs w:val="20"/>
    </w:rPr>
  </w:style>
  <w:style w:type="paragraph" w:customStyle="1" w:styleId="33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6">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7">
    <w:name w:val="彩色列表 - 强调文字颜色 11"/>
    <w:basedOn w:val="1"/>
    <w:qFormat/>
    <w:uiPriority w:val="0"/>
    <w:pPr>
      <w:adjustRightInd/>
      <w:ind w:firstLine="420" w:firstLineChars="200"/>
    </w:pPr>
    <w:rPr>
      <w:rFonts w:ascii="Calibri" w:hAnsi="Calibri"/>
      <w:szCs w:val="22"/>
    </w:rPr>
  </w:style>
  <w:style w:type="paragraph" w:customStyle="1" w:styleId="338">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0">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1">
    <w:name w:val="仿宋正文"/>
    <w:basedOn w:val="1"/>
    <w:link w:val="464"/>
    <w:qFormat/>
    <w:uiPriority w:val="0"/>
    <w:pPr>
      <w:adjustRightInd/>
      <w:spacing w:line="360" w:lineRule="auto"/>
      <w:ind w:firstLine="480" w:firstLineChars="200"/>
    </w:pPr>
    <w:rPr>
      <w:rFonts w:ascii="仿宋_GB2312" w:eastAsia="仿宋_GB2312"/>
      <w:sz w:val="24"/>
      <w:szCs w:val="20"/>
    </w:rPr>
  </w:style>
  <w:style w:type="paragraph" w:customStyle="1" w:styleId="342">
    <w:name w:val="正文（标题三）"/>
    <w:basedOn w:val="1"/>
    <w:qFormat/>
    <w:uiPriority w:val="0"/>
    <w:pPr>
      <w:spacing w:line="360" w:lineRule="auto"/>
      <w:ind w:firstLine="200" w:firstLineChars="200"/>
    </w:pPr>
    <w:rPr>
      <w:sz w:val="24"/>
    </w:rPr>
  </w:style>
  <w:style w:type="paragraph" w:customStyle="1" w:styleId="343">
    <w:name w:val="MM Topic 3"/>
    <w:basedOn w:val="4"/>
    <w:qFormat/>
    <w:uiPriority w:val="0"/>
    <w:pPr>
      <w:numPr>
        <w:numId w:val="4"/>
      </w:numPr>
      <w:tabs>
        <w:tab w:val="left" w:pos="840"/>
        <w:tab w:val="left" w:pos="1680"/>
        <w:tab w:val="clear" w:pos="900"/>
      </w:tabs>
      <w:adjustRightInd/>
    </w:pPr>
  </w:style>
  <w:style w:type="paragraph" w:customStyle="1" w:styleId="3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5">
    <w:name w:val="图中文字"/>
    <w:basedOn w:val="1"/>
    <w:qFormat/>
    <w:uiPriority w:val="0"/>
    <w:pPr>
      <w:snapToGrid w:val="0"/>
      <w:spacing w:line="0" w:lineRule="atLeast"/>
      <w:ind w:firstLine="200" w:firstLineChars="200"/>
      <w:jc w:val="center"/>
    </w:pPr>
    <w:rPr>
      <w:sz w:val="24"/>
      <w:szCs w:val="20"/>
    </w:rPr>
  </w:style>
  <w:style w:type="paragraph" w:customStyle="1" w:styleId="346">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7">
    <w:name w:val="Char21"/>
    <w:basedOn w:val="1"/>
    <w:qFormat/>
    <w:uiPriority w:val="0"/>
    <w:pPr>
      <w:adjustRightInd/>
      <w:ind w:firstLine="200" w:firstLineChars="200"/>
    </w:pPr>
    <w:rPr>
      <w:rFonts w:ascii="仿宋_GB2312" w:eastAsia="仿宋_GB2312"/>
      <w:b/>
      <w:sz w:val="32"/>
      <w:szCs w:val="32"/>
    </w:rPr>
  </w:style>
  <w:style w:type="paragraph" w:customStyle="1" w:styleId="34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9">
    <w:name w:val="标题4-dyf"/>
    <w:basedOn w:val="5"/>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0">
    <w:name w:val="Char1 Char Char Char4"/>
    <w:basedOn w:val="1"/>
    <w:qFormat/>
    <w:uiPriority w:val="0"/>
    <w:pPr>
      <w:adjustRightInd/>
      <w:ind w:firstLine="200" w:firstLineChars="200"/>
    </w:pPr>
    <w:rPr>
      <w:rFonts w:ascii="Tahoma" w:hAnsi="Tahoma"/>
      <w:sz w:val="24"/>
      <w:szCs w:val="20"/>
    </w:rPr>
  </w:style>
  <w:style w:type="paragraph" w:customStyle="1" w:styleId="35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3">
    <w:name w:val="Char23"/>
    <w:basedOn w:val="1"/>
    <w:qFormat/>
    <w:uiPriority w:val="0"/>
    <w:rPr>
      <w:rFonts w:ascii="仿宋_GB2312" w:eastAsia="仿宋_GB2312"/>
      <w:b/>
      <w:sz w:val="32"/>
      <w:szCs w:val="32"/>
    </w:rPr>
  </w:style>
  <w:style w:type="paragraph" w:customStyle="1" w:styleId="35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7">
    <w:name w:val="此正文"/>
    <w:basedOn w:val="1"/>
    <w:link w:val="442"/>
    <w:qFormat/>
    <w:uiPriority w:val="0"/>
    <w:pPr>
      <w:adjustRightInd/>
      <w:spacing w:line="360" w:lineRule="auto"/>
      <w:ind w:firstLine="200" w:firstLineChars="200"/>
    </w:pPr>
    <w:rPr>
      <w:sz w:val="24"/>
    </w:rPr>
  </w:style>
  <w:style w:type="paragraph" w:customStyle="1" w:styleId="3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0">
    <w:name w:val="Char3 Char Char Char"/>
    <w:basedOn w:val="1"/>
    <w:qFormat/>
    <w:uiPriority w:val="0"/>
    <w:pPr>
      <w:widowControl/>
      <w:adjustRightInd/>
      <w:spacing w:after="160" w:line="240" w:lineRule="exact"/>
      <w:jc w:val="left"/>
    </w:pPr>
    <w:rPr>
      <w:szCs w:val="20"/>
    </w:rPr>
  </w:style>
  <w:style w:type="paragraph" w:customStyle="1" w:styleId="36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2">
    <w:name w:val="Normal0"/>
    <w:qFormat/>
    <w:uiPriority w:val="0"/>
    <w:rPr>
      <w:rFonts w:ascii="Times New Roman" w:hAnsi="Times New Roman" w:eastAsia="宋体" w:cs="Times New Roman"/>
      <w:lang w:val="en-US" w:eastAsia="en-US" w:bidi="ar-SA"/>
    </w:rPr>
  </w:style>
  <w:style w:type="paragraph" w:customStyle="1" w:styleId="36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a1"/>
    <w:basedOn w:val="1"/>
    <w:qFormat/>
    <w:uiPriority w:val="0"/>
    <w:pPr>
      <w:widowControl/>
      <w:spacing w:line="300" w:lineRule="atLeast"/>
      <w:jc w:val="left"/>
    </w:pPr>
    <w:rPr>
      <w:rFonts w:ascii="宋体" w:hAnsi="宋体"/>
      <w:kern w:val="0"/>
      <w:sz w:val="18"/>
      <w:szCs w:val="20"/>
    </w:rPr>
  </w:style>
  <w:style w:type="paragraph" w:customStyle="1" w:styleId="36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8">
    <w:name w:val="Thf"/>
    <w:basedOn w:val="93"/>
    <w:qFormat/>
    <w:uiPriority w:val="0"/>
    <w:pPr>
      <w:ind w:left="0"/>
    </w:pPr>
  </w:style>
  <w:style w:type="paragraph" w:customStyle="1" w:styleId="36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_Style 12"/>
    <w:basedOn w:val="18"/>
    <w:qFormat/>
    <w:uiPriority w:val="0"/>
    <w:pPr>
      <w:snapToGrid w:val="0"/>
      <w:spacing w:line="360" w:lineRule="auto"/>
    </w:pPr>
  </w:style>
  <w:style w:type="paragraph" w:customStyle="1" w:styleId="374">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6">
    <w:name w:val="标书标题2"/>
    <w:basedOn w:val="3"/>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7">
    <w:name w:val="Char Char"/>
    <w:basedOn w:val="1"/>
    <w:qFormat/>
    <w:uiPriority w:val="0"/>
    <w:pPr>
      <w:spacing w:line="360" w:lineRule="auto"/>
    </w:pPr>
    <w:rPr>
      <w:rFonts w:ascii="Tahoma" w:hAnsi="Tahoma"/>
      <w:sz w:val="24"/>
      <w:szCs w:val="20"/>
    </w:rPr>
  </w:style>
  <w:style w:type="paragraph" w:customStyle="1" w:styleId="37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379">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pPr>
    <w:rPr>
      <w:rFonts w:ascii="黑体" w:hAnsi="黑体" w:eastAsia="黑体" w:cs="Arial"/>
      <w:caps/>
      <w:color w:val="FFFFFF"/>
      <w:kern w:val="2"/>
      <w:sz w:val="30"/>
      <w:szCs w:val="20"/>
    </w:rPr>
  </w:style>
  <w:style w:type="paragraph" w:customStyle="1" w:styleId="380">
    <w:name w:val="彩色列表 - 强调文字颜色 12"/>
    <w:basedOn w:val="1"/>
    <w:qFormat/>
    <w:uiPriority w:val="0"/>
    <w:pPr>
      <w:adjustRightInd/>
      <w:ind w:firstLine="420" w:firstLineChars="200"/>
    </w:pPr>
    <w:rPr>
      <w:rFonts w:ascii="Calibri" w:hAnsi="Calibri"/>
      <w:szCs w:val="22"/>
    </w:rPr>
  </w:style>
  <w:style w:type="paragraph" w:customStyle="1" w:styleId="38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2">
    <w:name w:val="Char19"/>
    <w:basedOn w:val="1"/>
    <w:qFormat/>
    <w:uiPriority w:val="0"/>
    <w:pPr>
      <w:adjustRightInd/>
    </w:pPr>
    <w:rPr>
      <w:szCs w:val="20"/>
    </w:rPr>
  </w:style>
  <w:style w:type="paragraph" w:customStyle="1" w:styleId="383">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4">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表格（小）"/>
    <w:basedOn w:val="1"/>
    <w:qFormat/>
    <w:uiPriority w:val="0"/>
    <w:pPr>
      <w:adjustRightInd/>
      <w:snapToGrid w:val="0"/>
      <w:spacing w:line="300" w:lineRule="auto"/>
    </w:pPr>
    <w:rPr>
      <w:rFonts w:eastAsia="仿宋"/>
      <w:szCs w:val="21"/>
    </w:rPr>
  </w:style>
  <w:style w:type="paragraph" w:customStyle="1" w:styleId="3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 Char Char Char2"/>
    <w:basedOn w:val="1"/>
    <w:qFormat/>
    <w:uiPriority w:val="0"/>
    <w:rPr>
      <w:rFonts w:ascii="Tahoma" w:hAnsi="Tahoma"/>
      <w:sz w:val="24"/>
      <w:szCs w:val="20"/>
    </w:rPr>
  </w:style>
  <w:style w:type="paragraph" w:customStyle="1" w:styleId="392">
    <w:name w:val="p0"/>
    <w:basedOn w:val="1"/>
    <w:qFormat/>
    <w:uiPriority w:val="0"/>
    <w:pPr>
      <w:widowControl/>
      <w:adjustRightInd/>
    </w:pPr>
    <w:rPr>
      <w:kern w:val="0"/>
      <w:szCs w:val="21"/>
    </w:rPr>
  </w:style>
  <w:style w:type="paragraph" w:customStyle="1" w:styleId="39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5">
    <w:name w:val="默认段落样式"/>
    <w:basedOn w:val="396"/>
    <w:qFormat/>
    <w:uiPriority w:val="0"/>
    <w:pPr>
      <w:spacing w:before="0"/>
      <w:ind w:firstLine="480"/>
      <w:outlineLvl w:val="2"/>
    </w:pPr>
    <w:rPr>
      <w:rFonts w:ascii="仿宋_GB2312" w:hAnsi="宋体" w:eastAsia="仿宋_GB2312"/>
      <w:color w:val="000000"/>
      <w:szCs w:val="24"/>
    </w:rPr>
  </w:style>
  <w:style w:type="paragraph" w:customStyle="1" w:styleId="396">
    <w:name w:val="正文2"/>
    <w:basedOn w:val="1"/>
    <w:link w:val="449"/>
    <w:qFormat/>
    <w:uiPriority w:val="0"/>
    <w:pPr>
      <w:spacing w:before="156" w:line="360" w:lineRule="auto"/>
      <w:ind w:firstLine="510" w:firstLineChars="200"/>
    </w:pPr>
    <w:rPr>
      <w:sz w:val="24"/>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0">
    <w:name w:val="bullet"/>
    <w:basedOn w:val="1"/>
    <w:qFormat/>
    <w:uiPriority w:val="0"/>
    <w:pPr>
      <w:tabs>
        <w:tab w:val="left" w:pos="840"/>
      </w:tabs>
      <w:adjustRightInd/>
      <w:ind w:left="840" w:hanging="420"/>
    </w:pPr>
  </w:style>
  <w:style w:type="paragraph" w:customStyle="1" w:styleId="401">
    <w:name w:val="五级条标题"/>
    <w:basedOn w:val="174"/>
    <w:next w:val="141"/>
    <w:qFormat/>
    <w:uiPriority w:val="0"/>
    <w:pPr>
      <w:numPr>
        <w:ilvl w:val="6"/>
      </w:numPr>
      <w:tabs>
        <w:tab w:val="clear" w:pos="2940"/>
      </w:tabs>
      <w:outlineLvl w:val="6"/>
    </w:pPr>
  </w:style>
  <w:style w:type="paragraph" w:customStyle="1" w:styleId="402">
    <w:name w:val="Char Char Char Char Char Char Char Char"/>
    <w:basedOn w:val="1"/>
    <w:qFormat/>
    <w:uiPriority w:val="0"/>
    <w:pPr>
      <w:tabs>
        <w:tab w:val="left" w:pos="360"/>
      </w:tabs>
    </w:pPr>
    <w:rPr>
      <w:sz w:val="24"/>
      <w:szCs w:val="20"/>
    </w:rPr>
  </w:style>
  <w:style w:type="paragraph" w:customStyle="1" w:styleId="4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数字标题5"/>
    <w:basedOn w:val="6"/>
    <w:next w:val="1"/>
    <w:qFormat/>
    <w:uiPriority w:val="0"/>
    <w:pPr>
      <w:numPr>
        <w:numId w:val="5"/>
      </w:numPr>
      <w:tabs>
        <w:tab w:val="left" w:pos="480"/>
        <w:tab w:val="left" w:pos="1080"/>
        <w:tab w:val="clear" w:pos="1008"/>
      </w:tabs>
    </w:pPr>
  </w:style>
  <w:style w:type="paragraph" w:customStyle="1" w:styleId="4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9">
    <w:name w:val="0"/>
    <w:basedOn w:val="1"/>
    <w:qFormat/>
    <w:uiPriority w:val="0"/>
    <w:pPr>
      <w:widowControl/>
    </w:pPr>
    <w:rPr>
      <w:kern w:val="0"/>
      <w:sz w:val="24"/>
      <w:szCs w:val="20"/>
    </w:rPr>
  </w:style>
  <w:style w:type="paragraph" w:customStyle="1" w:styleId="410">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1">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2">
    <w:name w:val="MM Topic 5"/>
    <w:basedOn w:val="6"/>
    <w:qFormat/>
    <w:uiPriority w:val="0"/>
    <w:pPr>
      <w:numPr>
        <w:numId w:val="4"/>
      </w:numPr>
      <w:tabs>
        <w:tab w:val="left" w:pos="840"/>
        <w:tab w:val="left" w:pos="2520"/>
        <w:tab w:val="clear" w:pos="1008"/>
      </w:tabs>
      <w:adjustRightInd/>
    </w:pPr>
  </w:style>
  <w:style w:type="paragraph" w:customStyle="1" w:styleId="413">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5">
    <w:name w:val="数字标题1"/>
    <w:basedOn w:val="2"/>
    <w:next w:val="1"/>
    <w:qFormat/>
    <w:uiPriority w:val="0"/>
    <w:pPr>
      <w:numPr>
        <w:numId w:val="5"/>
      </w:numPr>
      <w:tabs>
        <w:tab w:val="left" w:pos="480"/>
        <w:tab w:val="clear" w:pos="432"/>
      </w:tabs>
    </w:pPr>
  </w:style>
  <w:style w:type="paragraph" w:customStyle="1" w:styleId="416">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3">
    <w:name w:val="MM Topic 1"/>
    <w:basedOn w:val="2"/>
    <w:qFormat/>
    <w:uiPriority w:val="0"/>
    <w:pPr>
      <w:numPr>
        <w:numId w:val="0"/>
      </w:numPr>
      <w:tabs>
        <w:tab w:val="left" w:pos="840"/>
        <w:tab w:val="clear" w:pos="432"/>
      </w:tabs>
      <w:adjustRightInd/>
      <w:ind w:left="840" w:hanging="420"/>
    </w:pPr>
  </w:style>
  <w:style w:type="paragraph" w:customStyle="1" w:styleId="424">
    <w:name w:val="Char Char Char Char Char Char Char Char1"/>
    <w:basedOn w:val="1"/>
    <w:qFormat/>
    <w:uiPriority w:val="0"/>
    <w:pPr>
      <w:tabs>
        <w:tab w:val="left" w:pos="360"/>
      </w:tabs>
    </w:pPr>
    <w:rPr>
      <w:sz w:val="24"/>
      <w:szCs w:val="20"/>
    </w:rPr>
  </w:style>
  <w:style w:type="paragraph" w:customStyle="1" w:styleId="42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6">
    <w:name w:val="Char3 Char Char Char1"/>
    <w:basedOn w:val="1"/>
    <w:qFormat/>
    <w:uiPriority w:val="0"/>
    <w:pPr>
      <w:widowControl/>
      <w:adjustRightInd/>
      <w:spacing w:after="160" w:line="240" w:lineRule="exact"/>
      <w:jc w:val="left"/>
    </w:pPr>
    <w:rPr>
      <w:szCs w:val="20"/>
    </w:rPr>
  </w:style>
  <w:style w:type="paragraph" w:customStyle="1" w:styleId="427">
    <w:name w:val="Char Char12"/>
    <w:basedOn w:val="1"/>
    <w:qFormat/>
    <w:uiPriority w:val="0"/>
    <w:pPr>
      <w:widowControl/>
      <w:spacing w:after="160" w:line="240" w:lineRule="exact"/>
      <w:jc w:val="left"/>
    </w:pPr>
    <w:rPr>
      <w:rFonts w:eastAsia="仿宋_GB2312"/>
      <w:sz w:val="28"/>
    </w:rPr>
  </w:style>
  <w:style w:type="paragraph" w:customStyle="1" w:styleId="42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1">
    <w:name w:val="单元格左对齐"/>
    <w:basedOn w:val="1"/>
    <w:qFormat/>
    <w:uiPriority w:val="0"/>
    <w:pPr>
      <w:adjustRightInd/>
      <w:spacing w:line="360" w:lineRule="auto"/>
    </w:pPr>
    <w:rPr>
      <w:sz w:val="24"/>
    </w:rPr>
  </w:style>
  <w:style w:type="paragraph" w:customStyle="1" w:styleId="432">
    <w:name w:val="Char11"/>
    <w:basedOn w:val="1"/>
    <w:qFormat/>
    <w:uiPriority w:val="0"/>
    <w:pPr>
      <w:tabs>
        <w:tab w:val="left" w:pos="432"/>
      </w:tabs>
      <w:adjustRightInd/>
      <w:spacing w:beforeLines="50" w:afterLines="50"/>
      <w:ind w:left="432" w:hanging="432" w:firstLineChars="200"/>
    </w:pPr>
    <w:rPr>
      <w:sz w:val="24"/>
    </w:rPr>
  </w:style>
  <w:style w:type="paragraph" w:customStyle="1" w:styleId="4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4">
    <w:name w:val="正文文本 Char"/>
    <w:qFormat/>
    <w:uiPriority w:val="0"/>
    <w:rPr>
      <w:rFonts w:eastAsia="宋体"/>
      <w:kern w:val="2"/>
      <w:sz w:val="24"/>
      <w:szCs w:val="24"/>
      <w:lang w:val="en-US" w:eastAsia="zh-CN" w:bidi="ar-SA"/>
    </w:rPr>
  </w:style>
  <w:style w:type="character" w:customStyle="1" w:styleId="435">
    <w:name w:val="myp1111"/>
    <w:qFormat/>
    <w:uiPriority w:val="0"/>
    <w:rPr>
      <w:rFonts w:hint="default" w:ascii="ˎ̥" w:hAnsi="ˎ̥"/>
      <w:color w:val="000000"/>
      <w:sz w:val="20"/>
      <w:szCs w:val="20"/>
      <w:u w:val="none"/>
    </w:rPr>
  </w:style>
  <w:style w:type="character" w:customStyle="1" w:styleId="436">
    <w:name w:val="mdeck"/>
    <w:qFormat/>
    <w:uiPriority w:val="0"/>
    <w:rPr>
      <w:rFonts w:ascii="仿宋_GB2312" w:eastAsia="微软雅黑"/>
      <w:b/>
      <w:kern w:val="2"/>
      <w:sz w:val="32"/>
      <w:szCs w:val="32"/>
      <w:lang w:val="en-US" w:eastAsia="zh-CN" w:bidi="ar-SA"/>
    </w:rPr>
  </w:style>
  <w:style w:type="character" w:customStyle="1" w:styleId="437">
    <w:name w:val="签名 Char"/>
    <w:link w:val="40"/>
    <w:qFormat/>
    <w:uiPriority w:val="0"/>
    <w:rPr>
      <w:rFonts w:eastAsia="仿宋_GB2312"/>
      <w:sz w:val="24"/>
    </w:rPr>
  </w:style>
  <w:style w:type="character" w:customStyle="1" w:styleId="438">
    <w:name w:val="tw4winMark"/>
    <w:qFormat/>
    <w:uiPriority w:val="0"/>
    <w:rPr>
      <w:rFonts w:ascii="Courier New" w:hAnsi="Courier New" w:cs="Courier New"/>
      <w:vanish/>
      <w:color w:val="800080"/>
      <w:sz w:val="24"/>
      <w:szCs w:val="24"/>
      <w:vertAlign w:val="subscript"/>
    </w:rPr>
  </w:style>
  <w:style w:type="character" w:customStyle="1" w:styleId="43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0">
    <w:name w:val="Balloon Text Char"/>
    <w:semiHidden/>
    <w:qFormat/>
    <w:locked/>
    <w:uiPriority w:val="0"/>
    <w:rPr>
      <w:rFonts w:eastAsia="宋体"/>
      <w:kern w:val="2"/>
      <w:sz w:val="18"/>
      <w:szCs w:val="18"/>
      <w:lang w:val="en-US" w:eastAsia="zh-CN" w:bidi="ar-SA"/>
    </w:rPr>
  </w:style>
  <w:style w:type="character" w:customStyle="1" w:styleId="441">
    <w:name w:val="正文非缩进 Char"/>
    <w:qFormat/>
    <w:uiPriority w:val="0"/>
    <w:rPr>
      <w:rFonts w:ascii="宋体" w:eastAsia="宋体"/>
      <w:snapToGrid w:val="0"/>
      <w:color w:val="000000"/>
      <w:kern w:val="28"/>
      <w:sz w:val="28"/>
      <w:lang w:val="en-US" w:eastAsia="zh-CN" w:bidi="ar-SA"/>
    </w:rPr>
  </w:style>
  <w:style w:type="character" w:customStyle="1" w:styleId="442">
    <w:name w:val="此正文 Char"/>
    <w:link w:val="357"/>
    <w:qFormat/>
    <w:uiPriority w:val="0"/>
    <w:rPr>
      <w:kern w:val="2"/>
      <w:sz w:val="24"/>
      <w:szCs w:val="24"/>
    </w:rPr>
  </w:style>
  <w:style w:type="character" w:customStyle="1" w:styleId="443">
    <w:name w:val="Ò³Ã¼ Char Char"/>
    <w:qFormat/>
    <w:uiPriority w:val="0"/>
    <w:rPr>
      <w:rFonts w:eastAsia="宋体"/>
      <w:kern w:val="2"/>
      <w:sz w:val="18"/>
      <w:lang w:val="en-US" w:eastAsia="zh-CN" w:bidi="ar-SA"/>
    </w:rPr>
  </w:style>
  <w:style w:type="character" w:customStyle="1" w:styleId="444">
    <w:name w:val="style91"/>
    <w:qFormat/>
    <w:uiPriority w:val="0"/>
    <w:rPr>
      <w:color w:val="333333"/>
    </w:rPr>
  </w:style>
  <w:style w:type="character" w:customStyle="1" w:styleId="445">
    <w:name w:val="标书1 Char"/>
    <w:qFormat/>
    <w:uiPriority w:val="0"/>
    <w:rPr>
      <w:rFonts w:eastAsia="宋体"/>
      <w:b/>
      <w:bCs/>
      <w:kern w:val="44"/>
      <w:sz w:val="44"/>
      <w:szCs w:val="44"/>
      <w:lang w:val="en-US" w:eastAsia="zh-CN" w:bidi="ar-SA"/>
    </w:rPr>
  </w:style>
  <w:style w:type="character" w:customStyle="1" w:styleId="446">
    <w:name w:val="ca-131"/>
    <w:qFormat/>
    <w:uiPriority w:val="0"/>
    <w:rPr>
      <w:rFonts w:hint="eastAsia" w:ascii="仿宋_GB2312" w:eastAsia="仿宋_GB2312"/>
      <w:b/>
      <w:bCs/>
      <w:color w:val="000000"/>
      <w:spacing w:val="-20"/>
      <w:sz w:val="24"/>
      <w:szCs w:val="24"/>
    </w:rPr>
  </w:style>
  <w:style w:type="character" w:customStyle="1" w:styleId="447">
    <w:name w:val="标书正文格式 Char"/>
    <w:qFormat/>
    <w:uiPriority w:val="0"/>
    <w:rPr>
      <w:rFonts w:eastAsia="楷体_GB2312"/>
      <w:kern w:val="2"/>
      <w:sz w:val="24"/>
      <w:szCs w:val="24"/>
      <w:lang w:bidi="ar-SA"/>
    </w:rPr>
  </w:style>
  <w:style w:type="character" w:customStyle="1" w:styleId="448">
    <w:name w:val="Char Char6"/>
    <w:qFormat/>
    <w:uiPriority w:val="0"/>
    <w:rPr>
      <w:rFonts w:eastAsia="宋体"/>
      <w:kern w:val="2"/>
      <w:sz w:val="21"/>
      <w:szCs w:val="24"/>
      <w:lang w:val="en-US" w:eastAsia="zh-CN" w:bidi="ar-SA"/>
    </w:rPr>
  </w:style>
  <w:style w:type="character" w:customStyle="1" w:styleId="449">
    <w:name w:val="正文2 Char Char"/>
    <w:link w:val="396"/>
    <w:qFormat/>
    <w:uiPriority w:val="0"/>
    <w:rPr>
      <w:rFonts w:eastAsia="宋体"/>
      <w:kern w:val="2"/>
      <w:sz w:val="24"/>
      <w:lang w:val="en-US" w:eastAsia="zh-CN" w:bidi="ar-SA"/>
    </w:rPr>
  </w:style>
  <w:style w:type="character" w:customStyle="1" w:styleId="450">
    <w:name w:val="content"/>
    <w:qFormat/>
    <w:uiPriority w:val="0"/>
  </w:style>
  <w:style w:type="character" w:customStyle="1" w:styleId="451">
    <w:name w:val="正文文本 2 Char"/>
    <w:qFormat/>
    <w:uiPriority w:val="0"/>
    <w:rPr>
      <w:rFonts w:eastAsia="宋体"/>
      <w:kern w:val="2"/>
      <w:sz w:val="21"/>
      <w:szCs w:val="24"/>
      <w:lang w:val="en-US" w:eastAsia="zh-CN" w:bidi="ar-SA"/>
    </w:rPr>
  </w:style>
  <w:style w:type="character" w:customStyle="1" w:styleId="452">
    <w:name w:val="Heading 2 Hidden Char"/>
    <w:qFormat/>
    <w:uiPriority w:val="0"/>
    <w:rPr>
      <w:rFonts w:ascii="仿宋_GB2312" w:eastAsia="仿宋_GB2312"/>
      <w:b/>
      <w:bCs/>
      <w:kern w:val="2"/>
      <w:sz w:val="24"/>
      <w:szCs w:val="24"/>
      <w:lang w:val="zh-CN" w:eastAsia="zh-CN" w:bidi="ar-SA"/>
    </w:rPr>
  </w:style>
  <w:style w:type="character" w:customStyle="1" w:styleId="453">
    <w:name w:val="首行缩进 Char"/>
    <w:qFormat/>
    <w:uiPriority w:val="0"/>
    <w:rPr>
      <w:rFonts w:ascii="宋体" w:eastAsia="宋体"/>
      <w:kern w:val="2"/>
      <w:sz w:val="24"/>
      <w:lang w:val="en-US" w:eastAsia="zh-CN" w:bidi="ar-SA"/>
    </w:rPr>
  </w:style>
  <w:style w:type="character" w:customStyle="1" w:styleId="45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5">
    <w:name w:val="普通文字 Char Char1"/>
    <w:qFormat/>
    <w:uiPriority w:val="0"/>
    <w:rPr>
      <w:rFonts w:ascii="宋体" w:hAnsi="Courier New"/>
      <w:kern w:val="2"/>
      <w:sz w:val="21"/>
    </w:rPr>
  </w:style>
  <w:style w:type="character" w:customStyle="1" w:styleId="456">
    <w:name w:val="Footer-Even Char"/>
    <w:qFormat/>
    <w:uiPriority w:val="0"/>
    <w:rPr>
      <w:rFonts w:eastAsia="宋体"/>
      <w:kern w:val="2"/>
      <w:sz w:val="18"/>
      <w:lang w:val="en-US" w:eastAsia="zh-CN" w:bidi="ar-SA"/>
    </w:rPr>
  </w:style>
  <w:style w:type="character" w:customStyle="1" w:styleId="457">
    <w:name w:val="dandyren_title1"/>
    <w:qFormat/>
    <w:uiPriority w:val="0"/>
    <w:rPr>
      <w:b/>
      <w:bCs/>
      <w:color w:val="FF6633"/>
      <w:sz w:val="18"/>
      <w:szCs w:val="18"/>
    </w:rPr>
  </w:style>
  <w:style w:type="character" w:customStyle="1" w:styleId="458">
    <w:name w:val="标题 3 Char2"/>
    <w:qFormat/>
    <w:uiPriority w:val="0"/>
    <w:rPr>
      <w:rFonts w:eastAsia="宋体"/>
      <w:b/>
      <w:bCs/>
      <w:kern w:val="2"/>
      <w:sz w:val="32"/>
      <w:szCs w:val="32"/>
      <w:lang w:val="en-US" w:eastAsia="zh-CN" w:bidi="ar-SA"/>
    </w:rPr>
  </w:style>
  <w:style w:type="character" w:customStyle="1" w:styleId="459">
    <w:name w:val="gray6"/>
    <w:basedOn w:val="63"/>
    <w:qFormat/>
    <w:uiPriority w:val="0"/>
  </w:style>
  <w:style w:type="character" w:customStyle="1" w:styleId="460">
    <w:name w:val="标准正文格式 Char"/>
    <w:qFormat/>
    <w:uiPriority w:val="0"/>
    <w:rPr>
      <w:rFonts w:ascii="宋体" w:eastAsia="仿宋_GB2312" w:cs="宋体"/>
      <w:color w:val="000000"/>
      <w:sz w:val="24"/>
      <w:lang w:val="en-US" w:eastAsia="zh-CN" w:bidi="ar-SA"/>
    </w:rPr>
  </w:style>
  <w:style w:type="character" w:customStyle="1" w:styleId="461">
    <w:name w:val="Char Char3"/>
    <w:qFormat/>
    <w:uiPriority w:val="0"/>
    <w:rPr>
      <w:rFonts w:eastAsia="宋体"/>
      <w:kern w:val="2"/>
      <w:sz w:val="21"/>
      <w:szCs w:val="24"/>
      <w:lang w:val="en-US" w:eastAsia="zh-CN" w:bidi="ar-SA"/>
    </w:rPr>
  </w:style>
  <w:style w:type="character" w:customStyle="1" w:styleId="462">
    <w:name w:val="px14"/>
    <w:qFormat/>
    <w:uiPriority w:val="0"/>
    <w:rPr>
      <w:rFonts w:ascii="仿宋_GB2312" w:eastAsia="微软雅黑" w:cs="Times New Roman"/>
      <w:b/>
      <w:kern w:val="2"/>
      <w:sz w:val="32"/>
      <w:szCs w:val="32"/>
      <w:lang w:val="en-US" w:eastAsia="zh-CN" w:bidi="ar-SA"/>
    </w:rPr>
  </w:style>
  <w:style w:type="character" w:customStyle="1" w:styleId="463">
    <w:name w:val="txt"/>
    <w:qFormat/>
    <w:uiPriority w:val="0"/>
    <w:rPr>
      <w:rFonts w:ascii="仿宋_GB2312" w:eastAsia="微软雅黑"/>
      <w:b/>
      <w:kern w:val="2"/>
      <w:sz w:val="32"/>
      <w:szCs w:val="32"/>
      <w:lang w:val="en-US" w:eastAsia="zh-CN" w:bidi="ar-SA"/>
    </w:rPr>
  </w:style>
  <w:style w:type="character" w:customStyle="1" w:styleId="464">
    <w:name w:val="仿宋正文 Char"/>
    <w:link w:val="341"/>
    <w:qFormat/>
    <w:uiPriority w:val="0"/>
    <w:rPr>
      <w:rFonts w:ascii="仿宋_GB2312" w:eastAsia="仿宋_GB2312"/>
      <w:kern w:val="2"/>
      <w:sz w:val="24"/>
      <w:lang w:val="en-US" w:eastAsia="zh-CN" w:bidi="ar-SA"/>
    </w:rPr>
  </w:style>
  <w:style w:type="character" w:customStyle="1" w:styleId="465">
    <w:name w:val="Comment Text Char"/>
    <w:semiHidden/>
    <w:qFormat/>
    <w:locked/>
    <w:uiPriority w:val="0"/>
    <w:rPr>
      <w:rFonts w:ascii="宋体" w:hAnsi="宋体" w:eastAsia="宋体"/>
      <w:kern w:val="2"/>
      <w:sz w:val="24"/>
      <w:lang w:val="en-US" w:eastAsia="zh-CN" w:bidi="ar-SA"/>
    </w:rPr>
  </w:style>
  <w:style w:type="character" w:customStyle="1" w:styleId="466">
    <w:name w:val="tw4winExternal"/>
    <w:qFormat/>
    <w:uiPriority w:val="0"/>
    <w:rPr>
      <w:rFonts w:ascii="Courier New" w:hAnsi="Courier New" w:cs="Courier New"/>
      <w:color w:val="808080"/>
    </w:rPr>
  </w:style>
  <w:style w:type="character" w:customStyle="1" w:styleId="467">
    <w:name w:val="Char Char10"/>
    <w:semiHidden/>
    <w:qFormat/>
    <w:uiPriority w:val="0"/>
    <w:rPr>
      <w:rFonts w:ascii="宋体" w:hAnsi="宋体"/>
      <w:kern w:val="2"/>
      <w:sz w:val="21"/>
      <w:szCs w:val="24"/>
    </w:rPr>
  </w:style>
  <w:style w:type="character" w:customStyle="1" w:styleId="468">
    <w:name w:val="Bold"/>
    <w:qFormat/>
    <w:uiPriority w:val="0"/>
    <w:rPr>
      <w:rFonts w:ascii="Arial" w:hAnsi="Arial" w:eastAsia="黑体" w:cs="Times New Roman"/>
      <w:b/>
      <w:kern w:val="2"/>
      <w:sz w:val="32"/>
      <w:szCs w:val="32"/>
      <w:lang w:val="en-US" w:eastAsia="zh-CN" w:bidi="ar-SA"/>
    </w:rPr>
  </w:style>
  <w:style w:type="character" w:customStyle="1" w:styleId="469">
    <w:name w:val="Font Style82"/>
    <w:qFormat/>
    <w:uiPriority w:val="99"/>
    <w:rPr>
      <w:rFonts w:ascii="宋体" w:eastAsia="宋体" w:cs="宋体"/>
      <w:color w:val="000000"/>
      <w:sz w:val="14"/>
      <w:szCs w:val="14"/>
    </w:rPr>
  </w:style>
  <w:style w:type="character" w:customStyle="1" w:styleId="470">
    <w:name w:val="标题 2 Char"/>
    <w:qFormat/>
    <w:uiPriority w:val="0"/>
    <w:rPr>
      <w:rFonts w:ascii="Arial" w:hAnsi="Arial" w:eastAsia="黑体"/>
      <w:b/>
      <w:kern w:val="2"/>
      <w:sz w:val="32"/>
      <w:lang w:val="en-US" w:eastAsia="zh-CN"/>
    </w:rPr>
  </w:style>
  <w:style w:type="character" w:customStyle="1" w:styleId="471">
    <w:name w:val="h3 Char"/>
    <w:qFormat/>
    <w:uiPriority w:val="0"/>
    <w:rPr>
      <w:rFonts w:eastAsia="宋体"/>
      <w:b/>
      <w:kern w:val="2"/>
      <w:sz w:val="32"/>
      <w:lang w:val="en-US" w:eastAsia="zh-CN" w:bidi="ar-SA"/>
    </w:rPr>
  </w:style>
  <w:style w:type="character" w:customStyle="1" w:styleId="472">
    <w:name w:val="页眉 Char1"/>
    <w:qFormat/>
    <w:uiPriority w:val="0"/>
    <w:rPr>
      <w:rFonts w:eastAsia="宋体"/>
      <w:kern w:val="2"/>
      <w:sz w:val="18"/>
      <w:szCs w:val="18"/>
      <w:lang w:val="en-US" w:eastAsia="zh-CN" w:bidi="ar-SA"/>
    </w:rPr>
  </w:style>
  <w:style w:type="character" w:customStyle="1" w:styleId="473">
    <w:name w:val="标题 8 Char"/>
    <w:link w:val="9"/>
    <w:qFormat/>
    <w:uiPriority w:val="0"/>
    <w:rPr>
      <w:rFonts w:ascii="Arial" w:hAnsi="Arial" w:eastAsia="黑体"/>
      <w:kern w:val="2"/>
      <w:sz w:val="24"/>
      <w:szCs w:val="24"/>
    </w:rPr>
  </w:style>
  <w:style w:type="character" w:customStyle="1" w:styleId="474">
    <w:name w:val="冯广丽 Char"/>
    <w:link w:val="237"/>
    <w:qFormat/>
    <w:uiPriority w:val="0"/>
    <w:rPr>
      <w:rFonts w:ascii="宋体" w:hAnsi="宋体"/>
      <w:kern w:val="2"/>
      <w:sz w:val="24"/>
      <w:szCs w:val="22"/>
    </w:rPr>
  </w:style>
  <w:style w:type="character" w:customStyle="1" w:styleId="475">
    <w:name w:val="脚注文本 Char"/>
    <w:link w:val="48"/>
    <w:qFormat/>
    <w:uiPriority w:val="0"/>
    <w:rPr>
      <w:color w:val="0000FF"/>
      <w:sz w:val="21"/>
    </w:rPr>
  </w:style>
  <w:style w:type="character" w:customStyle="1" w:styleId="476">
    <w:name w:val="font12gray1"/>
    <w:qFormat/>
    <w:uiPriority w:val="0"/>
    <w:rPr>
      <w:rFonts w:ascii="仿宋_GB2312" w:eastAsia="微软雅黑"/>
      <w:b/>
      <w:spacing w:val="300"/>
      <w:kern w:val="2"/>
      <w:sz w:val="18"/>
      <w:szCs w:val="18"/>
      <w:lang w:val="en-US" w:eastAsia="zh-CN" w:bidi="ar-SA"/>
    </w:rPr>
  </w:style>
  <w:style w:type="character" w:customStyle="1" w:styleId="477">
    <w:name w:val="正文文本缩进 Char1"/>
    <w:link w:val="24"/>
    <w:qFormat/>
    <w:uiPriority w:val="0"/>
    <w:rPr>
      <w:rFonts w:ascii="宋体" w:hAnsi="宋体"/>
      <w:kern w:val="2"/>
      <w:sz w:val="24"/>
      <w:szCs w:val="24"/>
    </w:rPr>
  </w:style>
  <w:style w:type="character" w:customStyle="1" w:styleId="478">
    <w:name w:val="方案正文 Char"/>
    <w:qFormat/>
    <w:uiPriority w:val="0"/>
    <w:rPr>
      <w:rFonts w:ascii="仿宋_GB2312" w:eastAsia="仿宋_GB2312"/>
      <w:b/>
      <w:color w:val="000000"/>
      <w:kern w:val="2"/>
      <w:sz w:val="24"/>
      <w:lang w:val="en-US" w:eastAsia="zh-CN" w:bidi="ar-SA"/>
    </w:rPr>
  </w:style>
  <w:style w:type="character" w:customStyle="1" w:styleId="479">
    <w:name w:val="Item List Char"/>
    <w:link w:val="264"/>
    <w:qFormat/>
    <w:uiPriority w:val="0"/>
    <w:rPr>
      <w:rFonts w:ascii="Arial"/>
      <w:bCs/>
      <w:sz w:val="21"/>
      <w:szCs w:val="21"/>
      <w:lang w:val="en-US" w:eastAsia="zh-CN" w:bidi="ar-SA"/>
    </w:rPr>
  </w:style>
  <w:style w:type="character" w:customStyle="1" w:styleId="480">
    <w:name w:val="Normal Indent Char Char"/>
    <w:qFormat/>
    <w:uiPriority w:val="0"/>
    <w:rPr>
      <w:rFonts w:eastAsia="宋体"/>
      <w:kern w:val="2"/>
      <w:sz w:val="21"/>
      <w:lang w:val="en-US" w:eastAsia="zh-CN" w:bidi="ar-SA"/>
    </w:rPr>
  </w:style>
  <w:style w:type="character" w:customStyle="1" w:styleId="481">
    <w:name w:val="t21"/>
    <w:qFormat/>
    <w:uiPriority w:val="0"/>
    <w:rPr>
      <w:rFonts w:ascii="仿宋_GB2312" w:eastAsia="微软雅黑"/>
      <w:b/>
      <w:kern w:val="2"/>
      <w:sz w:val="23"/>
      <w:szCs w:val="23"/>
      <w:lang w:val="en-US" w:eastAsia="zh-CN" w:bidi="ar-SA"/>
    </w:rPr>
  </w:style>
  <w:style w:type="character" w:customStyle="1" w:styleId="482">
    <w:name w:val="Char Char121"/>
    <w:qFormat/>
    <w:uiPriority w:val="0"/>
    <w:rPr>
      <w:rFonts w:ascii="仿宋_GB2312" w:eastAsia="仿宋_GB2312"/>
      <w:b/>
      <w:bCs/>
      <w:kern w:val="2"/>
      <w:sz w:val="24"/>
      <w:szCs w:val="24"/>
      <w:lang w:val="zh-CN" w:eastAsia="zh-CN" w:bidi="ar-SA"/>
    </w:rPr>
  </w:style>
  <w:style w:type="character" w:customStyle="1" w:styleId="483">
    <w:name w:val="标题 7 Char"/>
    <w:link w:val="8"/>
    <w:qFormat/>
    <w:uiPriority w:val="0"/>
    <w:rPr>
      <w:b/>
      <w:bCs/>
      <w:kern w:val="2"/>
      <w:sz w:val="24"/>
      <w:szCs w:val="24"/>
    </w:rPr>
  </w:style>
  <w:style w:type="character" w:customStyle="1" w:styleId="484">
    <w:name w:val="称呼 Char"/>
    <w:link w:val="21"/>
    <w:qFormat/>
    <w:uiPriority w:val="0"/>
    <w:rPr>
      <w:rFonts w:ascii="仿宋_GB2312" w:eastAsia="仿宋_GB2312"/>
      <w:kern w:val="2"/>
      <w:sz w:val="28"/>
    </w:rPr>
  </w:style>
  <w:style w:type="character" w:customStyle="1" w:styleId="485">
    <w:name w:val="正文 项目 Char"/>
    <w:qFormat/>
    <w:uiPriority w:val="0"/>
    <w:rPr>
      <w:rFonts w:ascii="仿宋_GB2312" w:hAnsi="仿宋_GB2312" w:eastAsia="仿宋_GB2312"/>
      <w:kern w:val="2"/>
      <w:sz w:val="24"/>
      <w:lang w:bidi="ar-SA"/>
    </w:rPr>
  </w:style>
  <w:style w:type="character" w:customStyle="1" w:styleId="486">
    <w:name w:val="普通文字 Char1"/>
    <w:qFormat/>
    <w:uiPriority w:val="0"/>
    <w:rPr>
      <w:rFonts w:ascii="宋体" w:hAnsi="Courier New" w:eastAsia="宋体"/>
      <w:kern w:val="2"/>
      <w:sz w:val="21"/>
      <w:lang w:val="en-US" w:eastAsia="zh-CN"/>
    </w:rPr>
  </w:style>
  <w:style w:type="character" w:customStyle="1" w:styleId="487">
    <w:name w:val="正文1 Char1"/>
    <w:qFormat/>
    <w:uiPriority w:val="0"/>
    <w:rPr>
      <w:rFonts w:ascii="仿宋_GB2312" w:hAnsi="Courier New" w:eastAsia="仿宋_GB2312"/>
      <w:kern w:val="28"/>
      <w:sz w:val="24"/>
      <w:szCs w:val="24"/>
    </w:rPr>
  </w:style>
  <w:style w:type="character" w:customStyle="1" w:styleId="488">
    <w:name w:val="hei16b1"/>
    <w:qFormat/>
    <w:uiPriority w:val="0"/>
    <w:rPr>
      <w:rFonts w:hint="default" w:ascii="Arial" w:hAnsi="Arial" w:cs="Arial"/>
      <w:b/>
      <w:bCs/>
      <w:color w:val="000000"/>
      <w:sz w:val="24"/>
      <w:szCs w:val="24"/>
    </w:rPr>
  </w:style>
  <w:style w:type="character" w:customStyle="1" w:styleId="489">
    <w:name w:val="c7 style3"/>
    <w:qFormat/>
    <w:uiPriority w:val="0"/>
  </w:style>
  <w:style w:type="character" w:customStyle="1" w:styleId="490">
    <w:name w:val="副标题 Char"/>
    <w:link w:val="45"/>
    <w:qFormat/>
    <w:uiPriority w:val="0"/>
    <w:rPr>
      <w:rFonts w:ascii="Arial" w:hAnsi="Arial" w:eastAsia="隶书"/>
      <w:b/>
      <w:bCs/>
      <w:kern w:val="28"/>
      <w:sz w:val="44"/>
      <w:szCs w:val="32"/>
      <w:lang w:val="en-US" w:eastAsia="zh-CN" w:bidi="ar-SA"/>
    </w:rPr>
  </w:style>
  <w:style w:type="character" w:customStyle="1" w:styleId="491">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92">
    <w:name w:val="表正文 Char1"/>
    <w:qFormat/>
    <w:uiPriority w:val="0"/>
    <w:rPr>
      <w:rFonts w:ascii="宋体" w:eastAsia="宋体"/>
      <w:snapToGrid w:val="0"/>
      <w:color w:val="000000"/>
      <w:kern w:val="28"/>
      <w:sz w:val="28"/>
    </w:rPr>
  </w:style>
  <w:style w:type="character" w:customStyle="1" w:styleId="493">
    <w:name w:val="Char Char5"/>
    <w:qFormat/>
    <w:uiPriority w:val="0"/>
    <w:rPr>
      <w:rFonts w:ascii="宋体" w:hAnsi="Courier New" w:eastAsia="宋体"/>
      <w:kern w:val="2"/>
      <w:sz w:val="21"/>
      <w:lang w:val="en-US" w:eastAsia="zh-CN"/>
    </w:rPr>
  </w:style>
  <w:style w:type="character" w:customStyle="1" w:styleId="494">
    <w:name w:val="标题 1 Char Char"/>
    <w:qFormat/>
    <w:uiPriority w:val="0"/>
    <w:rPr>
      <w:rFonts w:hint="eastAsia" w:ascii="宋体" w:hAnsi="宋体" w:eastAsia="宋体"/>
      <w:b/>
      <w:spacing w:val="-2"/>
      <w:sz w:val="24"/>
      <w:lang w:val="en-US" w:eastAsia="zh-CN" w:bidi="ar-SA"/>
    </w:rPr>
  </w:style>
  <w:style w:type="character" w:customStyle="1" w:styleId="495">
    <w:name w:val="Char Char4"/>
    <w:qFormat/>
    <w:uiPriority w:val="0"/>
    <w:rPr>
      <w:rFonts w:eastAsia="宋体"/>
      <w:b/>
      <w:sz w:val="24"/>
      <w:lang w:val="en-GB" w:eastAsia="zh-CN" w:bidi="ar-SA"/>
    </w:rPr>
  </w:style>
  <w:style w:type="character" w:customStyle="1" w:styleId="496">
    <w:name w:val="zbggmain style9"/>
    <w:qFormat/>
    <w:uiPriority w:val="0"/>
  </w:style>
  <w:style w:type="character" w:customStyle="1" w:styleId="497">
    <w:name w:val="Header Char"/>
    <w:semiHidden/>
    <w:qFormat/>
    <w:locked/>
    <w:uiPriority w:val="0"/>
    <w:rPr>
      <w:rFonts w:eastAsia="宋体"/>
      <w:kern w:val="2"/>
      <w:sz w:val="18"/>
      <w:szCs w:val="18"/>
      <w:lang w:val="en-US" w:eastAsia="zh-CN" w:bidi="ar-SA"/>
    </w:rPr>
  </w:style>
  <w:style w:type="character" w:customStyle="1" w:styleId="498">
    <w:name w:val="样式 宋体"/>
    <w:qFormat/>
    <w:uiPriority w:val="0"/>
    <w:rPr>
      <w:rFonts w:ascii="宋体" w:hAnsi="宋体"/>
      <w:sz w:val="24"/>
    </w:rPr>
  </w:style>
  <w:style w:type="character" w:customStyle="1" w:styleId="499">
    <w:name w:val="哈哈正文 Char"/>
    <w:link w:val="315"/>
    <w:qFormat/>
    <w:uiPriority w:val="0"/>
    <w:rPr>
      <w:rFonts w:ascii="宋体" w:hAnsi="宋体" w:eastAsia="宋体"/>
      <w:kern w:val="2"/>
      <w:sz w:val="24"/>
      <w:lang w:bidi="ar-SA"/>
    </w:rPr>
  </w:style>
  <w:style w:type="character" w:customStyle="1" w:styleId="500">
    <w:name w:val="标题 Char"/>
    <w:qFormat/>
    <w:uiPriority w:val="0"/>
    <w:rPr>
      <w:rFonts w:eastAsia="宋体"/>
      <w:b/>
      <w:sz w:val="24"/>
      <w:lang w:val="en-GB" w:eastAsia="zh-CN" w:bidi="ar-SA"/>
    </w:rPr>
  </w:style>
  <w:style w:type="character" w:customStyle="1" w:styleId="501">
    <w:name w:val="纯文本 Char Char Char"/>
    <w:qFormat/>
    <w:uiPriority w:val="0"/>
    <w:rPr>
      <w:rFonts w:ascii="宋体" w:hAnsi="Courier New" w:eastAsia="宋体"/>
      <w:kern w:val="2"/>
      <w:sz w:val="21"/>
      <w:lang w:val="en-US" w:eastAsia="zh-CN" w:bidi="ar-SA"/>
    </w:rPr>
  </w:style>
  <w:style w:type="character" w:customStyle="1" w:styleId="502">
    <w:name w:val="正文 编号 Char"/>
    <w:qFormat/>
    <w:uiPriority w:val="0"/>
    <w:rPr>
      <w:rFonts w:ascii="仿宋_GB2312" w:hAnsi="仿宋_GB2312" w:eastAsia="仿宋_GB2312"/>
      <w:kern w:val="2"/>
      <w:sz w:val="24"/>
      <w:lang w:bidi="ar-SA"/>
    </w:rPr>
  </w:style>
  <w:style w:type="character" w:customStyle="1" w:styleId="503">
    <w:name w:val="插图说明 Char"/>
    <w:qFormat/>
    <w:uiPriority w:val="0"/>
    <w:rPr>
      <w:rFonts w:eastAsia="黑体"/>
      <w:sz w:val="24"/>
      <w:lang w:val="en-US" w:eastAsia="zh-CN"/>
    </w:rPr>
  </w:style>
  <w:style w:type="character" w:customStyle="1" w:styleId="504">
    <w:name w:val="正文首行缩进 2 Char"/>
    <w:link w:val="60"/>
    <w:qFormat/>
    <w:uiPriority w:val="0"/>
    <w:rPr>
      <w:rFonts w:ascii="宋体" w:hAnsi="宋体"/>
      <w:kern w:val="2"/>
      <w:sz w:val="21"/>
      <w:szCs w:val="24"/>
    </w:rPr>
  </w:style>
  <w:style w:type="character" w:customStyle="1" w:styleId="505">
    <w:name w:val="正文文本缩进 2 Char"/>
    <w:link w:val="36"/>
    <w:qFormat/>
    <w:uiPriority w:val="0"/>
    <w:rPr>
      <w:rFonts w:ascii="宋体"/>
      <w:sz w:val="28"/>
    </w:rPr>
  </w:style>
  <w:style w:type="character" w:customStyle="1" w:styleId="506">
    <w:name w:val="公文正文 Char"/>
    <w:qFormat/>
    <w:uiPriority w:val="0"/>
    <w:rPr>
      <w:rFonts w:ascii="仿宋_GB2312" w:eastAsia="仿宋_GB2312"/>
      <w:kern w:val="2"/>
      <w:sz w:val="24"/>
      <w:szCs w:val="24"/>
      <w:lang w:val="en-US" w:eastAsia="zh-CN" w:bidi="ar-SA"/>
    </w:rPr>
  </w:style>
  <w:style w:type="character" w:customStyle="1" w:styleId="507">
    <w:name w:val="Char Char41"/>
    <w:qFormat/>
    <w:uiPriority w:val="0"/>
    <w:rPr>
      <w:rFonts w:eastAsia="宋体"/>
      <w:b/>
      <w:sz w:val="24"/>
      <w:lang w:val="en-GB" w:eastAsia="zh-CN" w:bidi="ar-SA"/>
    </w:rPr>
  </w:style>
  <w:style w:type="character" w:customStyle="1" w:styleId="508">
    <w:name w:val="unnamed31"/>
    <w:qFormat/>
    <w:uiPriority w:val="0"/>
    <w:rPr>
      <w:rFonts w:ascii="Tahoma" w:hAnsi="Tahoma" w:eastAsia="宋体"/>
      <w:b/>
      <w:kern w:val="2"/>
      <w:sz w:val="24"/>
      <w:szCs w:val="32"/>
      <w:u w:val="none"/>
      <w:lang w:val="en-US" w:eastAsia="zh-CN" w:bidi="ar-SA"/>
    </w:rPr>
  </w:style>
  <w:style w:type="character" w:customStyle="1" w:styleId="509">
    <w:name w:val="Char Char91"/>
    <w:qFormat/>
    <w:uiPriority w:val="0"/>
    <w:rPr>
      <w:rFonts w:eastAsia="宋体"/>
      <w:kern w:val="2"/>
      <w:sz w:val="18"/>
      <w:szCs w:val="18"/>
      <w:lang w:val="en-US" w:eastAsia="zh-CN" w:bidi="ar-SA"/>
    </w:rPr>
  </w:style>
  <w:style w:type="character" w:customStyle="1" w:styleId="510">
    <w:name w:val="Footer-Even Char1"/>
    <w:qFormat/>
    <w:uiPriority w:val="0"/>
    <w:rPr>
      <w:rFonts w:eastAsia="宋体"/>
      <w:kern w:val="2"/>
      <w:sz w:val="18"/>
      <w:szCs w:val="18"/>
      <w:lang w:val="en-US" w:eastAsia="zh-CN" w:bidi="ar-SA"/>
    </w:rPr>
  </w:style>
  <w:style w:type="character" w:customStyle="1" w:styleId="511">
    <w:name w:val="gf正文1 Char"/>
    <w:qFormat/>
    <w:uiPriority w:val="0"/>
    <w:rPr>
      <w:rFonts w:ascii="宋体" w:hAnsi="宋体" w:eastAsia="宋体" w:cs="宋体"/>
      <w:kern w:val="2"/>
      <w:sz w:val="24"/>
      <w:szCs w:val="24"/>
      <w:lang w:val="en-US" w:eastAsia="zh-CN" w:bidi="ar-SA"/>
    </w:rPr>
  </w:style>
  <w:style w:type="character" w:customStyle="1" w:styleId="512">
    <w:name w:val="javascript"/>
    <w:qFormat/>
    <w:uiPriority w:val="0"/>
  </w:style>
  <w:style w:type="character" w:customStyle="1" w:styleId="513">
    <w:name w:val="列出段落 Char"/>
    <w:qFormat/>
    <w:uiPriority w:val="34"/>
    <w:rPr>
      <w:rFonts w:eastAsia="楷体_GB2312" w:cs="Lucida Sans"/>
      <w:kern w:val="2"/>
      <w:sz w:val="24"/>
      <w:szCs w:val="24"/>
      <w:lang w:val="en-US" w:eastAsia="zh-CN" w:bidi="ar-SA"/>
    </w:rPr>
  </w:style>
  <w:style w:type="character" w:customStyle="1" w:styleId="51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5">
    <w:name w:val="标书表格字体格式 Char"/>
    <w:qFormat/>
    <w:uiPriority w:val="0"/>
    <w:rPr>
      <w:kern w:val="2"/>
      <w:sz w:val="21"/>
      <w:szCs w:val="24"/>
      <w:lang w:bidi="ar-SA"/>
    </w:rPr>
  </w:style>
  <w:style w:type="character" w:customStyle="1" w:styleId="516">
    <w:name w:val="普通文字 Char3"/>
    <w:qFormat/>
    <w:uiPriority w:val="0"/>
    <w:rPr>
      <w:rFonts w:ascii="宋体" w:hAnsi="Courier New" w:eastAsia="宋体"/>
      <w:kern w:val="2"/>
      <w:sz w:val="21"/>
      <w:lang w:val="en-US" w:eastAsia="zh-CN" w:bidi="ar-SA"/>
    </w:rPr>
  </w:style>
  <w:style w:type="character" w:customStyle="1" w:styleId="517">
    <w:name w:val="h Char Char1"/>
    <w:qFormat/>
    <w:uiPriority w:val="0"/>
    <w:rPr>
      <w:rFonts w:eastAsia="宋体"/>
      <w:kern w:val="2"/>
      <w:sz w:val="18"/>
      <w:szCs w:val="18"/>
      <w:lang w:val="en-US" w:eastAsia="zh-CN" w:bidi="ar-SA"/>
    </w:rPr>
  </w:style>
  <w:style w:type="character" w:customStyle="1" w:styleId="518">
    <w:name w:val="冯 Char"/>
    <w:link w:val="76"/>
    <w:qFormat/>
    <w:uiPriority w:val="0"/>
    <w:rPr>
      <w:rFonts w:ascii="宋体" w:hAnsi="宋体"/>
      <w:color w:val="000000"/>
      <w:sz w:val="24"/>
      <w:szCs w:val="24"/>
    </w:rPr>
  </w:style>
  <w:style w:type="character" w:customStyle="1" w:styleId="519">
    <w:name w:val="highlight1"/>
    <w:qFormat/>
    <w:uiPriority w:val="0"/>
    <w:rPr>
      <w:rFonts w:ascii="仿宋_GB2312" w:eastAsia="微软雅黑"/>
      <w:b/>
      <w:kern w:val="2"/>
      <w:sz w:val="23"/>
      <w:szCs w:val="23"/>
      <w:lang w:val="en-US" w:eastAsia="zh-CN" w:bidi="ar-SA"/>
    </w:rPr>
  </w:style>
  <w:style w:type="character" w:customStyle="1" w:styleId="520">
    <w:name w:val="样式6 Char"/>
    <w:qFormat/>
    <w:uiPriority w:val="0"/>
    <w:rPr>
      <w:rFonts w:ascii="仿宋_GB2312" w:hAnsi="宋体" w:eastAsia="仿宋_GB2312"/>
      <w:b/>
      <w:bCs/>
      <w:kern w:val="2"/>
      <w:sz w:val="24"/>
      <w:szCs w:val="24"/>
      <w:lang w:val="en-US" w:eastAsia="zh-CN" w:bidi="ar-SA"/>
    </w:rPr>
  </w:style>
  <w:style w:type="character" w:customStyle="1" w:styleId="521">
    <w:name w:val="标题 9 Char"/>
    <w:link w:val="10"/>
    <w:qFormat/>
    <w:uiPriority w:val="0"/>
    <w:rPr>
      <w:rFonts w:ascii="Arial" w:hAnsi="Arial" w:eastAsia="黑体"/>
      <w:kern w:val="2"/>
      <w:sz w:val="21"/>
      <w:szCs w:val="21"/>
    </w:rPr>
  </w:style>
  <w:style w:type="character" w:customStyle="1" w:styleId="522">
    <w:name w:val="md"/>
    <w:basedOn w:val="63"/>
    <w:qFormat/>
    <w:uiPriority w:val="0"/>
  </w:style>
  <w:style w:type="character" w:customStyle="1" w:styleId="523">
    <w:name w:val="myp11"/>
    <w:qFormat/>
    <w:uiPriority w:val="0"/>
    <w:rPr>
      <w:rFonts w:ascii="仿宋_GB2312" w:eastAsia="微软雅黑"/>
      <w:b/>
      <w:kern w:val="2"/>
      <w:sz w:val="32"/>
      <w:szCs w:val="32"/>
      <w:lang w:val="en-US" w:eastAsia="zh-CN" w:bidi="ar-SA"/>
    </w:rPr>
  </w:style>
  <w:style w:type="character" w:customStyle="1" w:styleId="524">
    <w:name w:val="Ò³Ã¼ Char Char1"/>
    <w:qFormat/>
    <w:uiPriority w:val="0"/>
    <w:rPr>
      <w:rFonts w:eastAsia="宋体"/>
      <w:kern w:val="2"/>
      <w:sz w:val="18"/>
      <w:szCs w:val="18"/>
      <w:lang w:val="en-US" w:eastAsia="zh-CN" w:bidi="ar-SA"/>
    </w:rPr>
  </w:style>
  <w:style w:type="character" w:customStyle="1" w:styleId="525">
    <w:name w:val="tw4winTerm"/>
    <w:qFormat/>
    <w:uiPriority w:val="0"/>
    <w:rPr>
      <w:color w:val="0000FF"/>
    </w:rPr>
  </w:style>
  <w:style w:type="character" w:customStyle="1" w:styleId="526">
    <w:name w:val="表格 Char Char"/>
    <w:qFormat/>
    <w:uiPriority w:val="0"/>
    <w:rPr>
      <w:rFonts w:ascii="宋体" w:hAnsi="宋体" w:eastAsia="宋体"/>
      <w:lang w:bidi="ar-SA"/>
    </w:rPr>
  </w:style>
  <w:style w:type="character" w:customStyle="1" w:styleId="527">
    <w:name w:val="样式8 Char"/>
    <w:qFormat/>
    <w:uiPriority w:val="0"/>
    <w:rPr>
      <w:rFonts w:ascii="仿宋_GB2312" w:hAnsi="宋体" w:eastAsia="仿宋_GB2312"/>
      <w:b/>
      <w:bCs/>
      <w:kern w:val="2"/>
      <w:sz w:val="24"/>
      <w:szCs w:val="24"/>
    </w:rPr>
  </w:style>
  <w:style w:type="character" w:customStyle="1" w:styleId="528">
    <w:name w:val="样式5 Char"/>
    <w:qFormat/>
    <w:uiPriority w:val="0"/>
    <w:rPr>
      <w:rFonts w:ascii="仿宋_GB2312" w:hAnsi="仿宋" w:eastAsia="仿宋_GB2312"/>
      <w:kern w:val="2"/>
      <w:sz w:val="24"/>
      <w:szCs w:val="24"/>
    </w:rPr>
  </w:style>
  <w:style w:type="character" w:customStyle="1" w:styleId="529">
    <w:name w:val="页脚 Char1"/>
    <w:qFormat/>
    <w:uiPriority w:val="0"/>
    <w:rPr>
      <w:rFonts w:eastAsia="宋体"/>
      <w:kern w:val="2"/>
      <w:sz w:val="18"/>
      <w:szCs w:val="18"/>
      <w:lang w:val="en-US" w:eastAsia="zh-CN" w:bidi="ar-SA"/>
    </w:rPr>
  </w:style>
  <w:style w:type="character" w:customStyle="1" w:styleId="530">
    <w:name w:val="tw4winJump"/>
    <w:qFormat/>
    <w:uiPriority w:val="0"/>
    <w:rPr>
      <w:rFonts w:ascii="Courier New" w:hAnsi="Courier New" w:cs="Courier New"/>
      <w:color w:val="008080"/>
    </w:rPr>
  </w:style>
  <w:style w:type="character" w:customStyle="1" w:styleId="531">
    <w:name w:val="批注文字 Char"/>
    <w:qFormat/>
    <w:uiPriority w:val="99"/>
    <w:rPr>
      <w:kern w:val="2"/>
      <w:sz w:val="21"/>
      <w:szCs w:val="24"/>
    </w:rPr>
  </w:style>
  <w:style w:type="character" w:customStyle="1" w:styleId="532">
    <w:name w:val="Char Char122"/>
    <w:qFormat/>
    <w:uiPriority w:val="0"/>
    <w:rPr>
      <w:rFonts w:ascii="仿宋_GB2312" w:eastAsia="仿宋_GB2312"/>
      <w:b/>
      <w:bCs/>
      <w:kern w:val="2"/>
      <w:sz w:val="24"/>
      <w:szCs w:val="24"/>
      <w:lang w:val="zh-CN" w:eastAsia="zh-CN" w:bidi="ar-SA"/>
    </w:rPr>
  </w:style>
  <w:style w:type="character" w:customStyle="1" w:styleId="533">
    <w:name w:val="No Spacing Char"/>
    <w:link w:val="171"/>
    <w:qFormat/>
    <w:uiPriority w:val="1"/>
    <w:rPr>
      <w:rFonts w:ascii="Calibri" w:hAnsi="Calibri"/>
      <w:sz w:val="22"/>
      <w:szCs w:val="22"/>
      <w:lang w:val="en-US" w:eastAsia="zh-CN" w:bidi="ar-SA"/>
    </w:rPr>
  </w:style>
  <w:style w:type="character" w:customStyle="1" w:styleId="534">
    <w:name w:val="Char Char21"/>
    <w:qFormat/>
    <w:uiPriority w:val="0"/>
    <w:rPr>
      <w:rFonts w:ascii="宋体" w:hAnsi="Courier New" w:eastAsia="宋体"/>
      <w:kern w:val="2"/>
      <w:sz w:val="21"/>
      <w:lang w:val="en-US" w:eastAsia="zh-CN" w:bidi="ar-SA"/>
    </w:rPr>
  </w:style>
  <w:style w:type="character" w:customStyle="1" w:styleId="535">
    <w:name w:val="Char Char8"/>
    <w:qFormat/>
    <w:uiPriority w:val="0"/>
    <w:rPr>
      <w:rFonts w:eastAsia="宋体"/>
      <w:b/>
      <w:sz w:val="24"/>
      <w:lang w:val="en-GB" w:eastAsia="zh-CN"/>
    </w:rPr>
  </w:style>
  <w:style w:type="character" w:customStyle="1" w:styleId="536">
    <w:name w:val="font21"/>
    <w:basedOn w:val="63"/>
    <w:qFormat/>
    <w:uiPriority w:val="0"/>
    <w:rPr>
      <w:rFonts w:hint="eastAsia" w:ascii="宋体" w:hAnsi="宋体" w:eastAsia="宋体"/>
      <w:kern w:val="2"/>
      <w:sz w:val="28"/>
      <w:szCs w:val="28"/>
      <w:lang w:val="en-US" w:eastAsia="zh-CN" w:bidi="ar-SA"/>
    </w:rPr>
  </w:style>
  <w:style w:type="character" w:customStyle="1" w:styleId="537">
    <w:name w:val="正文2 Char"/>
    <w:qFormat/>
    <w:uiPriority w:val="0"/>
    <w:rPr>
      <w:rFonts w:eastAsia="宋体"/>
      <w:kern w:val="2"/>
      <w:sz w:val="24"/>
      <w:lang w:val="en-US" w:eastAsia="zh-CN" w:bidi="ar-SA"/>
    </w:rPr>
  </w:style>
  <w:style w:type="character" w:customStyle="1" w:styleId="538">
    <w:name w:val="big1"/>
    <w:qFormat/>
    <w:uiPriority w:val="0"/>
    <w:rPr>
      <w:rFonts w:hint="eastAsia" w:ascii="宋体" w:hAnsi="宋体" w:eastAsia="宋体"/>
      <w:color w:val="333333"/>
      <w:sz w:val="22"/>
      <w:szCs w:val="22"/>
    </w:rPr>
  </w:style>
  <w:style w:type="character" w:customStyle="1" w:styleId="539">
    <w:name w:val="Body Text(ch) Char Char"/>
    <w:qFormat/>
    <w:uiPriority w:val="0"/>
    <w:rPr>
      <w:rFonts w:ascii="宋体"/>
      <w:kern w:val="2"/>
      <w:sz w:val="24"/>
      <w:szCs w:val="21"/>
      <w:lang w:val="zh-CN"/>
    </w:rPr>
  </w:style>
  <w:style w:type="character" w:customStyle="1" w:styleId="540">
    <w:name w:val="blue1"/>
    <w:basedOn w:val="63"/>
    <w:qFormat/>
    <w:uiPriority w:val="0"/>
  </w:style>
  <w:style w:type="character" w:customStyle="1" w:styleId="541">
    <w:name w:val="正文 项目2 Char"/>
    <w:basedOn w:val="485"/>
    <w:qFormat/>
    <w:uiPriority w:val="0"/>
    <w:rPr>
      <w:rFonts w:ascii="仿宋_GB2312" w:hAnsi="仿宋_GB2312" w:eastAsia="仿宋_GB2312"/>
      <w:kern w:val="2"/>
      <w:sz w:val="24"/>
      <w:lang w:bidi="ar-SA"/>
    </w:rPr>
  </w:style>
  <w:style w:type="character" w:customStyle="1" w:styleId="542">
    <w:name w:val="solutionfonts"/>
    <w:qFormat/>
    <w:uiPriority w:val="0"/>
  </w:style>
  <w:style w:type="character" w:customStyle="1" w:styleId="543">
    <w:name w:val="Char Char81"/>
    <w:qFormat/>
    <w:uiPriority w:val="0"/>
    <w:rPr>
      <w:rFonts w:eastAsia="宋体"/>
      <w:b/>
      <w:sz w:val="24"/>
      <w:lang w:val="en-GB" w:eastAsia="zh-CN"/>
    </w:rPr>
  </w:style>
  <w:style w:type="character" w:customStyle="1" w:styleId="544">
    <w:name w:val="Char Char2"/>
    <w:qFormat/>
    <w:uiPriority w:val="0"/>
    <w:rPr>
      <w:rFonts w:eastAsia="宋体"/>
      <w:b/>
      <w:bCs/>
      <w:kern w:val="2"/>
      <w:sz w:val="21"/>
      <w:szCs w:val="24"/>
      <w:lang w:val="en-US" w:eastAsia="zh-CN" w:bidi="ar-SA"/>
    </w:rPr>
  </w:style>
  <w:style w:type="character" w:customStyle="1" w:styleId="545">
    <w:name w:val="HTML 预设格式 Char"/>
    <w:link w:val="55"/>
    <w:qFormat/>
    <w:uiPriority w:val="0"/>
    <w:rPr>
      <w:rFonts w:ascii="黑体" w:hAnsi="Courier New" w:eastAsia="黑体"/>
    </w:rPr>
  </w:style>
  <w:style w:type="character" w:customStyle="1" w:styleId="546">
    <w:name w:val="Heading 7 Char"/>
    <w:qFormat/>
    <w:locked/>
    <w:uiPriority w:val="0"/>
    <w:rPr>
      <w:rFonts w:ascii="宋体" w:hAnsi="宋体" w:eastAsia="宋体"/>
      <w:b/>
      <w:bCs/>
      <w:kern w:val="2"/>
      <w:sz w:val="24"/>
      <w:szCs w:val="24"/>
      <w:lang w:val="en-US" w:eastAsia="zh-CN" w:bidi="ar-SA"/>
    </w:rPr>
  </w:style>
  <w:style w:type="character" w:customStyle="1" w:styleId="547">
    <w:name w:val="正文首行缩进 Char"/>
    <w:link w:val="59"/>
    <w:qFormat/>
    <w:uiPriority w:val="0"/>
    <w:rPr>
      <w:rFonts w:ascii="宋体"/>
      <w:kern w:val="2"/>
      <w:sz w:val="24"/>
      <w:lang w:val="zh-CN"/>
    </w:rPr>
  </w:style>
  <w:style w:type="character" w:customStyle="1" w:styleId="548">
    <w:name w:val="标题 2 Char Char"/>
    <w:qFormat/>
    <w:uiPriority w:val="0"/>
    <w:rPr>
      <w:rFonts w:ascii="楷体_GB2312" w:hAnsi="Arial" w:eastAsia="楷体_GB2312"/>
      <w:b/>
      <w:bCs/>
      <w:kern w:val="2"/>
      <w:sz w:val="24"/>
      <w:szCs w:val="32"/>
      <w:lang w:val="en-US" w:eastAsia="zh-CN" w:bidi="ar-SA"/>
    </w:rPr>
  </w:style>
  <w:style w:type="character" w:customStyle="1" w:styleId="549">
    <w:name w:val="pt141"/>
    <w:qFormat/>
    <w:uiPriority w:val="0"/>
    <w:rPr>
      <w:color w:val="330066"/>
      <w:sz w:val="22"/>
      <w:szCs w:val="22"/>
    </w:rPr>
  </w:style>
  <w:style w:type="character" w:customStyle="1" w:styleId="550">
    <w:name w:val="h Char Char"/>
    <w:qFormat/>
    <w:uiPriority w:val="0"/>
    <w:rPr>
      <w:rFonts w:eastAsia="宋体"/>
      <w:kern w:val="2"/>
      <w:sz w:val="18"/>
      <w:lang w:val="en-US" w:eastAsia="zh-CN" w:bidi="ar-SA"/>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1"/>
    <w:qFormat/>
    <w:uiPriority w:val="0"/>
    <w:rPr>
      <w:rFonts w:ascii="Verdana" w:hAnsi="Verdana"/>
      <w:b/>
      <w:bCs/>
      <w:color w:val="4A82CA"/>
      <w:sz w:val="17"/>
      <w:szCs w:val="17"/>
    </w:rPr>
  </w:style>
  <w:style w:type="character" w:customStyle="1" w:styleId="553">
    <w:name w:val="标题4-dyf Char"/>
    <w:link w:val="349"/>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29"/>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6"/>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3"/>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2"/>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8"/>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1"/>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3"/>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5"/>
    <w:qFormat/>
    <w:uiPriority w:val="0"/>
    <w:rPr>
      <w:rFonts w:ascii="宋体"/>
      <w:kern w:val="2"/>
      <w:sz w:val="24"/>
      <w:szCs w:val="21"/>
      <w:lang w:val="zh-CN"/>
    </w:rPr>
  </w:style>
  <w:style w:type="character" w:customStyle="1" w:styleId="600">
    <w:name w:val="标题 4 Char"/>
    <w:link w:val="5"/>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7"/>
    <w:qFormat/>
    <w:uiPriority w:val="0"/>
    <w:rPr>
      <w:rFonts w:ascii="Arial" w:hAnsi="Arial" w:eastAsia="黑体"/>
      <w:b/>
      <w:bCs/>
      <w:kern w:val="2"/>
      <w:sz w:val="24"/>
      <w:szCs w:val="24"/>
    </w:rPr>
  </w:style>
  <w:style w:type="character" w:customStyle="1" w:styleId="614">
    <w:name w:val="正文缩进 Char2"/>
    <w:link w:val="15"/>
    <w:qFormat/>
    <w:uiPriority w:val="0"/>
    <w:rPr>
      <w:rFonts w:ascii="宋体" w:eastAsia="宋体"/>
      <w:snapToGrid w:val="0"/>
      <w:color w:val="000000"/>
      <w:kern w:val="28"/>
      <w:sz w:val="28"/>
      <w:lang w:val="en-US" w:eastAsia="zh-CN" w:bidi="ar-SA"/>
    </w:rPr>
  </w:style>
  <w:style w:type="character" w:customStyle="1" w:styleId="615">
    <w:name w:val="批注文字 Char1"/>
    <w:link w:val="20"/>
    <w:qFormat/>
    <w:uiPriority w:val="0"/>
    <w:rPr>
      <w:kern w:val="2"/>
      <w:sz w:val="21"/>
      <w:szCs w:val="24"/>
    </w:rPr>
  </w:style>
  <w:style w:type="character" w:customStyle="1" w:styleId="616">
    <w:name w:val="批注框文本 Char"/>
    <w:link w:val="37"/>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256"/>
    <w:link w:val="623"/>
    <w:qFormat/>
    <w:uiPriority w:val="0"/>
    <w:pPr>
      <w:adjustRightInd/>
    </w:pPr>
    <w:rPr>
      <w:rFonts w:ascii="宋体"/>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102"/>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3"/>
    <w:qFormat/>
    <w:uiPriority w:val="0"/>
    <w:rPr>
      <w:rFonts w:hint="default" w:ascii="Times New Roman" w:hAnsi="Times New Roman" w:eastAsia="黑体" w:cs="Times New Roman"/>
      <w:snapToGrid w:val="0"/>
      <w:color w:val="000000"/>
      <w:kern w:val="0"/>
      <w:sz w:val="22"/>
      <w:szCs w:val="22"/>
      <w:u w:val="none"/>
    </w:rPr>
  </w:style>
  <w:style w:type="character" w:customStyle="1" w:styleId="632">
    <w:name w:val="标题 2 Char1"/>
    <w:link w:val="3"/>
    <w:qFormat/>
    <w:uiPriority w:val="9"/>
    <w:rPr>
      <w:rFonts w:ascii="仿宋_GB2312" w:hAnsi="仿宋" w:eastAsia="仿宋_GB2312"/>
      <w:b/>
      <w:bCs/>
      <w:sz w:val="32"/>
      <w:szCs w:val="32"/>
      <w:lang w:val="zh-CN"/>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5">
    <w:name w:val="UserStyle_0"/>
    <w:qFormat/>
    <w:uiPriority w:val="0"/>
    <w:pPr>
      <w:textAlignment w:val="baseline"/>
    </w:pPr>
    <w:rPr>
      <w:rFonts w:ascii="Arial" w:hAnsi="Arial" w:eastAsia="宋体" w:cs="Times New Roman"/>
      <w:color w:val="000000"/>
      <w:sz w:val="24"/>
      <w:szCs w:val="24"/>
      <w:lang w:val="en-US" w:eastAsia="zh-CN" w:bidi="ar-SA"/>
    </w:rPr>
  </w:style>
  <w:style w:type="paragraph" w:customStyle="1" w:styleId="636">
    <w:name w:val="Body text|1"/>
    <w:basedOn w:val="1"/>
    <w:qFormat/>
    <w:uiPriority w:val="0"/>
    <w:pPr>
      <w:spacing w:line="439" w:lineRule="auto"/>
      <w:ind w:firstLine="400"/>
    </w:pPr>
    <w:rPr>
      <w:rFonts w:ascii="宋体" w:hAnsi="宋体" w:cs="宋体"/>
      <w:sz w:val="30"/>
      <w:szCs w:val="30"/>
      <w:lang w:val="zh-TW" w:eastAsia="zh-TW" w:bidi="zh-TW"/>
    </w:rPr>
  </w:style>
  <w:style w:type="paragraph" w:customStyle="1" w:styleId="637">
    <w:name w:val="Body text|3"/>
    <w:basedOn w:val="1"/>
    <w:qFormat/>
    <w:uiPriority w:val="0"/>
    <w:pPr>
      <w:ind w:left="-40"/>
      <w:jc w:val="center"/>
    </w:pPr>
    <w:rPr>
      <w:rFonts w:ascii="宋体" w:hAnsi="宋体" w:cs="宋体"/>
      <w:color w:val="FAA8C3"/>
      <w:sz w:val="56"/>
      <w:szCs w:val="56"/>
    </w:rPr>
  </w:style>
  <w:style w:type="paragraph" w:customStyle="1" w:styleId="638">
    <w:name w:val="Picture caption|1"/>
    <w:basedOn w:val="1"/>
    <w:qFormat/>
    <w:uiPriority w:val="0"/>
    <w:rPr>
      <w:rFonts w:ascii="宋体" w:hAnsi="宋体" w:cs="宋体"/>
      <w:sz w:val="30"/>
      <w:szCs w:val="30"/>
      <w:lang w:val="zh-TW" w:eastAsia="zh-TW" w:bidi="zh-TW"/>
    </w:rPr>
  </w:style>
  <w:style w:type="paragraph" w:customStyle="1" w:styleId="639">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640">
    <w:name w:val="WPSOffice手动目录 1"/>
    <w:qFormat/>
    <w:uiPriority w:val="0"/>
    <w:rPr>
      <w:rFonts w:ascii="Times New Roman" w:hAnsi="Times New Roman" w:eastAsia="宋体" w:cs="Times New Roman"/>
      <w:lang w:val="en-US" w:eastAsia="zh-CN" w:bidi="ar-SA"/>
    </w:rPr>
  </w:style>
  <w:style w:type="table" w:customStyle="1" w:styleId="641">
    <w:name w:val="Table Normal"/>
    <w:semiHidden/>
    <w:unhideWhenUsed/>
    <w:qFormat/>
    <w:uiPriority w:val="0"/>
    <w:tblPr>
      <w:tblCellMar>
        <w:top w:w="0" w:type="dxa"/>
        <w:left w:w="0" w:type="dxa"/>
        <w:bottom w:w="0" w:type="dxa"/>
        <w:right w:w="0" w:type="dxa"/>
      </w:tblCellMar>
    </w:tblPr>
  </w:style>
  <w:style w:type="paragraph" w:customStyle="1" w:styleId="642">
    <w:name w:val="Normal"/>
    <w:qFormat/>
    <w:uiPriority w:val="0"/>
    <w:rPr>
      <w:rFonts w:ascii="Times New Roman" w:hAnsi="Times New Roman" w:eastAsia="Times New Roman" w:cs="Times New Roman"/>
      <w:sz w:val="24"/>
      <w:szCs w:val="24"/>
      <w:lang w:val="en-US" w:eastAsia="zh-CN" w:bidi="ar-SA"/>
    </w:rPr>
  </w:style>
  <w:style w:type="paragraph" w:customStyle="1" w:styleId="643">
    <w:name w:val="Normal_13"/>
    <w:qFormat/>
    <w:uiPriority w:val="0"/>
    <w:rPr>
      <w:rFonts w:ascii="黑体" w:hAnsi="黑体" w:eastAsia="黑体" w:cs="Times New Roman"/>
      <w:b/>
      <w:sz w:val="32"/>
      <w:szCs w:val="24"/>
      <w:lang w:val="en-US" w:eastAsia="zh-CN" w:bidi="ar-SA"/>
    </w:rPr>
  </w:style>
  <w:style w:type="character" w:customStyle="1" w:styleId="644">
    <w:name w:val="font41"/>
    <w:basedOn w:val="63"/>
    <w:qFormat/>
    <w:uiPriority w:val="0"/>
    <w:rPr>
      <w:rFonts w:hint="eastAsia" w:ascii="仿宋" w:hAnsi="仿宋" w:eastAsia="仿宋" w:cs="仿宋"/>
      <w:color w:val="000000"/>
      <w:sz w:val="18"/>
      <w:szCs w:val="18"/>
      <w:u w:val="none"/>
    </w:rPr>
  </w:style>
  <w:style w:type="character" w:customStyle="1" w:styleId="645">
    <w:name w:val="font01"/>
    <w:basedOn w:val="63"/>
    <w:qFormat/>
    <w:uiPriority w:val="0"/>
    <w:rPr>
      <w:rFonts w:hint="eastAsia" w:ascii="仿宋" w:hAnsi="仿宋" w:eastAsia="仿宋" w:cs="仿宋"/>
      <w:color w:val="000000"/>
      <w:sz w:val="24"/>
      <w:szCs w:val="24"/>
      <w:u w:val="none"/>
    </w:rPr>
  </w:style>
  <w:style w:type="paragraph" w:customStyle="1" w:styleId="646">
    <w:name w:val="_Style 1"/>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647">
    <w:name w:val="Body Text First Indent 21"/>
    <w:basedOn w:val="648"/>
    <w:next w:val="1"/>
    <w:qFormat/>
    <w:uiPriority w:val="0"/>
    <w:pPr>
      <w:tabs>
        <w:tab w:val="left" w:pos="840"/>
      </w:tabs>
      <w:ind w:left="840" w:leftChars="0" w:hanging="420"/>
    </w:pPr>
  </w:style>
  <w:style w:type="paragraph" w:customStyle="1" w:styleId="648">
    <w:name w:val="Body Text Indent1"/>
    <w:basedOn w:val="1"/>
    <w:qFormat/>
    <w:uiPriority w:val="0"/>
    <w:pPr>
      <w:spacing w:after="120"/>
      <w:ind w:left="420" w:leftChars="200"/>
    </w:pPr>
  </w:style>
  <w:style w:type="paragraph" w:customStyle="1" w:styleId="649">
    <w:name w:val="@@正文"/>
    <w:qFormat/>
    <w:uiPriority w:val="0"/>
    <w:pPr>
      <w:spacing w:line="360" w:lineRule="auto"/>
      <w:ind w:firstLine="200" w:firstLineChars="200"/>
    </w:pPr>
    <w:rPr>
      <w:rFonts w:ascii="Calibri" w:hAnsi="Calibri" w:eastAsia="仿宋_GB2312"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extobjs>
    <extobj name="ECB019B1-382A-4266-B25C-5B523AA43C14-1">
      <extobjdata type="ECB019B1-382A-4266-B25C-5B523AA43C14" data="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"/>
    </extobj>
  </extobj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7E6F1E-EA8B-49D6-A59A-FD65399D0B1C}">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120</Pages>
  <Words>16618</Words>
  <Characters>17340</Characters>
  <Lines>451</Lines>
  <Paragraphs>126</Paragraphs>
  <TotalTime>17</TotalTime>
  <ScaleCrop>false</ScaleCrop>
  <LinksUpToDate>false</LinksUpToDate>
  <CharactersWithSpaces>17373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2023-04-14T09:42:00Z</dcterms:created>
  <dc:creator>玥</dc:creator>
  <cp:lastModifiedBy>…… ··········……</cp:lastModifiedBy>
  <cp:lastPrinted>2025-03-18T02:13:00Z</cp:lastPrinted>
  <dcterms:modified xsi:type="dcterms:W3CDTF">2025-06-30T08:42:28Z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2D874E7B616E4A60A8415A9368774CF4_13</vt:lpwstr>
  </property>
  <property fmtid="{D5CDD505-2E9C-101B-9397-08002B2CF9AE}" pid="4" name="KSOTemplateDocerSaveRecord">
    <vt:lpwstr>eyJoZGlkIjoiNzNhYjAzZmE5ODlhMzI1YWQ3MDQxMTljNjE0YzFlZTIiLCJ1c2VySWQiOiI0MDU3MDU4ODkifQ==</vt:lpwstr>
  </property>
</Properties>
</file>