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2DFF3">
      <w:pPr>
        <w:keepNext w:val="0"/>
        <w:keepLines w:val="0"/>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宋体" w:hAnsi="宋体" w:eastAsia="宋体" w:cs="宋体"/>
          <w:sz w:val="32"/>
          <w:szCs w:val="32"/>
        </w:rPr>
      </w:pPr>
    </w:p>
    <w:p w14:paraId="72D2EC2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喀什地区维吾尔医医院中药（维吾尔药）饮片采购项目</w:t>
      </w:r>
      <w:r>
        <w:rPr>
          <w:rFonts w:hint="eastAsia" w:ascii="宋体" w:hAnsi="宋体" w:eastAsia="宋体" w:cs="宋体"/>
          <w:sz w:val="32"/>
          <w:szCs w:val="32"/>
          <w:lang w:val="en-US" w:eastAsia="zh-CN"/>
        </w:rPr>
        <w:t>二次</w:t>
      </w:r>
    </w:p>
    <w:p w14:paraId="4F0CF928">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eastAsia="宋体" w:cs="宋体"/>
          <w:sz w:val="32"/>
          <w:szCs w:val="32"/>
        </w:rPr>
      </w:pPr>
    </w:p>
    <w:p w14:paraId="5382E6A5">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eastAsia="宋体" w:cs="宋体"/>
          <w:sz w:val="32"/>
          <w:szCs w:val="32"/>
        </w:rPr>
      </w:pPr>
    </w:p>
    <w:p w14:paraId="2C78C26E">
      <w:pPr>
        <w:keepNext w:val="0"/>
        <w:keepLines w:val="0"/>
        <w:pageBreakBefore w:val="0"/>
        <w:widowControl w:val="0"/>
        <w:kinsoku/>
        <w:wordWrap/>
        <w:overflowPunct/>
        <w:topLinePunct w:val="0"/>
        <w:autoSpaceDE/>
        <w:autoSpaceDN/>
        <w:bidi w:val="0"/>
        <w:adjustRightInd/>
        <w:snapToGrid/>
        <w:spacing w:line="480" w:lineRule="auto"/>
        <w:ind w:firstLine="3200" w:firstLineChars="1000"/>
        <w:textAlignment w:val="auto"/>
        <w:rPr>
          <w:rFonts w:hint="eastAsia" w:ascii="宋体" w:hAnsi="宋体" w:eastAsia="宋体" w:cs="宋体"/>
          <w:sz w:val="32"/>
          <w:szCs w:val="32"/>
        </w:rPr>
      </w:pPr>
      <w:r>
        <w:rPr>
          <w:rFonts w:hint="eastAsia" w:ascii="宋体" w:hAnsi="宋体" w:eastAsia="宋体" w:cs="宋体"/>
          <w:sz w:val="32"/>
          <w:szCs w:val="32"/>
        </w:rPr>
        <w:t>招 标 文 件</w:t>
      </w:r>
    </w:p>
    <w:p w14:paraId="1D34E965">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eastAsia="宋体" w:cs="宋体"/>
          <w:sz w:val="32"/>
          <w:szCs w:val="32"/>
        </w:rPr>
      </w:pPr>
    </w:p>
    <w:p w14:paraId="145A963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32"/>
        </w:rPr>
      </w:pPr>
    </w:p>
    <w:p w14:paraId="1E1D98D0">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（第一包、第二包、第三包、第五包）</w:t>
      </w:r>
    </w:p>
    <w:p w14:paraId="1BB7686C">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eastAsia="宋体" w:cs="宋体"/>
          <w:sz w:val="32"/>
          <w:szCs w:val="32"/>
        </w:rPr>
      </w:pPr>
    </w:p>
    <w:p w14:paraId="5895D48A">
      <w:pPr>
        <w:keepNext w:val="0"/>
        <w:keepLines w:val="0"/>
        <w:pageBreakBefore w:val="0"/>
        <w:widowControl w:val="0"/>
        <w:kinsoku/>
        <w:wordWrap/>
        <w:overflowPunct/>
        <w:topLinePunct w:val="0"/>
        <w:autoSpaceDE/>
        <w:autoSpaceDN/>
        <w:bidi w:val="0"/>
        <w:adjustRightInd/>
        <w:snapToGrid/>
        <w:spacing w:line="480" w:lineRule="auto"/>
        <w:ind w:firstLine="1600" w:firstLineChars="5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rPr>
        <w:t>项目编号：XJZHKSGK-2025-0</w:t>
      </w:r>
      <w:r>
        <w:rPr>
          <w:rFonts w:hint="eastAsia" w:ascii="宋体" w:hAnsi="宋体" w:eastAsia="宋体" w:cs="宋体"/>
          <w:sz w:val="32"/>
          <w:szCs w:val="32"/>
          <w:lang w:val="en-US" w:eastAsia="zh-CN"/>
        </w:rPr>
        <w:t>3-01</w:t>
      </w:r>
    </w:p>
    <w:p w14:paraId="38A7F8EC">
      <w:pPr>
        <w:spacing w:line="254" w:lineRule="auto"/>
        <w:rPr>
          <w:rFonts w:ascii="Arial"/>
          <w:sz w:val="21"/>
        </w:rPr>
      </w:pPr>
    </w:p>
    <w:p w14:paraId="362A1764">
      <w:pPr>
        <w:spacing w:line="255" w:lineRule="auto"/>
        <w:rPr>
          <w:rFonts w:ascii="Arial"/>
          <w:sz w:val="21"/>
        </w:rPr>
      </w:pPr>
    </w:p>
    <w:p w14:paraId="599CC24F">
      <w:pPr>
        <w:spacing w:line="255" w:lineRule="auto"/>
        <w:rPr>
          <w:rFonts w:ascii="Arial"/>
          <w:sz w:val="21"/>
        </w:rPr>
      </w:pPr>
    </w:p>
    <w:p w14:paraId="0EDB56C7">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eastAsia="宋体" w:cs="宋体"/>
          <w:sz w:val="32"/>
          <w:szCs w:val="32"/>
        </w:rPr>
      </w:pPr>
    </w:p>
    <w:p w14:paraId="2B37E27A">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sz w:val="32"/>
          <w:szCs w:val="32"/>
          <w:u w:val="single"/>
          <w:lang w:val="en-US" w:eastAsia="zh-CN"/>
        </w:rPr>
      </w:pPr>
      <w:r>
        <w:rPr>
          <w:rFonts w:hint="eastAsia" w:ascii="宋体" w:hAnsi="宋体" w:eastAsia="宋体" w:cs="宋体"/>
          <w:sz w:val="32"/>
          <w:szCs w:val="32"/>
        </w:rPr>
        <w:t>采购人：</w:t>
      </w:r>
      <w:r>
        <w:rPr>
          <w:rFonts w:hint="eastAsia" w:ascii="宋体" w:hAnsi="宋体" w:cs="宋体"/>
          <w:sz w:val="32"/>
          <w:szCs w:val="32"/>
          <w:u w:val="single"/>
          <w:lang w:val="en-US" w:eastAsia="zh-CN"/>
        </w:rPr>
        <w:t xml:space="preserve">  喀什地区维吾尔医医院               </w:t>
      </w:r>
    </w:p>
    <w:p w14:paraId="705BFF1B">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联系人：</w:t>
      </w:r>
      <w:r>
        <w:rPr>
          <w:rFonts w:hint="eastAsia" w:ascii="宋体" w:hAnsi="宋体" w:cs="宋体"/>
          <w:sz w:val="32"/>
          <w:szCs w:val="32"/>
          <w:u w:val="single"/>
          <w:lang w:val="en-US" w:eastAsia="zh-CN"/>
        </w:rPr>
        <w:t xml:space="preserve">  阿力木江                           </w:t>
      </w:r>
    </w:p>
    <w:p w14:paraId="31F9BE85">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sz w:val="40"/>
          <w:szCs w:val="40"/>
          <w:lang w:val="en-US" w:eastAsia="zh-CN"/>
        </w:rPr>
      </w:pPr>
      <w:r>
        <w:rPr>
          <w:rFonts w:hint="eastAsia" w:ascii="宋体" w:hAnsi="宋体" w:eastAsia="宋体" w:cs="宋体"/>
          <w:sz w:val="32"/>
          <w:szCs w:val="32"/>
          <w:lang w:val="en-US" w:eastAsia="zh-CN"/>
        </w:rPr>
        <w:t>联系方式：</w:t>
      </w:r>
      <w:r>
        <w:rPr>
          <w:rFonts w:hint="eastAsia" w:ascii="宋体" w:hAnsi="宋体" w:eastAsia="宋体" w:cs="宋体"/>
          <w:sz w:val="32"/>
          <w:szCs w:val="32"/>
          <w:u w:val="single"/>
          <w:lang w:val="en-US" w:eastAsia="zh-CN"/>
        </w:rPr>
        <w:t xml:space="preserve"> 18799540174</w:t>
      </w:r>
      <w:r>
        <w:rPr>
          <w:rFonts w:hint="eastAsia" w:ascii="宋体" w:hAnsi="宋体" w:cs="宋体"/>
          <w:sz w:val="32"/>
          <w:szCs w:val="32"/>
          <w:u w:val="single"/>
          <w:lang w:val="en-US" w:eastAsia="zh-CN"/>
        </w:rPr>
        <w:t xml:space="preserve">                    </w:t>
      </w:r>
    </w:p>
    <w:p w14:paraId="3148D6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32"/>
          <w:szCs w:val="40"/>
        </w:rPr>
      </w:pPr>
    </w:p>
    <w:p w14:paraId="46D5A7D3">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eastAsia="宋体" w:cs="宋体"/>
          <w:sz w:val="32"/>
          <w:szCs w:val="40"/>
          <w:lang w:val="en-US" w:eastAsia="zh-CN"/>
        </w:rPr>
      </w:pPr>
      <w:r>
        <w:rPr>
          <w:rFonts w:hint="eastAsia" w:ascii="宋体" w:hAnsi="宋体" w:eastAsia="宋体" w:cs="宋体"/>
          <w:sz w:val="32"/>
          <w:szCs w:val="40"/>
        </w:rPr>
        <w:t>采购</w:t>
      </w:r>
      <w:r>
        <w:rPr>
          <w:rFonts w:hint="eastAsia" w:ascii="宋体" w:hAnsi="宋体" w:eastAsia="宋体" w:cs="宋体"/>
          <w:sz w:val="32"/>
          <w:szCs w:val="40"/>
          <w:lang w:val="en-US" w:eastAsia="zh-CN"/>
        </w:rPr>
        <w:t>代理</w:t>
      </w:r>
      <w:r>
        <w:rPr>
          <w:rFonts w:hint="eastAsia" w:ascii="宋体" w:hAnsi="宋体" w:eastAsia="宋体" w:cs="宋体"/>
          <w:sz w:val="32"/>
          <w:szCs w:val="40"/>
        </w:rPr>
        <w:t>机构：</w:t>
      </w:r>
      <w:r>
        <w:rPr>
          <w:rFonts w:hint="eastAsia" w:ascii="宋体" w:hAnsi="宋体" w:eastAsia="宋体" w:cs="宋体"/>
          <w:sz w:val="32"/>
          <w:szCs w:val="40"/>
          <w:u w:val="single"/>
          <w:lang w:val="en-US" w:eastAsia="zh-CN"/>
        </w:rPr>
        <w:t>新疆正昊建设工程项目管理有限公司</w:t>
      </w:r>
    </w:p>
    <w:p w14:paraId="009F4C6F">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联系人：</w:t>
      </w:r>
      <w:r>
        <w:rPr>
          <w:rFonts w:hint="eastAsia" w:ascii="宋体" w:hAnsi="宋体" w:eastAsia="宋体" w:cs="宋体"/>
          <w:sz w:val="32"/>
          <w:szCs w:val="40"/>
          <w:u w:val="single"/>
          <w:lang w:val="en-US" w:eastAsia="zh-CN"/>
        </w:rPr>
        <w:t>张俊</w:t>
      </w:r>
    </w:p>
    <w:p w14:paraId="6101B535">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联系方式：</w:t>
      </w:r>
      <w:r>
        <w:rPr>
          <w:rFonts w:hint="eastAsia" w:ascii="宋体" w:hAnsi="宋体" w:eastAsia="宋体" w:cs="宋体"/>
          <w:sz w:val="32"/>
          <w:szCs w:val="40"/>
          <w:u w:val="single"/>
          <w:lang w:val="en-US" w:eastAsia="zh-CN"/>
        </w:rPr>
        <w:t>15569403261</w:t>
      </w:r>
    </w:p>
    <w:p w14:paraId="54E50C55">
      <w:pPr>
        <w:spacing w:line="306" w:lineRule="auto"/>
        <w:rPr>
          <w:rFonts w:ascii="Arial"/>
          <w:sz w:val="21"/>
        </w:rPr>
      </w:pPr>
    </w:p>
    <w:p w14:paraId="3ACD23BE">
      <w:pPr>
        <w:pStyle w:val="9"/>
        <w:spacing w:before="121" w:line="184" w:lineRule="auto"/>
        <w:rPr>
          <w:spacing w:val="-2"/>
        </w:rPr>
      </w:pPr>
    </w:p>
    <w:p w14:paraId="728C387B">
      <w:pPr>
        <w:jc w:val="center"/>
        <w:rPr>
          <w:rFonts w:hint="eastAsia" w:ascii="宋体" w:hAnsi="宋体" w:eastAsia="宋体" w:cs="宋体"/>
          <w:sz w:val="28"/>
          <w:szCs w:val="36"/>
        </w:rPr>
      </w:pPr>
      <w:r>
        <w:rPr>
          <w:rFonts w:hint="eastAsia" w:ascii="宋体" w:hAnsi="宋体" w:eastAsia="宋体" w:cs="宋体"/>
          <w:sz w:val="28"/>
          <w:szCs w:val="36"/>
        </w:rPr>
        <w:t>发出日期：202</w:t>
      </w:r>
      <w:r>
        <w:rPr>
          <w:rFonts w:hint="eastAsia" w:ascii="宋体" w:hAnsi="宋体" w:cs="宋体"/>
          <w:sz w:val="28"/>
          <w:szCs w:val="36"/>
          <w:lang w:val="en-US" w:eastAsia="zh-CN"/>
        </w:rPr>
        <w:t>5</w:t>
      </w:r>
      <w:r>
        <w:rPr>
          <w:rFonts w:hint="eastAsia" w:ascii="宋体" w:hAnsi="宋体" w:eastAsia="宋体" w:cs="宋体"/>
          <w:sz w:val="28"/>
          <w:szCs w:val="36"/>
        </w:rPr>
        <w:t>年</w:t>
      </w:r>
      <w:r>
        <w:rPr>
          <w:rFonts w:hint="eastAsia" w:ascii="宋体" w:hAnsi="宋体" w:cs="宋体"/>
          <w:sz w:val="28"/>
          <w:szCs w:val="36"/>
          <w:lang w:val="en-US" w:eastAsia="zh-CN"/>
        </w:rPr>
        <w:t>7</w:t>
      </w:r>
      <w:r>
        <w:rPr>
          <w:rFonts w:hint="eastAsia" w:ascii="宋体" w:hAnsi="宋体" w:eastAsia="宋体" w:cs="宋体"/>
          <w:sz w:val="28"/>
          <w:szCs w:val="36"/>
        </w:rPr>
        <w:t>月</w:t>
      </w:r>
    </w:p>
    <w:p w14:paraId="15B982A4">
      <w:pPr>
        <w:pStyle w:val="6"/>
        <w:rPr>
          <w:rFonts w:hint="eastAsia" w:ascii="宋体" w:hAnsi="宋体" w:eastAsia="宋体" w:cs="宋体"/>
          <w:sz w:val="28"/>
          <w:szCs w:val="36"/>
        </w:rPr>
      </w:pPr>
    </w:p>
    <w:sdt>
      <w:sdtPr>
        <w:rPr>
          <w:rFonts w:ascii="宋体" w:hAnsi="宋体" w:eastAsia="宋体" w:cs="Arial"/>
          <w:snapToGrid w:val="0"/>
          <w:color w:val="000000"/>
          <w:kern w:val="0"/>
          <w:sz w:val="21"/>
          <w:szCs w:val="21"/>
          <w:lang w:val="en-US" w:eastAsia="en-US" w:bidi="ar-SA"/>
        </w:rPr>
        <w:id w:val="147460755"/>
        <w15:color w:val="DBDBDB"/>
        <w:docPartObj>
          <w:docPartGallery w:val="Table of Contents"/>
          <w:docPartUnique/>
        </w:docPartObj>
      </w:sdtPr>
      <w:sdtEndPr>
        <w:rPr>
          <w:rFonts w:hint="eastAsia" w:ascii="宋体" w:hAnsi="宋体" w:eastAsia="宋体" w:cs="宋体"/>
          <w:snapToGrid w:val="0"/>
          <w:color w:val="000000"/>
          <w:kern w:val="0"/>
          <w:sz w:val="21"/>
          <w:szCs w:val="36"/>
          <w:lang w:val="en-US" w:eastAsia="en-US" w:bidi="ar-SA"/>
        </w:rPr>
      </w:sdtEndPr>
      <w:sdtContent>
        <w:p w14:paraId="2F6A9505">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14:paraId="5753C919">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TOC \o "1-3" \h \u </w:instrText>
          </w:r>
          <w:r>
            <w:rPr>
              <w:rFonts w:hint="eastAsia" w:ascii="宋体" w:hAnsi="宋体" w:eastAsia="宋体" w:cs="宋体"/>
              <w:sz w:val="28"/>
              <w:szCs w:val="36"/>
            </w:rPr>
            <w:fldChar w:fldCharType="separate"/>
          </w:r>
          <w:r>
            <w:rPr>
              <w:rFonts w:hint="eastAsia" w:ascii="宋体" w:hAnsi="宋体" w:eastAsia="宋体" w:cs="宋体"/>
              <w:szCs w:val="36"/>
            </w:rPr>
            <w:fldChar w:fldCharType="begin"/>
          </w:r>
          <w:r>
            <w:rPr>
              <w:rFonts w:hint="eastAsia" w:ascii="宋体" w:hAnsi="宋体" w:eastAsia="宋体" w:cs="宋体"/>
              <w:szCs w:val="36"/>
            </w:rPr>
            <w:instrText xml:space="preserve"> HYPERLINK \l _Toc30916 </w:instrText>
          </w:r>
          <w:r>
            <w:rPr>
              <w:rFonts w:hint="eastAsia" w:ascii="宋体" w:hAnsi="宋体" w:eastAsia="宋体" w:cs="宋体"/>
              <w:szCs w:val="36"/>
            </w:rPr>
            <w:fldChar w:fldCharType="separate"/>
          </w:r>
          <w:r>
            <w:rPr>
              <w:rFonts w:hint="eastAsia"/>
              <w:szCs w:val="28"/>
              <w:lang w:val="en-US" w:eastAsia="zh-CN"/>
            </w:rPr>
            <w:t>第一册</w:t>
          </w:r>
          <w:r>
            <w:tab/>
          </w:r>
          <w:r>
            <w:fldChar w:fldCharType="begin"/>
          </w:r>
          <w:r>
            <w:instrText xml:space="preserve"> PAGEREF _Toc30916 \h </w:instrText>
          </w:r>
          <w:r>
            <w:fldChar w:fldCharType="separate"/>
          </w:r>
          <w:r>
            <w:t>4</w:t>
          </w:r>
          <w:r>
            <w:fldChar w:fldCharType="end"/>
          </w:r>
          <w:r>
            <w:rPr>
              <w:rFonts w:hint="eastAsia" w:ascii="宋体" w:hAnsi="宋体" w:eastAsia="宋体" w:cs="宋体"/>
              <w:szCs w:val="36"/>
            </w:rPr>
            <w:fldChar w:fldCharType="end"/>
          </w:r>
        </w:p>
        <w:p w14:paraId="0A7A7AD9">
          <w:pPr>
            <w:pStyle w:val="2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_Toc6261 </w:instrText>
          </w:r>
          <w:r>
            <w:rPr>
              <w:rFonts w:hint="eastAsia" w:ascii="宋体" w:hAnsi="宋体" w:eastAsia="宋体" w:cs="宋体"/>
              <w:szCs w:val="36"/>
            </w:rPr>
            <w:fldChar w:fldCharType="separate"/>
          </w:r>
          <w:r>
            <w:rPr>
              <w:rFonts w:hint="eastAsia"/>
              <w:szCs w:val="21"/>
              <w:lang w:val="en-US" w:eastAsia="zh-CN"/>
            </w:rPr>
            <w:t xml:space="preserve">第一章 </w:t>
          </w:r>
          <w:r>
            <w:rPr>
              <w:rFonts w:hint="eastAsia"/>
              <w:szCs w:val="21"/>
            </w:rPr>
            <w:t>投标人须知</w:t>
          </w:r>
          <w:r>
            <w:tab/>
          </w:r>
          <w:r>
            <w:fldChar w:fldCharType="begin"/>
          </w:r>
          <w:r>
            <w:instrText xml:space="preserve"> PAGEREF _Toc6261 \h </w:instrText>
          </w:r>
          <w:r>
            <w:fldChar w:fldCharType="separate"/>
          </w:r>
          <w:r>
            <w:t>5</w:t>
          </w:r>
          <w:r>
            <w:fldChar w:fldCharType="end"/>
          </w:r>
          <w:r>
            <w:rPr>
              <w:rFonts w:hint="eastAsia" w:ascii="宋体" w:hAnsi="宋体" w:eastAsia="宋体" w:cs="宋体"/>
              <w:szCs w:val="36"/>
            </w:rPr>
            <w:fldChar w:fldCharType="end"/>
          </w:r>
        </w:p>
        <w:p w14:paraId="359163D6">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_Toc1699 </w:instrText>
          </w:r>
          <w:r>
            <w:rPr>
              <w:rFonts w:hint="eastAsia" w:ascii="宋体" w:hAnsi="宋体" w:eastAsia="宋体" w:cs="宋体"/>
              <w:szCs w:val="36"/>
            </w:rPr>
            <w:fldChar w:fldCharType="separate"/>
          </w:r>
          <w:r>
            <w:rPr>
              <w:rFonts w:hint="eastAsia" w:ascii="宋体" w:hAnsi="宋体" w:eastAsia="宋体" w:cs="宋体"/>
              <w:szCs w:val="32"/>
            </w:rPr>
            <w:t>一</w:t>
          </w:r>
          <w:r>
            <w:rPr>
              <w:rFonts w:hint="eastAsia" w:ascii="宋体" w:hAnsi="宋体" w:eastAsia="宋体" w:cs="宋体"/>
              <w:szCs w:val="32"/>
              <w:lang w:eastAsia="zh-CN"/>
            </w:rPr>
            <w:t>、</w:t>
          </w:r>
          <w:r>
            <w:rPr>
              <w:rFonts w:hint="eastAsia" w:ascii="宋体" w:hAnsi="宋体" w:eastAsia="宋体" w:cs="宋体"/>
              <w:szCs w:val="32"/>
            </w:rPr>
            <w:t>总</w:t>
          </w:r>
          <w:r>
            <w:rPr>
              <w:rFonts w:hint="eastAsia" w:ascii="宋体" w:hAnsi="宋体" w:eastAsia="宋体" w:cs="宋体"/>
              <w:szCs w:val="32"/>
              <w:lang w:val="en-US" w:eastAsia="zh-CN"/>
            </w:rPr>
            <w:t xml:space="preserve"> </w:t>
          </w:r>
          <w:r>
            <w:rPr>
              <w:rFonts w:hint="eastAsia" w:ascii="宋体" w:hAnsi="宋体" w:eastAsia="宋体" w:cs="宋体"/>
              <w:szCs w:val="32"/>
            </w:rPr>
            <w:t>则</w:t>
          </w:r>
          <w:r>
            <w:tab/>
          </w:r>
          <w:r>
            <w:fldChar w:fldCharType="begin"/>
          </w:r>
          <w:r>
            <w:instrText xml:space="preserve"> PAGEREF _Toc1699 \h </w:instrText>
          </w:r>
          <w:r>
            <w:fldChar w:fldCharType="separate"/>
          </w:r>
          <w:r>
            <w:t>5</w:t>
          </w:r>
          <w:r>
            <w:fldChar w:fldCharType="end"/>
          </w:r>
          <w:r>
            <w:rPr>
              <w:rFonts w:hint="eastAsia" w:ascii="宋体" w:hAnsi="宋体" w:eastAsia="宋体" w:cs="宋体"/>
              <w:szCs w:val="36"/>
            </w:rPr>
            <w:fldChar w:fldCharType="end"/>
          </w:r>
        </w:p>
        <w:p w14:paraId="36C1F235">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_Toc22921 </w:instrText>
          </w:r>
          <w:r>
            <w:rPr>
              <w:rFonts w:hint="eastAsia" w:ascii="宋体" w:hAnsi="宋体" w:eastAsia="宋体" w:cs="宋体"/>
              <w:szCs w:val="36"/>
            </w:rPr>
            <w:fldChar w:fldCharType="separate"/>
          </w:r>
          <w:r>
            <w:rPr>
              <w:rFonts w:hint="eastAsia" w:ascii="宋体" w:hAnsi="宋体" w:eastAsia="宋体" w:cs="宋体"/>
              <w:szCs w:val="32"/>
            </w:rPr>
            <w:t>二</w:t>
          </w:r>
          <w:r>
            <w:rPr>
              <w:rFonts w:hint="eastAsia" w:ascii="宋体" w:hAnsi="宋体" w:eastAsia="宋体" w:cs="宋体"/>
              <w:szCs w:val="32"/>
              <w:lang w:eastAsia="zh-CN"/>
            </w:rPr>
            <w:t>、</w:t>
          </w:r>
          <w:r>
            <w:rPr>
              <w:rFonts w:hint="eastAsia" w:ascii="宋体" w:hAnsi="宋体" w:eastAsia="宋体" w:cs="宋体"/>
              <w:szCs w:val="32"/>
            </w:rPr>
            <w:t>招标文件</w:t>
          </w:r>
          <w:r>
            <w:tab/>
          </w:r>
          <w:r>
            <w:fldChar w:fldCharType="begin"/>
          </w:r>
          <w:r>
            <w:instrText xml:space="preserve"> PAGEREF _Toc22921 \h </w:instrText>
          </w:r>
          <w:r>
            <w:fldChar w:fldCharType="separate"/>
          </w:r>
          <w:r>
            <w:t>6</w:t>
          </w:r>
          <w:r>
            <w:fldChar w:fldCharType="end"/>
          </w:r>
          <w:r>
            <w:rPr>
              <w:rFonts w:hint="eastAsia" w:ascii="宋体" w:hAnsi="宋体" w:eastAsia="宋体" w:cs="宋体"/>
              <w:szCs w:val="36"/>
            </w:rPr>
            <w:fldChar w:fldCharType="end"/>
          </w:r>
        </w:p>
        <w:p w14:paraId="5F1778DC">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_Toc14580 </w:instrText>
          </w:r>
          <w:r>
            <w:rPr>
              <w:rFonts w:hint="eastAsia" w:ascii="宋体" w:hAnsi="宋体" w:eastAsia="宋体" w:cs="宋体"/>
              <w:szCs w:val="36"/>
            </w:rPr>
            <w:fldChar w:fldCharType="separate"/>
          </w:r>
          <w:r>
            <w:rPr>
              <w:rFonts w:hint="eastAsia" w:ascii="宋体" w:hAnsi="宋体" w:eastAsia="宋体" w:cs="宋体"/>
              <w:szCs w:val="32"/>
            </w:rPr>
            <w:t>三</w:t>
          </w:r>
          <w:r>
            <w:rPr>
              <w:rFonts w:hint="eastAsia" w:ascii="宋体" w:hAnsi="宋体" w:eastAsia="宋体" w:cs="宋体"/>
              <w:szCs w:val="32"/>
              <w:lang w:eastAsia="zh-CN"/>
            </w:rPr>
            <w:t>、</w:t>
          </w:r>
          <w:r>
            <w:rPr>
              <w:rFonts w:hint="eastAsia" w:ascii="宋体" w:hAnsi="宋体" w:eastAsia="宋体" w:cs="宋体"/>
              <w:szCs w:val="32"/>
            </w:rPr>
            <w:t>投标文件的编制</w:t>
          </w:r>
          <w:r>
            <w:tab/>
          </w:r>
          <w:r>
            <w:fldChar w:fldCharType="begin"/>
          </w:r>
          <w:r>
            <w:instrText xml:space="preserve"> PAGEREF _Toc14580 \h </w:instrText>
          </w:r>
          <w:r>
            <w:fldChar w:fldCharType="separate"/>
          </w:r>
          <w:r>
            <w:t>7</w:t>
          </w:r>
          <w:r>
            <w:fldChar w:fldCharType="end"/>
          </w:r>
          <w:r>
            <w:rPr>
              <w:rFonts w:hint="eastAsia" w:ascii="宋体" w:hAnsi="宋体" w:eastAsia="宋体" w:cs="宋体"/>
              <w:szCs w:val="36"/>
            </w:rPr>
            <w:fldChar w:fldCharType="end"/>
          </w:r>
        </w:p>
        <w:p w14:paraId="39A84673">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_Toc16655 </w:instrText>
          </w:r>
          <w:r>
            <w:rPr>
              <w:rFonts w:hint="eastAsia" w:ascii="宋体" w:hAnsi="宋体" w:eastAsia="宋体" w:cs="宋体"/>
              <w:szCs w:val="36"/>
            </w:rPr>
            <w:fldChar w:fldCharType="separate"/>
          </w:r>
          <w:r>
            <w:rPr>
              <w:rFonts w:hint="eastAsia" w:ascii="宋体" w:hAnsi="宋体" w:eastAsia="宋体" w:cs="宋体"/>
              <w:szCs w:val="32"/>
            </w:rPr>
            <w:t>四</w:t>
          </w:r>
          <w:r>
            <w:rPr>
              <w:rFonts w:hint="eastAsia" w:ascii="宋体" w:hAnsi="宋体" w:eastAsia="宋体" w:cs="宋体"/>
              <w:szCs w:val="32"/>
              <w:lang w:eastAsia="zh-CN"/>
            </w:rPr>
            <w:t>、</w:t>
          </w:r>
          <w:r>
            <w:rPr>
              <w:rFonts w:hint="eastAsia" w:ascii="宋体" w:hAnsi="宋体" w:eastAsia="宋体" w:cs="宋体"/>
              <w:szCs w:val="32"/>
            </w:rPr>
            <w:t>投标文件的递交</w:t>
          </w:r>
          <w:r>
            <w:tab/>
          </w:r>
          <w:r>
            <w:fldChar w:fldCharType="begin"/>
          </w:r>
          <w:r>
            <w:instrText xml:space="preserve"> PAGEREF _Toc16655 \h </w:instrText>
          </w:r>
          <w:r>
            <w:fldChar w:fldCharType="separate"/>
          </w:r>
          <w:r>
            <w:t>10</w:t>
          </w:r>
          <w:r>
            <w:fldChar w:fldCharType="end"/>
          </w:r>
          <w:r>
            <w:rPr>
              <w:rFonts w:hint="eastAsia" w:ascii="宋体" w:hAnsi="宋体" w:eastAsia="宋体" w:cs="宋体"/>
              <w:szCs w:val="36"/>
            </w:rPr>
            <w:fldChar w:fldCharType="end"/>
          </w:r>
        </w:p>
        <w:p w14:paraId="5BF33446">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_Toc27033 </w:instrText>
          </w:r>
          <w:r>
            <w:rPr>
              <w:rFonts w:hint="eastAsia" w:ascii="宋体" w:hAnsi="宋体" w:eastAsia="宋体" w:cs="宋体"/>
              <w:szCs w:val="36"/>
            </w:rPr>
            <w:fldChar w:fldCharType="separate"/>
          </w:r>
          <w:r>
            <w:rPr>
              <w:rFonts w:hint="eastAsia" w:ascii="宋体" w:hAnsi="宋体" w:eastAsia="宋体" w:cs="宋体"/>
              <w:szCs w:val="32"/>
            </w:rPr>
            <w:t>五</w:t>
          </w:r>
          <w:r>
            <w:rPr>
              <w:rFonts w:hint="eastAsia" w:ascii="宋体" w:hAnsi="宋体" w:eastAsia="宋体" w:cs="宋体"/>
              <w:szCs w:val="32"/>
              <w:lang w:eastAsia="zh-CN"/>
            </w:rPr>
            <w:t>、</w:t>
          </w:r>
          <w:r>
            <w:rPr>
              <w:rFonts w:hint="eastAsia" w:ascii="宋体" w:hAnsi="宋体" w:eastAsia="宋体" w:cs="宋体"/>
              <w:szCs w:val="32"/>
            </w:rPr>
            <w:t>开标及评标</w:t>
          </w:r>
          <w:r>
            <w:tab/>
          </w:r>
          <w:r>
            <w:fldChar w:fldCharType="begin"/>
          </w:r>
          <w:r>
            <w:instrText xml:space="preserve"> PAGEREF _Toc27033 \h </w:instrText>
          </w:r>
          <w:r>
            <w:fldChar w:fldCharType="separate"/>
          </w:r>
          <w:r>
            <w:t>11</w:t>
          </w:r>
          <w:r>
            <w:fldChar w:fldCharType="end"/>
          </w:r>
          <w:r>
            <w:rPr>
              <w:rFonts w:hint="eastAsia" w:ascii="宋体" w:hAnsi="宋体" w:eastAsia="宋体" w:cs="宋体"/>
              <w:szCs w:val="36"/>
            </w:rPr>
            <w:fldChar w:fldCharType="end"/>
          </w:r>
        </w:p>
        <w:p w14:paraId="2CC20499">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_Toc20889 </w:instrText>
          </w:r>
          <w:r>
            <w:rPr>
              <w:rFonts w:hint="eastAsia" w:ascii="宋体" w:hAnsi="宋体" w:eastAsia="宋体" w:cs="宋体"/>
              <w:szCs w:val="36"/>
            </w:rPr>
            <w:fldChar w:fldCharType="separate"/>
          </w:r>
          <w:r>
            <w:rPr>
              <w:rFonts w:hint="eastAsia" w:ascii="宋体" w:hAnsi="宋体" w:eastAsia="宋体" w:cs="宋体"/>
              <w:szCs w:val="32"/>
            </w:rPr>
            <w:t>六</w:t>
          </w:r>
          <w:r>
            <w:rPr>
              <w:rFonts w:hint="eastAsia" w:ascii="宋体" w:hAnsi="宋体" w:eastAsia="宋体" w:cs="宋体"/>
              <w:szCs w:val="32"/>
              <w:lang w:eastAsia="zh-CN"/>
            </w:rPr>
            <w:t>、</w:t>
          </w:r>
          <w:r>
            <w:rPr>
              <w:rFonts w:hint="eastAsia" w:ascii="宋体" w:hAnsi="宋体" w:eastAsia="宋体" w:cs="宋体"/>
              <w:szCs w:val="32"/>
            </w:rPr>
            <w:t>确定中标</w:t>
          </w:r>
          <w:r>
            <w:tab/>
          </w:r>
          <w:r>
            <w:fldChar w:fldCharType="begin"/>
          </w:r>
          <w:r>
            <w:instrText xml:space="preserve"> PAGEREF _Toc20889 \h </w:instrText>
          </w:r>
          <w:r>
            <w:fldChar w:fldCharType="separate"/>
          </w:r>
          <w:r>
            <w:t>17</w:t>
          </w:r>
          <w:r>
            <w:fldChar w:fldCharType="end"/>
          </w:r>
          <w:r>
            <w:rPr>
              <w:rFonts w:hint="eastAsia" w:ascii="宋体" w:hAnsi="宋体" w:eastAsia="宋体" w:cs="宋体"/>
              <w:szCs w:val="36"/>
            </w:rPr>
            <w:fldChar w:fldCharType="end"/>
          </w:r>
        </w:p>
        <w:p w14:paraId="02B67E45">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_Toc18480 </w:instrText>
          </w:r>
          <w:r>
            <w:rPr>
              <w:rFonts w:hint="eastAsia" w:ascii="宋体" w:hAnsi="宋体" w:eastAsia="宋体" w:cs="宋体"/>
              <w:szCs w:val="36"/>
            </w:rPr>
            <w:fldChar w:fldCharType="separate"/>
          </w:r>
          <w:r>
            <w:rPr>
              <w:rFonts w:hint="eastAsia"/>
              <w:szCs w:val="40"/>
            </w:rPr>
            <w:t>质疑函范本</w:t>
          </w:r>
          <w:r>
            <w:tab/>
          </w:r>
          <w:r>
            <w:fldChar w:fldCharType="begin"/>
          </w:r>
          <w:r>
            <w:instrText xml:space="preserve"> PAGEREF _Toc18480 \h </w:instrText>
          </w:r>
          <w:r>
            <w:fldChar w:fldCharType="separate"/>
          </w:r>
          <w:r>
            <w:t>23</w:t>
          </w:r>
          <w:r>
            <w:fldChar w:fldCharType="end"/>
          </w:r>
          <w:r>
            <w:rPr>
              <w:rFonts w:hint="eastAsia" w:ascii="宋体" w:hAnsi="宋体" w:eastAsia="宋体" w:cs="宋体"/>
              <w:szCs w:val="36"/>
            </w:rPr>
            <w:fldChar w:fldCharType="end"/>
          </w:r>
        </w:p>
        <w:p w14:paraId="0A47A1FA">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_Toc7769 </w:instrText>
          </w:r>
          <w:r>
            <w:rPr>
              <w:rFonts w:hint="eastAsia" w:ascii="宋体" w:hAnsi="宋体" w:eastAsia="宋体" w:cs="宋体"/>
              <w:szCs w:val="36"/>
            </w:rPr>
            <w:fldChar w:fldCharType="separate"/>
          </w:r>
          <w:r>
            <w:rPr>
              <w:rFonts w:ascii="宋体" w:hAnsi="宋体" w:eastAsia="宋体" w:cs="宋体"/>
              <w:szCs w:val="32"/>
            </w:rPr>
            <w:t>附件1：履约保证金保函（格式）</w:t>
          </w:r>
          <w:r>
            <w:tab/>
          </w:r>
          <w:r>
            <w:fldChar w:fldCharType="begin"/>
          </w:r>
          <w:r>
            <w:instrText xml:space="preserve"> PAGEREF _Toc7769 \h </w:instrText>
          </w:r>
          <w:r>
            <w:fldChar w:fldCharType="separate"/>
          </w:r>
          <w:r>
            <w:t>24</w:t>
          </w:r>
          <w:r>
            <w:fldChar w:fldCharType="end"/>
          </w:r>
          <w:r>
            <w:rPr>
              <w:rFonts w:hint="eastAsia" w:ascii="宋体" w:hAnsi="宋体" w:eastAsia="宋体" w:cs="宋体"/>
              <w:szCs w:val="36"/>
            </w:rPr>
            <w:fldChar w:fldCharType="end"/>
          </w:r>
        </w:p>
        <w:p w14:paraId="0DAB44CF">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_Toc23809 </w:instrText>
          </w:r>
          <w:r>
            <w:rPr>
              <w:rFonts w:hint="eastAsia" w:ascii="宋体" w:hAnsi="宋体" w:eastAsia="宋体" w:cs="宋体"/>
              <w:szCs w:val="36"/>
            </w:rPr>
            <w:fldChar w:fldCharType="separate"/>
          </w:r>
          <w:r>
            <w:rPr>
              <w:rFonts w:ascii="宋体" w:hAnsi="宋体" w:eastAsia="宋体" w:cs="宋体"/>
              <w:szCs w:val="32"/>
            </w:rPr>
            <w:t>附件</w:t>
          </w:r>
          <w:r>
            <w:rPr>
              <w:rFonts w:hint="eastAsia" w:ascii="宋体" w:hAnsi="宋体" w:eastAsia="宋体" w:cs="宋体"/>
              <w:szCs w:val="32"/>
              <w:lang w:val="en-US" w:eastAsia="zh-CN"/>
            </w:rPr>
            <w:t>2</w:t>
          </w:r>
          <w:r>
            <w:rPr>
              <w:rFonts w:ascii="宋体" w:hAnsi="宋体" w:eastAsia="宋体" w:cs="宋体"/>
              <w:szCs w:val="32"/>
            </w:rPr>
            <w:t>：履约担保函格式</w:t>
          </w:r>
          <w:r>
            <w:tab/>
          </w:r>
          <w:r>
            <w:fldChar w:fldCharType="begin"/>
          </w:r>
          <w:r>
            <w:instrText xml:space="preserve"> PAGEREF _Toc23809 \h </w:instrText>
          </w:r>
          <w:r>
            <w:fldChar w:fldCharType="separate"/>
          </w:r>
          <w:r>
            <w:t>25</w:t>
          </w:r>
          <w:r>
            <w:fldChar w:fldCharType="end"/>
          </w:r>
          <w:r>
            <w:rPr>
              <w:rFonts w:hint="eastAsia" w:ascii="宋体" w:hAnsi="宋体" w:eastAsia="宋体" w:cs="宋体"/>
              <w:szCs w:val="36"/>
            </w:rPr>
            <w:fldChar w:fldCharType="end"/>
          </w:r>
        </w:p>
        <w:p w14:paraId="717614E0">
          <w:pPr>
            <w:pStyle w:val="2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_Toc24504 </w:instrText>
          </w:r>
          <w:r>
            <w:rPr>
              <w:rFonts w:hint="eastAsia" w:ascii="宋体" w:hAnsi="宋体" w:eastAsia="宋体" w:cs="宋体"/>
              <w:szCs w:val="36"/>
            </w:rPr>
            <w:fldChar w:fldCharType="separate"/>
          </w:r>
          <w:r>
            <w:rPr>
              <w:rFonts w:hint="eastAsia"/>
              <w:szCs w:val="44"/>
            </w:rPr>
            <w:t>第</w:t>
          </w:r>
          <w:r>
            <w:rPr>
              <w:rFonts w:hint="eastAsia"/>
              <w:szCs w:val="44"/>
              <w:lang w:val="en-US" w:eastAsia="zh-CN"/>
            </w:rPr>
            <w:t>二</w:t>
          </w:r>
          <w:r>
            <w:rPr>
              <w:rFonts w:hint="eastAsia"/>
              <w:szCs w:val="44"/>
            </w:rPr>
            <w:t>章 投标文件格式</w:t>
          </w:r>
          <w:r>
            <w:tab/>
          </w:r>
          <w:r>
            <w:fldChar w:fldCharType="begin"/>
          </w:r>
          <w:r>
            <w:instrText xml:space="preserve"> PAGEREF _Toc24504 \h </w:instrText>
          </w:r>
          <w:r>
            <w:fldChar w:fldCharType="separate"/>
          </w:r>
          <w:r>
            <w:t>28</w:t>
          </w:r>
          <w:r>
            <w:fldChar w:fldCharType="end"/>
          </w:r>
          <w:r>
            <w:rPr>
              <w:rFonts w:hint="eastAsia" w:ascii="宋体" w:hAnsi="宋体" w:eastAsia="宋体" w:cs="宋体"/>
              <w:szCs w:val="36"/>
            </w:rPr>
            <w:fldChar w:fldCharType="end"/>
          </w:r>
        </w:p>
        <w:p w14:paraId="0B5CB8FB">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_Toc12437 </w:instrText>
          </w:r>
          <w:r>
            <w:rPr>
              <w:rFonts w:hint="eastAsia" w:ascii="宋体" w:hAnsi="宋体" w:eastAsia="宋体" w:cs="宋体"/>
              <w:szCs w:val="36"/>
            </w:rPr>
            <w:fldChar w:fldCharType="separate"/>
          </w:r>
          <w:r>
            <w:rPr>
              <w:rFonts w:hint="eastAsia"/>
              <w:szCs w:val="30"/>
            </w:rPr>
            <w:t>第一部分 开标一览表及资格证明文件</w:t>
          </w:r>
          <w:r>
            <w:tab/>
          </w:r>
          <w:r>
            <w:fldChar w:fldCharType="begin"/>
          </w:r>
          <w:r>
            <w:instrText xml:space="preserve"> PAGEREF _Toc12437 \h </w:instrText>
          </w:r>
          <w:r>
            <w:fldChar w:fldCharType="separate"/>
          </w:r>
          <w:r>
            <w:t>29</w:t>
          </w:r>
          <w:r>
            <w:fldChar w:fldCharType="end"/>
          </w:r>
          <w:r>
            <w:rPr>
              <w:rFonts w:hint="eastAsia" w:ascii="宋体" w:hAnsi="宋体" w:eastAsia="宋体" w:cs="宋体"/>
              <w:szCs w:val="36"/>
            </w:rPr>
            <w:fldChar w:fldCharType="end"/>
          </w:r>
        </w:p>
        <w:p w14:paraId="261DD717">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_Toc6208 </w:instrText>
          </w:r>
          <w:r>
            <w:rPr>
              <w:rFonts w:hint="eastAsia" w:ascii="宋体" w:hAnsi="宋体" w:eastAsia="宋体" w:cs="宋体"/>
              <w:szCs w:val="36"/>
            </w:rPr>
            <w:fldChar w:fldCharType="separate"/>
          </w:r>
          <w:r>
            <w:rPr>
              <w:rFonts w:hint="eastAsia" w:ascii="宋体" w:hAnsi="宋体" w:eastAsia="宋体" w:cs="宋体"/>
              <w:szCs w:val="30"/>
            </w:rPr>
            <w:t>1、开标一览表</w:t>
          </w:r>
          <w:r>
            <w:tab/>
          </w:r>
          <w:r>
            <w:fldChar w:fldCharType="begin"/>
          </w:r>
          <w:r>
            <w:instrText xml:space="preserve"> PAGEREF _Toc6208 \h </w:instrText>
          </w:r>
          <w:r>
            <w:fldChar w:fldCharType="separate"/>
          </w:r>
          <w:r>
            <w:t>30</w:t>
          </w:r>
          <w:r>
            <w:fldChar w:fldCharType="end"/>
          </w:r>
          <w:r>
            <w:rPr>
              <w:rFonts w:hint="eastAsia" w:ascii="宋体" w:hAnsi="宋体" w:eastAsia="宋体" w:cs="宋体"/>
              <w:szCs w:val="36"/>
            </w:rPr>
            <w:fldChar w:fldCharType="end"/>
          </w:r>
        </w:p>
        <w:p w14:paraId="4B1A1716">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_Toc5099 </w:instrText>
          </w:r>
          <w:r>
            <w:rPr>
              <w:rFonts w:hint="eastAsia" w:ascii="宋体" w:hAnsi="宋体" w:eastAsia="宋体" w:cs="宋体"/>
              <w:szCs w:val="36"/>
            </w:rPr>
            <w:fldChar w:fldCharType="separate"/>
          </w:r>
          <w:r>
            <w:rPr>
              <w:rFonts w:hint="eastAsia" w:ascii="宋体" w:hAnsi="宋体" w:eastAsia="宋体" w:cs="宋体"/>
              <w:szCs w:val="30"/>
            </w:rPr>
            <w:t>2、具有有效的营业执照</w:t>
          </w:r>
          <w:r>
            <w:tab/>
          </w:r>
          <w:r>
            <w:fldChar w:fldCharType="begin"/>
          </w:r>
          <w:r>
            <w:instrText xml:space="preserve"> PAGEREF _Toc5099 \h </w:instrText>
          </w:r>
          <w:r>
            <w:fldChar w:fldCharType="separate"/>
          </w:r>
          <w:r>
            <w:t>31</w:t>
          </w:r>
          <w:r>
            <w:fldChar w:fldCharType="end"/>
          </w:r>
          <w:r>
            <w:rPr>
              <w:rFonts w:hint="eastAsia" w:ascii="宋体" w:hAnsi="宋体" w:eastAsia="宋体" w:cs="宋体"/>
              <w:szCs w:val="36"/>
            </w:rPr>
            <w:fldChar w:fldCharType="end"/>
          </w:r>
        </w:p>
        <w:p w14:paraId="50E61A6D">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_Toc1175 </w:instrText>
          </w:r>
          <w:r>
            <w:rPr>
              <w:rFonts w:hint="eastAsia" w:ascii="宋体" w:hAnsi="宋体" w:eastAsia="宋体" w:cs="宋体"/>
              <w:szCs w:val="36"/>
            </w:rPr>
            <w:fldChar w:fldCharType="separate"/>
          </w:r>
          <w:r>
            <w:rPr>
              <w:rFonts w:hint="eastAsia" w:ascii="宋体" w:hAnsi="宋体" w:eastAsia="宋体" w:cs="宋体"/>
              <w:szCs w:val="30"/>
              <w:lang w:val="en-US" w:eastAsia="zh-CN"/>
            </w:rPr>
            <w:t>3、法定代表人资格证明书及法定代表人授权委托书、被授权人身份证(法定代表人投标具备法定代表人身份证及法人代表资格证明书)；</w:t>
          </w:r>
          <w:r>
            <w:tab/>
          </w:r>
          <w:r>
            <w:fldChar w:fldCharType="begin"/>
          </w:r>
          <w:r>
            <w:instrText xml:space="preserve"> PAGEREF _Toc1175 \h </w:instrText>
          </w:r>
          <w:r>
            <w:fldChar w:fldCharType="separate"/>
          </w:r>
          <w:r>
            <w:t>32</w:t>
          </w:r>
          <w:r>
            <w:fldChar w:fldCharType="end"/>
          </w:r>
          <w:r>
            <w:rPr>
              <w:rFonts w:hint="eastAsia" w:ascii="宋体" w:hAnsi="宋体" w:eastAsia="宋体" w:cs="宋体"/>
              <w:szCs w:val="36"/>
            </w:rPr>
            <w:fldChar w:fldCharType="end"/>
          </w:r>
        </w:p>
        <w:p w14:paraId="0348468D">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_Toc21625 </w:instrText>
          </w:r>
          <w:r>
            <w:rPr>
              <w:rFonts w:hint="eastAsia" w:ascii="宋体" w:hAnsi="宋体" w:eastAsia="宋体" w:cs="宋体"/>
              <w:szCs w:val="36"/>
            </w:rPr>
            <w:fldChar w:fldCharType="separate"/>
          </w:r>
          <w:r>
            <w:rPr>
              <w:rFonts w:hint="eastAsia" w:ascii="宋体" w:hAnsi="宋体" w:eastAsia="宋体" w:cs="宋体"/>
              <w:szCs w:val="30"/>
              <w:lang w:val="en-US" w:eastAsia="zh-CN"/>
            </w:rPr>
            <w:t>4、</w:t>
          </w:r>
          <w:r>
            <w:rPr>
              <w:rFonts w:hint="eastAsia" w:ascii="宋体" w:hAnsi="宋体" w:eastAsia="宋体" w:cs="宋体"/>
              <w:szCs w:val="30"/>
            </w:rPr>
            <w:t>近6个月任意一个月的完税证明</w:t>
          </w:r>
          <w:r>
            <w:tab/>
          </w:r>
          <w:r>
            <w:fldChar w:fldCharType="begin"/>
          </w:r>
          <w:r>
            <w:instrText xml:space="preserve"> PAGEREF _Toc21625 \h </w:instrText>
          </w:r>
          <w:r>
            <w:fldChar w:fldCharType="separate"/>
          </w:r>
          <w:r>
            <w:t>34</w:t>
          </w:r>
          <w:r>
            <w:fldChar w:fldCharType="end"/>
          </w:r>
          <w:r>
            <w:rPr>
              <w:rFonts w:hint="eastAsia" w:ascii="宋体" w:hAnsi="宋体" w:eastAsia="宋体" w:cs="宋体"/>
              <w:szCs w:val="36"/>
            </w:rPr>
            <w:fldChar w:fldCharType="end"/>
          </w:r>
        </w:p>
        <w:p w14:paraId="572A42D8">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_Toc22611 </w:instrText>
          </w:r>
          <w:r>
            <w:rPr>
              <w:rFonts w:hint="eastAsia" w:ascii="宋体" w:hAnsi="宋体" w:eastAsia="宋体" w:cs="宋体"/>
              <w:szCs w:val="36"/>
            </w:rPr>
            <w:fldChar w:fldCharType="separate"/>
          </w:r>
          <w:r>
            <w:rPr>
              <w:rFonts w:hint="default" w:ascii="宋体" w:hAnsi="宋体" w:eastAsia="宋体" w:cs="宋体"/>
              <w:szCs w:val="30"/>
            </w:rPr>
            <w:t>5、</w:t>
          </w:r>
          <w:r>
            <w:rPr>
              <w:rFonts w:hint="eastAsia" w:ascii="宋体" w:hAnsi="宋体" w:eastAsia="宋体" w:cs="宋体"/>
              <w:szCs w:val="30"/>
            </w:rPr>
            <w:t>近6个月任意一个月缴纳社会保险的凭据</w:t>
          </w:r>
          <w:r>
            <w:tab/>
          </w:r>
          <w:r>
            <w:fldChar w:fldCharType="begin"/>
          </w:r>
          <w:r>
            <w:instrText xml:space="preserve"> PAGEREF _Toc22611 \h </w:instrText>
          </w:r>
          <w:r>
            <w:fldChar w:fldCharType="separate"/>
          </w:r>
          <w:r>
            <w:t>34</w:t>
          </w:r>
          <w:r>
            <w:fldChar w:fldCharType="end"/>
          </w:r>
          <w:r>
            <w:rPr>
              <w:rFonts w:hint="eastAsia" w:ascii="宋体" w:hAnsi="宋体" w:eastAsia="宋体" w:cs="宋体"/>
              <w:szCs w:val="36"/>
            </w:rPr>
            <w:fldChar w:fldCharType="end"/>
          </w:r>
        </w:p>
        <w:p w14:paraId="7D312353">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_Toc9903 </w:instrText>
          </w:r>
          <w:r>
            <w:rPr>
              <w:rFonts w:hint="eastAsia" w:ascii="宋体" w:hAnsi="宋体" w:eastAsia="宋体" w:cs="宋体"/>
              <w:szCs w:val="36"/>
            </w:rPr>
            <w:fldChar w:fldCharType="separate"/>
          </w:r>
          <w:r>
            <w:rPr>
              <w:rFonts w:hint="eastAsia" w:ascii="宋体" w:hAnsi="宋体" w:eastAsia="宋体" w:cs="宋体"/>
              <w:szCs w:val="28"/>
            </w:rPr>
            <w:t>6、供应商若是生产企业的，须具备有效的《药品生产许可证》（中药饮片）；供应商若是经营企业须具备有效的《药品经营许可证》（中药饮片）</w:t>
          </w:r>
          <w:r>
            <w:tab/>
          </w:r>
          <w:r>
            <w:fldChar w:fldCharType="begin"/>
          </w:r>
          <w:r>
            <w:instrText xml:space="preserve"> PAGEREF _Toc9903 \h </w:instrText>
          </w:r>
          <w:r>
            <w:fldChar w:fldCharType="separate"/>
          </w:r>
          <w:r>
            <w:t>34</w:t>
          </w:r>
          <w:r>
            <w:fldChar w:fldCharType="end"/>
          </w:r>
          <w:r>
            <w:rPr>
              <w:rFonts w:hint="eastAsia" w:ascii="宋体" w:hAnsi="宋体" w:eastAsia="宋体" w:cs="宋体"/>
              <w:szCs w:val="36"/>
            </w:rPr>
            <w:fldChar w:fldCharType="end"/>
          </w:r>
        </w:p>
        <w:p w14:paraId="4644DBF0">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_Toc20625 </w:instrText>
          </w:r>
          <w:r>
            <w:rPr>
              <w:rFonts w:hint="eastAsia" w:ascii="宋体" w:hAnsi="宋体" w:eastAsia="宋体" w:cs="宋体"/>
              <w:szCs w:val="36"/>
            </w:rPr>
            <w:fldChar w:fldCharType="separate"/>
          </w:r>
          <w:r>
            <w:rPr>
              <w:rFonts w:hint="eastAsia" w:ascii="宋体" w:hAnsi="宋体" w:eastAsia="宋体" w:cs="宋体"/>
              <w:kern w:val="2"/>
              <w:szCs w:val="28"/>
              <w:lang w:val="en-US" w:eastAsia="zh-CN" w:bidi="ar-SA"/>
            </w:rPr>
            <w:t>7、提供近两年内任意一年的（2023年或2024年）财务审计报告（新成立未满一年的公司可提供近6个月内任意一个月的银行资信证明）</w:t>
          </w:r>
          <w:r>
            <w:tab/>
          </w:r>
          <w:r>
            <w:fldChar w:fldCharType="begin"/>
          </w:r>
          <w:r>
            <w:instrText xml:space="preserve"> PAGEREF _Toc20625 \h </w:instrText>
          </w:r>
          <w:r>
            <w:fldChar w:fldCharType="separate"/>
          </w:r>
          <w:r>
            <w:t>35</w:t>
          </w:r>
          <w:r>
            <w:fldChar w:fldCharType="end"/>
          </w:r>
          <w:r>
            <w:rPr>
              <w:rFonts w:hint="eastAsia" w:ascii="宋体" w:hAnsi="宋体" w:eastAsia="宋体" w:cs="宋体"/>
              <w:szCs w:val="36"/>
            </w:rPr>
            <w:fldChar w:fldCharType="end"/>
          </w:r>
        </w:p>
        <w:p w14:paraId="33BF02B9">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_Toc27644 </w:instrText>
          </w:r>
          <w:r>
            <w:rPr>
              <w:rFonts w:hint="eastAsia" w:ascii="宋体" w:hAnsi="宋体" w:eastAsia="宋体" w:cs="宋体"/>
              <w:szCs w:val="36"/>
            </w:rPr>
            <w:fldChar w:fldCharType="separate"/>
          </w:r>
          <w:r>
            <w:rPr>
              <w:rFonts w:hint="eastAsia" w:ascii="宋体" w:hAnsi="宋体" w:cs="宋体"/>
              <w:szCs w:val="28"/>
              <w:lang w:val="en-US" w:eastAsia="zh-CN"/>
            </w:rPr>
            <w:t>8</w:t>
          </w:r>
          <w:r>
            <w:rPr>
              <w:rFonts w:hint="eastAsia" w:ascii="宋体" w:hAnsi="宋体" w:eastAsia="宋体" w:cs="宋体"/>
              <w:szCs w:val="28"/>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r>
            <w:tab/>
          </w:r>
          <w:r>
            <w:fldChar w:fldCharType="begin"/>
          </w:r>
          <w:r>
            <w:instrText xml:space="preserve"> PAGEREF _Toc27644 \h </w:instrText>
          </w:r>
          <w:r>
            <w:fldChar w:fldCharType="separate"/>
          </w:r>
          <w:r>
            <w:t>35</w:t>
          </w:r>
          <w:r>
            <w:fldChar w:fldCharType="end"/>
          </w:r>
          <w:r>
            <w:rPr>
              <w:rFonts w:hint="eastAsia" w:ascii="宋体" w:hAnsi="宋体" w:eastAsia="宋体" w:cs="宋体"/>
              <w:szCs w:val="36"/>
            </w:rPr>
            <w:fldChar w:fldCharType="end"/>
          </w:r>
        </w:p>
        <w:p w14:paraId="3E45B350">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_Toc1720 </w:instrText>
          </w:r>
          <w:r>
            <w:rPr>
              <w:rFonts w:hint="eastAsia" w:ascii="宋体" w:hAnsi="宋体" w:eastAsia="宋体" w:cs="宋体"/>
              <w:szCs w:val="36"/>
            </w:rPr>
            <w:fldChar w:fldCharType="separate"/>
          </w:r>
          <w:r>
            <w:rPr>
              <w:rFonts w:hint="eastAsia" w:ascii="宋体" w:hAnsi="宋体" w:cs="宋体"/>
              <w:bCs w:val="0"/>
              <w:kern w:val="0"/>
              <w:szCs w:val="30"/>
              <w:lang w:val="en-US" w:eastAsia="zh-CN" w:bidi="ar"/>
            </w:rPr>
            <w:t>9</w:t>
          </w:r>
          <w:r>
            <w:rPr>
              <w:rFonts w:hint="eastAsia" w:ascii="宋体" w:hAnsi="宋体" w:eastAsia="宋体" w:cs="宋体"/>
              <w:bCs w:val="0"/>
              <w:kern w:val="0"/>
              <w:szCs w:val="30"/>
              <w:lang w:val="en-US" w:eastAsia="zh-CN" w:bidi="ar"/>
            </w:rPr>
            <w:t>、参加政府采购活动前三年内在经营活动中没有重大违法记录的书面声明</w:t>
          </w:r>
          <w:r>
            <w:tab/>
          </w:r>
          <w:r>
            <w:fldChar w:fldCharType="begin"/>
          </w:r>
          <w:r>
            <w:instrText xml:space="preserve"> PAGEREF _Toc1720 \h </w:instrText>
          </w:r>
          <w:r>
            <w:fldChar w:fldCharType="separate"/>
          </w:r>
          <w:r>
            <w:t>36</w:t>
          </w:r>
          <w:r>
            <w:fldChar w:fldCharType="end"/>
          </w:r>
          <w:r>
            <w:rPr>
              <w:rFonts w:hint="eastAsia" w:ascii="宋体" w:hAnsi="宋体" w:eastAsia="宋体" w:cs="宋体"/>
              <w:szCs w:val="36"/>
            </w:rPr>
            <w:fldChar w:fldCharType="end"/>
          </w:r>
        </w:p>
        <w:p w14:paraId="774AAAD6">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_Toc1782 </w:instrText>
          </w:r>
          <w:r>
            <w:rPr>
              <w:rFonts w:hint="eastAsia" w:ascii="宋体" w:hAnsi="宋体" w:eastAsia="宋体" w:cs="宋体"/>
              <w:szCs w:val="36"/>
            </w:rPr>
            <w:fldChar w:fldCharType="separate"/>
          </w:r>
          <w:r>
            <w:rPr>
              <w:rFonts w:hint="eastAsia" w:ascii="宋体" w:hAnsi="宋体" w:cs="宋体"/>
              <w:szCs w:val="30"/>
              <w:lang w:val="en-US" w:eastAsia="zh-CN"/>
            </w:rPr>
            <w:t>10、</w:t>
          </w:r>
          <w:r>
            <w:rPr>
              <w:rFonts w:hint="eastAsia" w:ascii="宋体" w:hAnsi="宋体" w:eastAsia="宋体" w:cs="宋体"/>
              <w:szCs w:val="30"/>
            </w:rPr>
            <w:t>针对本项目的反商业贿赂承诺书</w:t>
          </w:r>
          <w:r>
            <w:tab/>
          </w:r>
          <w:r>
            <w:fldChar w:fldCharType="begin"/>
          </w:r>
          <w:r>
            <w:instrText xml:space="preserve"> PAGEREF _Toc1782 \h </w:instrText>
          </w:r>
          <w:r>
            <w:fldChar w:fldCharType="separate"/>
          </w:r>
          <w:r>
            <w:t>37</w:t>
          </w:r>
          <w:r>
            <w:fldChar w:fldCharType="end"/>
          </w:r>
          <w:r>
            <w:rPr>
              <w:rFonts w:hint="eastAsia" w:ascii="宋体" w:hAnsi="宋体" w:eastAsia="宋体" w:cs="宋体"/>
              <w:szCs w:val="36"/>
            </w:rPr>
            <w:fldChar w:fldCharType="end"/>
          </w:r>
        </w:p>
        <w:p w14:paraId="6F87736F">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_Toc3733 </w:instrText>
          </w:r>
          <w:r>
            <w:rPr>
              <w:rFonts w:hint="eastAsia" w:ascii="宋体" w:hAnsi="宋体" w:eastAsia="宋体" w:cs="宋体"/>
              <w:szCs w:val="36"/>
            </w:rPr>
            <w:fldChar w:fldCharType="separate"/>
          </w:r>
          <w:r>
            <w:rPr>
              <w:rFonts w:hint="eastAsia" w:ascii="宋体" w:hAnsi="宋体" w:cs="宋体"/>
              <w:szCs w:val="30"/>
              <w:lang w:val="en-US" w:eastAsia="zh-CN"/>
            </w:rPr>
            <w:t>11、</w:t>
          </w:r>
          <w:r>
            <w:rPr>
              <w:rFonts w:hint="eastAsia" w:ascii="宋体" w:hAnsi="宋体" w:eastAsia="宋体" w:cs="宋体"/>
              <w:szCs w:val="30"/>
            </w:rPr>
            <w:t>缴纳投标保证金有效凭证</w:t>
          </w:r>
          <w:r>
            <w:tab/>
          </w:r>
          <w:r>
            <w:fldChar w:fldCharType="begin"/>
          </w:r>
          <w:r>
            <w:instrText xml:space="preserve"> PAGEREF _Toc3733 \h </w:instrText>
          </w:r>
          <w:r>
            <w:fldChar w:fldCharType="separate"/>
          </w:r>
          <w:r>
            <w:t>38</w:t>
          </w:r>
          <w:r>
            <w:fldChar w:fldCharType="end"/>
          </w:r>
          <w:r>
            <w:rPr>
              <w:rFonts w:hint="eastAsia" w:ascii="宋体" w:hAnsi="宋体" w:eastAsia="宋体" w:cs="宋体"/>
              <w:szCs w:val="36"/>
            </w:rPr>
            <w:fldChar w:fldCharType="end"/>
          </w:r>
        </w:p>
        <w:p w14:paraId="3FD741CC">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_Toc12706 </w:instrText>
          </w:r>
          <w:r>
            <w:rPr>
              <w:rFonts w:hint="eastAsia" w:ascii="宋体" w:hAnsi="宋体" w:eastAsia="宋体" w:cs="宋体"/>
              <w:szCs w:val="36"/>
            </w:rPr>
            <w:fldChar w:fldCharType="separate"/>
          </w:r>
          <w:r>
            <w:rPr>
              <w:rFonts w:hint="eastAsia" w:ascii="宋体" w:hAnsi="宋体" w:eastAsia="宋体" w:cs="宋体"/>
              <w:bCs/>
              <w:szCs w:val="18"/>
            </w:rPr>
            <w:t>1</w:t>
          </w:r>
          <w:r>
            <w:rPr>
              <w:rFonts w:hint="eastAsia" w:ascii="宋体" w:hAnsi="宋体" w:eastAsia="宋体" w:cs="宋体"/>
              <w:bCs/>
              <w:szCs w:val="18"/>
              <w:lang w:val="en-US" w:eastAsia="zh-CN"/>
            </w:rPr>
            <w:t>2</w:t>
          </w:r>
          <w:r>
            <w:rPr>
              <w:rFonts w:hint="eastAsia" w:ascii="宋体" w:hAnsi="宋体" w:eastAsia="宋体" w:cs="宋体"/>
              <w:bCs/>
              <w:szCs w:val="18"/>
            </w:rPr>
            <w:t>、投标人认为有利于投标的其他资格证明材料</w:t>
          </w:r>
          <w:r>
            <w:tab/>
          </w:r>
          <w:r>
            <w:fldChar w:fldCharType="begin"/>
          </w:r>
          <w:r>
            <w:instrText xml:space="preserve"> PAGEREF _Toc12706 \h </w:instrText>
          </w:r>
          <w:r>
            <w:fldChar w:fldCharType="separate"/>
          </w:r>
          <w:r>
            <w:t>38</w:t>
          </w:r>
          <w:r>
            <w:fldChar w:fldCharType="end"/>
          </w:r>
          <w:r>
            <w:rPr>
              <w:rFonts w:hint="eastAsia" w:ascii="宋体" w:hAnsi="宋体" w:eastAsia="宋体" w:cs="宋体"/>
              <w:szCs w:val="36"/>
            </w:rPr>
            <w:fldChar w:fldCharType="end"/>
          </w:r>
        </w:p>
        <w:p w14:paraId="16EA1F22">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_Toc25075 </w:instrText>
          </w:r>
          <w:r>
            <w:rPr>
              <w:rFonts w:hint="eastAsia" w:ascii="宋体" w:hAnsi="宋体" w:eastAsia="宋体" w:cs="宋体"/>
              <w:szCs w:val="36"/>
            </w:rPr>
            <w:fldChar w:fldCharType="separate"/>
          </w:r>
          <w:r>
            <w:rPr>
              <w:rFonts w:hint="eastAsia"/>
              <w:szCs w:val="40"/>
            </w:rPr>
            <w:t>第二部分  商务及技术文件</w:t>
          </w:r>
          <w:r>
            <w:tab/>
          </w:r>
          <w:r>
            <w:fldChar w:fldCharType="begin"/>
          </w:r>
          <w:r>
            <w:instrText xml:space="preserve"> PAGEREF _Toc25075 \h </w:instrText>
          </w:r>
          <w:r>
            <w:fldChar w:fldCharType="separate"/>
          </w:r>
          <w:r>
            <w:t>39</w:t>
          </w:r>
          <w:r>
            <w:fldChar w:fldCharType="end"/>
          </w:r>
          <w:r>
            <w:rPr>
              <w:rFonts w:hint="eastAsia" w:ascii="宋体" w:hAnsi="宋体" w:eastAsia="宋体" w:cs="宋体"/>
              <w:szCs w:val="36"/>
            </w:rPr>
            <w:fldChar w:fldCharType="end"/>
          </w:r>
        </w:p>
        <w:p w14:paraId="525881AC">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_Toc28424 </w:instrText>
          </w:r>
          <w:r>
            <w:rPr>
              <w:rFonts w:hint="eastAsia" w:ascii="宋体" w:hAnsi="宋体" w:eastAsia="宋体" w:cs="宋体"/>
              <w:szCs w:val="36"/>
            </w:rPr>
            <w:fldChar w:fldCharType="separate"/>
          </w:r>
          <w:r>
            <w:rPr>
              <w:rFonts w:hint="eastAsia" w:ascii="宋体" w:hAnsi="宋体" w:eastAsia="宋体" w:cs="宋体"/>
              <w:szCs w:val="40"/>
            </w:rPr>
            <w:t>1、</w:t>
          </w:r>
          <w:r>
            <w:rPr>
              <w:rFonts w:hint="eastAsia" w:ascii="宋体" w:hAnsi="宋体" w:eastAsia="宋体" w:cs="宋体"/>
              <w:szCs w:val="30"/>
              <w:lang w:val="en-US" w:eastAsia="zh-CN"/>
            </w:rPr>
            <w:t>投标</w:t>
          </w:r>
          <w:r>
            <w:rPr>
              <w:rFonts w:hint="eastAsia" w:ascii="宋体" w:hAnsi="宋体" w:eastAsia="宋体" w:cs="宋体"/>
              <w:szCs w:val="30"/>
            </w:rPr>
            <w:t>书</w:t>
          </w:r>
          <w:r>
            <w:tab/>
          </w:r>
          <w:r>
            <w:fldChar w:fldCharType="begin"/>
          </w:r>
          <w:r>
            <w:instrText xml:space="preserve"> PAGEREF _Toc28424 \h </w:instrText>
          </w:r>
          <w:r>
            <w:fldChar w:fldCharType="separate"/>
          </w:r>
          <w:r>
            <w:t>40</w:t>
          </w:r>
          <w:r>
            <w:fldChar w:fldCharType="end"/>
          </w:r>
          <w:r>
            <w:rPr>
              <w:rFonts w:hint="eastAsia" w:ascii="宋体" w:hAnsi="宋体" w:eastAsia="宋体" w:cs="宋体"/>
              <w:szCs w:val="36"/>
            </w:rPr>
            <w:fldChar w:fldCharType="end"/>
          </w:r>
        </w:p>
        <w:p w14:paraId="2A426B68">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_Toc28256 </w:instrText>
          </w:r>
          <w:r>
            <w:rPr>
              <w:rFonts w:hint="eastAsia" w:ascii="宋体" w:hAnsi="宋体" w:eastAsia="宋体" w:cs="宋体"/>
              <w:szCs w:val="36"/>
            </w:rPr>
            <w:fldChar w:fldCharType="separate"/>
          </w:r>
          <w:r>
            <w:rPr>
              <w:rFonts w:hint="eastAsia" w:ascii="宋体" w:hAnsi="宋体" w:eastAsia="宋体" w:cs="宋体"/>
              <w:szCs w:val="30"/>
              <w:lang w:val="en-US" w:eastAsia="zh-CN"/>
            </w:rPr>
            <w:t>2、分项报价表</w:t>
          </w:r>
          <w:r>
            <w:tab/>
          </w:r>
          <w:r>
            <w:fldChar w:fldCharType="begin"/>
          </w:r>
          <w:r>
            <w:instrText xml:space="preserve"> PAGEREF _Toc28256 \h </w:instrText>
          </w:r>
          <w:r>
            <w:fldChar w:fldCharType="separate"/>
          </w:r>
          <w:r>
            <w:t>41</w:t>
          </w:r>
          <w:r>
            <w:fldChar w:fldCharType="end"/>
          </w:r>
          <w:r>
            <w:rPr>
              <w:rFonts w:hint="eastAsia" w:ascii="宋体" w:hAnsi="宋体" w:eastAsia="宋体" w:cs="宋体"/>
              <w:szCs w:val="36"/>
            </w:rPr>
            <w:fldChar w:fldCharType="end"/>
          </w:r>
        </w:p>
        <w:p w14:paraId="3DC38678">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_Toc14979 </w:instrText>
          </w:r>
          <w:r>
            <w:rPr>
              <w:rFonts w:hint="eastAsia" w:ascii="宋体" w:hAnsi="宋体" w:eastAsia="宋体" w:cs="宋体"/>
              <w:szCs w:val="36"/>
            </w:rPr>
            <w:fldChar w:fldCharType="separate"/>
          </w:r>
          <w:r>
            <w:rPr>
              <w:rFonts w:hint="eastAsia" w:ascii="宋体" w:hAnsi="宋体" w:eastAsia="宋体" w:cs="宋体"/>
              <w:szCs w:val="30"/>
              <w:lang w:val="en-US" w:eastAsia="zh-CN"/>
            </w:rPr>
            <w:t>3、货物说明一览表</w:t>
          </w:r>
          <w:r>
            <w:tab/>
          </w:r>
          <w:r>
            <w:fldChar w:fldCharType="begin"/>
          </w:r>
          <w:r>
            <w:instrText xml:space="preserve"> PAGEREF _Toc14979 \h </w:instrText>
          </w:r>
          <w:r>
            <w:fldChar w:fldCharType="separate"/>
          </w:r>
          <w:r>
            <w:t>43</w:t>
          </w:r>
          <w:r>
            <w:fldChar w:fldCharType="end"/>
          </w:r>
          <w:r>
            <w:rPr>
              <w:rFonts w:hint="eastAsia" w:ascii="宋体" w:hAnsi="宋体" w:eastAsia="宋体" w:cs="宋体"/>
              <w:szCs w:val="36"/>
            </w:rPr>
            <w:fldChar w:fldCharType="end"/>
          </w:r>
        </w:p>
        <w:p w14:paraId="09F60B11">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_Toc32198 </w:instrText>
          </w:r>
          <w:r>
            <w:rPr>
              <w:rFonts w:hint="eastAsia" w:ascii="宋体" w:hAnsi="宋体" w:eastAsia="宋体" w:cs="宋体"/>
              <w:szCs w:val="36"/>
            </w:rPr>
            <w:fldChar w:fldCharType="separate"/>
          </w:r>
          <w:r>
            <w:rPr>
              <w:rFonts w:hint="eastAsia" w:ascii="宋体" w:hAnsi="宋体" w:eastAsia="宋体" w:cs="宋体"/>
              <w:bCs/>
              <w:szCs w:val="30"/>
              <w:highlight w:val="none"/>
              <w:lang w:val="en-US" w:eastAsia="zh-CN"/>
            </w:rPr>
            <w:t>4、采购需求</w:t>
          </w:r>
          <w:r>
            <w:rPr>
              <w:rFonts w:hint="eastAsia" w:ascii="宋体" w:hAnsi="宋体" w:eastAsia="宋体" w:cs="宋体"/>
              <w:bCs/>
              <w:szCs w:val="30"/>
              <w:highlight w:val="none"/>
            </w:rPr>
            <w:t>偏离表</w:t>
          </w:r>
          <w:r>
            <w:tab/>
          </w:r>
          <w:r>
            <w:fldChar w:fldCharType="begin"/>
          </w:r>
          <w:r>
            <w:instrText xml:space="preserve"> PAGEREF _Toc32198 \h </w:instrText>
          </w:r>
          <w:r>
            <w:fldChar w:fldCharType="separate"/>
          </w:r>
          <w:r>
            <w:t>44</w:t>
          </w:r>
          <w:r>
            <w:fldChar w:fldCharType="end"/>
          </w:r>
          <w:r>
            <w:rPr>
              <w:rFonts w:hint="eastAsia" w:ascii="宋体" w:hAnsi="宋体" w:eastAsia="宋体" w:cs="宋体"/>
              <w:szCs w:val="36"/>
            </w:rPr>
            <w:fldChar w:fldCharType="end"/>
          </w:r>
        </w:p>
        <w:p w14:paraId="46960BE8">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_Toc27241 </w:instrText>
          </w:r>
          <w:r>
            <w:rPr>
              <w:rFonts w:hint="eastAsia" w:ascii="宋体" w:hAnsi="宋体" w:eastAsia="宋体" w:cs="宋体"/>
              <w:szCs w:val="36"/>
            </w:rPr>
            <w:fldChar w:fldCharType="separate"/>
          </w:r>
          <w:r>
            <w:rPr>
              <w:rFonts w:hint="eastAsia" w:ascii="宋体" w:hAnsi="宋体" w:eastAsia="宋体" w:cs="宋体"/>
              <w:szCs w:val="30"/>
              <w:highlight w:val="none"/>
              <w:lang w:val="en-US" w:eastAsia="zh-CN"/>
            </w:rPr>
            <w:t>5-1 中小企业声明函</w:t>
          </w:r>
          <w:r>
            <w:tab/>
          </w:r>
          <w:r>
            <w:fldChar w:fldCharType="begin"/>
          </w:r>
          <w:r>
            <w:instrText xml:space="preserve"> PAGEREF _Toc27241 \h </w:instrText>
          </w:r>
          <w:r>
            <w:fldChar w:fldCharType="separate"/>
          </w:r>
          <w:r>
            <w:t>45</w:t>
          </w:r>
          <w:r>
            <w:fldChar w:fldCharType="end"/>
          </w:r>
          <w:r>
            <w:rPr>
              <w:rFonts w:hint="eastAsia" w:ascii="宋体" w:hAnsi="宋体" w:eastAsia="宋体" w:cs="宋体"/>
              <w:szCs w:val="36"/>
            </w:rPr>
            <w:fldChar w:fldCharType="end"/>
          </w:r>
        </w:p>
        <w:p w14:paraId="33B1FA1A">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_Toc14577 </w:instrText>
          </w:r>
          <w:r>
            <w:rPr>
              <w:rFonts w:hint="eastAsia" w:ascii="宋体" w:hAnsi="宋体" w:eastAsia="宋体" w:cs="宋体"/>
              <w:szCs w:val="36"/>
            </w:rPr>
            <w:fldChar w:fldCharType="separate"/>
          </w:r>
          <w:r>
            <w:rPr>
              <w:rFonts w:hint="eastAsia" w:ascii="宋体" w:hAnsi="宋体" w:eastAsia="宋体" w:cs="宋体"/>
              <w:kern w:val="0"/>
              <w:szCs w:val="30"/>
              <w:highlight w:val="none"/>
              <w:lang w:val="en-US" w:eastAsia="zh-CN"/>
            </w:rPr>
            <w:t>5</w:t>
          </w:r>
          <w:r>
            <w:rPr>
              <w:rFonts w:hint="eastAsia" w:ascii="宋体" w:hAnsi="宋体" w:eastAsia="宋体" w:cs="宋体"/>
              <w:kern w:val="0"/>
              <w:szCs w:val="30"/>
              <w:highlight w:val="none"/>
            </w:rPr>
            <w:t>-2 残疾人福利性单位声明函</w:t>
          </w:r>
          <w:r>
            <w:rPr>
              <w:rFonts w:hint="eastAsia" w:ascii="宋体" w:hAnsi="宋体" w:eastAsia="宋体" w:cs="宋体"/>
              <w:kern w:val="0"/>
              <w:szCs w:val="30"/>
              <w:highlight w:val="none"/>
              <w:lang w:eastAsia="zh-CN"/>
            </w:rPr>
            <w:t>（</w:t>
          </w:r>
          <w:r>
            <w:rPr>
              <w:rFonts w:hint="eastAsia" w:ascii="宋体" w:hAnsi="宋体" w:eastAsia="宋体" w:cs="宋体"/>
              <w:kern w:val="0"/>
              <w:szCs w:val="30"/>
              <w:highlight w:val="none"/>
              <w:lang w:val="en-US" w:eastAsia="zh-CN"/>
            </w:rPr>
            <w:t>可选</w:t>
          </w:r>
          <w:r>
            <w:rPr>
              <w:rFonts w:hint="eastAsia" w:ascii="宋体" w:hAnsi="宋体" w:eastAsia="宋体" w:cs="宋体"/>
              <w:kern w:val="0"/>
              <w:szCs w:val="30"/>
              <w:highlight w:val="none"/>
              <w:lang w:eastAsia="zh-CN"/>
            </w:rPr>
            <w:t>）</w:t>
          </w:r>
          <w:r>
            <w:tab/>
          </w:r>
          <w:r>
            <w:fldChar w:fldCharType="begin"/>
          </w:r>
          <w:r>
            <w:instrText xml:space="preserve"> PAGEREF _Toc14577 \h </w:instrText>
          </w:r>
          <w:r>
            <w:fldChar w:fldCharType="separate"/>
          </w:r>
          <w:r>
            <w:t>48</w:t>
          </w:r>
          <w:r>
            <w:fldChar w:fldCharType="end"/>
          </w:r>
          <w:r>
            <w:rPr>
              <w:rFonts w:hint="eastAsia" w:ascii="宋体" w:hAnsi="宋体" w:eastAsia="宋体" w:cs="宋体"/>
              <w:szCs w:val="36"/>
            </w:rPr>
            <w:fldChar w:fldCharType="end"/>
          </w:r>
        </w:p>
        <w:p w14:paraId="6140975B">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_Toc10484 </w:instrText>
          </w:r>
          <w:r>
            <w:rPr>
              <w:rFonts w:hint="eastAsia" w:ascii="宋体" w:hAnsi="宋体" w:eastAsia="宋体" w:cs="宋体"/>
              <w:szCs w:val="36"/>
            </w:rPr>
            <w:fldChar w:fldCharType="separate"/>
          </w:r>
          <w:r>
            <w:rPr>
              <w:rFonts w:hint="eastAsia" w:hAnsi="宋体" w:cs="宋体"/>
              <w:kern w:val="0"/>
              <w:szCs w:val="30"/>
              <w:highlight w:val="none"/>
              <w:lang w:val="en-US" w:eastAsia="zh-CN" w:bidi="ar-SA"/>
            </w:rPr>
            <w:t>5</w:t>
          </w:r>
          <w:r>
            <w:rPr>
              <w:rFonts w:hint="eastAsia" w:ascii="宋体" w:hAnsi="宋体" w:eastAsia="宋体" w:cs="宋体"/>
              <w:kern w:val="0"/>
              <w:szCs w:val="30"/>
              <w:highlight w:val="none"/>
              <w:lang w:val="en-US" w:eastAsia="zh-CN" w:bidi="ar-SA"/>
            </w:rPr>
            <w:t>-3 监狱企业证明</w:t>
          </w:r>
          <w:r>
            <w:rPr>
              <w:rFonts w:hint="eastAsia" w:hAnsi="宋体" w:cs="宋体"/>
              <w:kern w:val="0"/>
              <w:szCs w:val="30"/>
              <w:highlight w:val="none"/>
              <w:lang w:val="en-US" w:eastAsia="zh-CN" w:bidi="ar-SA"/>
            </w:rPr>
            <w:t>（可选）</w:t>
          </w:r>
          <w:r>
            <w:tab/>
          </w:r>
          <w:r>
            <w:fldChar w:fldCharType="begin"/>
          </w:r>
          <w:r>
            <w:instrText xml:space="preserve"> PAGEREF _Toc10484 \h </w:instrText>
          </w:r>
          <w:r>
            <w:fldChar w:fldCharType="separate"/>
          </w:r>
          <w:r>
            <w:t>49</w:t>
          </w:r>
          <w:r>
            <w:fldChar w:fldCharType="end"/>
          </w:r>
          <w:r>
            <w:rPr>
              <w:rFonts w:hint="eastAsia" w:ascii="宋体" w:hAnsi="宋体" w:eastAsia="宋体" w:cs="宋体"/>
              <w:szCs w:val="36"/>
            </w:rPr>
            <w:fldChar w:fldCharType="end"/>
          </w:r>
        </w:p>
        <w:p w14:paraId="397F7986">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_Toc15177 </w:instrText>
          </w:r>
          <w:r>
            <w:rPr>
              <w:rFonts w:hint="eastAsia" w:ascii="宋体" w:hAnsi="宋体" w:eastAsia="宋体" w:cs="宋体"/>
              <w:szCs w:val="36"/>
            </w:rPr>
            <w:fldChar w:fldCharType="separate"/>
          </w:r>
          <w:r>
            <w:rPr>
              <w:rFonts w:hint="eastAsia" w:ascii="宋体" w:hAnsi="宋体" w:eastAsia="宋体" w:cs="宋体"/>
              <w:szCs w:val="30"/>
              <w:lang w:val="en-US" w:eastAsia="zh-CN"/>
            </w:rPr>
            <w:t>6</w:t>
          </w:r>
          <w:r>
            <w:rPr>
              <w:rFonts w:ascii="宋体" w:hAnsi="宋体" w:eastAsia="宋体" w:cs="宋体"/>
              <w:szCs w:val="30"/>
            </w:rPr>
            <w:t>、</w:t>
          </w:r>
          <w:r>
            <w:rPr>
              <w:rFonts w:hint="eastAsia" w:ascii="宋体" w:hAnsi="宋体" w:eastAsia="宋体" w:cs="宋体"/>
              <w:szCs w:val="30"/>
            </w:rPr>
            <w:t>投标人关联单位的说明</w:t>
          </w:r>
          <w:r>
            <w:rPr>
              <w:rFonts w:hint="eastAsia" w:ascii="宋体" w:hAnsi="宋体" w:eastAsia="宋体" w:cs="宋体"/>
              <w:szCs w:val="30"/>
              <w:lang w:val="en-US" w:eastAsia="zh-CN"/>
            </w:rPr>
            <w:t>(格式自拟)</w:t>
          </w:r>
          <w:r>
            <w:tab/>
          </w:r>
          <w:r>
            <w:fldChar w:fldCharType="begin"/>
          </w:r>
          <w:r>
            <w:instrText xml:space="preserve"> PAGEREF _Toc15177 \h </w:instrText>
          </w:r>
          <w:r>
            <w:fldChar w:fldCharType="separate"/>
          </w:r>
          <w:r>
            <w:t>50</w:t>
          </w:r>
          <w:r>
            <w:fldChar w:fldCharType="end"/>
          </w:r>
          <w:r>
            <w:rPr>
              <w:rFonts w:hint="eastAsia" w:ascii="宋体" w:hAnsi="宋体" w:eastAsia="宋体" w:cs="宋体"/>
              <w:szCs w:val="36"/>
            </w:rPr>
            <w:fldChar w:fldCharType="end"/>
          </w:r>
        </w:p>
        <w:p w14:paraId="1E057457">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_Toc15778 </w:instrText>
          </w:r>
          <w:r>
            <w:rPr>
              <w:rFonts w:hint="eastAsia" w:ascii="宋体" w:hAnsi="宋体" w:eastAsia="宋体" w:cs="宋体"/>
              <w:szCs w:val="36"/>
            </w:rPr>
            <w:fldChar w:fldCharType="separate"/>
          </w:r>
          <w:r>
            <w:rPr>
              <w:rFonts w:hint="eastAsia" w:ascii="宋体" w:hAnsi="宋体" w:eastAsia="宋体" w:cs="宋体"/>
              <w:kern w:val="2"/>
              <w:szCs w:val="30"/>
              <w:lang w:val="en-US" w:eastAsia="zh-CN" w:bidi="ar-SA"/>
            </w:rPr>
            <w:t>7、政府采购诚信投标承诺书</w:t>
          </w:r>
          <w:r>
            <w:tab/>
          </w:r>
          <w:r>
            <w:fldChar w:fldCharType="begin"/>
          </w:r>
          <w:r>
            <w:instrText xml:space="preserve"> PAGEREF _Toc15778 \h </w:instrText>
          </w:r>
          <w:r>
            <w:fldChar w:fldCharType="separate"/>
          </w:r>
          <w:r>
            <w:t>51</w:t>
          </w:r>
          <w:r>
            <w:fldChar w:fldCharType="end"/>
          </w:r>
          <w:r>
            <w:rPr>
              <w:rFonts w:hint="eastAsia" w:ascii="宋体" w:hAnsi="宋体" w:eastAsia="宋体" w:cs="宋体"/>
              <w:szCs w:val="36"/>
            </w:rPr>
            <w:fldChar w:fldCharType="end"/>
          </w:r>
        </w:p>
        <w:p w14:paraId="69475909">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_Toc10557 </w:instrText>
          </w:r>
          <w:r>
            <w:rPr>
              <w:rFonts w:hint="eastAsia" w:ascii="宋体" w:hAnsi="宋体" w:eastAsia="宋体" w:cs="宋体"/>
              <w:szCs w:val="36"/>
            </w:rPr>
            <w:fldChar w:fldCharType="separate"/>
          </w:r>
          <w:r>
            <w:rPr>
              <w:rFonts w:hint="eastAsia" w:ascii="宋体" w:hAnsi="宋体" w:cs="宋体"/>
              <w:kern w:val="2"/>
              <w:szCs w:val="30"/>
              <w:lang w:val="en-US" w:eastAsia="zh-CN" w:bidi="ar-SA"/>
            </w:rPr>
            <w:t>8、项目主要人员一览表</w:t>
          </w:r>
          <w:r>
            <w:tab/>
          </w:r>
          <w:r>
            <w:fldChar w:fldCharType="begin"/>
          </w:r>
          <w:r>
            <w:instrText xml:space="preserve"> PAGEREF _Toc10557 \h </w:instrText>
          </w:r>
          <w:r>
            <w:fldChar w:fldCharType="separate"/>
          </w:r>
          <w:r>
            <w:t>52</w:t>
          </w:r>
          <w:r>
            <w:fldChar w:fldCharType="end"/>
          </w:r>
          <w:r>
            <w:rPr>
              <w:rFonts w:hint="eastAsia" w:ascii="宋体" w:hAnsi="宋体" w:eastAsia="宋体" w:cs="宋体"/>
              <w:szCs w:val="36"/>
            </w:rPr>
            <w:fldChar w:fldCharType="end"/>
          </w:r>
        </w:p>
        <w:p w14:paraId="10CFF851">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_Toc29283 </w:instrText>
          </w:r>
          <w:r>
            <w:rPr>
              <w:rFonts w:hint="eastAsia" w:ascii="宋体" w:hAnsi="宋体" w:eastAsia="宋体" w:cs="宋体"/>
              <w:szCs w:val="36"/>
            </w:rPr>
            <w:fldChar w:fldCharType="separate"/>
          </w:r>
          <w:r>
            <w:rPr>
              <w:rFonts w:hint="eastAsia" w:ascii="宋体" w:hAnsi="宋体" w:cs="宋体"/>
              <w:kern w:val="2"/>
              <w:szCs w:val="30"/>
              <w:lang w:val="en-US" w:eastAsia="zh-CN" w:bidi="ar-SA"/>
            </w:rPr>
            <w:t>9、技术方案</w:t>
          </w:r>
          <w:r>
            <w:tab/>
          </w:r>
          <w:r>
            <w:fldChar w:fldCharType="begin"/>
          </w:r>
          <w:r>
            <w:instrText xml:space="preserve"> PAGEREF _Toc29283 \h </w:instrText>
          </w:r>
          <w:r>
            <w:fldChar w:fldCharType="separate"/>
          </w:r>
          <w:r>
            <w:t>53</w:t>
          </w:r>
          <w:r>
            <w:fldChar w:fldCharType="end"/>
          </w:r>
          <w:r>
            <w:rPr>
              <w:rFonts w:hint="eastAsia" w:ascii="宋体" w:hAnsi="宋体" w:eastAsia="宋体" w:cs="宋体"/>
              <w:szCs w:val="36"/>
            </w:rPr>
            <w:fldChar w:fldCharType="end"/>
          </w:r>
        </w:p>
        <w:p w14:paraId="2E3B5868">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_Toc1852 </w:instrText>
          </w:r>
          <w:r>
            <w:rPr>
              <w:rFonts w:hint="eastAsia" w:ascii="宋体" w:hAnsi="宋体" w:eastAsia="宋体" w:cs="宋体"/>
              <w:szCs w:val="36"/>
            </w:rPr>
            <w:fldChar w:fldCharType="separate"/>
          </w:r>
          <w:r>
            <w:rPr>
              <w:rFonts w:hint="eastAsia" w:ascii="宋体" w:hAnsi="宋体" w:cs="宋体"/>
              <w:kern w:val="2"/>
              <w:szCs w:val="30"/>
              <w:lang w:val="en-US" w:eastAsia="zh-CN" w:bidi="ar-SA"/>
            </w:rPr>
            <w:t>10、投标人认为有利于投标的其他证明材料</w:t>
          </w:r>
          <w:r>
            <w:tab/>
          </w:r>
          <w:r>
            <w:fldChar w:fldCharType="begin"/>
          </w:r>
          <w:r>
            <w:instrText xml:space="preserve"> PAGEREF _Toc1852 \h </w:instrText>
          </w:r>
          <w:r>
            <w:fldChar w:fldCharType="separate"/>
          </w:r>
          <w:r>
            <w:t>54</w:t>
          </w:r>
          <w:r>
            <w:fldChar w:fldCharType="end"/>
          </w:r>
          <w:r>
            <w:rPr>
              <w:rFonts w:hint="eastAsia" w:ascii="宋体" w:hAnsi="宋体" w:eastAsia="宋体" w:cs="宋体"/>
              <w:szCs w:val="36"/>
            </w:rPr>
            <w:fldChar w:fldCharType="end"/>
          </w:r>
        </w:p>
        <w:p w14:paraId="5EDFDCE4">
          <w:pPr>
            <w:pStyle w:val="1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_Toc31556 </w:instrText>
          </w:r>
          <w:r>
            <w:rPr>
              <w:rFonts w:hint="eastAsia" w:ascii="宋体" w:hAnsi="宋体" w:eastAsia="宋体" w:cs="宋体"/>
              <w:szCs w:val="36"/>
            </w:rPr>
            <w:fldChar w:fldCharType="separate"/>
          </w:r>
          <w:r>
            <w:rPr>
              <w:rFonts w:hint="eastAsia" w:ascii="宋体" w:hAnsi="宋体" w:cs="宋体"/>
              <w:kern w:val="2"/>
              <w:szCs w:val="30"/>
              <w:lang w:val="en-US" w:eastAsia="zh-CN" w:bidi="ar-SA"/>
            </w:rPr>
            <w:t>11、投标文件封皮</w:t>
          </w:r>
          <w:r>
            <w:tab/>
          </w:r>
          <w:r>
            <w:fldChar w:fldCharType="begin"/>
          </w:r>
          <w:r>
            <w:instrText xml:space="preserve"> PAGEREF _Toc31556 \h </w:instrText>
          </w:r>
          <w:r>
            <w:fldChar w:fldCharType="separate"/>
          </w:r>
          <w:r>
            <w:t>55</w:t>
          </w:r>
          <w:r>
            <w:fldChar w:fldCharType="end"/>
          </w:r>
          <w:r>
            <w:rPr>
              <w:rFonts w:hint="eastAsia" w:ascii="宋体" w:hAnsi="宋体" w:eastAsia="宋体" w:cs="宋体"/>
              <w:szCs w:val="36"/>
            </w:rPr>
            <w:fldChar w:fldCharType="end"/>
          </w:r>
        </w:p>
        <w:p w14:paraId="76B83B1D">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_Toc15653 </w:instrText>
          </w:r>
          <w:r>
            <w:rPr>
              <w:rFonts w:hint="eastAsia" w:ascii="宋体" w:hAnsi="宋体" w:eastAsia="宋体" w:cs="宋体"/>
              <w:szCs w:val="36"/>
            </w:rPr>
            <w:fldChar w:fldCharType="separate"/>
          </w:r>
          <w:r>
            <w:rPr>
              <w:rFonts w:hint="eastAsia"/>
              <w:szCs w:val="28"/>
              <w:lang w:val="en-US" w:eastAsia="zh-CN"/>
            </w:rPr>
            <w:t>第二册</w:t>
          </w:r>
          <w:r>
            <w:tab/>
          </w:r>
          <w:r>
            <w:fldChar w:fldCharType="begin"/>
          </w:r>
          <w:r>
            <w:instrText xml:space="preserve"> PAGEREF _Toc15653 \h </w:instrText>
          </w:r>
          <w:r>
            <w:fldChar w:fldCharType="separate"/>
          </w:r>
          <w:r>
            <w:t>56</w:t>
          </w:r>
          <w:r>
            <w:fldChar w:fldCharType="end"/>
          </w:r>
          <w:r>
            <w:rPr>
              <w:rFonts w:hint="eastAsia" w:ascii="宋体" w:hAnsi="宋体" w:eastAsia="宋体" w:cs="宋体"/>
              <w:szCs w:val="36"/>
            </w:rPr>
            <w:fldChar w:fldCharType="end"/>
          </w:r>
        </w:p>
        <w:p w14:paraId="74AC7083">
          <w:pPr>
            <w:pStyle w:val="2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_Toc15491 </w:instrText>
          </w:r>
          <w:r>
            <w:rPr>
              <w:rFonts w:hint="eastAsia" w:ascii="宋体" w:hAnsi="宋体" w:eastAsia="宋体" w:cs="宋体"/>
              <w:szCs w:val="36"/>
            </w:rPr>
            <w:fldChar w:fldCharType="separate"/>
          </w:r>
          <w:r>
            <w:rPr>
              <w:rFonts w:hint="eastAsia" w:ascii="宋体" w:hAnsi="宋体" w:eastAsia="宋体" w:cs="宋体"/>
              <w:szCs w:val="32"/>
              <w:lang w:val="en-US" w:eastAsia="zh-CN"/>
            </w:rPr>
            <w:t>第三章 招标公告</w:t>
          </w:r>
          <w:r>
            <w:tab/>
          </w:r>
          <w:r>
            <w:fldChar w:fldCharType="begin"/>
          </w:r>
          <w:r>
            <w:instrText xml:space="preserve"> PAGEREF _Toc15491 \h </w:instrText>
          </w:r>
          <w:r>
            <w:fldChar w:fldCharType="separate"/>
          </w:r>
          <w:r>
            <w:t>57</w:t>
          </w:r>
          <w:r>
            <w:fldChar w:fldCharType="end"/>
          </w:r>
          <w:r>
            <w:rPr>
              <w:rFonts w:hint="eastAsia" w:ascii="宋体" w:hAnsi="宋体" w:eastAsia="宋体" w:cs="宋体"/>
              <w:szCs w:val="36"/>
            </w:rPr>
            <w:fldChar w:fldCharType="end"/>
          </w:r>
        </w:p>
        <w:p w14:paraId="45B61E2F">
          <w:pPr>
            <w:pStyle w:val="2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_Toc21147 </w:instrText>
          </w:r>
          <w:r>
            <w:rPr>
              <w:rFonts w:hint="eastAsia" w:ascii="宋体" w:hAnsi="宋体" w:eastAsia="宋体" w:cs="宋体"/>
              <w:szCs w:val="36"/>
            </w:rPr>
            <w:fldChar w:fldCharType="separate"/>
          </w:r>
          <w:r>
            <w:rPr>
              <w:rFonts w:hint="eastAsia" w:ascii="宋体" w:hAnsi="宋体" w:eastAsia="宋体" w:cs="宋体"/>
              <w:szCs w:val="32"/>
            </w:rPr>
            <w:t>第四章 投标人须知资料表</w:t>
          </w:r>
          <w:r>
            <w:tab/>
          </w:r>
          <w:r>
            <w:fldChar w:fldCharType="begin"/>
          </w:r>
          <w:r>
            <w:instrText xml:space="preserve"> PAGEREF _Toc21147 \h </w:instrText>
          </w:r>
          <w:r>
            <w:fldChar w:fldCharType="separate"/>
          </w:r>
          <w:r>
            <w:t>61</w:t>
          </w:r>
          <w:r>
            <w:fldChar w:fldCharType="end"/>
          </w:r>
          <w:r>
            <w:rPr>
              <w:rFonts w:hint="eastAsia" w:ascii="宋体" w:hAnsi="宋体" w:eastAsia="宋体" w:cs="宋体"/>
              <w:szCs w:val="36"/>
            </w:rPr>
            <w:fldChar w:fldCharType="end"/>
          </w:r>
        </w:p>
        <w:p w14:paraId="2974A773">
          <w:pPr>
            <w:pStyle w:val="2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_Toc27179 </w:instrText>
          </w:r>
          <w:r>
            <w:rPr>
              <w:rFonts w:hint="eastAsia" w:ascii="宋体" w:hAnsi="宋体" w:eastAsia="宋体" w:cs="宋体"/>
              <w:szCs w:val="36"/>
            </w:rPr>
            <w:fldChar w:fldCharType="separate"/>
          </w:r>
          <w:r>
            <w:rPr>
              <w:rFonts w:hint="eastAsia" w:ascii="宋体" w:hAnsi="宋体" w:cs="宋体"/>
              <w:kern w:val="2"/>
              <w:szCs w:val="30"/>
              <w:lang w:val="en-US" w:eastAsia="zh-CN" w:bidi="ar-SA"/>
            </w:rPr>
            <w:t>第五章 采购需求</w:t>
          </w:r>
          <w:r>
            <w:tab/>
          </w:r>
          <w:r>
            <w:fldChar w:fldCharType="begin"/>
          </w:r>
          <w:r>
            <w:instrText xml:space="preserve"> PAGEREF _Toc27179 \h </w:instrText>
          </w:r>
          <w:r>
            <w:fldChar w:fldCharType="separate"/>
          </w:r>
          <w:r>
            <w:t>67</w:t>
          </w:r>
          <w:r>
            <w:fldChar w:fldCharType="end"/>
          </w:r>
          <w:r>
            <w:rPr>
              <w:rFonts w:hint="eastAsia" w:ascii="宋体" w:hAnsi="宋体" w:eastAsia="宋体" w:cs="宋体"/>
              <w:szCs w:val="36"/>
            </w:rPr>
            <w:fldChar w:fldCharType="end"/>
          </w:r>
        </w:p>
        <w:p w14:paraId="674210BD">
          <w:pPr>
            <w:pStyle w:val="2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_Toc4773 </w:instrText>
          </w:r>
          <w:r>
            <w:rPr>
              <w:rFonts w:hint="eastAsia" w:ascii="宋体" w:hAnsi="宋体" w:eastAsia="宋体" w:cs="宋体"/>
              <w:szCs w:val="36"/>
            </w:rPr>
            <w:fldChar w:fldCharType="separate"/>
          </w:r>
          <w:r>
            <w:rPr>
              <w:rFonts w:hint="eastAsia" w:ascii="宋体" w:hAnsi="宋体" w:eastAsia="宋体" w:cs="宋体"/>
              <w:szCs w:val="32"/>
            </w:rPr>
            <w:t>第</w:t>
          </w:r>
          <w:r>
            <w:rPr>
              <w:rFonts w:hint="eastAsia" w:ascii="宋体" w:hAnsi="宋体" w:eastAsia="宋体" w:cs="宋体"/>
              <w:szCs w:val="32"/>
              <w:lang w:val="en-US" w:eastAsia="zh-CN"/>
            </w:rPr>
            <w:t>六</w:t>
          </w:r>
          <w:r>
            <w:rPr>
              <w:rFonts w:hint="eastAsia" w:ascii="宋体" w:hAnsi="宋体" w:eastAsia="宋体" w:cs="宋体"/>
              <w:szCs w:val="32"/>
            </w:rPr>
            <w:t>章 评标方法和标准</w:t>
          </w:r>
          <w:r>
            <w:tab/>
          </w:r>
          <w:r>
            <w:fldChar w:fldCharType="begin"/>
          </w:r>
          <w:r>
            <w:instrText xml:space="preserve"> PAGEREF _Toc4773 \h </w:instrText>
          </w:r>
          <w:r>
            <w:fldChar w:fldCharType="separate"/>
          </w:r>
          <w:r>
            <w:t>127</w:t>
          </w:r>
          <w:r>
            <w:fldChar w:fldCharType="end"/>
          </w:r>
          <w:r>
            <w:rPr>
              <w:rFonts w:hint="eastAsia" w:ascii="宋体" w:hAnsi="宋体" w:eastAsia="宋体" w:cs="宋体"/>
              <w:szCs w:val="36"/>
            </w:rPr>
            <w:fldChar w:fldCharType="end"/>
          </w:r>
        </w:p>
        <w:p w14:paraId="450E6837">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_Toc6194 </w:instrText>
          </w:r>
          <w:r>
            <w:rPr>
              <w:rFonts w:hint="eastAsia" w:ascii="宋体" w:hAnsi="宋体" w:eastAsia="宋体" w:cs="宋体"/>
              <w:szCs w:val="36"/>
            </w:rPr>
            <w:fldChar w:fldCharType="separate"/>
          </w:r>
          <w:r>
            <w:rPr>
              <w:rFonts w:hint="default" w:ascii="Arial" w:hAnsi="Arial" w:eastAsia="宋体" w:cs="Arial"/>
              <w:bCs/>
              <w:szCs w:val="40"/>
              <w:lang w:val="en-US" w:eastAsia="zh-CN"/>
            </w:rPr>
            <w:t>第三册</w:t>
          </w:r>
          <w:r>
            <w:tab/>
          </w:r>
          <w:r>
            <w:fldChar w:fldCharType="begin"/>
          </w:r>
          <w:r>
            <w:instrText xml:space="preserve"> PAGEREF _Toc6194 \h </w:instrText>
          </w:r>
          <w:r>
            <w:fldChar w:fldCharType="separate"/>
          </w:r>
          <w:r>
            <w:t>140</w:t>
          </w:r>
          <w:r>
            <w:fldChar w:fldCharType="end"/>
          </w:r>
          <w:r>
            <w:rPr>
              <w:rFonts w:hint="eastAsia" w:ascii="宋体" w:hAnsi="宋体" w:eastAsia="宋体" w:cs="宋体"/>
              <w:szCs w:val="36"/>
            </w:rPr>
            <w:fldChar w:fldCharType="end"/>
          </w:r>
        </w:p>
        <w:p w14:paraId="1E441401">
          <w:pPr>
            <w:pStyle w:val="23"/>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Cs w:val="36"/>
            </w:rPr>
            <w:fldChar w:fldCharType="begin"/>
          </w:r>
          <w:r>
            <w:rPr>
              <w:rFonts w:hint="eastAsia" w:ascii="宋体" w:hAnsi="宋体" w:eastAsia="宋体" w:cs="宋体"/>
              <w:szCs w:val="36"/>
            </w:rPr>
            <w:instrText xml:space="preserve"> HYPERLINK \l _Toc27690 </w:instrText>
          </w:r>
          <w:r>
            <w:rPr>
              <w:rFonts w:hint="eastAsia" w:ascii="宋体" w:hAnsi="宋体" w:eastAsia="宋体" w:cs="宋体"/>
              <w:szCs w:val="36"/>
            </w:rPr>
            <w:fldChar w:fldCharType="separate"/>
          </w:r>
          <w:r>
            <w:rPr>
              <w:rFonts w:hint="eastAsia" w:asciiTheme="minorEastAsia" w:hAnsiTheme="minorEastAsia" w:eastAsiaTheme="minorEastAsia" w:cstheme="minorEastAsia"/>
              <w:bCs/>
              <w:szCs w:val="24"/>
              <w:lang w:val="en-US" w:eastAsia="zh-CN"/>
            </w:rPr>
            <w:t>第七章 政府采购合同格式</w:t>
          </w:r>
          <w:r>
            <w:tab/>
          </w:r>
          <w:r>
            <w:fldChar w:fldCharType="begin"/>
          </w:r>
          <w:r>
            <w:instrText xml:space="preserve"> PAGEREF _Toc27690 \h </w:instrText>
          </w:r>
          <w:r>
            <w:fldChar w:fldCharType="separate"/>
          </w:r>
          <w:r>
            <w:t>140</w:t>
          </w:r>
          <w:r>
            <w:fldChar w:fldCharType="end"/>
          </w:r>
          <w:r>
            <w:rPr>
              <w:rFonts w:hint="eastAsia" w:ascii="宋体" w:hAnsi="宋体" w:eastAsia="宋体" w:cs="宋体"/>
              <w:szCs w:val="36"/>
            </w:rPr>
            <w:fldChar w:fldCharType="end"/>
          </w:r>
        </w:p>
        <w:p w14:paraId="3719ED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36"/>
              <w:lang w:val="en-US" w:eastAsia="en-US" w:bidi="ar-SA"/>
            </w:rPr>
          </w:pPr>
          <w:r>
            <w:rPr>
              <w:rFonts w:hint="eastAsia" w:ascii="宋体" w:hAnsi="宋体" w:eastAsia="宋体" w:cs="宋体"/>
              <w:szCs w:val="36"/>
            </w:rPr>
            <w:fldChar w:fldCharType="end"/>
          </w:r>
        </w:p>
      </w:sdtContent>
    </w:sdt>
    <w:p w14:paraId="44FBDC1F">
      <w:pPr>
        <w:rPr>
          <w:rFonts w:hint="eastAsia" w:ascii="宋体" w:hAnsi="宋体" w:eastAsia="宋体" w:cs="宋体"/>
          <w:snapToGrid w:val="0"/>
          <w:color w:val="000000"/>
          <w:kern w:val="0"/>
          <w:sz w:val="21"/>
          <w:szCs w:val="36"/>
          <w:lang w:val="en-US" w:eastAsia="en-US" w:bidi="ar-SA"/>
        </w:rPr>
      </w:pPr>
    </w:p>
    <w:p w14:paraId="58FC029C">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bookmarkStart w:id="0" w:name="_Toc518923059"/>
      <w:bookmarkStart w:id="1" w:name="_Toc10047"/>
      <w:bookmarkStart w:id="2" w:name="_Toc24295"/>
      <w:bookmarkStart w:id="3" w:name="_Toc9228"/>
      <w:bookmarkStart w:id="4" w:name="_Toc216582804"/>
      <w:bookmarkStart w:id="5" w:name="_Toc2893"/>
      <w:bookmarkStart w:id="6" w:name="_Toc7254"/>
      <w:r>
        <w:rPr>
          <w:rStyle w:val="30"/>
          <w:rFonts w:hint="eastAsia"/>
          <w:sz w:val="36"/>
          <w:szCs w:val="21"/>
          <w:lang w:val="en-US" w:eastAsia="zh-CN"/>
        </w:rPr>
        <w:br w:type="textWrapping"/>
      </w:r>
      <w:bookmarkStart w:id="7" w:name="_Toc6512"/>
      <w:bookmarkStart w:id="8" w:name="_Toc29192"/>
      <w:bookmarkStart w:id="9" w:name="_Toc2165"/>
    </w:p>
    <w:bookmarkEnd w:id="7"/>
    <w:bookmarkEnd w:id="8"/>
    <w:bookmarkEnd w:id="9"/>
    <w:p w14:paraId="395CBBAB">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6E25782B">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5C6600FF">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73F66B24">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2B2F494B">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47F159AE">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44ED7BBC">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63176453">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58B78C1B">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084E8B65">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6D787FC3">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30A7AB5D">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7968AEA0">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1052D827">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Style w:val="30"/>
          <w:rFonts w:hint="eastAsia"/>
          <w:sz w:val="36"/>
          <w:szCs w:val="21"/>
          <w:lang w:val="en-US" w:eastAsia="zh-CN"/>
        </w:rPr>
      </w:pPr>
      <w:bookmarkStart w:id="10" w:name="_Toc30916"/>
      <w:r>
        <w:rPr>
          <w:rStyle w:val="30"/>
          <w:rFonts w:hint="eastAsia"/>
          <w:sz w:val="48"/>
          <w:szCs w:val="28"/>
          <w:lang w:val="en-US" w:eastAsia="zh-CN"/>
        </w:rPr>
        <w:t>第一册</w:t>
      </w:r>
      <w:bookmarkEnd w:id="10"/>
    </w:p>
    <w:p w14:paraId="20B3607A">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1D372921">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49BADAE4">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72922F18">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146E0142">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12A8EABD">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2EE340F8">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23BDF592">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50FD121C">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eastAsia"/>
          <w:sz w:val="36"/>
          <w:szCs w:val="21"/>
          <w:lang w:val="en-US" w:eastAsia="zh-CN"/>
        </w:rPr>
      </w:pPr>
    </w:p>
    <w:p w14:paraId="76D21064">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6FA8031D">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eastAsia"/>
          <w:sz w:val="36"/>
          <w:szCs w:val="21"/>
          <w:lang w:val="en-US" w:eastAsia="zh-CN"/>
        </w:rPr>
      </w:pPr>
    </w:p>
    <w:p w14:paraId="2065D566">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宋体" w:hAnsi="宋体" w:eastAsia="宋体" w:cs="宋体"/>
          <w:sz w:val="28"/>
          <w:szCs w:val="28"/>
        </w:rPr>
      </w:pPr>
      <w:bookmarkStart w:id="11" w:name="_Toc6261"/>
      <w:r>
        <w:rPr>
          <w:rStyle w:val="30"/>
          <w:rFonts w:hint="eastAsia"/>
          <w:sz w:val="36"/>
          <w:szCs w:val="21"/>
          <w:lang w:val="en-US" w:eastAsia="zh-CN"/>
        </w:rPr>
        <w:t xml:space="preserve">第一章 </w:t>
      </w:r>
      <w:r>
        <w:rPr>
          <w:rStyle w:val="30"/>
          <w:rFonts w:hint="eastAsia"/>
          <w:sz w:val="36"/>
          <w:szCs w:val="21"/>
        </w:rPr>
        <w:t>投标人须知</w:t>
      </w:r>
      <w:bookmarkEnd w:id="0"/>
      <w:bookmarkEnd w:id="1"/>
      <w:bookmarkEnd w:id="2"/>
      <w:bookmarkEnd w:id="3"/>
      <w:bookmarkEnd w:id="4"/>
      <w:bookmarkEnd w:id="5"/>
      <w:bookmarkEnd w:id="6"/>
      <w:bookmarkEnd w:id="11"/>
    </w:p>
    <w:p w14:paraId="6C32C5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sz w:val="28"/>
          <w:szCs w:val="28"/>
        </w:rPr>
      </w:pPr>
      <w:bookmarkStart w:id="12" w:name="_Toc520356143"/>
      <w:bookmarkStart w:id="13" w:name="_Toc216582805"/>
      <w:bookmarkStart w:id="14" w:name="_Toc9485"/>
      <w:bookmarkStart w:id="15" w:name="_Toc24336"/>
      <w:bookmarkStart w:id="16" w:name="_Toc8331"/>
      <w:bookmarkStart w:id="17" w:name="_Toc22313"/>
      <w:bookmarkStart w:id="18" w:name="_Toc1699"/>
      <w:bookmarkStart w:id="19" w:name="_Toc518923060"/>
      <w:bookmarkStart w:id="20" w:name="_Toc29666"/>
      <w:r>
        <w:rPr>
          <w:rFonts w:hint="eastAsia" w:ascii="宋体" w:hAnsi="宋体" w:eastAsia="宋体" w:cs="宋体"/>
          <w:sz w:val="32"/>
          <w:szCs w:val="32"/>
        </w:rPr>
        <w:t>一</w:t>
      </w:r>
      <w:bookmarkEnd w:id="12"/>
      <w:bookmarkEnd w:id="13"/>
      <w:r>
        <w:rPr>
          <w:rFonts w:hint="eastAsia" w:ascii="宋体" w:hAnsi="宋体" w:eastAsia="宋体" w:cs="宋体"/>
          <w:sz w:val="32"/>
          <w:szCs w:val="32"/>
          <w:lang w:eastAsia="zh-CN"/>
        </w:rPr>
        <w:t>、</w:t>
      </w:r>
      <w:r>
        <w:rPr>
          <w:rFonts w:hint="eastAsia" w:ascii="宋体" w:hAnsi="宋体" w:eastAsia="宋体" w:cs="宋体"/>
          <w:sz w:val="32"/>
          <w:szCs w:val="32"/>
        </w:rPr>
        <w:t>总</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则</w:t>
      </w:r>
      <w:bookmarkEnd w:id="14"/>
      <w:bookmarkEnd w:id="15"/>
      <w:bookmarkEnd w:id="16"/>
      <w:bookmarkEnd w:id="17"/>
      <w:bookmarkEnd w:id="18"/>
      <w:bookmarkEnd w:id="19"/>
      <w:bookmarkEnd w:id="20"/>
    </w:p>
    <w:p w14:paraId="51F9911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1" w:name="_Toc520356144"/>
      <w:bookmarkStart w:id="22" w:name="_Toc1500"/>
      <w:bookmarkStart w:id="23" w:name="_Toc12013"/>
      <w:bookmarkStart w:id="24" w:name="_Toc11018"/>
      <w:bookmarkStart w:id="25" w:name="_Toc518923061"/>
      <w:bookmarkStart w:id="26" w:name="_Toc10238"/>
      <w:r>
        <w:rPr>
          <w:rFonts w:hint="eastAsia" w:ascii="宋体" w:hAnsi="宋体" w:eastAsia="宋体" w:cs="宋体"/>
          <w:sz w:val="24"/>
          <w:szCs w:val="24"/>
        </w:rPr>
        <w:t>1.采购人、采购代理机构及</w:t>
      </w:r>
      <w:bookmarkEnd w:id="21"/>
      <w:r>
        <w:rPr>
          <w:rFonts w:hint="eastAsia" w:ascii="宋体" w:hAnsi="宋体" w:eastAsia="宋体" w:cs="宋体"/>
          <w:sz w:val="24"/>
          <w:szCs w:val="24"/>
        </w:rPr>
        <w:t>投标人</w:t>
      </w:r>
      <w:bookmarkEnd w:id="22"/>
      <w:bookmarkEnd w:id="23"/>
      <w:bookmarkEnd w:id="24"/>
      <w:bookmarkEnd w:id="25"/>
      <w:bookmarkEnd w:id="26"/>
    </w:p>
    <w:p w14:paraId="77239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采购人：是指依法开展政府采购活动的国家机关、事业单位、团体组织。本项目的采购人见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4E7653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采购代理机构：是指集中采购机构或从事采购代理业务的社会中介机构。本项目的采购代理机构见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4D5180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投标人：是指向采购人提供货物、工程或者服务的法人、非法人组织或者自然人。本项目的投标人须满足以下条件：</w:t>
      </w:r>
    </w:p>
    <w:p w14:paraId="72E53DF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在中华人民共和国境内注册，能够独立承担民事责任，有生产或供应能力的本国供应商。</w:t>
      </w:r>
    </w:p>
    <w:p w14:paraId="075A624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1.3.2 具备《中华人民共和国政府采购法》第二十二条关于供应商条件的规定，遵守本项目采购人本级和上级财政部门政府采购的有关规定。</w:t>
      </w:r>
    </w:p>
    <w:p w14:paraId="11206B6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以采购代理机构认可的方式获得了本项目的招标文件。</w:t>
      </w:r>
    </w:p>
    <w:p w14:paraId="00E81EE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1.3.4 符合</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中规定的其他要求。</w:t>
      </w:r>
    </w:p>
    <w:p w14:paraId="3C54822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1.3.5 若</w:t>
      </w:r>
      <w:r>
        <w:rPr>
          <w:rFonts w:hint="eastAsia" w:ascii="宋体" w:hAnsi="宋体" w:eastAsia="宋体" w:cs="宋体"/>
          <w:sz w:val="24"/>
          <w:szCs w:val="24"/>
          <w:u w:val="single"/>
        </w:rPr>
        <w:t>投标人须知资料表</w:t>
      </w:r>
      <w:r>
        <w:rPr>
          <w:rFonts w:hint="eastAsia" w:ascii="宋体" w:hAnsi="宋体" w:eastAsia="宋体" w:cs="宋体"/>
          <w:sz w:val="24"/>
          <w:szCs w:val="24"/>
        </w:rPr>
        <w:t>中写明专门面向中小企业采购的，如投标人为非中小企业，其投标将被认定为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2AFFA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 如投标人须知资料表中允许联合体投标，对联合体规定如下：</w:t>
      </w:r>
    </w:p>
    <w:p w14:paraId="560C2C1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1.4.1 两个以上供应商可以组成一个投标联合体，以一个投标人的身份投标。</w:t>
      </w:r>
    </w:p>
    <w:p w14:paraId="3657FDE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1.4.2 联合体各方均应符合《中华人民共和国政府采购法》第二十二条规定的条件。</w:t>
      </w:r>
    </w:p>
    <w:p w14:paraId="1B899C7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1.4.3 采购人根据采购项目对投标人的特殊要求，联合体中至少应当有一方符合相关规定。</w:t>
      </w:r>
    </w:p>
    <w:p w14:paraId="47442A0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1.4.4 联合体各方应签订共同投标协议，明确约定联合体各方承担的工作和相应的责任，并将共同投标协议连同投标文件一并提交招标采购单位。</w:t>
      </w:r>
    </w:p>
    <w:p w14:paraId="2DE8E6B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大中型企业、其他自然人、法人或者非法人组织与小型、微型企业组成联合体共同参加投标，共同投标协议中应写明小型、微型企业的协议合同金额占到共同投标协议投标总金额的比例。</w:t>
      </w:r>
    </w:p>
    <w:p w14:paraId="7BBCC99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1.4.6 联合体中有同类资质的供应商按照联合体分工承担相同工作的，按照资质等级较低的供应商确定资质等级。</w:t>
      </w:r>
    </w:p>
    <w:p w14:paraId="2199839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440ED42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1.4.8 对联合体投标的其他资格要求见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733203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 单位负责人为同一人或者存在直接控股、管理关系的不同供应商，其相关投标将被认定为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31425B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 为本项目提供过整体设计、规范编制或者项目管理、监理、检测等服务的供应商，不得再参加本项目上述服务以外的其他采购活动。否则其投标将被认定为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149436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投标人在投标过程中不得向采购人提供或给予影响其正常决策行为的任何有价值物品或服务。一经发现，其投标将被认定为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206EC3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7" w:name="_Toc17198"/>
      <w:bookmarkStart w:id="28" w:name="_Toc518923062"/>
      <w:bookmarkStart w:id="29" w:name="_Toc2643"/>
      <w:bookmarkStart w:id="30" w:name="_Toc16778"/>
      <w:bookmarkStart w:id="31" w:name="_Toc17203"/>
      <w:r>
        <w:rPr>
          <w:rFonts w:hint="eastAsia" w:ascii="宋体" w:hAnsi="宋体" w:eastAsia="宋体" w:cs="宋体"/>
          <w:sz w:val="24"/>
          <w:szCs w:val="24"/>
        </w:rPr>
        <w:t>2.资金来源</w:t>
      </w:r>
      <w:bookmarkEnd w:id="27"/>
      <w:bookmarkEnd w:id="28"/>
      <w:bookmarkEnd w:id="29"/>
      <w:bookmarkEnd w:id="30"/>
      <w:bookmarkEnd w:id="31"/>
    </w:p>
    <w:p w14:paraId="452F33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本项目的采购人已获得足以支付本次招标后所签订的合同项下的资金（包括财政性资金和本项目采购中无法与财政性资金分割的非财政性资金）。</w:t>
      </w:r>
    </w:p>
    <w:p w14:paraId="0A5731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 项目预算金额和分项或分包最高限价见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0DD3ED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投标人报价超过招标文件规定的预算金额或者分项、分包最高限价的，其投标将被认定为</w:t>
      </w:r>
      <w:r>
        <w:rPr>
          <w:rFonts w:hint="eastAsia" w:ascii="宋体" w:hAnsi="宋体" w:eastAsia="宋体" w:cs="宋体"/>
          <w:b/>
          <w:bCs/>
          <w:color w:val="auto"/>
          <w:sz w:val="24"/>
          <w:szCs w:val="24"/>
        </w:rPr>
        <w:t>投标无效</w:t>
      </w:r>
      <w:r>
        <w:rPr>
          <w:rFonts w:hint="eastAsia" w:ascii="宋体" w:hAnsi="宋体" w:eastAsia="宋体" w:cs="宋体"/>
          <w:sz w:val="24"/>
          <w:szCs w:val="24"/>
        </w:rPr>
        <w:t>。</w:t>
      </w:r>
    </w:p>
    <w:p w14:paraId="5C4C93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32" w:name="_Toc14892"/>
      <w:bookmarkStart w:id="33" w:name="_Toc520356145"/>
      <w:bookmarkStart w:id="34" w:name="_Toc22756"/>
      <w:bookmarkStart w:id="35" w:name="_Toc28166"/>
      <w:bookmarkStart w:id="36" w:name="_Toc8131"/>
      <w:bookmarkStart w:id="37" w:name="_Toc518923063"/>
      <w:r>
        <w:rPr>
          <w:rFonts w:hint="eastAsia" w:ascii="宋体" w:hAnsi="宋体" w:eastAsia="宋体" w:cs="宋体"/>
          <w:sz w:val="24"/>
          <w:szCs w:val="24"/>
        </w:rPr>
        <w:t>3.投标费用</w:t>
      </w:r>
      <w:bookmarkEnd w:id="32"/>
      <w:bookmarkEnd w:id="33"/>
      <w:bookmarkEnd w:id="34"/>
      <w:bookmarkEnd w:id="35"/>
      <w:bookmarkEnd w:id="36"/>
      <w:bookmarkEnd w:id="37"/>
    </w:p>
    <w:p w14:paraId="2C9741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不论投标的结果如何，投标人应承担所有与准备和参加投标有关的费用。</w:t>
      </w:r>
    </w:p>
    <w:p w14:paraId="706BE15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38" w:name="_Toc30739"/>
      <w:bookmarkStart w:id="39" w:name="_Toc32365"/>
      <w:bookmarkStart w:id="40" w:name="_Toc518923064"/>
      <w:bookmarkStart w:id="41" w:name="_Toc26306"/>
      <w:bookmarkStart w:id="42" w:name="_Toc5342"/>
      <w:r>
        <w:rPr>
          <w:rFonts w:hint="eastAsia" w:ascii="宋体" w:hAnsi="宋体" w:eastAsia="宋体" w:cs="宋体"/>
          <w:sz w:val="24"/>
          <w:szCs w:val="24"/>
        </w:rPr>
        <w:t>4.适用法律</w:t>
      </w:r>
      <w:bookmarkEnd w:id="38"/>
      <w:bookmarkEnd w:id="39"/>
      <w:bookmarkEnd w:id="40"/>
      <w:bookmarkEnd w:id="41"/>
      <w:bookmarkEnd w:id="42"/>
    </w:p>
    <w:p w14:paraId="3F293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4F8383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bookmarkStart w:id="43" w:name="_Toc26474"/>
      <w:bookmarkStart w:id="44" w:name="_Toc4348"/>
      <w:bookmarkStart w:id="45" w:name="_Toc30516"/>
      <w:bookmarkStart w:id="46" w:name="_Toc520356146"/>
      <w:bookmarkStart w:id="47" w:name="_Toc216582806"/>
      <w:bookmarkStart w:id="48" w:name="_Toc518923065"/>
      <w:bookmarkStart w:id="49" w:name="_Toc809"/>
    </w:p>
    <w:p w14:paraId="1C678B2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sz w:val="32"/>
          <w:szCs w:val="32"/>
        </w:rPr>
      </w:pPr>
      <w:bookmarkStart w:id="50" w:name="_Toc22921"/>
      <w:bookmarkStart w:id="51" w:name="_Toc24219"/>
      <w:r>
        <w:rPr>
          <w:rFonts w:hint="eastAsia" w:ascii="宋体" w:hAnsi="宋体" w:eastAsia="宋体" w:cs="宋体"/>
          <w:sz w:val="32"/>
          <w:szCs w:val="32"/>
        </w:rPr>
        <w:t>二</w:t>
      </w:r>
      <w:r>
        <w:rPr>
          <w:rFonts w:hint="eastAsia" w:ascii="宋体" w:hAnsi="宋体" w:eastAsia="宋体" w:cs="宋体"/>
          <w:sz w:val="32"/>
          <w:szCs w:val="32"/>
          <w:lang w:eastAsia="zh-CN"/>
        </w:rPr>
        <w:t>、</w:t>
      </w:r>
      <w:r>
        <w:rPr>
          <w:rFonts w:hint="eastAsia" w:ascii="宋体" w:hAnsi="宋体" w:eastAsia="宋体" w:cs="宋体"/>
          <w:sz w:val="32"/>
          <w:szCs w:val="32"/>
        </w:rPr>
        <w:t>招标文件</w:t>
      </w:r>
      <w:bookmarkEnd w:id="43"/>
      <w:bookmarkEnd w:id="44"/>
      <w:bookmarkEnd w:id="45"/>
      <w:bookmarkEnd w:id="46"/>
      <w:bookmarkEnd w:id="47"/>
      <w:bookmarkEnd w:id="48"/>
      <w:bookmarkEnd w:id="49"/>
      <w:bookmarkEnd w:id="50"/>
      <w:bookmarkEnd w:id="51"/>
    </w:p>
    <w:p w14:paraId="2CAEB3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52" w:name="_Toc11127"/>
      <w:bookmarkStart w:id="53" w:name="_Toc5195"/>
      <w:bookmarkStart w:id="54" w:name="_Toc30368"/>
      <w:bookmarkStart w:id="55" w:name="_Toc22990"/>
      <w:bookmarkStart w:id="56" w:name="_Toc518923066"/>
      <w:bookmarkStart w:id="57" w:name="_Toc520356147"/>
      <w:r>
        <w:rPr>
          <w:rFonts w:hint="eastAsia" w:ascii="宋体" w:hAnsi="宋体" w:eastAsia="宋体" w:cs="宋体"/>
          <w:sz w:val="24"/>
          <w:szCs w:val="24"/>
        </w:rPr>
        <w:t>5.招标文件构成</w:t>
      </w:r>
      <w:bookmarkEnd w:id="52"/>
      <w:bookmarkEnd w:id="53"/>
      <w:bookmarkEnd w:id="54"/>
      <w:bookmarkEnd w:id="55"/>
      <w:bookmarkEnd w:id="56"/>
      <w:bookmarkEnd w:id="57"/>
    </w:p>
    <w:p w14:paraId="187D2D8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招标文件共7章，内容如下：</w:t>
      </w:r>
    </w:p>
    <w:p w14:paraId="73D8C6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第1章 投标人须知</w:t>
      </w:r>
    </w:p>
    <w:p w14:paraId="147610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第2章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投标文件格式</w:t>
      </w:r>
    </w:p>
    <w:p w14:paraId="4034C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 xml:space="preserve">第3章 </w:t>
      </w:r>
      <w:r>
        <w:rPr>
          <w:rFonts w:hint="eastAsia" w:ascii="宋体" w:hAnsi="宋体" w:cs="宋体"/>
          <w:sz w:val="24"/>
          <w:szCs w:val="24"/>
          <w:lang w:val="en-US" w:eastAsia="zh-CN"/>
        </w:rPr>
        <w:t>招标公告</w:t>
      </w:r>
    </w:p>
    <w:p w14:paraId="69985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第4章 投标人须知资料表</w:t>
      </w:r>
    </w:p>
    <w:p w14:paraId="06BEDA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第5章 </w:t>
      </w:r>
      <w:r>
        <w:rPr>
          <w:rFonts w:hint="eastAsia" w:ascii="宋体" w:hAnsi="宋体" w:eastAsia="宋体" w:cs="宋体"/>
          <w:sz w:val="24"/>
          <w:szCs w:val="24"/>
          <w:lang w:val="en-US" w:eastAsia="zh-CN"/>
        </w:rPr>
        <w:t>采购需求</w:t>
      </w:r>
    </w:p>
    <w:p w14:paraId="4A3BF3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第6章 评标方法和标准</w:t>
      </w:r>
    </w:p>
    <w:p w14:paraId="4AEF0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第7章 政府采购合同格式</w:t>
      </w:r>
    </w:p>
    <w:p w14:paraId="2234E2A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如本文件的前后内容不一致，以最后描述为准。</w:t>
      </w:r>
    </w:p>
    <w:p w14:paraId="1A88311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BE68D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58" w:name="_Toc520356148"/>
      <w:bookmarkStart w:id="59" w:name="_Toc518923067"/>
      <w:bookmarkStart w:id="60" w:name="_Toc25261"/>
      <w:bookmarkStart w:id="61" w:name="_Toc21314"/>
      <w:bookmarkStart w:id="62" w:name="_Toc3735"/>
      <w:bookmarkStart w:id="63" w:name="_Toc7965"/>
      <w:r>
        <w:rPr>
          <w:rFonts w:hint="eastAsia" w:ascii="宋体" w:hAnsi="宋体" w:eastAsia="宋体" w:cs="宋体"/>
          <w:sz w:val="24"/>
          <w:szCs w:val="24"/>
        </w:rPr>
        <w:t>6.招标文件的澄清</w:t>
      </w:r>
      <w:bookmarkEnd w:id="58"/>
      <w:r>
        <w:rPr>
          <w:rFonts w:hint="eastAsia" w:ascii="宋体" w:hAnsi="宋体" w:eastAsia="宋体" w:cs="宋体"/>
          <w:sz w:val="24"/>
          <w:szCs w:val="24"/>
        </w:rPr>
        <w:t>与修改</w:t>
      </w:r>
      <w:bookmarkEnd w:id="59"/>
      <w:bookmarkEnd w:id="60"/>
      <w:bookmarkEnd w:id="61"/>
      <w:bookmarkEnd w:id="62"/>
      <w:bookmarkEnd w:id="63"/>
    </w:p>
    <w:p w14:paraId="370C13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 为了保证对招标文件的澄清和修改满足法律的时限要求，任何要求对招标文件进行澄清的投标人，均应在</w:t>
      </w:r>
      <w:r>
        <w:rPr>
          <w:rFonts w:hint="eastAsia" w:ascii="宋体" w:hAnsi="宋体" w:eastAsia="宋体" w:cs="宋体"/>
          <w:b/>
          <w:bCs/>
          <w:sz w:val="24"/>
          <w:szCs w:val="24"/>
        </w:rPr>
        <w:t>投标截止期十五日前</w:t>
      </w:r>
      <w:r>
        <w:rPr>
          <w:rFonts w:hint="eastAsia" w:ascii="宋体" w:hAnsi="宋体" w:eastAsia="宋体" w:cs="宋体"/>
          <w:sz w:val="24"/>
          <w:szCs w:val="24"/>
        </w:rPr>
        <w:t>，以书面形式将澄清要求通知采购人或采购代理机构。</w:t>
      </w:r>
    </w:p>
    <w:p w14:paraId="100A1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64" w:name="_Toc520356149"/>
      <w:bookmarkStart w:id="65" w:name="_Ref467378678"/>
      <w:r>
        <w:rPr>
          <w:rFonts w:hint="eastAsia" w:ascii="宋体" w:hAnsi="宋体" w:eastAsia="宋体" w:cs="宋体"/>
          <w:sz w:val="24"/>
          <w:szCs w:val="24"/>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采购人可主动地或在解答投标人提出的澄清问题时对招标文件澄清或修改。采购代理机构将以发布澄清（更正）公告的方式，澄清或修改招标文件，澄清或修改内容作为招标文件的组成部分。</w:t>
      </w:r>
    </w:p>
    <w:p w14:paraId="6481D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澄清或者修改的内容可能影响投标文件编制的，采购代理机构将以发布澄清（更正）公告的方式告知所有潜在投标人，并对其具有约束力。</w:t>
      </w:r>
    </w:p>
    <w:p w14:paraId="3CA52F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66" w:name="_Toc17979"/>
      <w:bookmarkStart w:id="67" w:name="_Toc9017"/>
      <w:bookmarkStart w:id="68" w:name="_Toc518923068"/>
      <w:bookmarkStart w:id="69" w:name="_Toc10994"/>
      <w:bookmarkStart w:id="70" w:name="_Toc13430"/>
      <w:r>
        <w:rPr>
          <w:rFonts w:hint="eastAsia" w:ascii="宋体" w:hAnsi="宋体" w:eastAsia="宋体" w:cs="宋体"/>
          <w:sz w:val="24"/>
          <w:szCs w:val="24"/>
        </w:rPr>
        <w:t>7</w:t>
      </w:r>
      <w:bookmarkEnd w:id="64"/>
      <w:bookmarkEnd w:id="65"/>
      <w:r>
        <w:rPr>
          <w:rFonts w:hint="eastAsia" w:ascii="宋体" w:hAnsi="宋体" w:eastAsia="宋体" w:cs="宋体"/>
          <w:sz w:val="24"/>
          <w:szCs w:val="24"/>
        </w:rPr>
        <w:t>.投标截止时间的顺延</w:t>
      </w:r>
      <w:bookmarkEnd w:id="66"/>
      <w:bookmarkEnd w:id="67"/>
      <w:bookmarkEnd w:id="68"/>
      <w:bookmarkEnd w:id="69"/>
      <w:bookmarkEnd w:id="70"/>
    </w:p>
    <w:p w14:paraId="55F20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4"/>
          <w:szCs w:val="24"/>
        </w:rPr>
        <w:tab/>
      </w:r>
      <w:r>
        <w:rPr>
          <w:rFonts w:hint="eastAsia" w:ascii="宋体" w:hAnsi="宋体" w:eastAsia="宋体" w:cs="宋体"/>
          <w:sz w:val="24"/>
          <w:szCs w:val="24"/>
        </w:rPr>
        <w:t>为使投标人准备投标时有足够的时间对招标文件的澄清或者修改部分进行研究，采购人将依法决定是否顺延投标截止时间。</w:t>
      </w:r>
    </w:p>
    <w:p w14:paraId="0CBDB8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sz w:val="32"/>
          <w:szCs w:val="32"/>
        </w:rPr>
      </w:pPr>
      <w:bookmarkStart w:id="71" w:name="_Toc516367020"/>
      <w:bookmarkStart w:id="72" w:name="_Toc24158"/>
      <w:bookmarkStart w:id="73" w:name="_Toc6894"/>
      <w:bookmarkStart w:id="74" w:name="_Toc216582807"/>
      <w:bookmarkStart w:id="75" w:name="_Toc12398"/>
      <w:bookmarkStart w:id="76" w:name="_Toc14580"/>
      <w:bookmarkStart w:id="77" w:name="_Toc24640"/>
      <w:bookmarkStart w:id="78" w:name="_Toc518923069"/>
      <w:bookmarkStart w:id="79" w:name="_Toc520356150"/>
      <w:bookmarkStart w:id="80" w:name="_Toc25389"/>
      <w:r>
        <w:rPr>
          <w:rFonts w:hint="eastAsia" w:ascii="宋体" w:hAnsi="宋体" w:eastAsia="宋体" w:cs="宋体"/>
          <w:sz w:val="32"/>
          <w:szCs w:val="32"/>
        </w:rPr>
        <w:t>三</w:t>
      </w:r>
      <w:r>
        <w:rPr>
          <w:rFonts w:hint="eastAsia" w:ascii="宋体" w:hAnsi="宋体" w:eastAsia="宋体" w:cs="宋体"/>
          <w:sz w:val="32"/>
          <w:szCs w:val="32"/>
          <w:lang w:eastAsia="zh-CN"/>
        </w:rPr>
        <w:t>、</w:t>
      </w:r>
      <w:r>
        <w:rPr>
          <w:rFonts w:hint="eastAsia" w:ascii="宋体" w:hAnsi="宋体" w:eastAsia="宋体" w:cs="宋体"/>
          <w:sz w:val="32"/>
          <w:szCs w:val="32"/>
        </w:rPr>
        <w:t>投标文件</w:t>
      </w:r>
      <w:bookmarkEnd w:id="71"/>
      <w:r>
        <w:rPr>
          <w:rFonts w:hint="eastAsia" w:ascii="宋体" w:hAnsi="宋体" w:eastAsia="宋体" w:cs="宋体"/>
          <w:sz w:val="32"/>
          <w:szCs w:val="32"/>
        </w:rPr>
        <w:t>的编制</w:t>
      </w:r>
      <w:bookmarkEnd w:id="72"/>
      <w:bookmarkEnd w:id="73"/>
      <w:bookmarkEnd w:id="74"/>
      <w:bookmarkEnd w:id="75"/>
      <w:bookmarkEnd w:id="76"/>
      <w:bookmarkEnd w:id="77"/>
      <w:bookmarkEnd w:id="78"/>
      <w:bookmarkEnd w:id="79"/>
      <w:bookmarkEnd w:id="80"/>
    </w:p>
    <w:p w14:paraId="4DFB9B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81" w:name="_Toc6728"/>
      <w:bookmarkStart w:id="82" w:name="_Toc12703"/>
      <w:bookmarkStart w:id="83" w:name="_Toc22003"/>
      <w:bookmarkStart w:id="84" w:name="_Toc25074"/>
      <w:bookmarkStart w:id="85" w:name="_Toc516367021"/>
      <w:bookmarkStart w:id="86" w:name="_Toc520356151"/>
      <w:bookmarkStart w:id="87" w:name="_Toc518923070"/>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投标范围及投标文件中标准和计量单位的使用</w:t>
      </w:r>
      <w:bookmarkEnd w:id="81"/>
      <w:bookmarkEnd w:id="82"/>
      <w:bookmarkEnd w:id="83"/>
      <w:bookmarkEnd w:id="84"/>
      <w:bookmarkEnd w:id="85"/>
      <w:bookmarkEnd w:id="86"/>
      <w:bookmarkEnd w:id="87"/>
    </w:p>
    <w:p w14:paraId="4676C43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项目有分包的，投标人可对招标文件其中一个或几个分包进行投标，除非在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中另有规定。</w:t>
      </w:r>
    </w:p>
    <w:p w14:paraId="34F4E7B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8.2 投标人应当对所投分包招标文件中“采购需求”所列的所有内容进行投标，如仅响应分包中的部分内容，其投标将被认定为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569BDF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无论招标文件第5章</w:t>
      </w:r>
      <w:r>
        <w:rPr>
          <w:rFonts w:hint="eastAsia" w:ascii="宋体" w:hAnsi="宋体" w:eastAsia="宋体" w:cs="宋体"/>
          <w:sz w:val="24"/>
          <w:szCs w:val="24"/>
          <w:lang w:val="en-US" w:eastAsia="zh-CN"/>
        </w:rPr>
        <w:t>采购需求</w:t>
      </w:r>
      <w:r>
        <w:rPr>
          <w:rFonts w:hint="eastAsia" w:ascii="宋体" w:hAnsi="宋体" w:eastAsia="宋体" w:cs="宋体"/>
          <w:sz w:val="24"/>
          <w:szCs w:val="24"/>
        </w:rPr>
        <w:t>中是否要求，投标人所投</w:t>
      </w:r>
      <w:r>
        <w:rPr>
          <w:rFonts w:hint="eastAsia" w:ascii="宋体" w:hAnsi="宋体" w:eastAsia="宋体" w:cs="宋体"/>
          <w:sz w:val="24"/>
          <w:szCs w:val="24"/>
          <w:lang w:val="en-US" w:eastAsia="zh-CN"/>
        </w:rPr>
        <w:t>货物</w:t>
      </w:r>
      <w:r>
        <w:rPr>
          <w:rFonts w:hint="eastAsia" w:ascii="宋体" w:hAnsi="宋体" w:eastAsia="宋体" w:cs="宋体"/>
          <w:sz w:val="24"/>
          <w:szCs w:val="24"/>
        </w:rPr>
        <w:t>均应符合国家强制性标准。</w:t>
      </w:r>
    </w:p>
    <w:p w14:paraId="629775A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除招标文件中有特殊要求外，投标文件中所使用的计量单位，应采用中华人民共和国法定计量单位。</w:t>
      </w:r>
    </w:p>
    <w:p w14:paraId="5B67CBA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bookmarkStart w:id="88" w:name="_Toc516367022"/>
      <w:bookmarkStart w:id="89" w:name="_Ref467306676"/>
      <w:bookmarkStart w:id="90" w:name="_Ref467306195"/>
      <w:bookmarkStart w:id="91" w:name="_Toc13782"/>
      <w:bookmarkStart w:id="92" w:name="_Toc30846"/>
      <w:bookmarkStart w:id="93" w:name="_Toc520356152"/>
      <w:bookmarkStart w:id="94" w:name="_Toc12543"/>
      <w:bookmarkStart w:id="95" w:name="_Toc15487"/>
      <w:bookmarkStart w:id="96" w:name="_Toc518923071"/>
      <w:r>
        <w:rPr>
          <w:rFonts w:hint="eastAsia" w:ascii="宋体" w:hAnsi="宋体" w:eastAsia="宋体" w:cs="宋体"/>
          <w:b/>
          <w:bCs/>
          <w:sz w:val="24"/>
          <w:szCs w:val="24"/>
        </w:rPr>
        <w:t>9.投标文件</w:t>
      </w:r>
      <w:bookmarkEnd w:id="88"/>
      <w:bookmarkEnd w:id="89"/>
      <w:bookmarkEnd w:id="90"/>
      <w:r>
        <w:rPr>
          <w:rFonts w:hint="eastAsia" w:ascii="宋体" w:hAnsi="宋体" w:eastAsia="宋体" w:cs="宋体"/>
          <w:b/>
          <w:bCs/>
          <w:sz w:val="24"/>
          <w:szCs w:val="24"/>
        </w:rPr>
        <w:t>构成</w:t>
      </w:r>
      <w:bookmarkEnd w:id="91"/>
      <w:bookmarkEnd w:id="92"/>
      <w:bookmarkEnd w:id="93"/>
      <w:bookmarkEnd w:id="94"/>
      <w:bookmarkEnd w:id="95"/>
      <w:bookmarkEnd w:id="96"/>
    </w:p>
    <w:p w14:paraId="0FF5D0C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bookmarkStart w:id="97" w:name="_Ref467052588"/>
      <w:r>
        <w:rPr>
          <w:rFonts w:hint="eastAsia" w:ascii="宋体" w:hAnsi="宋体" w:eastAsia="宋体" w:cs="宋体"/>
          <w:sz w:val="24"/>
          <w:szCs w:val="24"/>
        </w:rPr>
        <w:t>9.1 投标人应完整地按招标文件提供的投标文件格式及要求编写投标文件</w:t>
      </w:r>
      <w:bookmarkEnd w:id="97"/>
      <w:r>
        <w:rPr>
          <w:rFonts w:hint="eastAsia" w:ascii="宋体" w:hAnsi="宋体" w:eastAsia="宋体" w:cs="宋体"/>
          <w:sz w:val="24"/>
          <w:szCs w:val="24"/>
        </w:rPr>
        <w:t>，上传至政采云平台。</w:t>
      </w:r>
    </w:p>
    <w:p w14:paraId="55D369B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9.2 上述文件应按照招标文件规定的格式填写、签署和盖章。若投标人未依照要求制作投标文件的，则视为不响应招标文件编制投标文件的要求，为</w:t>
      </w:r>
      <w:r>
        <w:rPr>
          <w:rFonts w:hint="eastAsia" w:ascii="宋体" w:hAnsi="宋体" w:eastAsia="宋体" w:cs="宋体"/>
          <w:b/>
          <w:bCs/>
          <w:sz w:val="24"/>
          <w:szCs w:val="24"/>
        </w:rPr>
        <w:t>无效投标</w:t>
      </w:r>
      <w:r>
        <w:rPr>
          <w:rFonts w:hint="eastAsia" w:ascii="宋体" w:hAnsi="宋体" w:eastAsia="宋体" w:cs="宋体"/>
          <w:sz w:val="24"/>
          <w:szCs w:val="24"/>
        </w:rPr>
        <w:t>。</w:t>
      </w:r>
    </w:p>
    <w:p w14:paraId="71FEC3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98" w:name="_Toc15671"/>
      <w:bookmarkStart w:id="99" w:name="_Toc518923072"/>
      <w:bookmarkStart w:id="100" w:name="_Toc2671"/>
      <w:bookmarkStart w:id="101" w:name="_Toc520356153"/>
      <w:bookmarkStart w:id="102" w:name="_Toc508185920"/>
      <w:bookmarkStart w:id="103" w:name="_Toc1889"/>
      <w:bookmarkStart w:id="104" w:name="_Toc15670"/>
      <w:bookmarkStart w:id="105" w:name="_Toc516367023"/>
      <w:bookmarkStart w:id="106" w:name="_Toc520356155"/>
      <w:r>
        <w:rPr>
          <w:rFonts w:hint="eastAsia" w:ascii="宋体" w:hAnsi="宋体" w:eastAsia="宋体" w:cs="宋体"/>
          <w:sz w:val="24"/>
          <w:szCs w:val="24"/>
        </w:rPr>
        <w:t>10.证明投标标的的合格性和符合招标文件规定的响应文件</w:t>
      </w:r>
      <w:bookmarkEnd w:id="98"/>
      <w:bookmarkEnd w:id="99"/>
      <w:bookmarkEnd w:id="100"/>
      <w:bookmarkEnd w:id="101"/>
      <w:bookmarkEnd w:id="102"/>
      <w:bookmarkEnd w:id="103"/>
      <w:bookmarkEnd w:id="104"/>
      <w:bookmarkEnd w:id="105"/>
    </w:p>
    <w:p w14:paraId="78C5649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投标人应提交证明文件，证明其投标内容符合招标文件规定。该证明文件是投标文件的一部分。</w:t>
      </w:r>
    </w:p>
    <w:p w14:paraId="1856189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bookmarkStart w:id="107" w:name="_Ref467306244"/>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上款所述的证明文件，可以是文字资料、图纸和数据</w:t>
      </w:r>
      <w:bookmarkEnd w:id="107"/>
      <w:r>
        <w:rPr>
          <w:rFonts w:hint="eastAsia" w:ascii="宋体" w:hAnsi="宋体" w:eastAsia="宋体" w:cs="宋体"/>
          <w:sz w:val="24"/>
          <w:szCs w:val="24"/>
        </w:rPr>
        <w:t>。</w:t>
      </w:r>
    </w:p>
    <w:p w14:paraId="6654C0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设备主要技术指标的详细说明；</w:t>
      </w:r>
    </w:p>
    <w:p w14:paraId="1FA28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货物从买方开始使用至招标文件规定的保质期内正常、连续地使用所必须的备件和专用工具清单，包括备件和专用工具的货源及现行价格；</w:t>
      </w:r>
    </w:p>
    <w:p w14:paraId="40F6D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对照招标文件技术规格，逐条说明所提供货物及伴随的工程和货物已对招标文件的技术规格做出了实质性的响应，或申明与技术规格条文的偏差和例外。</w:t>
      </w:r>
    </w:p>
    <w:p w14:paraId="29CEA02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供应商在投标中可以选用替代牌号或分类号，但这些替代要实质上相当于技术规格的要求。采购人、采购代理机构承诺不以上述参照品牌型号或分类号作为评标时判定其投标是否有效的标准。</w:t>
      </w:r>
    </w:p>
    <w:p w14:paraId="6AEB30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08" w:name="_Toc518923073"/>
      <w:bookmarkStart w:id="109" w:name="_Toc296"/>
      <w:bookmarkStart w:id="110" w:name="_Toc13028"/>
      <w:bookmarkStart w:id="111" w:name="_Toc8529"/>
      <w:bookmarkStart w:id="112" w:name="_Toc32744"/>
      <w:r>
        <w:rPr>
          <w:rFonts w:hint="eastAsia" w:ascii="宋体" w:hAnsi="宋体" w:eastAsia="宋体" w:cs="宋体"/>
          <w:sz w:val="24"/>
          <w:szCs w:val="24"/>
        </w:rPr>
        <w:t>11.投标报价</w:t>
      </w:r>
      <w:bookmarkEnd w:id="106"/>
      <w:bookmarkEnd w:id="108"/>
      <w:bookmarkEnd w:id="109"/>
      <w:bookmarkEnd w:id="110"/>
      <w:bookmarkEnd w:id="111"/>
      <w:bookmarkEnd w:id="112"/>
    </w:p>
    <w:p w14:paraId="7A605DA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所有投标均以</w:t>
      </w:r>
      <w:r>
        <w:rPr>
          <w:rFonts w:hint="eastAsia" w:ascii="宋体" w:hAnsi="宋体" w:cs="宋体"/>
          <w:sz w:val="24"/>
          <w:szCs w:val="24"/>
          <w:lang w:val="en-US" w:eastAsia="zh-CN"/>
        </w:rPr>
        <w:t>人民币</w:t>
      </w:r>
      <w:r>
        <w:rPr>
          <w:rFonts w:hint="eastAsia" w:ascii="宋体" w:hAnsi="宋体" w:eastAsia="宋体" w:cs="宋体"/>
          <w:sz w:val="24"/>
          <w:szCs w:val="24"/>
        </w:rPr>
        <w:t>报价。投标人的投标报价应遵守《中华人民共和国价格法》。同时，根据《中华人民共和国政府采购法》第二条的规定，为保证公平竞争，如有主体投标标的的赠与行为，其投标将被认定为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1CDC3A0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投标人应在投标分项报价表上标明分项服务的价格（如适用）和总价，并由法定代表人或其委托代理人签署。</w:t>
      </w:r>
    </w:p>
    <w:p w14:paraId="123FAE4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采购人不接受具有附加条件的报价。</w:t>
      </w:r>
    </w:p>
    <w:p w14:paraId="183F4F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投标人所报的各分项投标报价在合同履行过程中是固定不变的，不得以任何理由予以变更。任何包含价格调整要求的投标，将被认定为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4758721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13" w:name="_Toc518923074"/>
      <w:bookmarkStart w:id="114" w:name="_Toc16199"/>
      <w:bookmarkStart w:id="115" w:name="_Toc24515"/>
      <w:bookmarkStart w:id="116" w:name="_Toc18305"/>
      <w:bookmarkStart w:id="117" w:name="_Toc31119"/>
      <w:bookmarkStart w:id="118" w:name="_Ref467306513"/>
      <w:bookmarkStart w:id="119" w:name="_Toc520356156"/>
      <w:r>
        <w:rPr>
          <w:rFonts w:hint="eastAsia" w:ascii="宋体" w:hAnsi="宋体" w:eastAsia="宋体" w:cs="宋体"/>
          <w:sz w:val="24"/>
          <w:szCs w:val="24"/>
        </w:rPr>
        <w:t>12.投标保证金</w:t>
      </w:r>
      <w:bookmarkEnd w:id="113"/>
      <w:bookmarkEnd w:id="114"/>
      <w:bookmarkEnd w:id="115"/>
      <w:bookmarkEnd w:id="116"/>
      <w:bookmarkEnd w:id="117"/>
      <w:bookmarkEnd w:id="118"/>
      <w:bookmarkEnd w:id="119"/>
    </w:p>
    <w:p w14:paraId="5AA8A75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bookmarkStart w:id="120" w:name="_Ref467306302"/>
      <w:r>
        <w:rPr>
          <w:rFonts w:hint="eastAsia" w:ascii="宋体" w:hAnsi="宋体" w:eastAsia="宋体" w:cs="宋体"/>
          <w:sz w:val="24"/>
          <w:szCs w:val="24"/>
        </w:rPr>
        <w:t>12.1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投标人应提交</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中规定的投标保证金</w:t>
      </w:r>
      <w:bookmarkEnd w:id="120"/>
      <w:r>
        <w:rPr>
          <w:rFonts w:hint="eastAsia" w:ascii="宋体" w:hAnsi="宋体" w:eastAsia="宋体" w:cs="宋体"/>
          <w:sz w:val="24"/>
          <w:szCs w:val="24"/>
        </w:rPr>
        <w:t>，并作为其投标的一部分。</w:t>
      </w:r>
    </w:p>
    <w:p w14:paraId="511D49C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投标人存在下列情形的，投标保证金不予退还：</w:t>
      </w:r>
    </w:p>
    <w:p w14:paraId="689F20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（1）在投标有效期内，撤销投标的；</w:t>
      </w:r>
    </w:p>
    <w:p w14:paraId="367446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（2）中标后不按本须知第30条的规定与采购人签订合同的；</w:t>
      </w:r>
    </w:p>
    <w:p w14:paraId="4D7E2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（3）中标后不按本须知第31条的规定提交履约保证金的；</w:t>
      </w:r>
    </w:p>
    <w:p w14:paraId="45172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（4）中标后不按本须知第32条的规定缴纳中标服务费的；</w:t>
      </w:r>
    </w:p>
    <w:p w14:paraId="02440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（5）存在其他违法违规行为的。</w:t>
      </w:r>
    </w:p>
    <w:p w14:paraId="3D378A7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bookmarkStart w:id="121" w:name="_Ref467306336"/>
      <w:r>
        <w:rPr>
          <w:rFonts w:hint="eastAsia" w:ascii="宋体" w:hAnsi="宋体" w:eastAsia="宋体" w:cs="宋体"/>
          <w:sz w:val="24"/>
          <w:szCs w:val="24"/>
        </w:rPr>
        <w:t>12.3</w:t>
      </w:r>
      <w:bookmarkEnd w:id="121"/>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政府采购信用担保试点范围内的项目，接受符合财政部门规定的政府采购投标担保函原件。</w:t>
      </w:r>
    </w:p>
    <w:p w14:paraId="5DEBDE7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12.4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投标人未按本须知第12.1和12.3条规定提交投标保证金的，其投标将被认定为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DD3F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12.4.1 采用电汇形式的，一般可以实时入账；</w:t>
      </w:r>
    </w:p>
    <w:p w14:paraId="531B3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4626638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联合体投标的，可以由联合体中的一方或者共同提交投标保证金。以一方名义提交投标保证金的，对联合体各方均具有约束力。</w:t>
      </w:r>
    </w:p>
    <w:p w14:paraId="31EA7A6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12.6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投标保证金的退还</w:t>
      </w:r>
    </w:p>
    <w:p w14:paraId="01648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中标人应在与采购人签订合同之日起5个工作日内，及时联系保证金收受机构办理投标保证金无息退还手续。</w:t>
      </w:r>
    </w:p>
    <w:p w14:paraId="725DF9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未中标投标人的投标保证金将在中标通知书发出之日暨中标结果公告公布之日起5个工作日内无息退还。投标人及时联系保证金收受机构办理退还投标保证金手续。</w:t>
      </w:r>
      <w:bookmarkStart w:id="122" w:name="_Toc518923075"/>
    </w:p>
    <w:p w14:paraId="6CBB1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12.6.3 政府采购投标担保函不予退回。</w:t>
      </w:r>
      <w:bookmarkEnd w:id="122"/>
    </w:p>
    <w:p w14:paraId="26D28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12.7 因投标人自身原因导致无法及时退还的，采购人或采购代理机构将不承担相应责任。</w:t>
      </w:r>
    </w:p>
    <w:p w14:paraId="0A71092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23" w:name="_Toc520356157"/>
      <w:bookmarkStart w:id="124" w:name="_Toc3162"/>
      <w:bookmarkStart w:id="125" w:name="_Toc25375"/>
      <w:bookmarkStart w:id="126" w:name="_Toc12440"/>
      <w:bookmarkStart w:id="127" w:name="_Toc518923076"/>
      <w:bookmarkStart w:id="128" w:name="_Toc20355"/>
      <w:r>
        <w:rPr>
          <w:rFonts w:hint="eastAsia" w:ascii="宋体" w:hAnsi="宋体" w:eastAsia="宋体" w:cs="宋体"/>
          <w:sz w:val="24"/>
          <w:szCs w:val="24"/>
        </w:rPr>
        <w:t>13.投标有效期</w:t>
      </w:r>
      <w:bookmarkEnd w:id="123"/>
      <w:bookmarkEnd w:id="124"/>
      <w:bookmarkEnd w:id="125"/>
      <w:bookmarkEnd w:id="126"/>
      <w:bookmarkEnd w:id="127"/>
      <w:bookmarkEnd w:id="128"/>
    </w:p>
    <w:p w14:paraId="3BC729E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投标应在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中规定时间内保持有效。投标有效期不满足要求的投标，其投标将被认定为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28D72D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706A67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29" w:name="_Toc520356158"/>
      <w:bookmarkStart w:id="130" w:name="_Toc27303"/>
      <w:bookmarkStart w:id="131" w:name="_Toc17894"/>
      <w:bookmarkStart w:id="132" w:name="_Toc12950"/>
      <w:bookmarkStart w:id="133" w:name="_Toc518923077"/>
      <w:bookmarkStart w:id="134" w:name="_Toc10460"/>
      <w:r>
        <w:rPr>
          <w:rFonts w:hint="eastAsia" w:ascii="宋体" w:hAnsi="宋体" w:eastAsia="宋体" w:cs="宋体"/>
          <w:sz w:val="24"/>
          <w:szCs w:val="24"/>
        </w:rPr>
        <w:t>14.投标文件的签署</w:t>
      </w:r>
      <w:bookmarkEnd w:id="129"/>
      <w:r>
        <w:rPr>
          <w:rFonts w:hint="eastAsia" w:ascii="宋体" w:hAnsi="宋体" w:eastAsia="宋体" w:cs="宋体"/>
          <w:sz w:val="24"/>
          <w:szCs w:val="24"/>
        </w:rPr>
        <w:t>及规定</w:t>
      </w:r>
      <w:bookmarkEnd w:id="130"/>
      <w:bookmarkEnd w:id="131"/>
      <w:bookmarkEnd w:id="132"/>
      <w:bookmarkEnd w:id="133"/>
      <w:bookmarkEnd w:id="134"/>
    </w:p>
    <w:p w14:paraId="7D9789F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投标人应按</w:t>
      </w:r>
      <w:r>
        <w:rPr>
          <w:rFonts w:hint="eastAsia" w:ascii="宋体" w:hAnsi="宋体" w:eastAsia="宋体" w:cs="宋体"/>
          <w:sz w:val="24"/>
          <w:szCs w:val="24"/>
          <w:u w:val="single"/>
        </w:rPr>
        <w:t>投标人须知资料表</w:t>
      </w:r>
      <w:r>
        <w:rPr>
          <w:rFonts w:hint="eastAsia" w:ascii="宋体" w:hAnsi="宋体" w:eastAsia="宋体" w:cs="宋体"/>
          <w:sz w:val="24"/>
          <w:szCs w:val="24"/>
        </w:rPr>
        <w:t>中的规定，准备和递交投标文件、投标报价一览表。</w:t>
      </w:r>
    </w:p>
    <w:p w14:paraId="3A32C5C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需打印或用不褪色墨水书写，并由投标人的法定代表人或其委托代理人按招标文件规定在投标文件上签字并加盖单位印章。委托代理人须持有书面的“法定代表人授权委托书”，并将其附在投标文件中。如对投标文件进行了修改，则应由投标人法定代表人或其委托代理人在每一修改处签字。</w:t>
      </w:r>
    </w:p>
    <w:p w14:paraId="0444B07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投标文件因字迹潦草、表达不清所引起的后果由投标人负责。</w:t>
      </w:r>
    </w:p>
    <w:p w14:paraId="429116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sz w:val="28"/>
          <w:szCs w:val="28"/>
        </w:rPr>
      </w:pPr>
      <w:bookmarkStart w:id="135" w:name="_Toc29387"/>
      <w:bookmarkStart w:id="136" w:name="_Toc216582808"/>
      <w:bookmarkStart w:id="137" w:name="_Toc16655"/>
      <w:bookmarkStart w:id="138" w:name="_Toc20904"/>
      <w:bookmarkStart w:id="139" w:name="_Toc520356159"/>
      <w:bookmarkStart w:id="140" w:name="_Toc518923078"/>
      <w:bookmarkStart w:id="141" w:name="_Toc22303"/>
      <w:bookmarkStart w:id="142" w:name="_Toc4415"/>
      <w:bookmarkStart w:id="143" w:name="_Toc3050"/>
      <w:r>
        <w:rPr>
          <w:rFonts w:hint="eastAsia" w:ascii="宋体" w:hAnsi="宋体" w:eastAsia="宋体" w:cs="宋体"/>
          <w:sz w:val="32"/>
          <w:szCs w:val="32"/>
        </w:rPr>
        <w:t>四</w:t>
      </w:r>
      <w:r>
        <w:rPr>
          <w:rFonts w:hint="eastAsia" w:ascii="宋体" w:hAnsi="宋体" w:eastAsia="宋体" w:cs="宋体"/>
          <w:sz w:val="32"/>
          <w:szCs w:val="32"/>
          <w:lang w:eastAsia="zh-CN"/>
        </w:rPr>
        <w:t>、</w:t>
      </w:r>
      <w:r>
        <w:rPr>
          <w:rFonts w:hint="eastAsia" w:ascii="宋体" w:hAnsi="宋体" w:eastAsia="宋体" w:cs="宋体"/>
          <w:sz w:val="32"/>
          <w:szCs w:val="32"/>
        </w:rPr>
        <w:t>投标文件的递交</w:t>
      </w:r>
      <w:bookmarkEnd w:id="135"/>
      <w:bookmarkEnd w:id="136"/>
      <w:bookmarkEnd w:id="137"/>
      <w:bookmarkEnd w:id="138"/>
      <w:bookmarkEnd w:id="139"/>
      <w:bookmarkEnd w:id="140"/>
      <w:bookmarkEnd w:id="141"/>
      <w:bookmarkEnd w:id="142"/>
      <w:bookmarkEnd w:id="143"/>
    </w:p>
    <w:p w14:paraId="1DA1404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44" w:name="_Toc6815"/>
      <w:bookmarkStart w:id="145" w:name="_Toc13247"/>
      <w:bookmarkStart w:id="146" w:name="_Toc3038"/>
      <w:bookmarkStart w:id="147" w:name="_Toc16644"/>
      <w:bookmarkStart w:id="148" w:name="_Toc518923079"/>
      <w:bookmarkStart w:id="149" w:name="_Toc520356160"/>
      <w:r>
        <w:rPr>
          <w:rFonts w:hint="eastAsia" w:ascii="宋体" w:hAnsi="宋体" w:eastAsia="宋体" w:cs="宋体"/>
          <w:sz w:val="24"/>
          <w:szCs w:val="24"/>
        </w:rPr>
        <w:t>15.投标文件的密封和标记</w:t>
      </w:r>
      <w:bookmarkEnd w:id="144"/>
      <w:bookmarkEnd w:id="145"/>
      <w:bookmarkEnd w:id="146"/>
      <w:bookmarkEnd w:id="147"/>
      <w:bookmarkEnd w:id="148"/>
      <w:bookmarkEnd w:id="149"/>
    </w:p>
    <w:p w14:paraId="2976C89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投标人应将投标文件第一部分和第二部分合成一册</w:t>
      </w:r>
      <w:r>
        <w:rPr>
          <w:rFonts w:hint="eastAsia" w:ascii="宋体" w:hAnsi="宋体" w:cs="宋体"/>
          <w:sz w:val="24"/>
          <w:szCs w:val="24"/>
          <w:lang w:val="en-US" w:eastAsia="zh-CN"/>
        </w:rPr>
        <w:t>加密提交，并在封皮标记</w:t>
      </w:r>
      <w:r>
        <w:rPr>
          <w:rFonts w:hint="eastAsia" w:ascii="宋体" w:hAnsi="宋体" w:eastAsia="宋体" w:cs="宋体"/>
          <w:sz w:val="24"/>
          <w:szCs w:val="24"/>
        </w:rPr>
        <w:t>电子版投标文件必须通过新疆CA数字证书编制、上传至新疆政府采购网政采云平台。</w:t>
      </w:r>
    </w:p>
    <w:p w14:paraId="1BE44E8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如果投标人未按上述要求标记的，其投标文件将被拒绝接收。</w:t>
      </w:r>
    </w:p>
    <w:p w14:paraId="52F8BE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50" w:name="_Toc25787"/>
      <w:bookmarkStart w:id="151" w:name="_Toc518923080"/>
      <w:bookmarkStart w:id="152" w:name="_Toc10904"/>
      <w:bookmarkStart w:id="153" w:name="_Toc31413"/>
      <w:bookmarkStart w:id="154" w:name="_Toc30117"/>
      <w:bookmarkStart w:id="155" w:name="_Toc520356161"/>
      <w:r>
        <w:rPr>
          <w:rFonts w:hint="eastAsia" w:ascii="宋体" w:hAnsi="宋体" w:eastAsia="宋体" w:cs="宋体"/>
          <w:sz w:val="24"/>
          <w:szCs w:val="24"/>
        </w:rPr>
        <w:t>16.投标截止</w:t>
      </w:r>
      <w:bookmarkEnd w:id="150"/>
      <w:bookmarkEnd w:id="151"/>
      <w:bookmarkEnd w:id="152"/>
      <w:bookmarkEnd w:id="153"/>
      <w:bookmarkEnd w:id="154"/>
      <w:bookmarkEnd w:id="155"/>
    </w:p>
    <w:p w14:paraId="3D9DC01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中规定的截止时间前，将投标文件</w:t>
      </w:r>
      <w:r>
        <w:rPr>
          <w:rFonts w:hint="eastAsia" w:ascii="宋体" w:hAnsi="宋体" w:eastAsia="宋体" w:cs="宋体"/>
          <w:sz w:val="24"/>
          <w:szCs w:val="24"/>
          <w:lang w:val="en-US" w:eastAsia="zh-CN"/>
        </w:rPr>
        <w:t>上传至政采云平台</w:t>
      </w:r>
      <w:r>
        <w:rPr>
          <w:rFonts w:hint="eastAsia" w:ascii="宋体" w:hAnsi="宋体" w:eastAsia="宋体" w:cs="宋体"/>
          <w:sz w:val="24"/>
          <w:szCs w:val="24"/>
        </w:rPr>
        <w:t>。</w:t>
      </w:r>
    </w:p>
    <w:p w14:paraId="4ED996A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采购人和采购代理机构有权按本须知的规定，延迟投标截止时间。在此情况下，采购人、采购代理机构和投标人受投标截止时间制约的所有权利和义务均应延长至新的截止时间。</w:t>
      </w:r>
    </w:p>
    <w:p w14:paraId="46727DA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16.3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采购人和采购代理机构将拒绝接收在投标截止时间后送达的投标文件。</w:t>
      </w:r>
    </w:p>
    <w:p w14:paraId="0C8682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56" w:name="_Toc13921"/>
      <w:bookmarkStart w:id="157" w:name="_Toc520356162"/>
      <w:bookmarkStart w:id="158" w:name="_Toc25814"/>
      <w:bookmarkStart w:id="159" w:name="_Toc22116"/>
      <w:bookmarkStart w:id="160" w:name="_Toc27249"/>
      <w:bookmarkStart w:id="161" w:name="_Toc518923081"/>
      <w:r>
        <w:rPr>
          <w:rFonts w:hint="eastAsia" w:ascii="宋体" w:hAnsi="宋体" w:eastAsia="宋体" w:cs="宋体"/>
          <w:sz w:val="24"/>
          <w:szCs w:val="24"/>
        </w:rPr>
        <w:t>17.投标文件的接收、修改与撤回</w:t>
      </w:r>
      <w:bookmarkEnd w:id="156"/>
      <w:bookmarkEnd w:id="157"/>
      <w:bookmarkEnd w:id="158"/>
      <w:bookmarkEnd w:id="159"/>
      <w:bookmarkEnd w:id="160"/>
      <w:bookmarkEnd w:id="161"/>
    </w:p>
    <w:p w14:paraId="4B7668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在投标截止时间后上传投标文件的，采购人和采购代理机构将拒绝接收。</w:t>
      </w:r>
    </w:p>
    <w:p w14:paraId="37BD388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上传投标文件以后，如果投标人要进行修改或撤回投标</w:t>
      </w:r>
      <w:r>
        <w:rPr>
          <w:rFonts w:hint="eastAsia" w:ascii="宋体" w:hAnsi="宋体" w:eastAsia="宋体" w:cs="宋体"/>
          <w:sz w:val="24"/>
          <w:szCs w:val="24"/>
          <w:lang w:eastAsia="zh-CN"/>
        </w:rPr>
        <w:t>，</w:t>
      </w:r>
      <w:r>
        <w:rPr>
          <w:rFonts w:hint="eastAsia" w:ascii="宋体" w:hAnsi="宋体" w:eastAsia="宋体" w:cs="宋体"/>
          <w:sz w:val="24"/>
          <w:szCs w:val="24"/>
        </w:rPr>
        <w:t>投标人对投标文件的修改或撤回通知应按本须知规定编制、密封、标记。采购人和采购代理机构将予以接收，并视为投标文件的组成部分。</w:t>
      </w:r>
    </w:p>
    <w:p w14:paraId="1299471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在投标截止期之后，采购人和采购代理机构不接受投标人主动对其投标文件做任何修改。</w:t>
      </w:r>
    </w:p>
    <w:p w14:paraId="7B207D3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8"/>
          <w:szCs w:val="28"/>
        </w:rPr>
      </w:pPr>
      <w:r>
        <w:rPr>
          <w:rFonts w:hint="eastAsia" w:ascii="宋体" w:hAnsi="宋体" w:eastAsia="宋体" w:cs="宋体"/>
          <w:sz w:val="24"/>
          <w:szCs w:val="24"/>
        </w:rPr>
        <w:t>17.4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采购人和采购代理机构对所接收投标文件概不退回。</w:t>
      </w:r>
    </w:p>
    <w:p w14:paraId="6128BA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sz w:val="32"/>
          <w:szCs w:val="32"/>
        </w:rPr>
      </w:pPr>
      <w:bookmarkStart w:id="162" w:name="_Toc518923082"/>
      <w:bookmarkStart w:id="163" w:name="_Toc216582809"/>
      <w:bookmarkStart w:id="164" w:name="_Toc10257"/>
      <w:bookmarkStart w:id="165" w:name="_Toc26741"/>
      <w:bookmarkStart w:id="166" w:name="_Toc19366"/>
      <w:bookmarkStart w:id="167" w:name="_Toc23627"/>
      <w:bookmarkStart w:id="168" w:name="_Toc520356163"/>
      <w:bookmarkStart w:id="169" w:name="_Toc27033"/>
      <w:bookmarkStart w:id="170" w:name="_Toc6389"/>
      <w:r>
        <w:rPr>
          <w:rFonts w:hint="eastAsia" w:ascii="宋体" w:hAnsi="宋体" w:eastAsia="宋体" w:cs="宋体"/>
          <w:sz w:val="32"/>
          <w:szCs w:val="32"/>
        </w:rPr>
        <w:t>五</w:t>
      </w:r>
      <w:r>
        <w:rPr>
          <w:rFonts w:hint="eastAsia" w:ascii="宋体" w:hAnsi="宋体" w:eastAsia="宋体" w:cs="宋体"/>
          <w:sz w:val="32"/>
          <w:szCs w:val="32"/>
          <w:lang w:eastAsia="zh-CN"/>
        </w:rPr>
        <w:t>、</w:t>
      </w:r>
      <w:r>
        <w:rPr>
          <w:rFonts w:hint="eastAsia" w:ascii="宋体" w:hAnsi="宋体" w:eastAsia="宋体" w:cs="宋体"/>
          <w:sz w:val="32"/>
          <w:szCs w:val="32"/>
        </w:rPr>
        <w:t>开标及评标</w:t>
      </w:r>
      <w:bookmarkEnd w:id="162"/>
      <w:bookmarkEnd w:id="163"/>
      <w:bookmarkEnd w:id="164"/>
      <w:bookmarkEnd w:id="165"/>
      <w:bookmarkEnd w:id="166"/>
      <w:bookmarkEnd w:id="167"/>
      <w:bookmarkEnd w:id="168"/>
      <w:bookmarkEnd w:id="169"/>
      <w:bookmarkEnd w:id="170"/>
    </w:p>
    <w:p w14:paraId="56BD6FD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71" w:name="_Toc520356164"/>
      <w:bookmarkStart w:id="172" w:name="_Toc8653"/>
      <w:bookmarkStart w:id="173" w:name="_Toc518923083"/>
      <w:bookmarkStart w:id="174" w:name="_Toc20275"/>
      <w:bookmarkStart w:id="175" w:name="_Toc16580"/>
      <w:bookmarkStart w:id="176" w:name="_Toc1813"/>
      <w:r>
        <w:rPr>
          <w:rFonts w:hint="eastAsia" w:ascii="宋体" w:hAnsi="宋体" w:eastAsia="宋体" w:cs="宋体"/>
          <w:sz w:val="24"/>
          <w:szCs w:val="24"/>
        </w:rPr>
        <w:t>18.开标</w:t>
      </w:r>
      <w:bookmarkEnd w:id="171"/>
      <w:bookmarkEnd w:id="172"/>
      <w:bookmarkEnd w:id="173"/>
      <w:bookmarkEnd w:id="174"/>
      <w:bookmarkEnd w:id="175"/>
      <w:bookmarkEnd w:id="176"/>
    </w:p>
    <w:p w14:paraId="66EE215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18.1采购人和采购代理机构将按</w:t>
      </w:r>
      <w:r>
        <w:rPr>
          <w:rFonts w:hint="eastAsia" w:ascii="宋体" w:hAnsi="宋体" w:eastAsia="宋体" w:cs="宋体"/>
          <w:i w:val="0"/>
          <w:iCs w:val="0"/>
          <w:sz w:val="24"/>
          <w:szCs w:val="24"/>
          <w:u w:val="single"/>
        </w:rPr>
        <w:t>投标人须知资料表</w:t>
      </w:r>
      <w:r>
        <w:rPr>
          <w:rFonts w:hint="eastAsia" w:ascii="宋体" w:hAnsi="宋体" w:eastAsia="宋体" w:cs="宋体"/>
          <w:sz w:val="24"/>
          <w:szCs w:val="24"/>
        </w:rPr>
        <w:t xml:space="preserve">中规定的开标时间和地点组织公开开标并邀请所有投标人代表参加。  </w:t>
      </w:r>
    </w:p>
    <w:p w14:paraId="6C638CE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投标人不足3家的，不得开标。</w:t>
      </w:r>
    </w:p>
    <w:p w14:paraId="2EC0830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投标人须按</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中规定的开标时间和地点，在规定的时间内上传投标文件。</w:t>
      </w:r>
    </w:p>
    <w:p w14:paraId="45F6AED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18.3 采购代理机构</w:t>
      </w:r>
      <w:bookmarkStart w:id="177" w:name="_Toc520356165"/>
      <w:r>
        <w:rPr>
          <w:rFonts w:hint="eastAsia" w:ascii="宋体" w:hAnsi="宋体" w:eastAsia="宋体" w:cs="宋体"/>
          <w:sz w:val="24"/>
          <w:szCs w:val="24"/>
        </w:rPr>
        <w:t>在规定的时间对投标文件进行</w:t>
      </w:r>
      <w:r>
        <w:rPr>
          <w:rFonts w:hint="eastAsia" w:ascii="宋体" w:hAnsi="宋体" w:eastAsia="宋体" w:cs="宋体"/>
          <w:b/>
          <w:bCs/>
          <w:sz w:val="24"/>
          <w:szCs w:val="24"/>
        </w:rPr>
        <w:t>解密，时长为30分钟</w:t>
      </w:r>
      <w:r>
        <w:rPr>
          <w:rFonts w:hint="eastAsia" w:ascii="宋体" w:hAnsi="宋体" w:eastAsia="宋体" w:cs="宋体"/>
          <w:sz w:val="24"/>
          <w:szCs w:val="24"/>
        </w:rPr>
        <w:t>。</w:t>
      </w:r>
    </w:p>
    <w:p w14:paraId="32FD71F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18.4 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4AE2AFA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未宣读投标价格、价格折扣等实质内容，评标时不予承认。</w:t>
      </w:r>
    </w:p>
    <w:p w14:paraId="6B254FE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18.5 采购代理机构</w:t>
      </w:r>
      <w:r>
        <w:rPr>
          <w:rFonts w:hint="eastAsia" w:ascii="宋体" w:hAnsi="宋体" w:eastAsia="宋体" w:cs="宋体"/>
          <w:sz w:val="24"/>
          <w:szCs w:val="24"/>
          <w:lang w:val="en-US" w:eastAsia="zh-CN"/>
        </w:rPr>
        <w:t>开启开标</w:t>
      </w:r>
      <w:r>
        <w:rPr>
          <w:rFonts w:hint="eastAsia" w:ascii="宋体" w:hAnsi="宋体" w:eastAsia="宋体" w:cs="宋体"/>
          <w:sz w:val="24"/>
          <w:szCs w:val="24"/>
        </w:rPr>
        <w:t>记录，</w:t>
      </w:r>
      <w:r>
        <w:rPr>
          <w:rFonts w:hint="eastAsia" w:ascii="宋体" w:hAnsi="宋体" w:eastAsia="宋体" w:cs="宋体"/>
          <w:sz w:val="24"/>
          <w:szCs w:val="24"/>
          <w:lang w:val="en-US" w:eastAsia="zh-CN"/>
        </w:rPr>
        <w:t>须投标人在政采云平台对报价进行签字确认</w:t>
      </w:r>
      <w:r>
        <w:rPr>
          <w:rFonts w:hint="eastAsia" w:ascii="宋体" w:hAnsi="宋体" w:eastAsia="宋体" w:cs="宋体"/>
          <w:sz w:val="24"/>
          <w:szCs w:val="24"/>
        </w:rPr>
        <w:t>。</w:t>
      </w:r>
    </w:p>
    <w:p w14:paraId="3B8773B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18.6 投标人代表对开标过程和开标记录有疑义，以及认为采购人、采购代理机构相关工作人员有需要回避的情形的，应</w:t>
      </w:r>
      <w:r>
        <w:rPr>
          <w:rFonts w:hint="eastAsia" w:ascii="宋体" w:hAnsi="宋体" w:eastAsia="宋体" w:cs="宋体"/>
          <w:sz w:val="24"/>
          <w:szCs w:val="24"/>
          <w:lang w:val="en-US" w:eastAsia="zh-CN"/>
        </w:rPr>
        <w:t>当场</w:t>
      </w:r>
      <w:r>
        <w:rPr>
          <w:rFonts w:hint="eastAsia" w:ascii="宋体" w:hAnsi="宋体" w:eastAsia="宋体" w:cs="宋体"/>
          <w:sz w:val="24"/>
          <w:szCs w:val="24"/>
        </w:rPr>
        <w:t>提出询问或者回避申请。</w:t>
      </w:r>
    </w:p>
    <w:p w14:paraId="76C3D5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78" w:name="_Toc24395"/>
      <w:bookmarkStart w:id="179" w:name="_Toc24828"/>
      <w:bookmarkStart w:id="180" w:name="_Toc2093"/>
      <w:bookmarkStart w:id="181" w:name="_Toc34"/>
      <w:bookmarkStart w:id="182" w:name="_Toc518923084"/>
      <w:r>
        <w:rPr>
          <w:rFonts w:hint="eastAsia" w:ascii="宋体" w:hAnsi="宋体" w:eastAsia="宋体" w:cs="宋体"/>
          <w:sz w:val="24"/>
          <w:szCs w:val="24"/>
        </w:rPr>
        <w:t>19</w:t>
      </w:r>
      <w:bookmarkEnd w:id="177"/>
      <w:r>
        <w:rPr>
          <w:rFonts w:hint="eastAsia" w:ascii="宋体" w:hAnsi="宋体" w:eastAsia="宋体" w:cs="宋体"/>
          <w:sz w:val="24"/>
          <w:szCs w:val="24"/>
        </w:rPr>
        <w:t>.</w:t>
      </w:r>
      <w:r>
        <w:rPr>
          <w:rFonts w:hint="eastAsia" w:ascii="宋体" w:hAnsi="宋体" w:eastAsia="宋体" w:cs="宋体"/>
          <w:b/>
          <w:bCs/>
          <w:sz w:val="24"/>
          <w:szCs w:val="24"/>
        </w:rPr>
        <w:t>资格审查及组建评标委员会</w:t>
      </w:r>
      <w:bookmarkEnd w:id="178"/>
      <w:bookmarkEnd w:id="179"/>
      <w:bookmarkEnd w:id="180"/>
      <w:bookmarkEnd w:id="181"/>
      <w:bookmarkEnd w:id="182"/>
    </w:p>
    <w:p w14:paraId="21762C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19.1</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采购人</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采购代理机构</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或评标委员会</w:t>
      </w:r>
      <w:r>
        <w:rPr>
          <w:rFonts w:hint="eastAsia" w:ascii="宋体" w:hAnsi="宋体" w:eastAsia="宋体" w:cs="宋体"/>
          <w:b/>
          <w:bCs/>
          <w:color w:val="auto"/>
          <w:sz w:val="24"/>
          <w:szCs w:val="24"/>
        </w:rPr>
        <w:t>依据法律法规和招标文件中规定的内容，对投标人的资格进行审查</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通过资格审查的投标人少于不足三家的，不得评标。</w:t>
      </w:r>
      <w:r>
        <w:rPr>
          <w:rFonts w:ascii="宋体" w:hAnsi="宋体" w:eastAsia="宋体" w:cs="宋体"/>
          <w:b/>
          <w:bCs/>
          <w:color w:val="auto"/>
          <w:sz w:val="24"/>
          <w:szCs w:val="24"/>
        </w:rPr>
        <w:t>响应文件未按要求提供资格审查资料的供应商或其中一项未通过的供应商，将视为资格审查不合格，未能通过资格审查的供 应商不进入下一轮评审</w:t>
      </w:r>
    </w:p>
    <w:p w14:paraId="6256D8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rPr>
      </w:pPr>
      <w:r>
        <w:rPr>
          <w:rFonts w:ascii="宋体" w:hAnsi="宋体" w:eastAsia="宋体" w:cs="宋体"/>
          <w:b/>
          <w:bCs/>
          <w:color w:val="auto"/>
          <w:sz w:val="24"/>
          <w:szCs w:val="24"/>
        </w:rPr>
        <w:t>注：无论何种原因，响应文件中未提供与之内容完全一致的扫描件的，评标委员会可以视同其未提供。 本项目开标必须在响应文件中提供原件的扫描件:</w:t>
      </w:r>
    </w:p>
    <w:p w14:paraId="6DCB30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具备有效的营业执照；</w:t>
      </w:r>
    </w:p>
    <w:p w14:paraId="4DABB7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.法定代表人身份证明或法定代表人授权委托书及法人身份证；</w:t>
      </w:r>
    </w:p>
    <w:p w14:paraId="49CB45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.特定的资格要求：</w:t>
      </w:r>
    </w:p>
    <w:p w14:paraId="2DD6A9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投标人是生产企业的须具备《药品生产许可证》（中药饮片）；投标人为经营企业或代理公司的须具备《药品经营许可证》（中药饮片)；</w:t>
      </w:r>
    </w:p>
    <w:p w14:paraId="3628D7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.2023年或2024年度任意一年财务审计报告（新成立未满一年的新公司提供近三个月内任意一个月的银行资信证明）</w:t>
      </w:r>
    </w:p>
    <w:p w14:paraId="2B3060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.依法缴纳近六个月中任意一个月的社会保险社保缴纳凭证；依法缴纳近六个月中任意一个月的税收良好记录证明；</w:t>
      </w:r>
    </w:p>
    <w:p w14:paraId="673E33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.凡拟参加本次招标项目的供应商，如在“信用中国” 网站（www.creditchina.gov.cn） 被列入失信被执行人、重大税收违法案件当事人名单(信用服务-重点领域严重失信主体名单查询-搜索栏输入单位全称)、中国政府采购网（http://www.ccgp.gov.cn/search/cr/）严重违法失信行为记录名单的（尚在处罚期内的），国家企业信用信息公示系统（https://www.gsxt.gov.cn/index.html）被列入经营异常名录、严重违法失信名单将拒绝其参加本次招标活动；（以招标代理机构或采购人查询为准）；</w:t>
      </w:r>
    </w:p>
    <w:p w14:paraId="06AA65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.提供针对本次项目《反商业贿赂承诺书》；</w:t>
      </w:r>
    </w:p>
    <w:p w14:paraId="150946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.提供本单位在参加政府采购活动中前三年内无重大违法记录的承诺声明函；</w:t>
      </w:r>
    </w:p>
    <w:p w14:paraId="13B9EE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.投标保证金缴纳凭证或投标保函；</w:t>
      </w:r>
    </w:p>
    <w:p w14:paraId="2DE983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ascii="宋体" w:hAnsi="宋体" w:eastAsia="宋体" w:cs="宋体"/>
          <w:b/>
          <w:bCs/>
          <w:color w:val="auto"/>
          <w:sz w:val="24"/>
          <w:szCs w:val="24"/>
        </w:rPr>
        <w:t>注：①若为零申报企业，需提供无欠税证明或国家 税务总局电子税务局“申报结果查询截图”。②“税种”非社会保险；</w:t>
      </w:r>
    </w:p>
    <w:p w14:paraId="2112CE1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19.2 采购人或采购代理机构将在开标前 1 个工作日至投标截止后1小时的期间内查询供应商的信用记录。供应商存在不良信用记录的，其投标将被认定为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6068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19.2.1不良信用记录指：</w:t>
      </w:r>
      <w:r>
        <w:rPr>
          <w:rFonts w:hint="eastAsia" w:ascii="宋体" w:hAnsi="宋体" w:eastAsia="宋体" w:cs="宋体"/>
          <w:sz w:val="24"/>
          <w:szCs w:val="24"/>
          <w:lang w:val="en-US" w:eastAsia="zh-CN"/>
        </w:rPr>
        <w:t>根据《财政部关于在政府采购活动中查询及使用信用记录有关问题的通知》（财库﹝2016﹞125 号）的要求，凡拟参加本次招标项目的供应商，如在“信用中国”网站（www.creditchina.gov.cn）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w:t>
      </w:r>
      <w:r>
        <w:rPr>
          <w:rFonts w:hint="eastAsia" w:ascii="宋体" w:hAnsi="宋体" w:eastAsia="宋体" w:cs="宋体"/>
          <w:sz w:val="24"/>
          <w:szCs w:val="24"/>
        </w:rPr>
        <w:t>（以招标代理机构或采购人查询为准</w:t>
      </w:r>
      <w:r>
        <w:rPr>
          <w:rFonts w:hint="eastAsia" w:ascii="宋体" w:hAnsi="宋体" w:cs="宋体"/>
          <w:sz w:val="24"/>
          <w:szCs w:val="24"/>
          <w:lang w:eastAsia="zh-CN"/>
        </w:rPr>
        <w:t>）</w:t>
      </w:r>
    </w:p>
    <w:p w14:paraId="58089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以联合体形式参加投标的，联合体任何成员存在以上不良信用记录的，联合体投标将被认定为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4C3689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19.2.2 查询及记录方式：采购人或采购代理机构经办人将查询网页打印、签字并存档备查。投标人不良信用记录以采购人或采购代理机构查询结果为准。</w:t>
      </w:r>
    </w:p>
    <w:p w14:paraId="10D1F6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在本招标文件规定的查询时间之后，网站信息发生的任何变更均不再作为评标依据。</w:t>
      </w:r>
    </w:p>
    <w:p w14:paraId="31E20A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投标人自行提供的与网站信息不一致的其他证明材料亦不作为资格审查的依据。</w:t>
      </w:r>
    </w:p>
    <w:p w14:paraId="693C22C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19.3 </w:t>
      </w:r>
      <w:r>
        <w:rPr>
          <w:rFonts w:ascii="宋体" w:hAnsi="宋体" w:eastAsia="宋体" w:cs="宋体"/>
          <w:sz w:val="24"/>
          <w:szCs w:val="24"/>
        </w:rPr>
        <w:t>按照《中华人民共和国政府采购法》《中华人民共和国政府采购法实施条例》 中华人民共和国财政部令第87号《政府采购货物和服务招标投标管理办法》及本项目本级和上级财政部门的有关规定依法组建的评标委员会，负责本项目评标工作。本项目评标委员会由5人组成（依法从政采云平台专家库随机抽取4名专家，采购人代表1名）</w:t>
      </w:r>
      <w:r>
        <w:rPr>
          <w:rFonts w:hint="eastAsia" w:ascii="宋体" w:hAnsi="宋体" w:eastAsia="宋体" w:cs="宋体"/>
          <w:sz w:val="24"/>
          <w:szCs w:val="24"/>
        </w:rPr>
        <w:t>。</w:t>
      </w:r>
      <w:bookmarkStart w:id="183" w:name="_Toc520356166"/>
    </w:p>
    <w:p w14:paraId="1BC2D5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84" w:name="_Toc518923085"/>
      <w:bookmarkStart w:id="185" w:name="_Toc8492"/>
      <w:bookmarkStart w:id="186" w:name="_Toc22894"/>
      <w:bookmarkStart w:id="187" w:name="_Toc23348"/>
      <w:bookmarkStart w:id="188" w:name="_Toc6842"/>
      <w:r>
        <w:rPr>
          <w:rFonts w:hint="eastAsia" w:ascii="宋体" w:hAnsi="宋体" w:eastAsia="宋体" w:cs="宋体"/>
          <w:sz w:val="24"/>
          <w:szCs w:val="24"/>
        </w:rPr>
        <w:t>20.投标文件的</w:t>
      </w:r>
      <w:bookmarkEnd w:id="183"/>
      <w:r>
        <w:rPr>
          <w:rFonts w:hint="eastAsia" w:ascii="宋体" w:hAnsi="宋体" w:eastAsia="宋体" w:cs="宋体"/>
          <w:sz w:val="24"/>
          <w:szCs w:val="24"/>
        </w:rPr>
        <w:t>符合性审查与澄清</w:t>
      </w:r>
      <w:bookmarkEnd w:id="184"/>
      <w:bookmarkEnd w:id="185"/>
      <w:bookmarkEnd w:id="186"/>
      <w:bookmarkEnd w:id="187"/>
      <w:bookmarkEnd w:id="188"/>
    </w:p>
    <w:p w14:paraId="6440AEF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符合性审查是指依据招标文件的规定，从投标文件的有效性和完整性对招标文件的响应程度进行审查，以确定是否对招标文件的实质性要求做出响应。</w:t>
      </w:r>
      <w:bookmarkStart w:id="189" w:name="_Hlt522424701"/>
      <w:bookmarkEnd w:id="189"/>
      <w:bookmarkStart w:id="190" w:name="_Toc520356167"/>
    </w:p>
    <w:p w14:paraId="5FB2537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投标文件的澄清</w:t>
      </w:r>
    </w:p>
    <w:p w14:paraId="6DFF0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5267E4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投标人的澄清、说明或补正将作为投标文件的一部分。</w:t>
      </w:r>
    </w:p>
    <w:p w14:paraId="7305519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20.3 投标文件报价出现前后不一致的，按照下列规定修正：</w:t>
      </w:r>
    </w:p>
    <w:p w14:paraId="00469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（一）投标文件中开标一览表（报价表）内容与投标文件中相应内容不一致的，以开标一览表（报价表）为准；</w:t>
      </w:r>
    </w:p>
    <w:p w14:paraId="2D75D6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（二）大写金额和小写金额不一致的，以大写金额为准；</w:t>
      </w:r>
    </w:p>
    <w:p w14:paraId="25BA3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（三）单价金额小数点或者百分比有明显错位的，以开标一览表的总价为准，并修改单价；</w:t>
      </w:r>
    </w:p>
    <w:p w14:paraId="2893C1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（四）总价金额与按单价汇总金额不一致的，以单价金额计算结果为准。</w:t>
      </w:r>
    </w:p>
    <w:p w14:paraId="23546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同时出现两种以上不一致的，按照前款规定的顺序修正。修正后的报价按照第20.2条的规定经投标人确认后产生约束力，投标人不确认的，将被认定为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4672AD1">
      <w:pPr>
        <w:keepNext w:val="0"/>
        <w:keepLines w:val="0"/>
        <w:pageBreakBefore w:val="0"/>
        <w:widowControl w:val="0"/>
        <w:kinsoku/>
        <w:wordWrap/>
        <w:overflowPunct/>
        <w:topLinePunct w:val="0"/>
        <w:autoSpaceDE/>
        <w:autoSpaceDN/>
        <w:bidi w:val="0"/>
        <w:adjustRightInd/>
        <w:snapToGrid/>
        <w:spacing w:line="360" w:lineRule="auto"/>
        <w:ind w:left="279" w:leftChars="133"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对不同文字文本投标文件的解释发生异议的，以中文文本为准</w:t>
      </w:r>
      <w:r>
        <w:rPr>
          <w:rFonts w:hint="eastAsia" w:ascii="宋体" w:hAnsi="宋体" w:eastAsia="宋体" w:cs="宋体"/>
          <w:sz w:val="24"/>
          <w:szCs w:val="24"/>
          <w:lang w:eastAsia="zh-CN"/>
        </w:rPr>
        <w:t>。</w:t>
      </w:r>
    </w:p>
    <w:p w14:paraId="0A090A9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20.4</w:t>
      </w:r>
      <w:r>
        <w:rPr>
          <w:rFonts w:hint="eastAsia" w:ascii="宋体" w:hAnsi="宋体" w:eastAsia="宋体" w:cs="宋体"/>
          <w:sz w:val="24"/>
          <w:szCs w:val="24"/>
        </w:rPr>
        <w:t>如一个分包内只有一种产品，不同供应商所投产品为同一品牌的，按如下方式处理：</w:t>
      </w:r>
    </w:p>
    <w:p w14:paraId="21A22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20.4.1 如</w:t>
      </w:r>
      <w:r>
        <w:rPr>
          <w:rFonts w:hint="eastAsia" w:ascii="宋体" w:hAnsi="宋体" w:eastAsia="宋体" w:cs="宋体"/>
          <w:sz w:val="24"/>
          <w:szCs w:val="24"/>
        </w:rPr>
        <w:t>本项目使用最低评审价法，提供相同品牌产品的不同供应商以其中通过资格审查、符合性审查且报价最低的参加评审；报价相同的，由采购人或者采购人委托评标委员会按照招标文件中评标办法规定的方式确定一个参加评标的供应商；未规定的采取随机抽取方式确定，其他投标将被认定为</w:t>
      </w:r>
      <w:r>
        <w:rPr>
          <w:rFonts w:hint="eastAsia" w:ascii="宋体" w:hAnsi="宋体" w:eastAsia="宋体" w:cs="宋体"/>
          <w:b w:val="0"/>
          <w:bCs w:val="0"/>
          <w:sz w:val="24"/>
          <w:szCs w:val="24"/>
        </w:rPr>
        <w:t>投标无效</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0EF1E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1C031D0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20.5</w:t>
      </w:r>
      <w:r>
        <w:rPr>
          <w:rFonts w:hint="eastAsia" w:ascii="宋体" w:hAnsi="宋体" w:eastAsia="宋体" w:cs="宋体"/>
          <w:sz w:val="24"/>
          <w:szCs w:val="24"/>
          <w:lang w:val="en-US" w:eastAsia="zh-CN"/>
        </w:rPr>
        <w:t>如一个分包内包含多种产品的，采购人或采购代理机构将在</w:t>
      </w:r>
      <w:r>
        <w:rPr>
          <w:rFonts w:hint="eastAsia" w:ascii="宋体" w:hAnsi="宋体" w:eastAsia="宋体" w:cs="宋体"/>
          <w:sz w:val="24"/>
          <w:szCs w:val="24"/>
          <w:u w:val="single"/>
          <w:lang w:val="en-US" w:eastAsia="zh-CN"/>
        </w:rPr>
        <w:t>投标人须知资料表</w:t>
      </w:r>
      <w:r>
        <w:rPr>
          <w:rFonts w:hint="eastAsia" w:ascii="宋体" w:hAnsi="宋体" w:eastAsia="宋体" w:cs="宋体"/>
          <w:sz w:val="24"/>
          <w:szCs w:val="24"/>
          <w:lang w:val="en-US" w:eastAsia="zh-CN"/>
        </w:rPr>
        <w:t>中载明核心产品，多家投标人提供的核心产品品牌相同的，按第20.4条规定处理。</w:t>
      </w:r>
    </w:p>
    <w:p w14:paraId="73C06CE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cs="宋体"/>
          <w:sz w:val="24"/>
          <w:szCs w:val="24"/>
          <w:lang w:val="en-US" w:eastAsia="zh-CN"/>
        </w:rPr>
        <w:t>6</w:t>
      </w:r>
      <w:r>
        <w:rPr>
          <w:rFonts w:hint="eastAsia" w:ascii="宋体" w:hAnsi="宋体" w:eastAsia="宋体" w:cs="宋体"/>
          <w:sz w:val="24"/>
          <w:szCs w:val="24"/>
        </w:rPr>
        <w:t xml:space="preserve"> 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2D0DF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如采购人所采购产品为政府强制采购的节能产品，供应商所投产品的品牌及型号必须为清单中有效期内产品并提供证明文件，否则其投标将被认定为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2C75BE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191" w:name="_Toc8603"/>
      <w:bookmarkStart w:id="192" w:name="_Toc518923086"/>
      <w:bookmarkStart w:id="193" w:name="_Toc19998"/>
      <w:bookmarkStart w:id="194" w:name="_Toc21824"/>
      <w:bookmarkStart w:id="195" w:name="_Toc18231"/>
      <w:r>
        <w:rPr>
          <w:rFonts w:hint="eastAsia" w:ascii="宋体" w:hAnsi="宋体" w:eastAsia="宋体" w:cs="宋体"/>
          <w:sz w:val="24"/>
          <w:szCs w:val="24"/>
        </w:rPr>
        <w:t>21.投标偏离</w:t>
      </w:r>
      <w:bookmarkEnd w:id="191"/>
      <w:bookmarkEnd w:id="192"/>
      <w:bookmarkEnd w:id="193"/>
      <w:bookmarkEnd w:id="194"/>
      <w:bookmarkEnd w:id="195"/>
    </w:p>
    <w:p w14:paraId="7B3FA1F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bookmarkStart w:id="196" w:name="_Toc25255"/>
      <w:bookmarkStart w:id="197" w:name="_Toc19913"/>
      <w:bookmarkStart w:id="198" w:name="_Toc518923087"/>
      <w:bookmarkStart w:id="199" w:name="_Toc31087"/>
      <w:bookmarkStart w:id="200" w:name="_Toc16356"/>
      <w:r>
        <w:rPr>
          <w:rFonts w:hint="eastAsia" w:ascii="宋体" w:hAnsi="宋体" w:eastAsia="宋体" w:cs="宋体"/>
          <w:sz w:val="24"/>
          <w:szCs w:val="24"/>
        </w:rPr>
        <w:t>本项目参数不接受负偏离，若出现负偏离则认定投标无效。</w:t>
      </w:r>
    </w:p>
    <w:p w14:paraId="767EC3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b/>
          <w:bCs/>
          <w:sz w:val="24"/>
          <w:szCs w:val="24"/>
        </w:rPr>
        <w:t>投标无效</w:t>
      </w:r>
      <w:bookmarkEnd w:id="196"/>
      <w:bookmarkEnd w:id="197"/>
      <w:bookmarkEnd w:id="198"/>
      <w:bookmarkEnd w:id="199"/>
      <w:bookmarkEnd w:id="200"/>
    </w:p>
    <w:p w14:paraId="4E9AF48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sz w:val="24"/>
          <w:szCs w:val="24"/>
        </w:rPr>
        <w:t>投标无效</w:t>
      </w:r>
      <w:r>
        <w:rPr>
          <w:rFonts w:hint="eastAsia" w:ascii="宋体" w:hAnsi="宋体" w:eastAsia="宋体" w:cs="宋体"/>
          <w:sz w:val="24"/>
          <w:szCs w:val="24"/>
        </w:rPr>
        <w:t>。投标人不得通过修正或撤销不符合要求的偏离从而使其投标成为实质上响应的投标。</w:t>
      </w:r>
    </w:p>
    <w:p w14:paraId="7D904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评标委员会决定投标的响应性只根据招标文件要求、投标文件内容及财政主管部门指定相关信息发布媒体。</w:t>
      </w:r>
    </w:p>
    <w:p w14:paraId="6DD46C24">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22.2</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如发现下列情况之一的，其投标将被认定为投标无效：</w:t>
      </w:r>
    </w:p>
    <w:p w14:paraId="6B12C1B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01" w:name="_Toc518923088"/>
      <w:bookmarkStart w:id="202" w:name="_Toc20835"/>
      <w:r>
        <w:rPr>
          <w:rFonts w:hint="eastAsia" w:ascii="宋体" w:hAnsi="宋体" w:eastAsia="宋体" w:cs="宋体"/>
          <w:sz w:val="24"/>
          <w:szCs w:val="24"/>
        </w:rPr>
        <w:t>（一）未按照招标文件的规定提交投标保证金的；</w:t>
      </w:r>
    </w:p>
    <w:p w14:paraId="36FBB4F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（二）投标文件未按招标文件要求签署、盖章的；</w:t>
      </w:r>
    </w:p>
    <w:p w14:paraId="22179F0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（三）不具备招标文件中规定的资格要求的；</w:t>
      </w:r>
    </w:p>
    <w:p w14:paraId="204E018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（四）报价超过招标文件中规定的预算金额或者最高限价的；</w:t>
      </w:r>
    </w:p>
    <w:p w14:paraId="737E2E6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（五）投标文件含有采购人不能接受的附加条件的;</w:t>
      </w:r>
    </w:p>
    <w:p w14:paraId="05D3FDF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（六）法律、法规和招标文件规定的其他无效情形。</w:t>
      </w:r>
    </w:p>
    <w:p w14:paraId="65799F4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23</w:t>
      </w:r>
      <w:bookmarkEnd w:id="190"/>
      <w:r>
        <w:rPr>
          <w:rFonts w:hint="eastAsia" w:ascii="宋体" w:hAnsi="宋体" w:eastAsia="宋体" w:cs="宋体"/>
          <w:sz w:val="24"/>
          <w:szCs w:val="24"/>
        </w:rPr>
        <w:t>.比较与评价</w:t>
      </w:r>
      <w:bookmarkEnd w:id="201"/>
      <w:bookmarkEnd w:id="202"/>
    </w:p>
    <w:p w14:paraId="5641BF2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经符合性审查合格的投标文件，评标委员会将根据招标文件确定的评标方法和标准，对其技术部分和商务部分作进一步的比较和评价。</w:t>
      </w:r>
    </w:p>
    <w:p w14:paraId="71B6778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23.2 评标严格按照招标文件的要求和条件进行。根据实际情况，在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中规定采用下列一种评标方法，详细评标标准见招标文件第六章：</w:t>
      </w:r>
    </w:p>
    <w:p w14:paraId="34A23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（1）最低评标价法，是指投标文件满足招标文件全部实质性要求，且投标报价最低的投标人为中标候选人的评标方法。</w:t>
      </w:r>
    </w:p>
    <w:p w14:paraId="1FC8F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（2）综合评分法，是指投标文件满足招标文件全部实质性要求，且按照评审因素的 量化指标评审得分最高的投标人为中标候选人的评标方法。</w:t>
      </w:r>
    </w:p>
    <w:p w14:paraId="7FE72A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本项目采用招标方式：公开招标，评标方法：综合评分法。其中：报价部分 30 分，商务</w:t>
      </w:r>
      <w:r>
        <w:rPr>
          <w:rFonts w:hint="eastAsia" w:ascii="宋体" w:hAnsi="宋体" w:eastAsia="宋体" w:cs="宋体"/>
          <w:sz w:val="24"/>
          <w:szCs w:val="24"/>
          <w:lang w:val="en-US" w:eastAsia="zh-CN"/>
        </w:rPr>
        <w:t>技术部分70分</w:t>
      </w:r>
      <w:r>
        <w:rPr>
          <w:rFonts w:hint="eastAsia" w:ascii="宋体" w:hAnsi="宋体" w:eastAsia="宋体" w:cs="宋体"/>
          <w:sz w:val="24"/>
          <w:szCs w:val="24"/>
          <w:lang w:eastAsia="zh-CN"/>
        </w:rPr>
        <w:t>。</w:t>
      </w:r>
    </w:p>
    <w:p w14:paraId="35B4018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bookmarkStart w:id="203" w:name="_Toc46"/>
      <w:bookmarkStart w:id="204" w:name="_Toc27856"/>
      <w:bookmarkStart w:id="205" w:name="_Toc15234"/>
      <w:r>
        <w:rPr>
          <w:rFonts w:hint="eastAsia" w:ascii="宋体" w:hAnsi="宋体" w:eastAsia="宋体" w:cs="宋体"/>
          <w:sz w:val="24"/>
          <w:szCs w:val="24"/>
        </w:rPr>
        <w:t>23.3 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206" w:name="sendNo"/>
      <w:r>
        <w:rPr>
          <w:rFonts w:hint="eastAsia" w:ascii="宋体" w:hAnsi="宋体" w:eastAsia="宋体" w:cs="宋体"/>
          <w:sz w:val="24"/>
          <w:szCs w:val="24"/>
        </w:rPr>
        <w:t>财库〔</w:t>
      </w:r>
      <w:bookmarkEnd w:id="206"/>
      <w:r>
        <w:rPr>
          <w:rFonts w:hint="eastAsia" w:ascii="宋体" w:hAnsi="宋体" w:eastAsia="宋体" w:cs="宋体"/>
          <w:sz w:val="24"/>
          <w:szCs w:val="24"/>
        </w:rPr>
        <w:t>2017〕141号）的规定，对满足价格扣除条件且在投标文件中提交了《</w:t>
      </w:r>
      <w:r>
        <w:rPr>
          <w:rFonts w:hint="eastAsia" w:ascii="宋体" w:hAnsi="宋体" w:eastAsia="宋体" w:cs="宋体"/>
          <w:sz w:val="24"/>
          <w:szCs w:val="24"/>
          <w:lang w:val="en-US" w:eastAsia="zh-CN"/>
        </w:rPr>
        <w:t>中小企业申明函</w:t>
      </w:r>
      <w:r>
        <w:rPr>
          <w:rFonts w:hint="eastAsia" w:ascii="宋体" w:hAnsi="宋体" w:eastAsia="宋体" w:cs="宋体"/>
          <w:sz w:val="24"/>
          <w:szCs w:val="24"/>
        </w:rPr>
        <w:t>》或省级以上监狱管理局、戒毒管理局（含新疆生产建设兵团）出具的属于监狱企业的证明文件的</w:t>
      </w:r>
      <w:r>
        <w:rPr>
          <w:rFonts w:hint="eastAsia" w:ascii="宋体" w:hAnsi="宋体" w:eastAsia="宋体" w:cs="宋体"/>
          <w:sz w:val="24"/>
          <w:szCs w:val="24"/>
          <w:lang w:val="en-US" w:eastAsia="zh-CN"/>
        </w:rPr>
        <w:t>小微企业</w:t>
      </w:r>
      <w:r>
        <w:rPr>
          <w:rFonts w:hint="eastAsia" w:ascii="宋体" w:hAnsi="宋体" w:eastAsia="宋体" w:cs="宋体"/>
          <w:sz w:val="24"/>
          <w:szCs w:val="24"/>
        </w:rPr>
        <w:t>，其投标报价扣除</w:t>
      </w:r>
      <w:r>
        <w:rPr>
          <w:rFonts w:hint="eastAsia" w:ascii="宋体" w:hAnsi="宋体" w:eastAsia="宋体" w:cs="宋体"/>
          <w:sz w:val="24"/>
          <w:szCs w:val="24"/>
          <w:u w:val="single"/>
          <w:lang w:val="en-US" w:eastAsia="zh-CN"/>
        </w:rPr>
        <w:t xml:space="preserve"> 10% </w:t>
      </w:r>
      <w:r>
        <w:rPr>
          <w:rFonts w:hint="eastAsia" w:ascii="宋体" w:hAnsi="宋体" w:eastAsia="宋体" w:cs="宋体"/>
          <w:sz w:val="24"/>
          <w:szCs w:val="24"/>
        </w:rPr>
        <w:t>后参与评审。具体办法详见招标文件第6章。</w:t>
      </w:r>
      <w:bookmarkEnd w:id="203"/>
      <w:bookmarkEnd w:id="204"/>
      <w:bookmarkEnd w:id="205"/>
    </w:p>
    <w:p w14:paraId="212E33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07" w:name="_Toc520356168"/>
      <w:bookmarkStart w:id="208" w:name="_Toc5823"/>
      <w:bookmarkStart w:id="209" w:name="_Toc518923089"/>
      <w:bookmarkStart w:id="210" w:name="_Toc21286"/>
      <w:bookmarkStart w:id="211" w:name="_Toc21639"/>
      <w:bookmarkStart w:id="212" w:name="_Toc24840"/>
      <w:r>
        <w:rPr>
          <w:rFonts w:hint="eastAsia" w:ascii="宋体" w:hAnsi="宋体" w:eastAsia="宋体" w:cs="宋体"/>
          <w:sz w:val="24"/>
          <w:szCs w:val="24"/>
        </w:rPr>
        <w:t>24</w:t>
      </w:r>
      <w:bookmarkEnd w:id="207"/>
      <w:r>
        <w:rPr>
          <w:rFonts w:hint="eastAsia" w:ascii="宋体" w:hAnsi="宋体" w:eastAsia="宋体" w:cs="宋体"/>
          <w:sz w:val="24"/>
          <w:szCs w:val="24"/>
        </w:rPr>
        <w:t>.废标</w:t>
      </w:r>
      <w:bookmarkEnd w:id="208"/>
      <w:bookmarkEnd w:id="209"/>
      <w:bookmarkEnd w:id="210"/>
      <w:bookmarkEnd w:id="211"/>
      <w:bookmarkEnd w:id="212"/>
    </w:p>
    <w:p w14:paraId="6BD92EF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24.1 </w:t>
      </w:r>
      <w:r>
        <w:rPr>
          <w:rFonts w:hint="eastAsia" w:ascii="宋体" w:hAnsi="宋体" w:eastAsia="宋体" w:cs="宋体"/>
          <w:sz w:val="24"/>
          <w:szCs w:val="24"/>
        </w:rPr>
        <w:t xml:space="preserve">出现下列情形之一，将导致项目废标： </w:t>
      </w:r>
    </w:p>
    <w:p w14:paraId="0F5E74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（1）符合专业条件的供应商或者对招标文件做实质性响应的供应商不足三家；</w:t>
      </w:r>
    </w:p>
    <w:p w14:paraId="54DF4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719DB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（3）投标人的报价均超过了采购预算，采购人不能支付的；</w:t>
      </w:r>
    </w:p>
    <w:p w14:paraId="465F6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（4）因重大变故，采购任务取消的。   </w:t>
      </w:r>
    </w:p>
    <w:p w14:paraId="1B6AED0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13" w:name="_Toc9809"/>
      <w:bookmarkStart w:id="214" w:name="_Toc23660"/>
      <w:bookmarkStart w:id="215" w:name="_Toc10697"/>
      <w:bookmarkStart w:id="216" w:name="_Toc518923090"/>
      <w:bookmarkStart w:id="217" w:name="_Toc3816"/>
      <w:bookmarkStart w:id="218" w:name="_Toc520356169"/>
      <w:r>
        <w:rPr>
          <w:rFonts w:hint="eastAsia" w:ascii="宋体" w:hAnsi="宋体" w:eastAsia="宋体" w:cs="宋体"/>
          <w:sz w:val="24"/>
          <w:szCs w:val="24"/>
        </w:rPr>
        <w:t>25.保密原则</w:t>
      </w:r>
      <w:bookmarkEnd w:id="213"/>
      <w:bookmarkEnd w:id="214"/>
      <w:bookmarkEnd w:id="215"/>
      <w:bookmarkEnd w:id="216"/>
      <w:bookmarkEnd w:id="217"/>
    </w:p>
    <w:p w14:paraId="418B9AB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评标将在严格保密的情况下进行。</w:t>
      </w:r>
    </w:p>
    <w:p w14:paraId="5A6C20A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政府采购评审专家应当遵守评审工作纪律，不得泄露评审文件、评审情况和评审中获悉的商业秘密。</w:t>
      </w:r>
    </w:p>
    <w:p w14:paraId="17A8F7D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sz w:val="32"/>
          <w:szCs w:val="32"/>
        </w:rPr>
      </w:pPr>
      <w:bookmarkStart w:id="219" w:name="_Toc10964"/>
      <w:bookmarkStart w:id="220" w:name="_Toc15684"/>
      <w:bookmarkStart w:id="221" w:name="_Toc216582810"/>
      <w:bookmarkStart w:id="222" w:name="_Toc518923091"/>
      <w:bookmarkStart w:id="223" w:name="_Toc10843"/>
      <w:bookmarkStart w:id="224" w:name="_Toc20889"/>
      <w:bookmarkStart w:id="225" w:name="_Toc19184"/>
      <w:bookmarkStart w:id="226" w:name="_Toc905"/>
      <w:r>
        <w:rPr>
          <w:rFonts w:hint="eastAsia" w:ascii="宋体" w:hAnsi="宋体" w:eastAsia="宋体" w:cs="宋体"/>
          <w:sz w:val="32"/>
          <w:szCs w:val="32"/>
        </w:rPr>
        <w:t>六</w:t>
      </w:r>
      <w:bookmarkEnd w:id="218"/>
      <w:r>
        <w:rPr>
          <w:rFonts w:hint="eastAsia" w:ascii="宋体" w:hAnsi="宋体" w:eastAsia="宋体" w:cs="宋体"/>
          <w:sz w:val="32"/>
          <w:szCs w:val="32"/>
          <w:lang w:eastAsia="zh-CN"/>
        </w:rPr>
        <w:t>、</w:t>
      </w:r>
      <w:r>
        <w:rPr>
          <w:rFonts w:hint="eastAsia" w:ascii="宋体" w:hAnsi="宋体" w:eastAsia="宋体" w:cs="宋体"/>
          <w:sz w:val="32"/>
          <w:szCs w:val="32"/>
        </w:rPr>
        <w:t>确定中标</w:t>
      </w:r>
      <w:bookmarkEnd w:id="219"/>
      <w:bookmarkEnd w:id="220"/>
      <w:bookmarkEnd w:id="221"/>
      <w:bookmarkEnd w:id="222"/>
      <w:bookmarkEnd w:id="223"/>
      <w:bookmarkEnd w:id="224"/>
      <w:bookmarkEnd w:id="225"/>
      <w:bookmarkEnd w:id="226"/>
    </w:p>
    <w:p w14:paraId="33FE01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27" w:name="_Toc30436"/>
      <w:bookmarkStart w:id="228" w:name="_Toc23224"/>
      <w:bookmarkStart w:id="229" w:name="_Toc520356170"/>
      <w:bookmarkStart w:id="230" w:name="_Toc32578"/>
      <w:bookmarkStart w:id="231" w:name="_Toc518923092"/>
      <w:bookmarkStart w:id="232" w:name="_Toc11388"/>
      <w:bookmarkStart w:id="233" w:name="_Ref467307010"/>
      <w:r>
        <w:rPr>
          <w:rFonts w:hint="eastAsia" w:ascii="宋体" w:hAnsi="宋体" w:eastAsia="宋体" w:cs="宋体"/>
          <w:sz w:val="24"/>
          <w:szCs w:val="24"/>
        </w:rPr>
        <w:t>26.中标候选人的确定原则及标准</w:t>
      </w:r>
      <w:bookmarkEnd w:id="227"/>
      <w:bookmarkEnd w:id="228"/>
      <w:bookmarkEnd w:id="229"/>
      <w:bookmarkEnd w:id="230"/>
      <w:bookmarkEnd w:id="231"/>
      <w:bookmarkEnd w:id="232"/>
      <w:bookmarkEnd w:id="233"/>
    </w:p>
    <w:p w14:paraId="648AF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除第28条规定外，对实质上响应招标文件的投标人按下列方法进行排序，确定中标候选人：</w:t>
      </w:r>
    </w:p>
    <w:p w14:paraId="5D2BB53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5AD4EB3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（2）采用综合评分法的，评标结果按评审后得分由高到低顺序排列。得分相同的，按修正和扣除后的投标报价由低到高顺序排列。得分与投标报价均相同的处理方式详见招标文件第6章。</w:t>
      </w:r>
    </w:p>
    <w:p w14:paraId="398793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34" w:name="_Toc520356171"/>
      <w:bookmarkStart w:id="235" w:name="_Toc30599"/>
      <w:bookmarkStart w:id="236" w:name="_Toc10555"/>
      <w:bookmarkStart w:id="237" w:name="_Toc518923093"/>
      <w:bookmarkStart w:id="238" w:name="_Toc3646"/>
      <w:bookmarkStart w:id="239" w:name="_Toc11187"/>
      <w:r>
        <w:rPr>
          <w:rFonts w:hint="eastAsia" w:ascii="宋体" w:hAnsi="宋体" w:eastAsia="宋体" w:cs="宋体"/>
          <w:sz w:val="24"/>
          <w:szCs w:val="24"/>
        </w:rPr>
        <w:t>27</w:t>
      </w:r>
      <w:bookmarkEnd w:id="234"/>
      <w:r>
        <w:rPr>
          <w:rFonts w:hint="eastAsia" w:ascii="宋体" w:hAnsi="宋体" w:eastAsia="宋体" w:cs="宋体"/>
          <w:sz w:val="24"/>
          <w:szCs w:val="24"/>
        </w:rPr>
        <w:t>.确定中标候选人和中标人</w:t>
      </w:r>
      <w:bookmarkEnd w:id="235"/>
      <w:bookmarkEnd w:id="236"/>
      <w:bookmarkEnd w:id="237"/>
      <w:bookmarkEnd w:id="238"/>
      <w:bookmarkEnd w:id="239"/>
    </w:p>
    <w:p w14:paraId="50A2E5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评标委员会将根据评标标准，按投标人须知资料表中规定数量推荐中标候选人；或根据采购人的委托，直接确定中标人。</w:t>
      </w:r>
    </w:p>
    <w:p w14:paraId="2F1F9E4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40" w:name="_Toc520356173"/>
      <w:bookmarkStart w:id="241" w:name="_Ref467306874"/>
      <w:bookmarkStart w:id="242" w:name="_Toc17138"/>
      <w:bookmarkStart w:id="243" w:name="_Toc5116"/>
      <w:bookmarkStart w:id="244" w:name="_Toc31903"/>
      <w:bookmarkStart w:id="245" w:name="_Toc518923094"/>
      <w:bookmarkStart w:id="246" w:name="_Toc19263"/>
      <w:r>
        <w:rPr>
          <w:rFonts w:hint="eastAsia" w:ascii="宋体" w:hAnsi="宋体" w:eastAsia="宋体" w:cs="宋体"/>
          <w:sz w:val="24"/>
          <w:szCs w:val="24"/>
        </w:rPr>
        <w:t>28</w:t>
      </w:r>
      <w:bookmarkEnd w:id="240"/>
      <w:bookmarkEnd w:id="241"/>
      <w:r>
        <w:rPr>
          <w:rFonts w:hint="eastAsia" w:ascii="宋体" w:hAnsi="宋体" w:eastAsia="宋体" w:cs="宋体"/>
          <w:sz w:val="24"/>
          <w:szCs w:val="24"/>
        </w:rPr>
        <w:t>.采购任务取消</w:t>
      </w:r>
      <w:bookmarkEnd w:id="242"/>
      <w:bookmarkEnd w:id="243"/>
      <w:bookmarkEnd w:id="244"/>
      <w:bookmarkEnd w:id="245"/>
      <w:bookmarkEnd w:id="246"/>
    </w:p>
    <w:p w14:paraId="083DCA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因重大变故采购任务取消时，采购人有权拒绝任何投标人中标，且对受影响的投标人不承担任何责任。</w:t>
      </w:r>
      <w:bookmarkStart w:id="247" w:name="_Toc520356174"/>
    </w:p>
    <w:p w14:paraId="6E541DC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48" w:name="_Toc29889"/>
      <w:bookmarkStart w:id="249" w:name="_Toc518923095"/>
      <w:bookmarkStart w:id="250" w:name="_Toc1312"/>
      <w:bookmarkStart w:id="251" w:name="_Toc14874"/>
      <w:bookmarkStart w:id="252" w:name="_Toc18072"/>
      <w:r>
        <w:rPr>
          <w:rFonts w:hint="eastAsia" w:ascii="宋体" w:hAnsi="宋体" w:eastAsia="宋体" w:cs="宋体"/>
          <w:sz w:val="24"/>
          <w:szCs w:val="24"/>
        </w:rPr>
        <w:t>29.中标通知书</w:t>
      </w:r>
      <w:bookmarkEnd w:id="247"/>
      <w:r>
        <w:rPr>
          <w:rFonts w:hint="eastAsia" w:ascii="宋体" w:hAnsi="宋体" w:eastAsia="宋体" w:cs="宋体"/>
          <w:sz w:val="24"/>
          <w:szCs w:val="24"/>
        </w:rPr>
        <w:t>和招标结果通知书</w:t>
      </w:r>
      <w:bookmarkEnd w:id="248"/>
      <w:bookmarkEnd w:id="249"/>
      <w:bookmarkEnd w:id="250"/>
      <w:bookmarkEnd w:id="251"/>
      <w:bookmarkEnd w:id="252"/>
    </w:p>
    <w:p w14:paraId="42C9DA7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在投标有效期内，中标人确定后，采购人或者采购代理机构发布中标公告，同时以书面形式向中标人发出中标通知书；</w:t>
      </w:r>
    </w:p>
    <w:p w14:paraId="42BD347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29.2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中标通知书是合同的组成部分；</w:t>
      </w:r>
    </w:p>
    <w:p w14:paraId="28435F5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29.3 招标结果通知书和中标通知书同时发出。招标结果通知书中将告知未通过资格审查的投标人未通过的原因；采用综合评分法评审的，还将告知未中标人本人的评审得分和排序。</w:t>
      </w:r>
    </w:p>
    <w:p w14:paraId="17A1CB0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53" w:name="_Ref467306978"/>
      <w:bookmarkStart w:id="254" w:name="_Toc13825"/>
      <w:bookmarkStart w:id="255" w:name="_Ref467307062"/>
      <w:bookmarkStart w:id="256" w:name="_Ref467307204"/>
      <w:bookmarkStart w:id="257" w:name="_Toc16554"/>
      <w:bookmarkStart w:id="258" w:name="_Toc518923096"/>
      <w:bookmarkStart w:id="259" w:name="_Ref467306377"/>
      <w:bookmarkStart w:id="260" w:name="_Toc169"/>
      <w:bookmarkStart w:id="261" w:name="_Toc520356175"/>
      <w:bookmarkStart w:id="262" w:name="_Toc16952"/>
      <w:r>
        <w:rPr>
          <w:rFonts w:hint="eastAsia" w:ascii="宋体" w:hAnsi="宋体" w:eastAsia="宋体" w:cs="宋体"/>
          <w:sz w:val="24"/>
          <w:szCs w:val="24"/>
        </w:rPr>
        <w:t>30.签订合同</w:t>
      </w:r>
      <w:bookmarkEnd w:id="253"/>
      <w:bookmarkEnd w:id="254"/>
      <w:bookmarkEnd w:id="255"/>
      <w:bookmarkEnd w:id="256"/>
      <w:bookmarkEnd w:id="257"/>
      <w:bookmarkEnd w:id="258"/>
      <w:bookmarkEnd w:id="259"/>
      <w:bookmarkEnd w:id="260"/>
      <w:bookmarkEnd w:id="261"/>
      <w:bookmarkEnd w:id="262"/>
    </w:p>
    <w:p w14:paraId="2985A38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中标人应当自发出中标通知书之日起30日内，与采购人签订合同。</w:t>
      </w:r>
    </w:p>
    <w:p w14:paraId="67536D0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30.2</w:t>
      </w:r>
      <w:bookmarkStart w:id="263" w:name="_Ref467307090"/>
      <w:bookmarkStart w:id="264" w:name="_Toc520356176"/>
      <w:bookmarkStart w:id="265" w:name="_Ref467306425"/>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招标文件、中标人的投标文件及其澄清文件等，均为签订合同的依据。</w:t>
      </w:r>
    </w:p>
    <w:p w14:paraId="26440CD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中标人拒绝与采购人签订合同的，采购人可以按照评审报告推荐的中标候选人名单排序，确定下一中标候选人为中标人，也可以重新开展政府采购活动。</w:t>
      </w:r>
    </w:p>
    <w:p w14:paraId="7F4405A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30.4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当出现法规规定的</w:t>
      </w:r>
      <w:r>
        <w:rPr>
          <w:rFonts w:hint="eastAsia" w:ascii="宋体" w:hAnsi="宋体" w:eastAsia="宋体" w:cs="宋体"/>
          <w:b/>
          <w:bCs/>
          <w:sz w:val="24"/>
          <w:szCs w:val="24"/>
        </w:rPr>
        <w:t>中标无效或中标结果无效</w:t>
      </w:r>
      <w:r>
        <w:rPr>
          <w:rFonts w:hint="eastAsia" w:ascii="宋体" w:hAnsi="宋体" w:eastAsia="宋体" w:cs="宋体"/>
          <w:b w:val="0"/>
          <w:bCs w:val="0"/>
          <w:sz w:val="24"/>
          <w:szCs w:val="24"/>
        </w:rPr>
        <w:t>情形</w:t>
      </w:r>
      <w:r>
        <w:rPr>
          <w:rFonts w:hint="eastAsia" w:ascii="宋体" w:hAnsi="宋体" w:eastAsia="宋体" w:cs="宋体"/>
          <w:sz w:val="24"/>
          <w:szCs w:val="24"/>
        </w:rPr>
        <w:t>时，采购人可与排名下一位的中标候选人另行签订合同，或依法重新开展采购活动。</w:t>
      </w:r>
    </w:p>
    <w:p w14:paraId="22325E4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66" w:name="_Toc31324"/>
      <w:bookmarkStart w:id="267" w:name="_Toc8276"/>
      <w:bookmarkStart w:id="268" w:name="_Toc4302"/>
      <w:bookmarkStart w:id="269" w:name="_Toc31416"/>
      <w:bookmarkStart w:id="270" w:name="_Toc518923097"/>
      <w:r>
        <w:rPr>
          <w:rFonts w:hint="eastAsia" w:ascii="宋体" w:hAnsi="宋体" w:eastAsia="宋体" w:cs="宋体"/>
          <w:sz w:val="24"/>
          <w:szCs w:val="24"/>
        </w:rPr>
        <w:t>31.履约保证金</w:t>
      </w:r>
      <w:bookmarkEnd w:id="263"/>
      <w:bookmarkEnd w:id="264"/>
      <w:bookmarkEnd w:id="265"/>
      <w:bookmarkEnd w:id="266"/>
      <w:bookmarkEnd w:id="267"/>
      <w:bookmarkEnd w:id="268"/>
      <w:bookmarkEnd w:id="269"/>
      <w:bookmarkEnd w:id="270"/>
    </w:p>
    <w:p w14:paraId="40BD423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中标人应按照</w:t>
      </w:r>
      <w:r>
        <w:rPr>
          <w:rFonts w:hint="eastAsia" w:ascii="宋体" w:hAnsi="宋体" w:eastAsia="宋体" w:cs="宋体"/>
          <w:sz w:val="24"/>
          <w:szCs w:val="24"/>
          <w:u w:val="single"/>
        </w:rPr>
        <w:t>投标人须知资料表</w:t>
      </w:r>
      <w:r>
        <w:rPr>
          <w:rFonts w:hint="eastAsia" w:ascii="宋体" w:hAnsi="宋体" w:eastAsia="宋体" w:cs="宋体"/>
          <w:sz w:val="24"/>
          <w:szCs w:val="24"/>
        </w:rPr>
        <w:t>规定向采购人缴纳履约保证金（如采用保函形式，格式见本章附件1）。</w:t>
      </w:r>
    </w:p>
    <w:p w14:paraId="1FF16B1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政府采购利用担保试点范围内的项目，除31.1规定的情形外，中标人也可以按照财政部门的规定，向采购人提供合格的履约担保函（格式见本章附件2）。</w:t>
      </w:r>
    </w:p>
    <w:p w14:paraId="6F4F0BC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如果中标人没有按照上述履约保证金的规定执行，将视为放弃中标资格，中标人的投标保证金将不予退还。在此情况下，采购人可确定下一候选人为中标人，也可以重新开展采购活动。</w:t>
      </w:r>
    </w:p>
    <w:p w14:paraId="1369D8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71" w:name="_Toc17150"/>
      <w:bookmarkStart w:id="272" w:name="_Toc31936"/>
      <w:bookmarkStart w:id="273" w:name="_Toc8478"/>
      <w:bookmarkStart w:id="274" w:name="_Toc8476"/>
      <w:bookmarkStart w:id="275" w:name="_Toc518923098"/>
      <w:r>
        <w:rPr>
          <w:rFonts w:hint="eastAsia" w:ascii="宋体" w:hAnsi="宋体" w:eastAsia="宋体" w:cs="宋体"/>
          <w:sz w:val="24"/>
          <w:szCs w:val="24"/>
        </w:rPr>
        <w:t>32.</w:t>
      </w:r>
      <w:r>
        <w:rPr>
          <w:rFonts w:hint="eastAsia" w:ascii="宋体" w:hAnsi="宋体" w:eastAsia="宋体" w:cs="宋体"/>
          <w:sz w:val="24"/>
          <w:szCs w:val="24"/>
          <w:lang w:val="en-US" w:eastAsia="zh-CN"/>
        </w:rPr>
        <w:t>招标代理</w:t>
      </w:r>
      <w:r>
        <w:rPr>
          <w:rFonts w:hint="eastAsia" w:ascii="宋体" w:hAnsi="宋体" w:eastAsia="宋体" w:cs="宋体"/>
          <w:sz w:val="24"/>
          <w:szCs w:val="24"/>
        </w:rPr>
        <w:t>服务费</w:t>
      </w:r>
      <w:bookmarkEnd w:id="271"/>
      <w:bookmarkEnd w:id="272"/>
      <w:bookmarkEnd w:id="273"/>
      <w:bookmarkEnd w:id="274"/>
      <w:bookmarkEnd w:id="275"/>
    </w:p>
    <w:p w14:paraId="7411640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中标人</w:t>
      </w:r>
      <w:r>
        <w:rPr>
          <w:rFonts w:hint="eastAsia" w:ascii="宋体" w:hAnsi="宋体" w:eastAsia="宋体" w:cs="宋体"/>
          <w:sz w:val="24"/>
          <w:szCs w:val="24"/>
        </w:rPr>
        <w:t>应按照</w:t>
      </w:r>
      <w:r>
        <w:rPr>
          <w:rFonts w:hint="eastAsia" w:ascii="宋体" w:hAnsi="宋体" w:eastAsia="宋体" w:cs="宋体"/>
          <w:sz w:val="24"/>
          <w:szCs w:val="24"/>
          <w:u w:val="single"/>
          <w:lang w:val="en-US" w:eastAsia="zh-CN"/>
        </w:rPr>
        <w:t>投标人须知资料表</w:t>
      </w:r>
      <w:r>
        <w:rPr>
          <w:rFonts w:hint="eastAsia" w:ascii="宋体" w:hAnsi="宋体" w:eastAsia="宋体" w:cs="宋体"/>
          <w:sz w:val="24"/>
          <w:szCs w:val="24"/>
        </w:rPr>
        <w:t>中的规定交纳招标代理服务费。否则，其报价保证金将不予退还。</w:t>
      </w:r>
    </w:p>
    <w:p w14:paraId="54DD5E8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76" w:name="_Toc518923099"/>
      <w:bookmarkStart w:id="277" w:name="_Toc18907"/>
      <w:bookmarkStart w:id="278" w:name="_Toc31411"/>
      <w:bookmarkStart w:id="279" w:name="_Toc16784"/>
      <w:bookmarkStart w:id="280" w:name="_Toc10203"/>
      <w:r>
        <w:rPr>
          <w:rFonts w:hint="eastAsia" w:ascii="宋体" w:hAnsi="宋体" w:eastAsia="宋体" w:cs="宋体"/>
          <w:sz w:val="24"/>
          <w:szCs w:val="24"/>
        </w:rPr>
        <w:t>33.政府采购信用担保</w:t>
      </w:r>
      <w:bookmarkEnd w:id="276"/>
      <w:bookmarkEnd w:id="277"/>
      <w:bookmarkEnd w:id="278"/>
      <w:bookmarkEnd w:id="279"/>
      <w:bookmarkEnd w:id="280"/>
    </w:p>
    <w:p w14:paraId="0785DE5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33.1 本项目是否属于信用担保试点范围见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758C272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33.2 如属于政府采购信用担保试点范围内，中小型企业投标人可以自由按照财政部门的规定，采用投标担保、履约担保和融资担保。</w:t>
      </w:r>
    </w:p>
    <w:p w14:paraId="21EEC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33.2.1 投标人递交的投标担保函和履约担保函应符合本招标文件的规定。</w:t>
      </w:r>
    </w:p>
    <w:p w14:paraId="4016F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33.2.2 中标人可以采取融资担保的形式为政府采购项目履约进行融资。</w:t>
      </w:r>
    </w:p>
    <w:p w14:paraId="7ABF7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33.2.3 合格的政府采购专业信用担保机构见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40E942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81" w:name="_Toc32108"/>
      <w:bookmarkStart w:id="282" w:name="_Toc4701"/>
      <w:bookmarkStart w:id="283" w:name="_Toc28987"/>
      <w:bookmarkStart w:id="284" w:name="_Toc518923100"/>
      <w:bookmarkStart w:id="285" w:name="_Toc32170"/>
      <w:r>
        <w:rPr>
          <w:rFonts w:hint="eastAsia" w:ascii="宋体" w:hAnsi="宋体" w:eastAsia="宋体" w:cs="宋体"/>
          <w:sz w:val="24"/>
          <w:szCs w:val="24"/>
        </w:rPr>
        <w:t>34.廉洁自律规定</w:t>
      </w:r>
      <w:bookmarkEnd w:id="281"/>
      <w:bookmarkEnd w:id="282"/>
      <w:bookmarkEnd w:id="283"/>
      <w:bookmarkEnd w:id="284"/>
      <w:bookmarkEnd w:id="285"/>
    </w:p>
    <w:p w14:paraId="2FF2139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34.1 采购代理机构工作人员不得以不正当手段获取政府采购代理业务，不得与采购人、供应商恶意串通操纵政府采购活动。</w:t>
      </w:r>
    </w:p>
    <w:p w14:paraId="3DE056A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34.2 采购代理机构工作人员不得接受采购人或者供应商组织的宴请、旅游、娱乐，不得收受礼品、现金、有价证券等，不得向采购人或者供应商报销应当由个人承担的费用。</w:t>
      </w:r>
    </w:p>
    <w:p w14:paraId="143453F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34.3 为强化采购代理机构内部监督机制，供应商可按</w:t>
      </w:r>
      <w:r>
        <w:rPr>
          <w:rFonts w:hint="eastAsia" w:ascii="宋体" w:hAnsi="宋体" w:eastAsia="宋体" w:cs="宋体"/>
          <w:sz w:val="24"/>
          <w:szCs w:val="24"/>
          <w:u w:val="single"/>
        </w:rPr>
        <w:t>投标人须知资料表</w:t>
      </w:r>
      <w:r>
        <w:rPr>
          <w:rFonts w:hint="eastAsia" w:ascii="宋体" w:hAnsi="宋体" w:eastAsia="宋体" w:cs="宋体"/>
          <w:sz w:val="24"/>
          <w:szCs w:val="24"/>
        </w:rPr>
        <w:t>中的监督电话和信箱，反映采购代理机构的廉洁自律等问题。</w:t>
      </w:r>
    </w:p>
    <w:p w14:paraId="65319AB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86" w:name="_Toc30899"/>
      <w:bookmarkStart w:id="287" w:name="_Toc21055"/>
      <w:bookmarkStart w:id="288" w:name="_Toc518923101"/>
      <w:bookmarkStart w:id="289" w:name="_Toc2314"/>
      <w:bookmarkStart w:id="290" w:name="_Toc743"/>
      <w:r>
        <w:rPr>
          <w:rFonts w:hint="eastAsia" w:ascii="宋体" w:hAnsi="宋体" w:eastAsia="宋体" w:cs="宋体"/>
          <w:sz w:val="24"/>
          <w:szCs w:val="24"/>
        </w:rPr>
        <w:t>35.人员回避</w:t>
      </w:r>
      <w:bookmarkEnd w:id="286"/>
      <w:bookmarkEnd w:id="287"/>
      <w:bookmarkEnd w:id="288"/>
      <w:bookmarkEnd w:id="289"/>
      <w:bookmarkEnd w:id="290"/>
    </w:p>
    <w:p w14:paraId="2F6D16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投标人认为采购人员及其相关人员有法律法规所列与其他供应商有利害关系的，可以向采购人或采购代理机构书面提出回避申请，并说明理由。</w:t>
      </w:r>
    </w:p>
    <w:p w14:paraId="46EF969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bookmarkStart w:id="291" w:name="_Toc24931"/>
      <w:bookmarkStart w:id="292" w:name="_Toc12494"/>
      <w:bookmarkStart w:id="293" w:name="_Toc518923102"/>
      <w:bookmarkStart w:id="294" w:name="_Toc18926"/>
      <w:bookmarkStart w:id="295" w:name="_Toc14752"/>
      <w:r>
        <w:rPr>
          <w:rFonts w:hint="eastAsia" w:ascii="宋体" w:hAnsi="宋体" w:eastAsia="宋体" w:cs="宋体"/>
          <w:sz w:val="24"/>
          <w:szCs w:val="24"/>
        </w:rPr>
        <w:t>36.质疑与接收</w:t>
      </w:r>
      <w:bookmarkEnd w:id="291"/>
      <w:bookmarkEnd w:id="292"/>
      <w:bookmarkEnd w:id="293"/>
      <w:bookmarkEnd w:id="294"/>
      <w:bookmarkEnd w:id="295"/>
    </w:p>
    <w:p w14:paraId="5F5C38B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C6CCD1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02E2F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超出法定质疑期的、重复提出的、分次提出的或内容、形式不符合《政府采购质疑和投诉办法》的，质疑供应商将依法承担不利后果。</w:t>
      </w:r>
    </w:p>
    <w:p w14:paraId="64D57DA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36.3 采购代理机构质疑函接收部门、联系电话和通讯地址, 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35C844A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36.4 质疑的提出：一次提出全部质疑</w:t>
      </w:r>
    </w:p>
    <w:p w14:paraId="1035702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36.5 本采购文件中所称质疑及答复，是指参加本次采购活动的供应商对政府采购活动中的采购文件、采购过程和成交结果向采购方提出质疑，采购方答复质疑的行为。</w:t>
      </w:r>
    </w:p>
    <w:p w14:paraId="5E09B50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78F0B15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（一）对可以质疑的采购文件提出质疑的，为收到采购文件之日或者采购文件公告期限届满之日；</w:t>
      </w:r>
    </w:p>
    <w:p w14:paraId="4A0A040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14:paraId="2B0572F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（三）对成交结果提出质疑的，为成交结果公告期限届满之日。</w:t>
      </w:r>
    </w:p>
    <w:p w14:paraId="017D28C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36.7 对可以质疑的采购文件提出质疑的，质疑人为参与本项目的报价方或潜在报价方。可质疑的文件为采购公告以及采购文件（包括属于其组成部分的澄清、修改、补充文件和评审标准、合同文本等）。</w:t>
      </w:r>
    </w:p>
    <w:p w14:paraId="5A17673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BC7FC3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36.9 提出质疑应当符合下列条件：</w:t>
      </w:r>
    </w:p>
    <w:p w14:paraId="49460E2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质疑主体应当符合有关规定；</w:t>
      </w:r>
    </w:p>
    <w:p w14:paraId="7D8132A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在质疑法定期限内提出；</w:t>
      </w:r>
    </w:p>
    <w:p w14:paraId="7713CE1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属于可以提出质疑的政府采购事项受理范围和本项目采购人的管辖权范围；</w:t>
      </w:r>
    </w:p>
    <w:p w14:paraId="30E6A94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（四）政府采购法律、法规、规章规定的其他条件。</w:t>
      </w:r>
    </w:p>
    <w:p w14:paraId="2770CE5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36.10 </w:t>
      </w:r>
      <w:r>
        <w:rPr>
          <w:rFonts w:hint="eastAsia" w:ascii="宋体" w:hAnsi="宋体" w:eastAsia="宋体" w:cs="宋体"/>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21F34A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6.1</w:t>
      </w:r>
      <w:r>
        <w:rPr>
          <w:rFonts w:hint="eastAsia" w:ascii="宋体" w:hAnsi="宋体" w:eastAsia="宋体" w:cs="宋体"/>
          <w:sz w:val="24"/>
          <w:szCs w:val="24"/>
        </w:rPr>
        <w:t>1 质疑人所提供的证明材料应当具有真实性、合法性以及与质疑事项的关联性和证明力，否则不能作为认定该质疑事项成立的依据。</w:t>
      </w:r>
    </w:p>
    <w:p w14:paraId="426B098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2 质疑人提出质疑时应当提交质疑函。质疑函包括下列内容：</w:t>
      </w:r>
    </w:p>
    <w:p w14:paraId="555DF78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（一）提出质疑的质疑人的名称、地址、邮编、联系人及联系电话等；</w:t>
      </w:r>
    </w:p>
    <w:p w14:paraId="5C8D718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（二）质疑项目的名称、编号；</w:t>
      </w:r>
    </w:p>
    <w:p w14:paraId="4147278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（三）质疑事项；</w:t>
      </w:r>
    </w:p>
    <w:p w14:paraId="7112DE7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（四）事实依据和证明材料；</w:t>
      </w:r>
    </w:p>
    <w:p w14:paraId="597084A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（五）法律依据；</w:t>
      </w:r>
    </w:p>
    <w:p w14:paraId="4C8D7A5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（六）提出质疑的日期。</w:t>
      </w:r>
    </w:p>
    <w:p w14:paraId="09C08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3AE2BBF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 xml:space="preserve"> 质疑人可以委托代理人进行质疑。代理人应当提交授权委托书。授权委托书应当载明委托代理的具体权限、期限和相关事项。</w:t>
      </w:r>
    </w:p>
    <w:p w14:paraId="57169FA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36.14 </w:t>
      </w:r>
      <w:r>
        <w:rPr>
          <w:rFonts w:hint="eastAsia" w:ascii="宋体" w:hAnsi="宋体" w:eastAsia="宋体" w:cs="宋体"/>
          <w:sz w:val="24"/>
          <w:szCs w:val="24"/>
        </w:rPr>
        <w:t>质疑的审查和受理</w:t>
      </w:r>
    </w:p>
    <w:p w14:paraId="548F1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采购方在收到质疑函后应当及时审查是否符合质疑受理条件，对符合质疑受理条件的，及时予以受理。</w:t>
      </w:r>
    </w:p>
    <w:p w14:paraId="2A79006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36.15</w:t>
      </w:r>
      <w:r>
        <w:rPr>
          <w:rFonts w:hint="eastAsia" w:ascii="宋体" w:hAnsi="宋体" w:eastAsia="宋体" w:cs="宋体"/>
          <w:sz w:val="24"/>
          <w:szCs w:val="24"/>
        </w:rPr>
        <w:t xml:space="preserve"> 对不符合质疑受理条件的，分别按照下列不同情形予以处理：</w:t>
      </w:r>
    </w:p>
    <w:p w14:paraId="55BC8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（一）质疑函内容不符合规定的，告知质疑人进行修改并重新提出质疑。修改后质疑事项仍不具体、不明确或者最终递交质疑函的时间超过质疑法定期限的，不予受理；</w:t>
      </w:r>
    </w:p>
    <w:p w14:paraId="4F6E6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（二）质疑主体不符合有关规定的，告知质疑人不予受理；</w:t>
      </w:r>
    </w:p>
    <w:p w14:paraId="0B005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（三）超过质疑法定期限提出质疑的，告知质疑人不予受理；</w:t>
      </w:r>
    </w:p>
    <w:p w14:paraId="3F9D3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（四）对不属于可以提出质疑的政府采购事项提出质疑的，告知质疑人不予受理；</w:t>
      </w:r>
    </w:p>
    <w:p w14:paraId="0171B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（五）质疑不属于本项目采购方管辖的，告知质疑人向有管辖权的采购人提出质疑；</w:t>
      </w:r>
    </w:p>
    <w:p w14:paraId="077B3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（六）质疑不符合其他条件的，告知质疑人不予受理。</w:t>
      </w:r>
    </w:p>
    <w:p w14:paraId="3F24AE9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16 </w:t>
      </w:r>
      <w:r>
        <w:rPr>
          <w:rFonts w:hint="eastAsia" w:ascii="宋体" w:hAnsi="宋体" w:eastAsia="宋体" w:cs="宋体"/>
          <w:sz w:val="24"/>
          <w:szCs w:val="24"/>
        </w:rPr>
        <w:t>质疑的处理和答复</w:t>
      </w:r>
    </w:p>
    <w:p w14:paraId="137543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36.16.1</w:t>
      </w:r>
      <w:r>
        <w:rPr>
          <w:rFonts w:hint="eastAsia" w:ascii="宋体" w:hAnsi="宋体" w:eastAsia="宋体" w:cs="宋体"/>
          <w:sz w:val="24"/>
          <w:szCs w:val="24"/>
        </w:rPr>
        <w:t xml:space="preserve"> 采购方受理质疑后，将及时把质疑函发送给被质疑人，并要求其在一定限期人提交书面答复，同时提供有关证据、依据和相关材料。</w:t>
      </w:r>
    </w:p>
    <w:p w14:paraId="167766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36.16.2 </w:t>
      </w:r>
      <w:r>
        <w:rPr>
          <w:rFonts w:hint="eastAsia" w:ascii="宋体" w:hAnsi="宋体" w:eastAsia="宋体" w:cs="宋体"/>
          <w:sz w:val="24"/>
          <w:szCs w:val="24"/>
        </w:rPr>
        <w:t>对于质疑事项中涉及的问题较多、情况比较复杂的，为了全面查清事实、取得充分的证据，采购方认为有必要时，可以进行调查取证或者组织质证。</w:t>
      </w:r>
    </w:p>
    <w:p w14:paraId="65EE2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36.16.3 </w:t>
      </w:r>
      <w:r>
        <w:rPr>
          <w:rFonts w:hint="eastAsia" w:ascii="宋体" w:hAnsi="宋体" w:eastAsia="宋体" w:cs="宋体"/>
          <w:sz w:val="24"/>
          <w:szCs w:val="24"/>
        </w:rPr>
        <w:t>对评审过程、成交结果提出质疑的，采购方可以组织原评审委员会协助答复质疑。</w:t>
      </w:r>
    </w:p>
    <w:p w14:paraId="4F4DE20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17 </w:t>
      </w:r>
      <w:r>
        <w:rPr>
          <w:rFonts w:hint="eastAsia" w:ascii="宋体" w:hAnsi="宋体" w:eastAsia="宋体" w:cs="宋体"/>
          <w:sz w:val="24"/>
          <w:szCs w:val="24"/>
        </w:rPr>
        <w:t>质疑处理过程中，质疑人书面申请撤回质疑的，将终止质疑处理程序。</w:t>
      </w:r>
    </w:p>
    <w:p w14:paraId="28F3096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 质疑人拒绝配合采购方依法对质疑进行调查处理的，采购方将按质疑人自动撤回质疑处理；被质疑人拒绝配合采购方依法对质疑进行调查处理的，采购方将视同其认可质疑事项。</w:t>
      </w:r>
    </w:p>
    <w:p w14:paraId="524A1AF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36.19</w:t>
      </w:r>
      <w:r>
        <w:rPr>
          <w:rFonts w:hint="eastAsia" w:ascii="宋体" w:hAnsi="宋体" w:eastAsia="宋体" w:cs="宋体"/>
          <w:sz w:val="24"/>
          <w:szCs w:val="24"/>
        </w:rPr>
        <w:t xml:space="preserve"> 采购方将在正式受理质疑后7个工作日内作出答复，但处理质疑需要进行调查取证、组织专家评审、质疑人及被质疑人提交或补正材料等所需时间，不计算在质疑处理期限内。</w:t>
      </w:r>
    </w:p>
    <w:p w14:paraId="56F5939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36.20 </w:t>
      </w:r>
      <w:r>
        <w:rPr>
          <w:rFonts w:hint="eastAsia" w:ascii="宋体" w:hAnsi="宋体" w:eastAsia="宋体" w:cs="宋体"/>
          <w:sz w:val="24"/>
          <w:szCs w:val="24"/>
        </w:rPr>
        <w:t>采购方经调查、论证、核实，认定质疑不能成立的，继续开展采购活动；认定质疑成立的，按照以下情况处理：</w:t>
      </w:r>
    </w:p>
    <w:p w14:paraId="01F4EAA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4B267FE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1C07F5B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 采购方将书面答复质疑，质疑答复包括下列内容：</w:t>
      </w:r>
    </w:p>
    <w:p w14:paraId="132C3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（一）质疑人名称；</w:t>
      </w:r>
    </w:p>
    <w:p w14:paraId="171453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（二）收到质疑函的日期、质疑项目名称及编号;</w:t>
      </w:r>
    </w:p>
    <w:p w14:paraId="508BB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质疑事项、质疑答复的具体内容、事实依据和法律依据；</w:t>
      </w:r>
    </w:p>
    <w:p w14:paraId="34054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（四）告知质疑人依法投诉的权利；</w:t>
      </w:r>
    </w:p>
    <w:p w14:paraId="48B61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（五）质疑答复日期。</w:t>
      </w:r>
    </w:p>
    <w:p w14:paraId="4CD3731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22</w:t>
      </w:r>
      <w:r>
        <w:rPr>
          <w:rFonts w:hint="eastAsia" w:ascii="宋体" w:hAnsi="宋体" w:eastAsia="宋体" w:cs="宋体"/>
          <w:sz w:val="24"/>
          <w:szCs w:val="24"/>
        </w:rPr>
        <w:t xml:space="preserve"> 质疑人有下列行为之一的，属于虚假、恶意质疑，将由采购方建议财政部门将其列入不良行为记录名单，禁止其1至3年内参加政府采购活动：</w:t>
      </w:r>
    </w:p>
    <w:p w14:paraId="3FF89DD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（一）捏造事实；</w:t>
      </w:r>
    </w:p>
    <w:p w14:paraId="4889F60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（二）提供虚假材料；</w:t>
      </w:r>
    </w:p>
    <w:p w14:paraId="5122241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（三）以非法手段取得证明材料或者无法提供证据的合法来源；</w:t>
      </w:r>
    </w:p>
    <w:p w14:paraId="63A04C4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（四）法律法规规定的其他违法情形。</w:t>
      </w:r>
    </w:p>
    <w:p w14:paraId="755561D6">
      <w:pPr>
        <w:bidi w:val="0"/>
        <w:rPr>
          <w:rFonts w:hint="eastAsia"/>
        </w:rPr>
      </w:pPr>
      <w:r>
        <w:rPr>
          <w:rFonts w:hint="eastAsia"/>
        </w:rPr>
        <w:br w:type="page"/>
      </w:r>
    </w:p>
    <w:p w14:paraId="3722F4BA">
      <w:pPr>
        <w:bidi w:val="0"/>
        <w:jc w:val="center"/>
        <w:outlineLvl w:val="2"/>
        <w:rPr>
          <w:rFonts w:hint="eastAsia"/>
        </w:rPr>
      </w:pPr>
      <w:bookmarkStart w:id="296" w:name="_Toc28140"/>
      <w:bookmarkStart w:id="297" w:name="_Toc18480"/>
      <w:r>
        <w:rPr>
          <w:rFonts w:hint="eastAsia"/>
          <w:sz w:val="32"/>
          <w:szCs w:val="40"/>
        </w:rPr>
        <w:t>质疑函范本</w:t>
      </w:r>
      <w:bookmarkEnd w:id="296"/>
      <w:bookmarkEnd w:id="297"/>
    </w:p>
    <w:p w14:paraId="7DA1539B">
      <w:pPr>
        <w:bidi w:val="0"/>
        <w:rPr>
          <w:rFonts w:hint="eastAsia"/>
        </w:rPr>
      </w:pPr>
    </w:p>
    <w:p w14:paraId="5D824B6C">
      <w:pPr>
        <w:bidi w:val="0"/>
        <w:outlineLvl w:val="9"/>
        <w:rPr>
          <w:rFonts w:hint="eastAsia" w:ascii="宋体" w:hAnsi="宋体" w:eastAsia="宋体" w:cs="宋体"/>
          <w:sz w:val="24"/>
          <w:szCs w:val="24"/>
        </w:rPr>
      </w:pPr>
      <w:r>
        <w:rPr>
          <w:rFonts w:hint="eastAsia" w:ascii="宋体" w:hAnsi="宋体" w:eastAsia="宋体" w:cs="宋体"/>
          <w:sz w:val="24"/>
          <w:szCs w:val="24"/>
        </w:rPr>
        <w:t>一、质疑供应商基本信息</w:t>
      </w:r>
    </w:p>
    <w:p w14:paraId="7BF1F391">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质疑供应商：</w:t>
      </w:r>
      <w:r>
        <w:rPr>
          <w:rFonts w:hint="eastAsia" w:ascii="宋体" w:hAnsi="宋体" w:eastAsia="宋体" w:cs="宋体"/>
          <w:sz w:val="24"/>
          <w:szCs w:val="24"/>
          <w:u w:val="single"/>
          <w:lang w:val="en-US" w:eastAsia="zh-CN"/>
        </w:rPr>
        <w:t xml:space="preserve">                          </w:t>
      </w:r>
    </w:p>
    <w:p w14:paraId="5ED07B08">
      <w:pPr>
        <w:bidi w:val="0"/>
        <w:rPr>
          <w:rFonts w:hint="default" w:ascii="宋体" w:hAnsi="宋体" w:eastAsia="宋体" w:cs="宋体"/>
          <w:i/>
          <w:iCs/>
          <w:sz w:val="24"/>
          <w:szCs w:val="24"/>
          <w:u w:val="single"/>
          <w:lang w:val="en-US" w:eastAsia="zh-CN"/>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邮编：</w:t>
      </w:r>
      <w:r>
        <w:rPr>
          <w:rFonts w:hint="eastAsia" w:ascii="宋体" w:hAnsi="宋体" w:eastAsia="宋体" w:cs="宋体"/>
          <w:i/>
          <w:iCs/>
          <w:sz w:val="24"/>
          <w:szCs w:val="24"/>
          <w:u w:val="single"/>
          <w:lang w:val="en-US" w:eastAsia="zh-CN"/>
        </w:rPr>
        <w:t xml:space="preserve">               </w:t>
      </w:r>
    </w:p>
    <w:p w14:paraId="5AE716B4">
      <w:pPr>
        <w:bidi w:val="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6A14EBC9">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授权代表：</w:t>
      </w:r>
      <w:r>
        <w:rPr>
          <w:rFonts w:hint="eastAsia" w:ascii="宋体" w:hAnsi="宋体" w:eastAsia="宋体" w:cs="宋体"/>
          <w:sz w:val="24"/>
          <w:szCs w:val="24"/>
          <w:u w:val="single"/>
          <w:lang w:val="en-US" w:eastAsia="zh-CN"/>
        </w:rPr>
        <w:t xml:space="preserve">                         </w:t>
      </w:r>
    </w:p>
    <w:p w14:paraId="3A5D1DCA">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                         </w:t>
      </w:r>
    </w:p>
    <w:p w14:paraId="20AD051E">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lang w:val="en-US" w:eastAsia="zh-CN"/>
        </w:rPr>
        <w:t xml:space="preserve">                  </w:t>
      </w:r>
    </w:p>
    <w:p w14:paraId="407D8E67">
      <w:pPr>
        <w:bidi w:val="0"/>
        <w:outlineLvl w:val="9"/>
        <w:rPr>
          <w:rFonts w:hint="eastAsia" w:ascii="宋体" w:hAnsi="宋体" w:eastAsia="宋体" w:cs="宋体"/>
          <w:sz w:val="24"/>
          <w:szCs w:val="24"/>
        </w:rPr>
      </w:pPr>
      <w:r>
        <w:rPr>
          <w:rFonts w:hint="eastAsia" w:ascii="宋体" w:hAnsi="宋体" w:eastAsia="宋体" w:cs="宋体"/>
          <w:sz w:val="24"/>
          <w:szCs w:val="24"/>
        </w:rPr>
        <w:t>二、质疑项目基本情况</w:t>
      </w:r>
    </w:p>
    <w:p w14:paraId="00BF3AE0">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质疑项目的名称：</w:t>
      </w:r>
      <w:r>
        <w:rPr>
          <w:rFonts w:hint="eastAsia" w:ascii="宋体" w:hAnsi="宋体" w:eastAsia="宋体" w:cs="宋体"/>
          <w:sz w:val="24"/>
          <w:szCs w:val="24"/>
          <w:u w:val="single"/>
          <w:lang w:val="en-US" w:eastAsia="zh-CN"/>
        </w:rPr>
        <w:t xml:space="preserve">                          </w:t>
      </w:r>
    </w:p>
    <w:p w14:paraId="116D23B0">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质疑项目的编号：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包号：</w:t>
      </w:r>
      <w:r>
        <w:rPr>
          <w:rFonts w:hint="eastAsia" w:ascii="宋体" w:hAnsi="宋体" w:eastAsia="宋体" w:cs="宋体"/>
          <w:sz w:val="24"/>
          <w:szCs w:val="24"/>
          <w:u w:val="single"/>
          <w:lang w:val="en-US" w:eastAsia="zh-CN"/>
        </w:rPr>
        <w:t xml:space="preserve">                 </w:t>
      </w:r>
    </w:p>
    <w:p w14:paraId="2EE1001B">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采购人名称：</w:t>
      </w:r>
      <w:r>
        <w:rPr>
          <w:rFonts w:hint="eastAsia" w:ascii="宋体" w:hAnsi="宋体" w:eastAsia="宋体" w:cs="宋体"/>
          <w:sz w:val="24"/>
          <w:szCs w:val="24"/>
          <w:u w:val="single"/>
          <w:lang w:val="en-US" w:eastAsia="zh-CN"/>
        </w:rPr>
        <w:t xml:space="preserve">                              </w:t>
      </w:r>
    </w:p>
    <w:p w14:paraId="7650AFA3">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采购文件获取日期：</w:t>
      </w:r>
      <w:r>
        <w:rPr>
          <w:rFonts w:hint="eastAsia" w:ascii="宋体" w:hAnsi="宋体" w:eastAsia="宋体" w:cs="宋体"/>
          <w:sz w:val="24"/>
          <w:szCs w:val="24"/>
          <w:u w:val="single"/>
          <w:lang w:val="en-US" w:eastAsia="zh-CN"/>
        </w:rPr>
        <w:t xml:space="preserve">                        </w:t>
      </w:r>
    </w:p>
    <w:p w14:paraId="431AA476">
      <w:pPr>
        <w:bidi w:val="0"/>
        <w:outlineLvl w:val="9"/>
        <w:rPr>
          <w:rFonts w:hint="eastAsia" w:ascii="宋体" w:hAnsi="宋体" w:eastAsia="宋体" w:cs="宋体"/>
          <w:sz w:val="24"/>
          <w:szCs w:val="24"/>
        </w:rPr>
      </w:pPr>
      <w:r>
        <w:rPr>
          <w:rFonts w:hint="eastAsia" w:ascii="宋体" w:hAnsi="宋体" w:eastAsia="宋体" w:cs="宋体"/>
          <w:sz w:val="24"/>
          <w:szCs w:val="24"/>
        </w:rPr>
        <w:t>三、质疑事项具体内容</w:t>
      </w:r>
    </w:p>
    <w:p w14:paraId="4DF650D3">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质疑事项1：</w:t>
      </w:r>
      <w:r>
        <w:rPr>
          <w:rFonts w:hint="eastAsia" w:ascii="宋体" w:hAnsi="宋体" w:eastAsia="宋体" w:cs="宋体"/>
          <w:sz w:val="24"/>
          <w:szCs w:val="24"/>
          <w:u w:val="single"/>
          <w:lang w:val="en-US" w:eastAsia="zh-CN"/>
        </w:rPr>
        <w:t xml:space="preserve">                                                </w:t>
      </w:r>
    </w:p>
    <w:p w14:paraId="0B128F2F">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事实依据：</w:t>
      </w:r>
      <w:r>
        <w:rPr>
          <w:rFonts w:hint="eastAsia" w:ascii="宋体" w:hAnsi="宋体" w:eastAsia="宋体" w:cs="宋体"/>
          <w:sz w:val="24"/>
          <w:szCs w:val="24"/>
          <w:u w:val="single"/>
          <w:lang w:val="en-US" w:eastAsia="zh-CN"/>
        </w:rPr>
        <w:t xml:space="preserve">                                                </w:t>
      </w:r>
    </w:p>
    <w:p w14:paraId="219EB247">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法律依据：</w:t>
      </w:r>
      <w:r>
        <w:rPr>
          <w:rFonts w:hint="eastAsia" w:ascii="宋体" w:hAnsi="宋体" w:eastAsia="宋体" w:cs="宋体"/>
          <w:sz w:val="24"/>
          <w:szCs w:val="24"/>
          <w:u w:val="single"/>
          <w:lang w:val="en-US" w:eastAsia="zh-CN"/>
        </w:rPr>
        <w:t xml:space="preserve">                                                </w:t>
      </w:r>
    </w:p>
    <w:p w14:paraId="5E428A84">
      <w:pPr>
        <w:bidi w:val="0"/>
        <w:rPr>
          <w:rFonts w:hint="eastAsia" w:ascii="宋体" w:hAnsi="宋体" w:eastAsia="宋体" w:cs="宋体"/>
          <w:sz w:val="24"/>
          <w:szCs w:val="24"/>
        </w:rPr>
      </w:pPr>
      <w:r>
        <w:rPr>
          <w:rFonts w:hint="eastAsia" w:ascii="宋体" w:hAnsi="宋体" w:eastAsia="宋体" w:cs="宋体"/>
          <w:sz w:val="24"/>
          <w:szCs w:val="24"/>
        </w:rPr>
        <w:t>质疑事项2</w:t>
      </w:r>
    </w:p>
    <w:p w14:paraId="45982373">
      <w:pPr>
        <w:bidi w:val="0"/>
        <w:rPr>
          <w:rFonts w:hint="eastAsia" w:ascii="宋体" w:hAnsi="宋体" w:eastAsia="宋体" w:cs="宋体"/>
          <w:sz w:val="24"/>
          <w:szCs w:val="24"/>
        </w:rPr>
      </w:pPr>
      <w:r>
        <w:rPr>
          <w:rFonts w:hint="eastAsia" w:ascii="宋体" w:hAnsi="宋体" w:eastAsia="宋体" w:cs="宋体"/>
          <w:sz w:val="24"/>
          <w:szCs w:val="24"/>
        </w:rPr>
        <w:t>……</w:t>
      </w:r>
    </w:p>
    <w:p w14:paraId="547B3534">
      <w:pPr>
        <w:bidi w:val="0"/>
        <w:outlineLvl w:val="9"/>
        <w:rPr>
          <w:rFonts w:hint="eastAsia" w:ascii="宋体" w:hAnsi="宋体" w:eastAsia="宋体" w:cs="宋体"/>
          <w:sz w:val="24"/>
          <w:szCs w:val="24"/>
        </w:rPr>
      </w:pPr>
      <w:r>
        <w:rPr>
          <w:rFonts w:hint="eastAsia" w:ascii="宋体" w:hAnsi="宋体" w:eastAsia="宋体" w:cs="宋体"/>
          <w:sz w:val="24"/>
          <w:szCs w:val="24"/>
        </w:rPr>
        <w:t>四、与质疑事项相关的质疑请求</w:t>
      </w:r>
    </w:p>
    <w:p w14:paraId="58F1E637">
      <w:pPr>
        <w:bidi w:val="0"/>
        <w:rPr>
          <w:rFonts w:hint="default" w:ascii="宋体" w:hAnsi="宋体" w:eastAsia="宋体" w:cs="宋体"/>
          <w:sz w:val="24"/>
          <w:szCs w:val="24"/>
          <w:u w:val="single"/>
          <w:lang w:val="en-US" w:eastAsia="zh-CN"/>
        </w:rPr>
      </w:pPr>
      <w:r>
        <w:rPr>
          <w:rFonts w:hint="eastAsia" w:ascii="宋体" w:hAnsi="宋体" w:eastAsia="宋体" w:cs="宋体"/>
          <w:sz w:val="24"/>
          <w:szCs w:val="24"/>
        </w:rPr>
        <w:t>请求：</w:t>
      </w:r>
      <w:r>
        <w:rPr>
          <w:rFonts w:hint="eastAsia" w:ascii="宋体" w:hAnsi="宋体" w:eastAsia="宋体" w:cs="宋体"/>
          <w:sz w:val="24"/>
          <w:szCs w:val="24"/>
          <w:u w:val="single"/>
          <w:lang w:val="en-US" w:eastAsia="zh-CN"/>
        </w:rPr>
        <w:t xml:space="preserve">                                         </w:t>
      </w:r>
    </w:p>
    <w:p w14:paraId="17EC62D8">
      <w:pPr>
        <w:bidi w:val="0"/>
        <w:rPr>
          <w:rFonts w:hint="eastAsia" w:ascii="宋体" w:hAnsi="宋体" w:eastAsia="宋体" w:cs="宋体"/>
          <w:sz w:val="24"/>
          <w:szCs w:val="24"/>
        </w:rPr>
      </w:pPr>
      <w:r>
        <w:rPr>
          <w:rFonts w:hint="eastAsia" w:ascii="宋体" w:hAnsi="宋体" w:eastAsia="宋体" w:cs="宋体"/>
          <w:sz w:val="24"/>
          <w:szCs w:val="24"/>
        </w:rPr>
        <w:t xml:space="preserve">签字(签章)：                   公章：                      </w:t>
      </w:r>
    </w:p>
    <w:p w14:paraId="52005625">
      <w:pPr>
        <w:bidi w:val="0"/>
        <w:rPr>
          <w:rFonts w:hint="eastAsia" w:ascii="宋体" w:hAnsi="宋体" w:eastAsia="宋体" w:cs="宋体"/>
          <w:sz w:val="24"/>
          <w:szCs w:val="24"/>
        </w:rPr>
      </w:pPr>
      <w:r>
        <w:rPr>
          <w:rFonts w:hint="eastAsia" w:ascii="宋体" w:hAnsi="宋体" w:eastAsia="宋体" w:cs="宋体"/>
          <w:sz w:val="24"/>
          <w:szCs w:val="24"/>
        </w:rPr>
        <w:t xml:space="preserve">日期：    </w:t>
      </w:r>
    </w:p>
    <w:p w14:paraId="16AAD38F">
      <w:pPr>
        <w:bidi w:val="0"/>
        <w:rPr>
          <w:rFonts w:hint="eastAsia" w:ascii="宋体" w:hAnsi="宋体" w:eastAsia="宋体" w:cs="宋体"/>
          <w:sz w:val="24"/>
          <w:szCs w:val="24"/>
        </w:rPr>
      </w:pPr>
    </w:p>
    <w:p w14:paraId="285E2F8E">
      <w:pPr>
        <w:bidi w:val="0"/>
        <w:rPr>
          <w:rFonts w:hint="eastAsia" w:ascii="宋体" w:hAnsi="宋体" w:eastAsia="宋体" w:cs="宋体"/>
          <w:sz w:val="24"/>
          <w:szCs w:val="24"/>
        </w:rPr>
      </w:pPr>
      <w:r>
        <w:rPr>
          <w:rFonts w:hint="eastAsia" w:ascii="宋体" w:hAnsi="宋体" w:eastAsia="宋体" w:cs="宋体"/>
          <w:sz w:val="24"/>
          <w:szCs w:val="24"/>
        </w:rPr>
        <w:t>质疑函制作说明：</w:t>
      </w:r>
    </w:p>
    <w:p w14:paraId="2DEF6473">
      <w:pPr>
        <w:bidi w:val="0"/>
        <w:outlineLvl w:val="9"/>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38A749BF">
      <w:pPr>
        <w:bidi w:val="0"/>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5B38DB">
      <w:pPr>
        <w:bidi w:val="0"/>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526A0281">
      <w:pPr>
        <w:bidi w:val="0"/>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2B0715A7">
      <w:pPr>
        <w:bidi w:val="0"/>
        <w:outlineLvl w:val="9"/>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10358621">
      <w:pPr>
        <w:pStyle w:val="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5C28C2A6">
      <w:pPr>
        <w:rPr>
          <w:rFonts w:hint="eastAsia" w:ascii="宋体" w:hAnsi="宋体" w:eastAsia="宋体" w:cs="宋体"/>
          <w:sz w:val="24"/>
          <w:szCs w:val="24"/>
        </w:rPr>
      </w:pPr>
    </w:p>
    <w:p w14:paraId="4030E32C">
      <w:pPr>
        <w:rPr>
          <w:rFonts w:hint="eastAsia" w:ascii="宋体" w:hAnsi="宋体" w:eastAsia="宋体" w:cs="宋体"/>
          <w:sz w:val="24"/>
          <w:szCs w:val="24"/>
        </w:rPr>
      </w:pPr>
    </w:p>
    <w:p w14:paraId="4D38A90B">
      <w:pPr>
        <w:rPr>
          <w:rFonts w:hint="eastAsia" w:ascii="宋体" w:hAnsi="宋体" w:eastAsia="宋体" w:cs="宋体"/>
          <w:sz w:val="24"/>
          <w:szCs w:val="24"/>
        </w:rPr>
      </w:pPr>
    </w:p>
    <w:p w14:paraId="03308105">
      <w:pPr>
        <w:rPr>
          <w:rFonts w:hint="eastAsia" w:ascii="宋体" w:hAnsi="宋体" w:eastAsia="宋体" w:cs="宋体"/>
          <w:sz w:val="24"/>
          <w:szCs w:val="24"/>
        </w:rPr>
      </w:pPr>
    </w:p>
    <w:p w14:paraId="73623519">
      <w:pPr>
        <w:rPr>
          <w:rFonts w:hint="eastAsia" w:ascii="宋体" w:hAnsi="宋体" w:eastAsia="宋体" w:cs="宋体"/>
          <w:sz w:val="24"/>
          <w:szCs w:val="24"/>
        </w:rPr>
      </w:pPr>
    </w:p>
    <w:p w14:paraId="2A90F546">
      <w:pPr>
        <w:rPr>
          <w:rFonts w:hint="eastAsia" w:ascii="宋体" w:hAnsi="宋体" w:eastAsia="宋体" w:cs="宋体"/>
          <w:sz w:val="24"/>
          <w:szCs w:val="24"/>
        </w:rPr>
      </w:pPr>
    </w:p>
    <w:p w14:paraId="14FAC2CE">
      <w:pPr>
        <w:rPr>
          <w:rFonts w:hint="eastAsia" w:ascii="宋体" w:hAnsi="宋体" w:eastAsia="宋体" w:cs="宋体"/>
          <w:sz w:val="24"/>
          <w:szCs w:val="24"/>
        </w:rPr>
      </w:pPr>
    </w:p>
    <w:p w14:paraId="3DFB1F10">
      <w:pPr>
        <w:rPr>
          <w:rFonts w:hint="eastAsia" w:ascii="宋体" w:hAnsi="宋体" w:eastAsia="宋体" w:cs="宋体"/>
          <w:sz w:val="24"/>
          <w:szCs w:val="24"/>
        </w:rPr>
      </w:pPr>
    </w:p>
    <w:p w14:paraId="0F1AB995">
      <w:pPr>
        <w:jc w:val="both"/>
        <w:outlineLvl w:val="2"/>
        <w:rPr>
          <w:rFonts w:ascii="宋体" w:hAnsi="宋体" w:eastAsia="宋体" w:cs="宋体"/>
          <w:sz w:val="32"/>
          <w:szCs w:val="32"/>
        </w:rPr>
      </w:pPr>
      <w:bookmarkStart w:id="298" w:name="_Toc7769"/>
      <w:r>
        <w:rPr>
          <w:rFonts w:ascii="宋体" w:hAnsi="宋体" w:eastAsia="宋体" w:cs="宋体"/>
          <w:sz w:val="32"/>
          <w:szCs w:val="32"/>
        </w:rPr>
        <w:t>附件1：履约保证金保函（格式）</w:t>
      </w:r>
      <w:bookmarkEnd w:id="298"/>
    </w:p>
    <w:p w14:paraId="4899ECB7">
      <w:pPr>
        <w:jc w:val="center"/>
        <w:rPr>
          <w:rFonts w:ascii="宋体" w:hAnsi="宋体" w:eastAsia="宋体" w:cs="宋体"/>
          <w:sz w:val="32"/>
          <w:szCs w:val="32"/>
        </w:rPr>
      </w:pPr>
      <w:r>
        <w:rPr>
          <w:rFonts w:ascii="宋体" w:hAnsi="宋体" w:eastAsia="宋体" w:cs="宋体"/>
          <w:sz w:val="32"/>
          <w:szCs w:val="32"/>
        </w:rPr>
        <w:t>（成交后开具）</w:t>
      </w:r>
    </w:p>
    <w:p w14:paraId="09C3853F">
      <w:pPr>
        <w:jc w:val="center"/>
        <w:rPr>
          <w:rFonts w:ascii="宋体" w:hAnsi="宋体" w:eastAsia="宋体" w:cs="宋体"/>
          <w:sz w:val="24"/>
          <w:szCs w:val="24"/>
        </w:rPr>
      </w:pPr>
    </w:p>
    <w:p w14:paraId="277A11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u w:val="single"/>
          <w:lang w:val="en-US" w:eastAsia="zh-CN"/>
        </w:rPr>
      </w:pPr>
      <w:r>
        <w:rPr>
          <w:rFonts w:ascii="宋体" w:hAnsi="宋体" w:eastAsia="宋体" w:cs="宋体"/>
          <w:sz w:val="24"/>
          <w:szCs w:val="24"/>
        </w:rPr>
        <w:t xml:space="preserve">致: </w:t>
      </w:r>
      <w:r>
        <w:rPr>
          <w:rFonts w:hint="eastAsia" w:ascii="宋体" w:hAnsi="宋体" w:eastAsia="宋体" w:cs="宋体"/>
          <w:sz w:val="24"/>
          <w:szCs w:val="24"/>
          <w:u w:val="single"/>
          <w:lang w:val="en-US" w:eastAsia="zh-CN"/>
        </w:rPr>
        <w:t xml:space="preserve">               </w:t>
      </w:r>
    </w:p>
    <w:p w14:paraId="6558C391">
      <w:pPr>
        <w:keepNext w:val="0"/>
        <w:keepLines w:val="0"/>
        <w:pageBreakBefore w:val="0"/>
        <w:widowControl/>
        <w:kinsoku w:val="0"/>
        <w:wordWrap/>
        <w:overflowPunct/>
        <w:topLinePunct w:val="0"/>
        <w:autoSpaceDE w:val="0"/>
        <w:autoSpaceDN w:val="0"/>
        <w:bidi w:val="0"/>
        <w:adjustRightInd w:val="0"/>
        <w:snapToGrid w:val="0"/>
        <w:spacing w:line="360" w:lineRule="auto"/>
        <w:ind w:firstLine="3360" w:firstLineChars="1400"/>
        <w:textAlignment w:val="baseline"/>
        <w:rPr>
          <w:rFonts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号合同履约保函 </w:t>
      </w:r>
    </w:p>
    <w:p w14:paraId="43794D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本保函作为贵方与(成交方)(以下简称卖方)于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日</w:t>
      </w:r>
      <w:r>
        <w:rPr>
          <w:rFonts w:hint="eastAsia" w:ascii="宋体" w:hAnsi="宋体" w:eastAsia="宋体" w:cs="宋体"/>
          <w:sz w:val="24"/>
          <w:szCs w:val="24"/>
          <w:lang w:val="en-US" w:eastAsia="zh-CN"/>
        </w:rPr>
        <w:t>就</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(以下简称项目)提供服务签订的(合同号)号合同的履约保函。 </w:t>
      </w:r>
    </w:p>
    <w:p w14:paraId="740810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u w:val="single"/>
        </w:rPr>
        <w:t>(出具保函的银行名称)</w:t>
      </w:r>
      <w:r>
        <w:rPr>
          <w:rFonts w:ascii="宋体" w:hAnsi="宋体" w:eastAsia="宋体" w:cs="宋体"/>
          <w:sz w:val="24"/>
          <w:szCs w:val="24"/>
        </w:rPr>
        <w:t xml:space="preserve">(以下简称银行)无条件地、不可撤销地具结保证本 行、其继承人和受让人无追索地向贵方以(人民币)支付总额不超过(货币数量), 即相当于合同价格的5%,并以此约定如下: </w:t>
      </w:r>
    </w:p>
    <w:p w14:paraId="25AD31D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 xml:space="preserve">只要贵方确定卖方未能忠实地履行所有合同文件的规定和双方此后一致同意的修改、补充和变动,包括更改和/或修补贵方认为有缺陷的服务 (以下简称违约),无论卖方有任何反对,本行将凭贵方关于卖方违约说明的书面通知,立即按贵方提出的累计总额不超过上述金额的款项和按贵方通知规定的方式付给贵方。 </w:t>
      </w:r>
    </w:p>
    <w:p w14:paraId="752FD6D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 xml:space="preserve">本保函项下的任何支付应为免税和净值。对于现有或将来的税收、关税、 收费、费用扣减或预提税款，不论这些款项是何种性质和由谁征收，都不应从本保函项下的支付中扣除。 </w:t>
      </w:r>
    </w:p>
    <w:p w14:paraId="543016A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ascii="宋体" w:hAnsi="宋体" w:eastAsia="宋体" w:cs="宋体"/>
          <w:sz w:val="24"/>
          <w:szCs w:val="24"/>
        </w:rPr>
        <w:t xml:space="preserve">本保函的条款构成本行无条件的、不可撤销的直接责任。对即将履行的 合同条款的任何变更、贵方在时间上的宽限、或由贵方采取的如果没有本 款可能免除本行责任的任何其它行为，均不能解除或免除本行在本保函项下的责任。 </w:t>
      </w:r>
    </w:p>
    <w:p w14:paraId="21C29D2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ascii="宋体" w:hAnsi="宋体" w:eastAsia="宋体" w:cs="宋体"/>
          <w:sz w:val="24"/>
          <w:szCs w:val="24"/>
        </w:rPr>
      </w:pPr>
      <w:r>
        <w:rPr>
          <w:rFonts w:ascii="宋体" w:hAnsi="宋体" w:eastAsia="宋体" w:cs="宋体"/>
          <w:sz w:val="24"/>
          <w:szCs w:val="24"/>
        </w:rPr>
        <w:t xml:space="preserve">本保函在本合同规定的保证期期满前完全有效。 </w:t>
      </w:r>
    </w:p>
    <w:p w14:paraId="3E4B29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pPr>
    </w:p>
    <w:p w14:paraId="4BA5F3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20" w:firstLineChars="300"/>
        <w:textAlignment w:val="baseline"/>
        <w:rPr>
          <w:rFonts w:ascii="宋体" w:hAnsi="宋体" w:eastAsia="宋体" w:cs="宋体"/>
          <w:sz w:val="24"/>
          <w:szCs w:val="24"/>
        </w:rPr>
      </w:pPr>
      <w:r>
        <w:rPr>
          <w:rFonts w:ascii="宋体" w:hAnsi="宋体" w:eastAsia="宋体" w:cs="宋体"/>
          <w:sz w:val="24"/>
          <w:szCs w:val="24"/>
        </w:rPr>
        <w:t xml:space="preserve">谨启 </w:t>
      </w:r>
    </w:p>
    <w:p w14:paraId="08F599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20" w:firstLineChars="300"/>
        <w:textAlignment w:val="baseline"/>
        <w:rPr>
          <w:rFonts w:ascii="宋体" w:hAnsi="宋体" w:eastAsia="宋体" w:cs="宋体"/>
          <w:sz w:val="24"/>
          <w:szCs w:val="24"/>
        </w:rPr>
      </w:pPr>
      <w:r>
        <w:rPr>
          <w:rFonts w:ascii="宋体" w:hAnsi="宋体" w:eastAsia="宋体" w:cs="宋体"/>
          <w:sz w:val="24"/>
          <w:szCs w:val="24"/>
        </w:rPr>
        <w:t>出具保函银行名称：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7140AA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20" w:firstLineChars="300"/>
        <w:textAlignment w:val="baseline"/>
        <w:rPr>
          <w:rFonts w:ascii="宋体" w:hAnsi="宋体" w:eastAsia="宋体" w:cs="宋体"/>
          <w:sz w:val="24"/>
          <w:szCs w:val="24"/>
        </w:rPr>
      </w:pPr>
      <w:r>
        <w:rPr>
          <w:rFonts w:ascii="宋体" w:hAnsi="宋体" w:eastAsia="宋体" w:cs="宋体"/>
          <w:sz w:val="24"/>
          <w:szCs w:val="24"/>
        </w:rPr>
        <w:t>签字或盖章人姓名和职务：</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3F94C3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20" w:firstLineChars="300"/>
        <w:textAlignment w:val="baseline"/>
        <w:rPr>
          <w:rFonts w:ascii="宋体" w:hAnsi="宋体" w:eastAsia="宋体" w:cs="宋体"/>
          <w:sz w:val="24"/>
          <w:szCs w:val="24"/>
        </w:rPr>
      </w:pPr>
      <w:r>
        <w:rPr>
          <w:rFonts w:ascii="宋体" w:hAnsi="宋体" w:eastAsia="宋体" w:cs="宋体"/>
          <w:sz w:val="24"/>
          <w:szCs w:val="24"/>
        </w:rPr>
        <w:t>签字或盖章人签名：</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60A514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20" w:firstLineChars="300"/>
        <w:textAlignment w:val="baseline"/>
        <w:rPr>
          <w:rFonts w:hint="eastAsia" w:ascii="宋体" w:hAnsi="宋体" w:eastAsia="宋体" w:cs="宋体"/>
          <w:sz w:val="24"/>
          <w:szCs w:val="24"/>
        </w:rPr>
      </w:pPr>
      <w:r>
        <w:rPr>
          <w:rFonts w:ascii="宋体" w:hAnsi="宋体" w:eastAsia="宋体" w:cs="宋体"/>
          <w:sz w:val="24"/>
          <w:szCs w:val="24"/>
        </w:rPr>
        <w:t>公章：</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4AAF32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45251064">
      <w:pPr>
        <w:rPr>
          <w:rFonts w:hint="eastAsia" w:ascii="宋体" w:hAnsi="宋体" w:eastAsia="宋体" w:cs="宋体"/>
          <w:sz w:val="24"/>
          <w:szCs w:val="24"/>
        </w:rPr>
      </w:pPr>
    </w:p>
    <w:p w14:paraId="2E21BB9C">
      <w:pPr>
        <w:bidi w:val="0"/>
        <w:jc w:val="both"/>
        <w:outlineLvl w:val="2"/>
        <w:rPr>
          <w:rFonts w:ascii="宋体" w:hAnsi="宋体" w:eastAsia="宋体" w:cs="宋体"/>
          <w:sz w:val="32"/>
          <w:szCs w:val="32"/>
        </w:rPr>
      </w:pPr>
      <w:bookmarkStart w:id="299" w:name="_Toc23809"/>
      <w:bookmarkStart w:id="300" w:name="_Toc26371"/>
      <w:bookmarkStart w:id="301" w:name="_Toc10011"/>
      <w:bookmarkStart w:id="302" w:name="_Toc518923106"/>
      <w:bookmarkStart w:id="303" w:name="_Toc216582812"/>
      <w:bookmarkStart w:id="304" w:name="_Toc3581"/>
      <w:bookmarkStart w:id="305" w:name="_Toc22884"/>
      <w:bookmarkStart w:id="306" w:name="_Toc6923"/>
      <w:r>
        <w:rPr>
          <w:rFonts w:ascii="宋体" w:hAnsi="宋体" w:eastAsia="宋体" w:cs="宋体"/>
          <w:sz w:val="32"/>
          <w:szCs w:val="32"/>
        </w:rPr>
        <w:t>附件</w:t>
      </w:r>
      <w:r>
        <w:rPr>
          <w:rFonts w:hint="eastAsia" w:ascii="宋体" w:hAnsi="宋体" w:eastAsia="宋体" w:cs="宋体"/>
          <w:sz w:val="32"/>
          <w:szCs w:val="32"/>
          <w:lang w:val="en-US" w:eastAsia="zh-CN"/>
        </w:rPr>
        <w:t>2</w:t>
      </w:r>
      <w:r>
        <w:rPr>
          <w:rFonts w:ascii="宋体" w:hAnsi="宋体" w:eastAsia="宋体" w:cs="宋体"/>
          <w:sz w:val="32"/>
          <w:szCs w:val="32"/>
        </w:rPr>
        <w:t>：履约担保函格式</w:t>
      </w:r>
      <w:bookmarkEnd w:id="299"/>
      <w:r>
        <w:rPr>
          <w:rFonts w:ascii="宋体" w:hAnsi="宋体" w:eastAsia="宋体" w:cs="宋体"/>
          <w:sz w:val="32"/>
          <w:szCs w:val="32"/>
        </w:rPr>
        <w:t xml:space="preserve"> </w:t>
      </w:r>
    </w:p>
    <w:p w14:paraId="50DB7E9C">
      <w:pPr>
        <w:bidi w:val="0"/>
        <w:jc w:val="center"/>
        <w:outlineLvl w:val="1"/>
        <w:rPr>
          <w:rFonts w:ascii="宋体" w:hAnsi="宋体" w:eastAsia="宋体" w:cs="宋体"/>
          <w:sz w:val="32"/>
          <w:szCs w:val="32"/>
        </w:rPr>
      </w:pPr>
      <w:bookmarkStart w:id="307" w:name="_Toc7448"/>
    </w:p>
    <w:p w14:paraId="19F3E524">
      <w:pPr>
        <w:bidi w:val="0"/>
        <w:jc w:val="center"/>
        <w:outlineLvl w:val="1"/>
        <w:rPr>
          <w:rFonts w:ascii="宋体" w:hAnsi="宋体" w:eastAsia="宋体" w:cs="宋体"/>
          <w:sz w:val="32"/>
          <w:szCs w:val="32"/>
        </w:rPr>
      </w:pPr>
      <w:bookmarkStart w:id="308" w:name="_Toc20687"/>
      <w:r>
        <w:rPr>
          <w:rFonts w:ascii="宋体" w:hAnsi="宋体" w:eastAsia="宋体" w:cs="宋体"/>
          <w:sz w:val="32"/>
          <w:szCs w:val="32"/>
        </w:rPr>
        <w:t>（采用政府采购信用担保形式时使用）</w:t>
      </w:r>
      <w:bookmarkEnd w:id="307"/>
      <w:bookmarkEnd w:id="308"/>
    </w:p>
    <w:p w14:paraId="691ABAAA">
      <w:pPr>
        <w:bidi w:val="0"/>
        <w:jc w:val="center"/>
        <w:outlineLvl w:val="1"/>
        <w:rPr>
          <w:rFonts w:ascii="宋体" w:hAnsi="宋体" w:eastAsia="宋体" w:cs="宋体"/>
          <w:sz w:val="32"/>
          <w:szCs w:val="32"/>
        </w:rPr>
      </w:pPr>
    </w:p>
    <w:p w14:paraId="3C817D28">
      <w:pPr>
        <w:bidi w:val="0"/>
        <w:jc w:val="center"/>
        <w:outlineLvl w:val="1"/>
        <w:rPr>
          <w:rFonts w:ascii="宋体" w:hAnsi="宋体" w:eastAsia="宋体" w:cs="宋体"/>
          <w:sz w:val="24"/>
          <w:szCs w:val="24"/>
        </w:rPr>
      </w:pPr>
      <w:r>
        <w:rPr>
          <w:rFonts w:hint="eastAsia" w:ascii="宋体" w:hAnsi="宋体" w:eastAsia="宋体" w:cs="宋体"/>
          <w:sz w:val="32"/>
          <w:szCs w:val="32"/>
          <w:lang w:val="en-US" w:eastAsia="zh-CN"/>
        </w:rPr>
        <w:t xml:space="preserve">     </w:t>
      </w:r>
      <w:bookmarkStart w:id="309" w:name="_Toc19584"/>
      <w:r>
        <w:rPr>
          <w:rFonts w:ascii="宋体" w:hAnsi="宋体" w:eastAsia="宋体" w:cs="宋体"/>
          <w:sz w:val="32"/>
          <w:szCs w:val="32"/>
        </w:rPr>
        <w:t>政府采购履约担保函（项目用）</w:t>
      </w:r>
      <w:bookmarkEnd w:id="309"/>
      <w:r>
        <w:rPr>
          <w:rFonts w:ascii="宋体" w:hAnsi="宋体" w:eastAsia="宋体" w:cs="宋体"/>
          <w:sz w:val="24"/>
          <w:szCs w:val="24"/>
        </w:rPr>
        <w:t xml:space="preserve"> </w:t>
      </w:r>
    </w:p>
    <w:p w14:paraId="6916F537">
      <w:pPr>
        <w:bidi w:val="0"/>
        <w:jc w:val="center"/>
        <w:outlineLvl w:val="1"/>
        <w:rPr>
          <w:rFonts w:ascii="宋体" w:hAnsi="宋体" w:eastAsia="宋体" w:cs="宋体"/>
          <w:sz w:val="24"/>
          <w:szCs w:val="24"/>
        </w:rPr>
      </w:pPr>
    </w:p>
    <w:p w14:paraId="26343110">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outlineLvl w:val="1"/>
        <w:rPr>
          <w:rFonts w:ascii="宋体" w:hAnsi="宋体" w:eastAsia="宋体" w:cs="宋体"/>
          <w:sz w:val="24"/>
          <w:szCs w:val="24"/>
        </w:rPr>
      </w:pPr>
      <w:r>
        <w:rPr>
          <w:rFonts w:hint="eastAsia" w:ascii="宋体" w:hAnsi="宋体" w:eastAsia="宋体" w:cs="宋体"/>
          <w:sz w:val="24"/>
          <w:szCs w:val="24"/>
          <w:u w:val="single"/>
          <w:lang w:val="en-US" w:eastAsia="zh-CN"/>
        </w:rPr>
        <w:t xml:space="preserve">              </w:t>
      </w:r>
      <w:bookmarkStart w:id="310" w:name="_Toc24780"/>
      <w:r>
        <w:rPr>
          <w:rFonts w:ascii="宋体" w:hAnsi="宋体" w:eastAsia="宋体" w:cs="宋体"/>
          <w:sz w:val="24"/>
          <w:szCs w:val="24"/>
        </w:rPr>
        <w:t>（采购人）：</w:t>
      </w:r>
      <w:bookmarkEnd w:id="310"/>
      <w:r>
        <w:rPr>
          <w:rFonts w:ascii="宋体" w:hAnsi="宋体" w:eastAsia="宋体" w:cs="宋体"/>
          <w:sz w:val="24"/>
          <w:szCs w:val="24"/>
        </w:rPr>
        <w:t xml:space="preserve"> </w:t>
      </w:r>
    </w:p>
    <w:p w14:paraId="46C69319">
      <w:pPr>
        <w:keepNext w:val="0"/>
        <w:keepLines w:val="0"/>
        <w:pageBreakBefore w:val="0"/>
        <w:widowControl/>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11" w:name="_Toc10174"/>
      <w:r>
        <w:rPr>
          <w:rFonts w:ascii="宋体" w:hAnsi="宋体" w:eastAsia="宋体" w:cs="宋体"/>
          <w:sz w:val="24"/>
          <w:szCs w:val="24"/>
        </w:rPr>
        <w:t>鉴于你方与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（以下简称供应商）于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日签</w:t>
      </w:r>
      <w:r>
        <w:rPr>
          <w:rFonts w:ascii="宋体" w:hAnsi="宋体" w:eastAsia="宋体" w:cs="宋体"/>
          <w:sz w:val="24"/>
          <w:szCs w:val="24"/>
        </w:rPr>
        <w:t>定编号为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政府采购合同》（以下简称主合同），且依据该合同的约定，供应商应在</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日前向你方交纳履约保证金，且可以 履约担保函的形式交纳履约保证金。应供应商的申请，我方以保证的方式向你 方提供如下履约保证金担保：</w:t>
      </w:r>
      <w:bookmarkEnd w:id="311"/>
      <w:r>
        <w:rPr>
          <w:rFonts w:ascii="宋体" w:hAnsi="宋体" w:eastAsia="宋体" w:cs="宋体"/>
          <w:sz w:val="24"/>
          <w:szCs w:val="24"/>
        </w:rPr>
        <w:t xml:space="preserve"> </w:t>
      </w:r>
    </w:p>
    <w:p w14:paraId="1C8737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jc w:val="both"/>
        <w:textAlignment w:val="baseline"/>
        <w:outlineLvl w:val="1"/>
        <w:rPr>
          <w:rFonts w:ascii="宋体" w:hAnsi="宋体" w:eastAsia="宋体" w:cs="宋体"/>
          <w:sz w:val="24"/>
          <w:szCs w:val="24"/>
        </w:rPr>
      </w:pPr>
      <w:bookmarkStart w:id="312" w:name="_Toc14742"/>
      <w:r>
        <w:rPr>
          <w:rFonts w:hint="eastAsia" w:ascii="宋体" w:hAnsi="宋体" w:eastAsia="宋体" w:cs="宋体"/>
          <w:sz w:val="24"/>
          <w:szCs w:val="24"/>
          <w:lang w:val="en-US" w:eastAsia="zh-CN"/>
        </w:rPr>
        <w:t>一、</w:t>
      </w:r>
      <w:r>
        <w:rPr>
          <w:rFonts w:ascii="宋体" w:hAnsi="宋体" w:eastAsia="宋体" w:cs="宋体"/>
          <w:sz w:val="24"/>
          <w:szCs w:val="24"/>
        </w:rPr>
        <w:t>保证责任的情形及保证金额</w:t>
      </w:r>
      <w:bookmarkEnd w:id="312"/>
      <w:r>
        <w:rPr>
          <w:rFonts w:ascii="宋体" w:hAnsi="宋体" w:eastAsia="宋体" w:cs="宋体"/>
          <w:sz w:val="24"/>
          <w:szCs w:val="24"/>
        </w:rPr>
        <w:t xml:space="preserve"> </w:t>
      </w:r>
    </w:p>
    <w:p w14:paraId="6EFC3C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240" w:firstLineChars="100"/>
        <w:jc w:val="both"/>
        <w:textAlignment w:val="baseline"/>
        <w:outlineLvl w:val="1"/>
        <w:rPr>
          <w:rFonts w:ascii="宋体" w:hAnsi="宋体" w:eastAsia="宋体" w:cs="宋体"/>
          <w:sz w:val="24"/>
          <w:szCs w:val="24"/>
        </w:rPr>
      </w:pPr>
      <w:bookmarkStart w:id="313" w:name="_Toc14714"/>
      <w:r>
        <w:rPr>
          <w:rFonts w:ascii="宋体" w:hAnsi="宋体" w:eastAsia="宋体" w:cs="宋体"/>
          <w:sz w:val="24"/>
          <w:szCs w:val="24"/>
        </w:rPr>
        <w:t>（一）在供应商出现下列情形之一时，我方承担保证责任：</w:t>
      </w:r>
      <w:bookmarkEnd w:id="313"/>
    </w:p>
    <w:p w14:paraId="19E7D3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14" w:name="_Toc7477"/>
      <w:r>
        <w:rPr>
          <w:rFonts w:ascii="宋体" w:hAnsi="宋体" w:eastAsia="宋体" w:cs="宋体"/>
          <w:sz w:val="24"/>
          <w:szCs w:val="24"/>
        </w:rPr>
        <w:t>1．将成交项目转让给他人，或者在磋商文件中未说明，且未经采购招标机 构人同意，将成交项目分包给他人的；</w:t>
      </w:r>
      <w:bookmarkEnd w:id="314"/>
      <w:r>
        <w:rPr>
          <w:rFonts w:ascii="宋体" w:hAnsi="宋体" w:eastAsia="宋体" w:cs="宋体"/>
          <w:sz w:val="24"/>
          <w:szCs w:val="24"/>
        </w:rPr>
        <w:t xml:space="preserve"> </w:t>
      </w:r>
    </w:p>
    <w:p w14:paraId="5A6697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15" w:name="_Toc31930"/>
      <w:r>
        <w:rPr>
          <w:rFonts w:ascii="宋体" w:hAnsi="宋体" w:eastAsia="宋体" w:cs="宋体"/>
          <w:sz w:val="24"/>
          <w:szCs w:val="24"/>
        </w:rPr>
        <w:t>2．主合同约定的应当缴纳履约保证金的情形:</w:t>
      </w:r>
      <w:bookmarkEnd w:id="315"/>
      <w:r>
        <w:rPr>
          <w:rFonts w:ascii="宋体" w:hAnsi="宋体" w:eastAsia="宋体" w:cs="宋体"/>
          <w:sz w:val="24"/>
          <w:szCs w:val="24"/>
        </w:rPr>
        <w:t xml:space="preserve"> </w:t>
      </w:r>
    </w:p>
    <w:p w14:paraId="1E7CA1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240" w:firstLineChars="100"/>
        <w:jc w:val="both"/>
        <w:textAlignment w:val="baseline"/>
        <w:outlineLvl w:val="1"/>
        <w:rPr>
          <w:rFonts w:ascii="宋体" w:hAnsi="宋体" w:eastAsia="宋体" w:cs="宋体"/>
          <w:sz w:val="24"/>
          <w:szCs w:val="24"/>
        </w:rPr>
      </w:pPr>
      <w:bookmarkStart w:id="316" w:name="_Toc24376"/>
      <w:r>
        <w:rPr>
          <w:rFonts w:ascii="宋体" w:hAnsi="宋体" w:eastAsia="宋体" w:cs="宋体"/>
          <w:sz w:val="24"/>
          <w:szCs w:val="24"/>
        </w:rPr>
        <w:t>（1）未按主合同约定的质量、数量和期限供应货物/提供服务/完成工程的</w:t>
      </w:r>
      <w:bookmarkEnd w:id="316"/>
    </w:p>
    <w:p w14:paraId="1B0115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240" w:firstLineChars="100"/>
        <w:jc w:val="both"/>
        <w:textAlignment w:val="baseline"/>
        <w:outlineLvl w:val="1"/>
        <w:rPr>
          <w:rFonts w:ascii="宋体" w:hAnsi="宋体" w:eastAsia="宋体" w:cs="宋体"/>
          <w:sz w:val="24"/>
          <w:szCs w:val="24"/>
        </w:rPr>
      </w:pPr>
      <w:bookmarkStart w:id="317" w:name="_Toc4361"/>
      <w:r>
        <w:rPr>
          <w:rFonts w:ascii="宋体" w:hAnsi="宋体" w:eastAsia="宋体" w:cs="宋体"/>
          <w:sz w:val="24"/>
          <w:szCs w:val="24"/>
        </w:rPr>
        <w:t xml:space="preserve">（2）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bookmarkEnd w:id="317"/>
      <w:r>
        <w:rPr>
          <w:rFonts w:ascii="宋体" w:hAnsi="宋体" w:eastAsia="宋体" w:cs="宋体"/>
          <w:sz w:val="24"/>
          <w:szCs w:val="24"/>
        </w:rPr>
        <w:t xml:space="preserve"> </w:t>
      </w:r>
    </w:p>
    <w:p w14:paraId="4143B8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240" w:firstLineChars="100"/>
        <w:jc w:val="both"/>
        <w:textAlignment w:val="baseline"/>
        <w:outlineLvl w:val="1"/>
        <w:rPr>
          <w:rFonts w:ascii="宋体" w:hAnsi="宋体" w:eastAsia="宋体" w:cs="宋体"/>
          <w:sz w:val="24"/>
          <w:szCs w:val="24"/>
        </w:rPr>
      </w:pPr>
      <w:bookmarkStart w:id="318" w:name="_Toc6758"/>
      <w:r>
        <w:rPr>
          <w:rFonts w:ascii="宋体" w:hAnsi="宋体" w:eastAsia="宋体" w:cs="宋体"/>
          <w:sz w:val="24"/>
          <w:szCs w:val="24"/>
        </w:rPr>
        <w:t>（二）我方的保证范围是主合同约定的合同价款总额的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%数额为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），币种为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。（即主合同履约保证金金额）</w:t>
      </w:r>
      <w:bookmarkEnd w:id="318"/>
      <w:r>
        <w:rPr>
          <w:rFonts w:ascii="宋体" w:hAnsi="宋体" w:eastAsia="宋体" w:cs="宋体"/>
          <w:sz w:val="24"/>
          <w:szCs w:val="24"/>
        </w:rPr>
        <w:t xml:space="preserve"> </w:t>
      </w:r>
    </w:p>
    <w:p w14:paraId="579A6B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jc w:val="both"/>
        <w:textAlignment w:val="baseline"/>
        <w:outlineLvl w:val="1"/>
        <w:rPr>
          <w:rFonts w:ascii="宋体" w:hAnsi="宋体" w:eastAsia="宋体" w:cs="宋体"/>
          <w:sz w:val="24"/>
          <w:szCs w:val="24"/>
        </w:rPr>
      </w:pPr>
      <w:bookmarkStart w:id="319" w:name="_Toc25040"/>
      <w:r>
        <w:rPr>
          <w:rFonts w:ascii="宋体" w:hAnsi="宋体" w:eastAsia="宋体" w:cs="宋体"/>
          <w:sz w:val="24"/>
          <w:szCs w:val="24"/>
        </w:rPr>
        <w:t>二、保证的方式及保证期间</w:t>
      </w:r>
      <w:bookmarkEnd w:id="319"/>
      <w:r>
        <w:rPr>
          <w:rFonts w:ascii="宋体" w:hAnsi="宋体" w:eastAsia="宋体" w:cs="宋体"/>
          <w:sz w:val="24"/>
          <w:szCs w:val="24"/>
        </w:rPr>
        <w:t xml:space="preserve"> </w:t>
      </w:r>
    </w:p>
    <w:p w14:paraId="610A88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20" w:name="_Toc24892"/>
      <w:r>
        <w:rPr>
          <w:rFonts w:ascii="宋体" w:hAnsi="宋体" w:eastAsia="宋体" w:cs="宋体"/>
          <w:sz w:val="24"/>
          <w:szCs w:val="24"/>
        </w:rPr>
        <w:t>我方保证的方式为：连带责任保证。</w:t>
      </w:r>
      <w:bookmarkEnd w:id="320"/>
      <w:r>
        <w:rPr>
          <w:rFonts w:ascii="宋体" w:hAnsi="宋体" w:eastAsia="宋体" w:cs="宋体"/>
          <w:sz w:val="24"/>
          <w:szCs w:val="24"/>
        </w:rPr>
        <w:t xml:space="preserve"> </w:t>
      </w:r>
    </w:p>
    <w:p w14:paraId="1D9FFC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21" w:name="_Toc8557"/>
      <w:r>
        <w:rPr>
          <w:rFonts w:ascii="宋体" w:hAnsi="宋体" w:eastAsia="宋体" w:cs="宋体"/>
          <w:sz w:val="24"/>
          <w:szCs w:val="24"/>
        </w:rPr>
        <w:t>我方保证的期间为：自本合同生效之日起至供应商按照主合同约定的供货/ 完工期限届满后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日内。</w:t>
      </w:r>
      <w:bookmarkEnd w:id="321"/>
      <w:r>
        <w:rPr>
          <w:rFonts w:ascii="宋体" w:hAnsi="宋体" w:eastAsia="宋体" w:cs="宋体"/>
          <w:sz w:val="24"/>
          <w:szCs w:val="24"/>
        </w:rPr>
        <w:t xml:space="preserve"> </w:t>
      </w:r>
    </w:p>
    <w:p w14:paraId="5B6247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22" w:name="_Toc10028"/>
      <w:r>
        <w:rPr>
          <w:rFonts w:ascii="宋体" w:hAnsi="宋体" w:eastAsia="宋体" w:cs="宋体"/>
          <w:sz w:val="24"/>
          <w:szCs w:val="24"/>
        </w:rPr>
        <w:t>如果供应商未按主合同约定向你方供应货物/提供服务/完成工程的，由我 方在保证金额内向你方支付上述款项。</w:t>
      </w:r>
      <w:bookmarkEnd w:id="322"/>
      <w:r>
        <w:rPr>
          <w:rFonts w:ascii="宋体" w:hAnsi="宋体" w:eastAsia="宋体" w:cs="宋体"/>
          <w:sz w:val="24"/>
          <w:szCs w:val="24"/>
        </w:rPr>
        <w:t xml:space="preserve"> </w:t>
      </w:r>
    </w:p>
    <w:p w14:paraId="75CF39D8">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23" w:name="_Toc32234"/>
      <w:r>
        <w:rPr>
          <w:rFonts w:ascii="宋体" w:hAnsi="宋体" w:eastAsia="宋体" w:cs="宋体"/>
          <w:sz w:val="24"/>
          <w:szCs w:val="24"/>
        </w:rPr>
        <w:t>承担保证责任的程序</w:t>
      </w:r>
      <w:bookmarkEnd w:id="323"/>
      <w:r>
        <w:rPr>
          <w:rFonts w:ascii="宋体" w:hAnsi="宋体" w:eastAsia="宋体" w:cs="宋体"/>
          <w:sz w:val="24"/>
          <w:szCs w:val="24"/>
        </w:rPr>
        <w:t xml:space="preserve"> </w:t>
      </w:r>
    </w:p>
    <w:p w14:paraId="0216538D">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24" w:name="_Toc20722"/>
      <w:r>
        <w:rPr>
          <w:rFonts w:ascii="宋体" w:hAnsi="宋体" w:eastAsia="宋体" w:cs="宋体"/>
          <w:sz w:val="24"/>
          <w:szCs w:val="24"/>
        </w:rPr>
        <w:t>你方要求我方承担保证责任的，应在本保函保证期间内向我方发出书面 索赔通知。索赔通知应写明要求索赔的金额，支付款项应到达的帐号。并附有证明供应商违约事实的证明材料。</w:t>
      </w:r>
      <w:bookmarkEnd w:id="324"/>
    </w:p>
    <w:p w14:paraId="05259E66">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25" w:name="_Toc25731"/>
      <w:r>
        <w:rPr>
          <w:rFonts w:ascii="宋体" w:hAnsi="宋体" w:eastAsia="宋体" w:cs="宋体"/>
          <w:sz w:val="24"/>
          <w:szCs w:val="24"/>
        </w:rPr>
        <w:t>如果你方与供应商因服务质量问题产生争议，你方还需同时提供相关部门出具的质量检测报告，或经诉讼（仲裁）程序裁决后的裁决书、调解书，我方即按照检测结果或裁决书、调解书决定是否承担保证责任。</w:t>
      </w:r>
      <w:bookmarkEnd w:id="325"/>
      <w:r>
        <w:rPr>
          <w:rFonts w:ascii="宋体" w:hAnsi="宋体" w:eastAsia="宋体" w:cs="宋体"/>
          <w:sz w:val="24"/>
          <w:szCs w:val="24"/>
        </w:rPr>
        <w:t xml:space="preserve"> </w:t>
      </w:r>
    </w:p>
    <w:p w14:paraId="26868A61">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26" w:name="_Toc3201"/>
      <w:r>
        <w:rPr>
          <w:rFonts w:ascii="宋体" w:hAnsi="宋体" w:eastAsia="宋体" w:cs="宋体"/>
          <w:sz w:val="24"/>
          <w:szCs w:val="24"/>
        </w:rPr>
        <w:t>我方收到你方的书面索赔通知及相应证明材料，在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工作日内进行</w:t>
      </w:r>
      <w:r>
        <w:rPr>
          <w:rFonts w:ascii="宋体" w:hAnsi="宋体" w:eastAsia="宋体" w:cs="宋体"/>
          <w:sz w:val="24"/>
          <w:szCs w:val="24"/>
        </w:rPr>
        <w:t>核定后按照本保函的承诺承担保证责任。</w:t>
      </w:r>
      <w:bookmarkEnd w:id="326"/>
      <w:r>
        <w:rPr>
          <w:rFonts w:ascii="宋体" w:hAnsi="宋体" w:eastAsia="宋体" w:cs="宋体"/>
          <w:sz w:val="24"/>
          <w:szCs w:val="24"/>
        </w:rPr>
        <w:t xml:space="preserve"> </w:t>
      </w:r>
    </w:p>
    <w:p w14:paraId="0C0CFDE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27" w:name="_Toc4710"/>
      <w:r>
        <w:rPr>
          <w:rFonts w:ascii="宋体" w:hAnsi="宋体" w:eastAsia="宋体" w:cs="宋体"/>
          <w:sz w:val="24"/>
          <w:szCs w:val="24"/>
        </w:rPr>
        <w:t>保证责任的终止</w:t>
      </w:r>
      <w:bookmarkEnd w:id="327"/>
    </w:p>
    <w:p w14:paraId="0A0A6C11">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28" w:name="_Toc21836"/>
      <w:r>
        <w:rPr>
          <w:rFonts w:ascii="宋体" w:hAnsi="宋体" w:eastAsia="宋体" w:cs="宋体"/>
          <w:sz w:val="24"/>
          <w:szCs w:val="24"/>
        </w:rPr>
        <w:t>保证期间届满你方未向我方书面主张保证责任的，自保证期间届满次日 起，我方保证责任自动终止。保证期间届满前，主合同约定的货物\工程\服务 全部验收合格的，自验收合格日起，我方保证责任自动终止。</w:t>
      </w:r>
      <w:bookmarkEnd w:id="328"/>
      <w:r>
        <w:rPr>
          <w:rFonts w:ascii="宋体" w:hAnsi="宋体" w:eastAsia="宋体" w:cs="宋体"/>
          <w:sz w:val="24"/>
          <w:szCs w:val="24"/>
        </w:rPr>
        <w:t xml:space="preserve"> </w:t>
      </w:r>
    </w:p>
    <w:p w14:paraId="4DAA1045">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29" w:name="_Toc25671"/>
      <w:r>
        <w:rPr>
          <w:rFonts w:ascii="宋体" w:hAnsi="宋体" w:eastAsia="宋体" w:cs="宋体"/>
          <w:sz w:val="24"/>
          <w:szCs w:val="24"/>
        </w:rPr>
        <w:t>我方按照本保函向你方履行了保证责任后，自我方向你方支付款项（支付款项从我方账户划出）之日起，保证责任即终止。</w:t>
      </w:r>
      <w:bookmarkEnd w:id="329"/>
      <w:r>
        <w:rPr>
          <w:rFonts w:ascii="宋体" w:hAnsi="宋体" w:eastAsia="宋体" w:cs="宋体"/>
          <w:sz w:val="24"/>
          <w:szCs w:val="24"/>
        </w:rPr>
        <w:t xml:space="preserve"> </w:t>
      </w:r>
    </w:p>
    <w:p w14:paraId="6BCD5FB2">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30" w:name="_Toc28674"/>
      <w:r>
        <w:rPr>
          <w:rFonts w:ascii="宋体" w:hAnsi="宋体" w:eastAsia="宋体" w:cs="宋体"/>
          <w:sz w:val="24"/>
          <w:szCs w:val="24"/>
        </w:rPr>
        <w:t>按照法律法规的规定或出现应终止我方保证责任的其它情形的，我方在 本保函项下的保证责任亦终止。</w:t>
      </w:r>
      <w:bookmarkEnd w:id="330"/>
      <w:r>
        <w:rPr>
          <w:rFonts w:ascii="宋体" w:hAnsi="宋体" w:eastAsia="宋体" w:cs="宋体"/>
          <w:sz w:val="24"/>
          <w:szCs w:val="24"/>
        </w:rPr>
        <w:t xml:space="preserve"> </w:t>
      </w:r>
    </w:p>
    <w:p w14:paraId="12DA7ECF">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31" w:name="_Toc9151"/>
      <w:r>
        <w:rPr>
          <w:rFonts w:ascii="宋体" w:hAnsi="宋体" w:eastAsia="宋体" w:cs="宋体"/>
          <w:sz w:val="24"/>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 方书面同意的除外。</w:t>
      </w:r>
      <w:bookmarkEnd w:id="331"/>
      <w:r>
        <w:rPr>
          <w:rFonts w:ascii="宋体" w:hAnsi="宋体" w:eastAsia="宋体" w:cs="宋体"/>
          <w:sz w:val="24"/>
          <w:szCs w:val="24"/>
        </w:rPr>
        <w:t xml:space="preserve"> </w:t>
      </w:r>
    </w:p>
    <w:p w14:paraId="484631F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32" w:name="_Toc16623"/>
      <w:r>
        <w:rPr>
          <w:rFonts w:ascii="宋体" w:hAnsi="宋体" w:eastAsia="宋体" w:cs="宋体"/>
          <w:sz w:val="24"/>
          <w:szCs w:val="24"/>
        </w:rPr>
        <w:t>免责条款</w:t>
      </w:r>
      <w:bookmarkEnd w:id="332"/>
      <w:r>
        <w:rPr>
          <w:rFonts w:ascii="宋体" w:hAnsi="宋体" w:eastAsia="宋体" w:cs="宋体"/>
          <w:sz w:val="24"/>
          <w:szCs w:val="24"/>
        </w:rPr>
        <w:t xml:space="preserve"> </w:t>
      </w:r>
    </w:p>
    <w:p w14:paraId="5F84C366">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33" w:name="_Toc18583"/>
      <w:r>
        <w:rPr>
          <w:rFonts w:ascii="宋体" w:hAnsi="宋体" w:eastAsia="宋体" w:cs="宋体"/>
          <w:sz w:val="24"/>
          <w:szCs w:val="24"/>
        </w:rPr>
        <w:t>因你方违反主合同约定致使供应商不能履行义务的，我方不承担保证责任。</w:t>
      </w:r>
      <w:bookmarkEnd w:id="333"/>
    </w:p>
    <w:p w14:paraId="3820FEAA">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34" w:name="_Toc15011"/>
      <w:r>
        <w:rPr>
          <w:rFonts w:ascii="宋体" w:hAnsi="宋体" w:eastAsia="宋体" w:cs="宋体"/>
          <w:sz w:val="24"/>
          <w:szCs w:val="24"/>
        </w:rPr>
        <w:t>依照法律法规的规定或你方与供应商的另行约定，全部或者部分免除供 应商应缴纳的保证金义务的，我方亦免除相应的保证责任。</w:t>
      </w:r>
      <w:bookmarkEnd w:id="334"/>
      <w:r>
        <w:rPr>
          <w:rFonts w:ascii="宋体" w:hAnsi="宋体" w:eastAsia="宋体" w:cs="宋体"/>
          <w:sz w:val="24"/>
          <w:szCs w:val="24"/>
        </w:rPr>
        <w:t xml:space="preserve"> </w:t>
      </w:r>
    </w:p>
    <w:p w14:paraId="3E866CC4">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35" w:name="_Toc5481"/>
      <w:r>
        <w:rPr>
          <w:rFonts w:ascii="宋体" w:hAnsi="宋体" w:eastAsia="宋体" w:cs="宋体"/>
          <w:sz w:val="24"/>
          <w:szCs w:val="24"/>
        </w:rPr>
        <w:t>因不可抗力造成供应商不能履行供货义务的，我方不承担保证责任。</w:t>
      </w:r>
      <w:bookmarkEnd w:id="335"/>
      <w:r>
        <w:rPr>
          <w:rFonts w:ascii="宋体" w:hAnsi="宋体" w:eastAsia="宋体" w:cs="宋体"/>
          <w:sz w:val="24"/>
          <w:szCs w:val="24"/>
        </w:rPr>
        <w:t xml:space="preserve"> </w:t>
      </w:r>
    </w:p>
    <w:p w14:paraId="13FBB1CE">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36" w:name="_Toc20106"/>
      <w:r>
        <w:rPr>
          <w:rFonts w:ascii="宋体" w:hAnsi="宋体" w:eastAsia="宋体" w:cs="宋体"/>
          <w:sz w:val="24"/>
          <w:szCs w:val="24"/>
        </w:rPr>
        <w:t>争议的解决</w:t>
      </w:r>
      <w:bookmarkEnd w:id="336"/>
      <w:r>
        <w:rPr>
          <w:rFonts w:ascii="宋体" w:hAnsi="宋体" w:eastAsia="宋体" w:cs="宋体"/>
          <w:sz w:val="24"/>
          <w:szCs w:val="24"/>
        </w:rPr>
        <w:t xml:space="preserve"> </w:t>
      </w:r>
    </w:p>
    <w:p w14:paraId="284CA1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480" w:firstLineChars="200"/>
        <w:jc w:val="both"/>
        <w:textAlignment w:val="baseline"/>
        <w:outlineLvl w:val="1"/>
        <w:rPr>
          <w:rFonts w:ascii="宋体" w:hAnsi="宋体" w:eastAsia="宋体" w:cs="宋体"/>
          <w:sz w:val="24"/>
          <w:szCs w:val="24"/>
        </w:rPr>
      </w:pPr>
      <w:bookmarkStart w:id="337" w:name="_Toc29242"/>
      <w:r>
        <w:rPr>
          <w:rFonts w:ascii="宋体" w:hAnsi="宋体" w:eastAsia="宋体" w:cs="宋体"/>
          <w:sz w:val="24"/>
          <w:szCs w:val="24"/>
        </w:rPr>
        <w:t>因本保函发生的纠纷，由你我双方协商解决，协商不成的，通过诉讼程序 解决，诉讼管辖地法院为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法院。</w:t>
      </w:r>
      <w:bookmarkEnd w:id="337"/>
      <w:r>
        <w:rPr>
          <w:rFonts w:ascii="宋体" w:hAnsi="宋体" w:eastAsia="宋体" w:cs="宋体"/>
          <w:sz w:val="24"/>
          <w:szCs w:val="24"/>
        </w:rPr>
        <w:t xml:space="preserve"> </w:t>
      </w:r>
    </w:p>
    <w:p w14:paraId="0F0929B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40" w:lineRule="exact"/>
        <w:ind w:left="0" w:leftChars="0" w:firstLine="480" w:firstLineChars="200"/>
        <w:jc w:val="both"/>
        <w:textAlignment w:val="baseline"/>
        <w:outlineLvl w:val="1"/>
        <w:rPr>
          <w:rFonts w:ascii="宋体" w:hAnsi="宋体" w:eastAsia="宋体" w:cs="宋体"/>
          <w:sz w:val="24"/>
          <w:szCs w:val="24"/>
        </w:rPr>
      </w:pPr>
      <w:bookmarkStart w:id="338" w:name="_Toc22433"/>
      <w:r>
        <w:rPr>
          <w:rFonts w:ascii="宋体" w:hAnsi="宋体" w:eastAsia="宋体" w:cs="宋体"/>
          <w:sz w:val="24"/>
          <w:szCs w:val="24"/>
        </w:rPr>
        <w:t>保函的生效</w:t>
      </w:r>
      <w:bookmarkEnd w:id="338"/>
      <w:r>
        <w:rPr>
          <w:rFonts w:ascii="宋体" w:hAnsi="宋体" w:eastAsia="宋体" w:cs="宋体"/>
          <w:sz w:val="24"/>
          <w:szCs w:val="24"/>
        </w:rPr>
        <w:t xml:space="preserve"> </w:t>
      </w:r>
    </w:p>
    <w:p w14:paraId="352C11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200" w:firstLine="480" w:firstLineChars="200"/>
        <w:jc w:val="both"/>
        <w:textAlignment w:val="baseline"/>
        <w:outlineLvl w:val="1"/>
        <w:rPr>
          <w:rFonts w:ascii="宋体" w:hAnsi="宋体" w:eastAsia="宋体" w:cs="宋体"/>
          <w:sz w:val="24"/>
          <w:szCs w:val="24"/>
        </w:rPr>
      </w:pPr>
      <w:bookmarkStart w:id="339" w:name="_Toc15612"/>
      <w:r>
        <w:rPr>
          <w:rFonts w:ascii="宋体" w:hAnsi="宋体" w:eastAsia="宋体" w:cs="宋体"/>
          <w:sz w:val="24"/>
          <w:szCs w:val="24"/>
        </w:rPr>
        <w:t>本保函自我方加盖公章之日起生效。</w:t>
      </w:r>
      <w:bookmarkEnd w:id="339"/>
      <w:r>
        <w:rPr>
          <w:rFonts w:ascii="宋体" w:hAnsi="宋体" w:eastAsia="宋体" w:cs="宋体"/>
          <w:sz w:val="24"/>
          <w:szCs w:val="24"/>
        </w:rPr>
        <w:t xml:space="preserve"> </w:t>
      </w:r>
    </w:p>
    <w:p w14:paraId="10F6C6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200" w:firstLine="480" w:firstLineChars="200"/>
        <w:jc w:val="both"/>
        <w:textAlignment w:val="baseline"/>
        <w:outlineLvl w:val="1"/>
        <w:rPr>
          <w:rFonts w:ascii="宋体" w:hAnsi="宋体" w:eastAsia="宋体" w:cs="宋体"/>
          <w:sz w:val="24"/>
          <w:szCs w:val="24"/>
        </w:rPr>
      </w:pPr>
    </w:p>
    <w:p w14:paraId="31E287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200" w:firstLine="4560" w:firstLineChars="1900"/>
        <w:jc w:val="both"/>
        <w:textAlignment w:val="baseline"/>
        <w:outlineLvl w:val="1"/>
        <w:rPr>
          <w:rFonts w:ascii="宋体" w:hAnsi="宋体" w:eastAsia="宋体" w:cs="宋体"/>
          <w:sz w:val="24"/>
          <w:szCs w:val="24"/>
        </w:rPr>
      </w:pPr>
    </w:p>
    <w:p w14:paraId="198F35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200" w:firstLine="4800" w:firstLineChars="2000"/>
        <w:jc w:val="both"/>
        <w:textAlignment w:val="baseline"/>
        <w:outlineLvl w:val="1"/>
        <w:rPr>
          <w:rFonts w:ascii="宋体" w:hAnsi="宋体" w:eastAsia="宋体" w:cs="宋体"/>
          <w:sz w:val="24"/>
          <w:szCs w:val="24"/>
        </w:rPr>
      </w:pPr>
      <w:bookmarkStart w:id="340" w:name="_Toc30567"/>
      <w:r>
        <w:rPr>
          <w:rFonts w:ascii="宋体" w:hAnsi="宋体" w:eastAsia="宋体" w:cs="宋体"/>
          <w:sz w:val="24"/>
          <w:szCs w:val="24"/>
        </w:rPr>
        <w:t>保证人：（公章）</w:t>
      </w:r>
      <w:bookmarkEnd w:id="340"/>
      <w:r>
        <w:rPr>
          <w:rFonts w:ascii="宋体" w:hAnsi="宋体" w:eastAsia="宋体" w:cs="宋体"/>
          <w:sz w:val="24"/>
          <w:szCs w:val="24"/>
        </w:rPr>
        <w:t xml:space="preserve"> </w:t>
      </w:r>
    </w:p>
    <w:p w14:paraId="49B8CC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Chars="200" w:firstLine="5280" w:firstLineChars="2200"/>
        <w:jc w:val="both"/>
        <w:textAlignment w:val="baseline"/>
        <w:outlineLvl w:val="1"/>
        <w:rPr>
          <w:rFonts w:ascii="宋体" w:hAnsi="宋体" w:eastAsia="宋体" w:cs="宋体"/>
          <w:sz w:val="24"/>
          <w:szCs w:val="24"/>
        </w:rPr>
      </w:pPr>
      <w:bookmarkStart w:id="341" w:name="_Toc18208"/>
      <w:r>
        <w:rPr>
          <w:rFonts w:ascii="宋体" w:hAnsi="宋体" w:eastAsia="宋体" w:cs="宋体"/>
          <w:sz w:val="24"/>
          <w:szCs w:val="24"/>
        </w:rPr>
        <w:t>年 月 日</w:t>
      </w:r>
      <w:bookmarkEnd w:id="341"/>
    </w:p>
    <w:p w14:paraId="257F5B8E">
      <w:pPr>
        <w:bidi w:val="0"/>
        <w:jc w:val="center"/>
        <w:outlineLvl w:val="1"/>
        <w:rPr>
          <w:rFonts w:ascii="宋体" w:hAnsi="宋体" w:eastAsia="宋体" w:cs="宋体"/>
          <w:sz w:val="24"/>
          <w:szCs w:val="24"/>
        </w:rPr>
      </w:pPr>
    </w:p>
    <w:p w14:paraId="70EB2820">
      <w:pPr>
        <w:bidi w:val="0"/>
        <w:jc w:val="center"/>
        <w:outlineLvl w:val="1"/>
        <w:rPr>
          <w:rFonts w:ascii="宋体" w:hAnsi="宋体" w:eastAsia="宋体" w:cs="宋体"/>
          <w:sz w:val="24"/>
          <w:szCs w:val="24"/>
        </w:rPr>
      </w:pPr>
    </w:p>
    <w:p w14:paraId="3FC2D449">
      <w:pPr>
        <w:bidi w:val="0"/>
        <w:jc w:val="center"/>
        <w:outlineLvl w:val="1"/>
        <w:rPr>
          <w:rFonts w:ascii="宋体" w:hAnsi="宋体" w:eastAsia="宋体" w:cs="宋体"/>
          <w:sz w:val="24"/>
          <w:szCs w:val="24"/>
        </w:rPr>
      </w:pPr>
    </w:p>
    <w:p w14:paraId="4B465F04">
      <w:pPr>
        <w:bidi w:val="0"/>
        <w:jc w:val="center"/>
        <w:outlineLvl w:val="1"/>
        <w:rPr>
          <w:rFonts w:ascii="宋体" w:hAnsi="宋体" w:eastAsia="宋体" w:cs="宋体"/>
          <w:sz w:val="24"/>
          <w:szCs w:val="24"/>
        </w:rPr>
      </w:pPr>
    </w:p>
    <w:p w14:paraId="76D25B7F">
      <w:pPr>
        <w:bidi w:val="0"/>
        <w:jc w:val="center"/>
        <w:outlineLvl w:val="1"/>
        <w:rPr>
          <w:rFonts w:ascii="宋体" w:hAnsi="宋体" w:eastAsia="宋体" w:cs="宋体"/>
          <w:sz w:val="24"/>
          <w:szCs w:val="24"/>
        </w:rPr>
      </w:pPr>
    </w:p>
    <w:p w14:paraId="58B1F770">
      <w:pPr>
        <w:bidi w:val="0"/>
        <w:jc w:val="center"/>
        <w:outlineLvl w:val="1"/>
        <w:rPr>
          <w:rFonts w:ascii="宋体" w:hAnsi="宋体" w:eastAsia="宋体" w:cs="宋体"/>
          <w:sz w:val="24"/>
          <w:szCs w:val="24"/>
        </w:rPr>
      </w:pPr>
    </w:p>
    <w:p w14:paraId="5857B98D">
      <w:pPr>
        <w:bidi w:val="0"/>
        <w:jc w:val="center"/>
        <w:outlineLvl w:val="1"/>
        <w:rPr>
          <w:rFonts w:ascii="宋体" w:hAnsi="宋体" w:eastAsia="宋体" w:cs="宋体"/>
          <w:sz w:val="24"/>
          <w:szCs w:val="24"/>
        </w:rPr>
      </w:pPr>
    </w:p>
    <w:p w14:paraId="552A47B2">
      <w:pPr>
        <w:bidi w:val="0"/>
        <w:jc w:val="center"/>
        <w:outlineLvl w:val="1"/>
        <w:rPr>
          <w:rFonts w:ascii="宋体" w:hAnsi="宋体" w:eastAsia="宋体" w:cs="宋体"/>
          <w:sz w:val="24"/>
          <w:szCs w:val="24"/>
        </w:rPr>
      </w:pPr>
    </w:p>
    <w:p w14:paraId="51530252">
      <w:pPr>
        <w:bidi w:val="0"/>
        <w:jc w:val="center"/>
        <w:outlineLvl w:val="1"/>
        <w:rPr>
          <w:rFonts w:ascii="宋体" w:hAnsi="宋体" w:eastAsia="宋体" w:cs="宋体"/>
          <w:sz w:val="24"/>
          <w:szCs w:val="24"/>
        </w:rPr>
      </w:pPr>
    </w:p>
    <w:p w14:paraId="16F661E4">
      <w:pPr>
        <w:bidi w:val="0"/>
        <w:jc w:val="center"/>
        <w:outlineLvl w:val="1"/>
        <w:rPr>
          <w:rFonts w:ascii="宋体" w:hAnsi="宋体" w:eastAsia="宋体" w:cs="宋体"/>
          <w:sz w:val="24"/>
          <w:szCs w:val="24"/>
        </w:rPr>
      </w:pPr>
    </w:p>
    <w:p w14:paraId="440F1238">
      <w:pPr>
        <w:bidi w:val="0"/>
        <w:jc w:val="center"/>
        <w:outlineLvl w:val="1"/>
        <w:rPr>
          <w:rFonts w:ascii="宋体" w:hAnsi="宋体" w:eastAsia="宋体" w:cs="宋体"/>
          <w:sz w:val="24"/>
          <w:szCs w:val="24"/>
        </w:rPr>
      </w:pPr>
    </w:p>
    <w:p w14:paraId="67F63423">
      <w:pPr>
        <w:bidi w:val="0"/>
        <w:jc w:val="center"/>
        <w:outlineLvl w:val="1"/>
        <w:rPr>
          <w:rFonts w:ascii="宋体" w:hAnsi="宋体" w:eastAsia="宋体" w:cs="宋体"/>
          <w:sz w:val="24"/>
          <w:szCs w:val="24"/>
        </w:rPr>
      </w:pPr>
    </w:p>
    <w:p w14:paraId="27B7E585">
      <w:pPr>
        <w:bidi w:val="0"/>
        <w:jc w:val="center"/>
        <w:outlineLvl w:val="1"/>
        <w:rPr>
          <w:rFonts w:ascii="宋体" w:hAnsi="宋体" w:eastAsia="宋体" w:cs="宋体"/>
          <w:sz w:val="24"/>
          <w:szCs w:val="24"/>
        </w:rPr>
      </w:pPr>
    </w:p>
    <w:p w14:paraId="665A3BCF">
      <w:pPr>
        <w:bidi w:val="0"/>
        <w:jc w:val="center"/>
        <w:outlineLvl w:val="1"/>
        <w:rPr>
          <w:rFonts w:ascii="宋体" w:hAnsi="宋体" w:eastAsia="宋体" w:cs="宋体"/>
          <w:sz w:val="24"/>
          <w:szCs w:val="24"/>
        </w:rPr>
      </w:pPr>
    </w:p>
    <w:p w14:paraId="6151A405">
      <w:pPr>
        <w:bidi w:val="0"/>
        <w:jc w:val="center"/>
        <w:outlineLvl w:val="1"/>
        <w:rPr>
          <w:rFonts w:ascii="宋体" w:hAnsi="宋体" w:eastAsia="宋体" w:cs="宋体"/>
          <w:sz w:val="24"/>
          <w:szCs w:val="24"/>
        </w:rPr>
      </w:pPr>
    </w:p>
    <w:p w14:paraId="1F2D735E">
      <w:pPr>
        <w:bidi w:val="0"/>
        <w:jc w:val="center"/>
        <w:outlineLvl w:val="1"/>
        <w:rPr>
          <w:rFonts w:ascii="宋体" w:hAnsi="宋体" w:eastAsia="宋体" w:cs="宋体"/>
          <w:sz w:val="24"/>
          <w:szCs w:val="24"/>
        </w:rPr>
      </w:pPr>
    </w:p>
    <w:p w14:paraId="63497678">
      <w:pPr>
        <w:bidi w:val="0"/>
        <w:jc w:val="center"/>
        <w:outlineLvl w:val="1"/>
        <w:rPr>
          <w:rFonts w:ascii="宋体" w:hAnsi="宋体" w:eastAsia="宋体" w:cs="宋体"/>
          <w:sz w:val="24"/>
          <w:szCs w:val="24"/>
        </w:rPr>
      </w:pPr>
    </w:p>
    <w:p w14:paraId="6E661969">
      <w:pPr>
        <w:bidi w:val="0"/>
        <w:jc w:val="center"/>
        <w:outlineLvl w:val="1"/>
        <w:rPr>
          <w:rFonts w:ascii="宋体" w:hAnsi="宋体" w:eastAsia="宋体" w:cs="宋体"/>
          <w:sz w:val="24"/>
          <w:szCs w:val="24"/>
        </w:rPr>
      </w:pPr>
    </w:p>
    <w:p w14:paraId="7F0D777A">
      <w:pPr>
        <w:bidi w:val="0"/>
        <w:jc w:val="center"/>
        <w:outlineLvl w:val="1"/>
        <w:rPr>
          <w:rFonts w:ascii="宋体" w:hAnsi="宋体" w:eastAsia="宋体" w:cs="宋体"/>
          <w:sz w:val="24"/>
          <w:szCs w:val="24"/>
        </w:rPr>
      </w:pPr>
    </w:p>
    <w:p w14:paraId="25C208A0">
      <w:pPr>
        <w:bidi w:val="0"/>
        <w:jc w:val="center"/>
        <w:outlineLvl w:val="1"/>
        <w:rPr>
          <w:rFonts w:ascii="宋体" w:hAnsi="宋体" w:eastAsia="宋体" w:cs="宋体"/>
          <w:sz w:val="24"/>
          <w:szCs w:val="24"/>
        </w:rPr>
      </w:pPr>
    </w:p>
    <w:p w14:paraId="26AFEA71">
      <w:pPr>
        <w:bidi w:val="0"/>
        <w:jc w:val="center"/>
        <w:outlineLvl w:val="1"/>
        <w:rPr>
          <w:rFonts w:ascii="宋体" w:hAnsi="宋体" w:eastAsia="宋体" w:cs="宋体"/>
          <w:sz w:val="24"/>
          <w:szCs w:val="24"/>
        </w:rPr>
      </w:pPr>
    </w:p>
    <w:p w14:paraId="425AC0B0">
      <w:pPr>
        <w:bidi w:val="0"/>
        <w:jc w:val="center"/>
        <w:outlineLvl w:val="1"/>
        <w:rPr>
          <w:rFonts w:ascii="宋体" w:hAnsi="宋体" w:eastAsia="宋体" w:cs="宋体"/>
          <w:sz w:val="24"/>
          <w:szCs w:val="24"/>
        </w:rPr>
      </w:pPr>
    </w:p>
    <w:p w14:paraId="55EB5CD9">
      <w:pPr>
        <w:bidi w:val="0"/>
        <w:jc w:val="center"/>
        <w:outlineLvl w:val="1"/>
        <w:rPr>
          <w:rFonts w:ascii="宋体" w:hAnsi="宋体" w:eastAsia="宋体" w:cs="宋体"/>
          <w:sz w:val="24"/>
          <w:szCs w:val="24"/>
        </w:rPr>
      </w:pPr>
    </w:p>
    <w:p w14:paraId="47DDD213">
      <w:pPr>
        <w:numPr>
          <w:ilvl w:val="0"/>
          <w:numId w:val="8"/>
        </w:numPr>
        <w:bidi w:val="0"/>
        <w:jc w:val="center"/>
        <w:outlineLvl w:val="1"/>
        <w:rPr>
          <w:rFonts w:hint="eastAsia"/>
          <w:sz w:val="36"/>
          <w:szCs w:val="44"/>
        </w:rPr>
      </w:pPr>
      <w:bookmarkStart w:id="342" w:name="_Toc24504"/>
      <w:r>
        <w:rPr>
          <w:rFonts w:hint="eastAsia"/>
          <w:sz w:val="36"/>
          <w:szCs w:val="44"/>
        </w:rPr>
        <w:t>投标文件格式</w:t>
      </w:r>
      <w:bookmarkEnd w:id="300"/>
      <w:bookmarkEnd w:id="301"/>
      <w:bookmarkEnd w:id="302"/>
      <w:bookmarkEnd w:id="303"/>
      <w:bookmarkEnd w:id="304"/>
      <w:bookmarkEnd w:id="305"/>
      <w:bookmarkEnd w:id="306"/>
      <w:bookmarkEnd w:id="342"/>
      <w:bookmarkStart w:id="343" w:name="_Toc22141"/>
      <w:bookmarkStart w:id="344" w:name="_Toc21715"/>
      <w:bookmarkStart w:id="345" w:name="_Toc15142"/>
      <w:bookmarkStart w:id="346" w:name="_Toc17893"/>
      <w:bookmarkStart w:id="347" w:name="_Toc518923107"/>
      <w:bookmarkStart w:id="348" w:name="_Toc636"/>
    </w:p>
    <w:p w14:paraId="50CBDE09">
      <w:pPr>
        <w:numPr>
          <w:ilvl w:val="0"/>
          <w:numId w:val="0"/>
        </w:numPr>
        <w:kinsoku w:val="0"/>
        <w:autoSpaceDE w:val="0"/>
        <w:autoSpaceDN w:val="0"/>
        <w:bidi w:val="0"/>
        <w:adjustRightInd w:val="0"/>
        <w:snapToGrid w:val="0"/>
        <w:spacing w:line="240" w:lineRule="auto"/>
        <w:jc w:val="center"/>
        <w:textAlignment w:val="baseline"/>
        <w:outlineLvl w:val="1"/>
        <w:rPr>
          <w:rFonts w:hint="eastAsia"/>
          <w:sz w:val="36"/>
          <w:szCs w:val="44"/>
        </w:rPr>
      </w:pPr>
    </w:p>
    <w:p w14:paraId="43AF52AF">
      <w:pPr>
        <w:numPr>
          <w:ilvl w:val="0"/>
          <w:numId w:val="0"/>
        </w:numPr>
        <w:kinsoku w:val="0"/>
        <w:autoSpaceDE w:val="0"/>
        <w:autoSpaceDN w:val="0"/>
        <w:bidi w:val="0"/>
        <w:adjustRightInd w:val="0"/>
        <w:snapToGrid w:val="0"/>
        <w:spacing w:line="240" w:lineRule="auto"/>
        <w:ind w:firstLine="480" w:firstLineChars="200"/>
        <w:jc w:val="both"/>
        <w:textAlignment w:val="baseline"/>
        <w:outlineLvl w:val="1"/>
        <w:rPr>
          <w:rFonts w:hint="eastAsia"/>
          <w:color w:val="auto"/>
          <w:sz w:val="21"/>
          <w:szCs w:val="24"/>
        </w:rPr>
      </w:pPr>
      <w:r>
        <w:rPr>
          <w:rFonts w:hint="eastAsia"/>
          <w:color w:val="auto"/>
          <w:sz w:val="24"/>
          <w:szCs w:val="32"/>
        </w:rPr>
        <w:t>说明：上传的商务</w:t>
      </w:r>
      <w:r>
        <w:rPr>
          <w:rFonts w:hint="eastAsia" w:eastAsia="宋体"/>
          <w:color w:val="auto"/>
          <w:sz w:val="24"/>
          <w:szCs w:val="32"/>
          <w:lang w:val="en-US" w:eastAsia="zh-CN"/>
        </w:rPr>
        <w:t>及</w:t>
      </w:r>
      <w:r>
        <w:rPr>
          <w:rFonts w:hint="eastAsia"/>
          <w:color w:val="auto"/>
          <w:sz w:val="24"/>
          <w:szCs w:val="32"/>
        </w:rPr>
        <w:t>技术文件需编制目录</w:t>
      </w:r>
      <w:r>
        <w:rPr>
          <w:rFonts w:hint="eastAsia" w:eastAsia="宋体"/>
          <w:color w:val="auto"/>
          <w:sz w:val="24"/>
          <w:szCs w:val="32"/>
          <w:lang w:val="en-US" w:eastAsia="zh-CN"/>
        </w:rPr>
        <w:t>评审</w:t>
      </w:r>
      <w:r>
        <w:rPr>
          <w:rFonts w:hint="eastAsia"/>
          <w:color w:val="auto"/>
          <w:sz w:val="24"/>
          <w:szCs w:val="32"/>
        </w:rPr>
        <w:t>索引，方便专家组进行查询。</w:t>
      </w:r>
    </w:p>
    <w:p w14:paraId="63AB0987">
      <w:pPr>
        <w:bidi w:val="0"/>
        <w:jc w:val="center"/>
        <w:outlineLvl w:val="9"/>
        <w:rPr>
          <w:rFonts w:hint="eastAsia"/>
          <w:sz w:val="36"/>
          <w:szCs w:val="44"/>
        </w:rPr>
      </w:pPr>
    </w:p>
    <w:p w14:paraId="458A2D3E">
      <w:pPr>
        <w:bidi w:val="0"/>
        <w:jc w:val="center"/>
        <w:outlineLvl w:val="2"/>
        <w:rPr>
          <w:rFonts w:hint="eastAsia"/>
          <w:sz w:val="30"/>
          <w:szCs w:val="30"/>
        </w:rPr>
      </w:pPr>
      <w:bookmarkStart w:id="349" w:name="_Toc18196"/>
      <w:bookmarkStart w:id="350" w:name="_Toc12437"/>
    </w:p>
    <w:p w14:paraId="6BAE4229">
      <w:pPr>
        <w:bidi w:val="0"/>
        <w:jc w:val="center"/>
        <w:outlineLvl w:val="2"/>
        <w:rPr>
          <w:rFonts w:hint="eastAsia"/>
          <w:sz w:val="30"/>
          <w:szCs w:val="30"/>
        </w:rPr>
      </w:pPr>
    </w:p>
    <w:p w14:paraId="25429667">
      <w:pPr>
        <w:bidi w:val="0"/>
        <w:jc w:val="center"/>
        <w:outlineLvl w:val="2"/>
        <w:rPr>
          <w:rFonts w:hint="eastAsia"/>
          <w:sz w:val="30"/>
          <w:szCs w:val="30"/>
        </w:rPr>
      </w:pPr>
    </w:p>
    <w:p w14:paraId="1D126C1F">
      <w:pPr>
        <w:bidi w:val="0"/>
        <w:jc w:val="center"/>
        <w:outlineLvl w:val="2"/>
        <w:rPr>
          <w:rFonts w:hint="eastAsia"/>
          <w:sz w:val="30"/>
          <w:szCs w:val="30"/>
        </w:rPr>
      </w:pPr>
    </w:p>
    <w:p w14:paraId="1DC3D69D">
      <w:pPr>
        <w:bidi w:val="0"/>
        <w:jc w:val="center"/>
        <w:outlineLvl w:val="2"/>
        <w:rPr>
          <w:rFonts w:hint="eastAsia"/>
          <w:sz w:val="30"/>
          <w:szCs w:val="30"/>
        </w:rPr>
      </w:pPr>
    </w:p>
    <w:p w14:paraId="554C0F07">
      <w:pPr>
        <w:bidi w:val="0"/>
        <w:jc w:val="center"/>
        <w:outlineLvl w:val="2"/>
        <w:rPr>
          <w:rFonts w:hint="eastAsia"/>
          <w:sz w:val="30"/>
          <w:szCs w:val="30"/>
        </w:rPr>
      </w:pPr>
    </w:p>
    <w:p w14:paraId="56A159E2">
      <w:pPr>
        <w:bidi w:val="0"/>
        <w:jc w:val="center"/>
        <w:outlineLvl w:val="2"/>
        <w:rPr>
          <w:rFonts w:hint="eastAsia"/>
          <w:sz w:val="30"/>
          <w:szCs w:val="30"/>
        </w:rPr>
      </w:pPr>
    </w:p>
    <w:p w14:paraId="4EA6D027">
      <w:pPr>
        <w:bidi w:val="0"/>
        <w:jc w:val="center"/>
        <w:outlineLvl w:val="2"/>
        <w:rPr>
          <w:rFonts w:hint="eastAsia"/>
          <w:sz w:val="30"/>
          <w:szCs w:val="30"/>
        </w:rPr>
      </w:pPr>
    </w:p>
    <w:p w14:paraId="110C98DD">
      <w:pPr>
        <w:bidi w:val="0"/>
        <w:jc w:val="center"/>
        <w:outlineLvl w:val="2"/>
        <w:rPr>
          <w:rFonts w:hint="eastAsia"/>
          <w:sz w:val="30"/>
          <w:szCs w:val="30"/>
        </w:rPr>
      </w:pPr>
    </w:p>
    <w:p w14:paraId="69EBDF14">
      <w:pPr>
        <w:bidi w:val="0"/>
        <w:jc w:val="center"/>
        <w:outlineLvl w:val="2"/>
        <w:rPr>
          <w:rFonts w:hint="eastAsia"/>
          <w:sz w:val="30"/>
          <w:szCs w:val="30"/>
        </w:rPr>
      </w:pPr>
    </w:p>
    <w:p w14:paraId="0A2C0F02">
      <w:pPr>
        <w:bidi w:val="0"/>
        <w:jc w:val="center"/>
        <w:outlineLvl w:val="2"/>
        <w:rPr>
          <w:rFonts w:hint="eastAsia"/>
          <w:sz w:val="30"/>
          <w:szCs w:val="30"/>
        </w:rPr>
      </w:pPr>
    </w:p>
    <w:p w14:paraId="7594C4D5">
      <w:pPr>
        <w:bidi w:val="0"/>
        <w:jc w:val="center"/>
        <w:outlineLvl w:val="2"/>
        <w:rPr>
          <w:rFonts w:hint="eastAsia"/>
          <w:sz w:val="30"/>
          <w:szCs w:val="30"/>
        </w:rPr>
      </w:pPr>
    </w:p>
    <w:p w14:paraId="2D21DE07">
      <w:pPr>
        <w:bidi w:val="0"/>
        <w:jc w:val="center"/>
        <w:outlineLvl w:val="2"/>
        <w:rPr>
          <w:rFonts w:hint="eastAsia"/>
          <w:sz w:val="30"/>
          <w:szCs w:val="30"/>
        </w:rPr>
      </w:pPr>
    </w:p>
    <w:p w14:paraId="265ED74F">
      <w:pPr>
        <w:bidi w:val="0"/>
        <w:jc w:val="center"/>
        <w:outlineLvl w:val="2"/>
        <w:rPr>
          <w:rFonts w:hint="eastAsia"/>
          <w:sz w:val="30"/>
          <w:szCs w:val="30"/>
        </w:rPr>
      </w:pPr>
    </w:p>
    <w:p w14:paraId="33AC4C93">
      <w:pPr>
        <w:bidi w:val="0"/>
        <w:jc w:val="center"/>
        <w:outlineLvl w:val="2"/>
        <w:rPr>
          <w:rFonts w:hint="eastAsia"/>
          <w:sz w:val="30"/>
          <w:szCs w:val="30"/>
        </w:rPr>
      </w:pPr>
    </w:p>
    <w:p w14:paraId="33368F47">
      <w:pPr>
        <w:bidi w:val="0"/>
        <w:jc w:val="center"/>
        <w:outlineLvl w:val="2"/>
        <w:rPr>
          <w:rFonts w:hint="eastAsia"/>
          <w:sz w:val="30"/>
          <w:szCs w:val="30"/>
        </w:rPr>
      </w:pPr>
    </w:p>
    <w:p w14:paraId="47E4705E">
      <w:pPr>
        <w:bidi w:val="0"/>
        <w:jc w:val="center"/>
        <w:outlineLvl w:val="2"/>
        <w:rPr>
          <w:rFonts w:hint="eastAsia"/>
          <w:sz w:val="30"/>
          <w:szCs w:val="30"/>
        </w:rPr>
      </w:pPr>
    </w:p>
    <w:p w14:paraId="4A3F1ABC">
      <w:pPr>
        <w:bidi w:val="0"/>
        <w:jc w:val="center"/>
        <w:outlineLvl w:val="2"/>
        <w:rPr>
          <w:rFonts w:hint="eastAsia"/>
          <w:sz w:val="30"/>
          <w:szCs w:val="30"/>
        </w:rPr>
      </w:pPr>
    </w:p>
    <w:p w14:paraId="50E853E9">
      <w:pPr>
        <w:bidi w:val="0"/>
        <w:jc w:val="center"/>
        <w:outlineLvl w:val="2"/>
        <w:rPr>
          <w:rFonts w:hint="eastAsia"/>
          <w:sz w:val="30"/>
          <w:szCs w:val="30"/>
        </w:rPr>
      </w:pPr>
    </w:p>
    <w:p w14:paraId="45DDF72F">
      <w:pPr>
        <w:bidi w:val="0"/>
        <w:jc w:val="center"/>
        <w:outlineLvl w:val="2"/>
        <w:rPr>
          <w:rFonts w:hint="eastAsia"/>
          <w:sz w:val="30"/>
          <w:szCs w:val="30"/>
        </w:rPr>
      </w:pPr>
    </w:p>
    <w:p w14:paraId="12E55E92">
      <w:pPr>
        <w:bidi w:val="0"/>
        <w:jc w:val="center"/>
        <w:outlineLvl w:val="2"/>
        <w:rPr>
          <w:rFonts w:hint="eastAsia"/>
          <w:sz w:val="30"/>
          <w:szCs w:val="30"/>
        </w:rPr>
      </w:pPr>
    </w:p>
    <w:p w14:paraId="585998E6">
      <w:pPr>
        <w:bidi w:val="0"/>
        <w:jc w:val="center"/>
        <w:outlineLvl w:val="2"/>
        <w:rPr>
          <w:rFonts w:hint="eastAsia"/>
          <w:sz w:val="30"/>
          <w:szCs w:val="30"/>
        </w:rPr>
      </w:pPr>
    </w:p>
    <w:p w14:paraId="69C2DDC2">
      <w:pPr>
        <w:bidi w:val="0"/>
        <w:jc w:val="center"/>
        <w:outlineLvl w:val="2"/>
        <w:rPr>
          <w:rFonts w:hint="eastAsia"/>
          <w:sz w:val="30"/>
          <w:szCs w:val="30"/>
        </w:rPr>
      </w:pPr>
    </w:p>
    <w:p w14:paraId="7F45C512">
      <w:pPr>
        <w:bidi w:val="0"/>
        <w:jc w:val="center"/>
        <w:outlineLvl w:val="2"/>
        <w:rPr>
          <w:rFonts w:hint="eastAsia"/>
          <w:sz w:val="30"/>
          <w:szCs w:val="30"/>
        </w:rPr>
      </w:pPr>
    </w:p>
    <w:p w14:paraId="79F41609">
      <w:pPr>
        <w:bidi w:val="0"/>
        <w:jc w:val="center"/>
        <w:outlineLvl w:val="2"/>
        <w:rPr>
          <w:rFonts w:hint="eastAsia"/>
          <w:sz w:val="30"/>
          <w:szCs w:val="30"/>
        </w:rPr>
      </w:pPr>
    </w:p>
    <w:p w14:paraId="0BD34F73">
      <w:pPr>
        <w:bidi w:val="0"/>
        <w:jc w:val="center"/>
        <w:outlineLvl w:val="2"/>
        <w:rPr>
          <w:rFonts w:hint="eastAsia"/>
          <w:sz w:val="30"/>
          <w:szCs w:val="30"/>
        </w:rPr>
      </w:pPr>
    </w:p>
    <w:p w14:paraId="27A50E89">
      <w:pPr>
        <w:bidi w:val="0"/>
        <w:jc w:val="center"/>
        <w:outlineLvl w:val="2"/>
        <w:rPr>
          <w:rFonts w:hint="eastAsia"/>
          <w:sz w:val="30"/>
          <w:szCs w:val="30"/>
        </w:rPr>
      </w:pPr>
    </w:p>
    <w:p w14:paraId="0BAA7558">
      <w:pPr>
        <w:bidi w:val="0"/>
        <w:jc w:val="center"/>
        <w:outlineLvl w:val="2"/>
        <w:rPr>
          <w:rFonts w:hint="eastAsia"/>
          <w:sz w:val="30"/>
          <w:szCs w:val="30"/>
        </w:rPr>
      </w:pPr>
    </w:p>
    <w:p w14:paraId="1E6DA82F">
      <w:pPr>
        <w:bidi w:val="0"/>
        <w:jc w:val="center"/>
        <w:outlineLvl w:val="2"/>
        <w:rPr>
          <w:rFonts w:hint="eastAsia"/>
          <w:sz w:val="30"/>
          <w:szCs w:val="30"/>
        </w:rPr>
      </w:pPr>
    </w:p>
    <w:p w14:paraId="2AA30508">
      <w:pPr>
        <w:bidi w:val="0"/>
        <w:jc w:val="center"/>
        <w:outlineLvl w:val="2"/>
        <w:rPr>
          <w:rFonts w:hint="eastAsia"/>
          <w:sz w:val="30"/>
          <w:szCs w:val="30"/>
        </w:rPr>
      </w:pPr>
    </w:p>
    <w:p w14:paraId="3D34F14A">
      <w:pPr>
        <w:bidi w:val="0"/>
        <w:jc w:val="center"/>
        <w:outlineLvl w:val="2"/>
        <w:rPr>
          <w:rFonts w:hint="eastAsia"/>
          <w:sz w:val="30"/>
          <w:szCs w:val="30"/>
        </w:rPr>
      </w:pPr>
    </w:p>
    <w:p w14:paraId="2681602B">
      <w:pPr>
        <w:bidi w:val="0"/>
        <w:jc w:val="center"/>
        <w:outlineLvl w:val="2"/>
        <w:rPr>
          <w:rFonts w:hint="eastAsia"/>
          <w:sz w:val="30"/>
          <w:szCs w:val="30"/>
        </w:rPr>
      </w:pPr>
    </w:p>
    <w:p w14:paraId="4D21B557">
      <w:pPr>
        <w:bidi w:val="0"/>
        <w:jc w:val="center"/>
        <w:outlineLvl w:val="2"/>
        <w:rPr>
          <w:rFonts w:hint="eastAsia"/>
          <w:sz w:val="30"/>
          <w:szCs w:val="30"/>
        </w:rPr>
      </w:pPr>
    </w:p>
    <w:p w14:paraId="0A4E8281">
      <w:pPr>
        <w:bidi w:val="0"/>
        <w:jc w:val="center"/>
        <w:outlineLvl w:val="2"/>
        <w:rPr>
          <w:rFonts w:hint="eastAsia"/>
          <w:sz w:val="30"/>
          <w:szCs w:val="30"/>
        </w:rPr>
      </w:pPr>
    </w:p>
    <w:p w14:paraId="54F0FB01">
      <w:pPr>
        <w:bidi w:val="0"/>
        <w:jc w:val="center"/>
        <w:outlineLvl w:val="2"/>
        <w:rPr>
          <w:rFonts w:hint="eastAsia"/>
          <w:sz w:val="30"/>
          <w:szCs w:val="30"/>
        </w:rPr>
      </w:pPr>
    </w:p>
    <w:p w14:paraId="4DCE834C">
      <w:pPr>
        <w:bidi w:val="0"/>
        <w:jc w:val="center"/>
        <w:outlineLvl w:val="2"/>
        <w:rPr>
          <w:rFonts w:hint="eastAsia"/>
          <w:sz w:val="30"/>
          <w:szCs w:val="30"/>
        </w:rPr>
      </w:pPr>
      <w:r>
        <w:rPr>
          <w:rFonts w:hint="eastAsia"/>
          <w:sz w:val="30"/>
          <w:szCs w:val="30"/>
        </w:rPr>
        <w:t>第一部分 开标一览表及资格证明文件</w:t>
      </w:r>
      <w:bookmarkEnd w:id="343"/>
      <w:bookmarkEnd w:id="344"/>
      <w:bookmarkEnd w:id="345"/>
      <w:bookmarkEnd w:id="346"/>
      <w:bookmarkEnd w:id="347"/>
      <w:bookmarkEnd w:id="348"/>
      <w:bookmarkEnd w:id="349"/>
      <w:bookmarkEnd w:id="350"/>
    </w:p>
    <w:p w14:paraId="2D3137B6">
      <w:pPr>
        <w:pStyle w:val="6"/>
        <w:rPr>
          <w:rFonts w:hint="eastAsia"/>
        </w:rPr>
      </w:pPr>
    </w:p>
    <w:p w14:paraId="2CFBB91C">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1、开标一览表；</w:t>
      </w:r>
    </w:p>
    <w:p w14:paraId="68AC824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2、有效的营业执照;</w:t>
      </w:r>
    </w:p>
    <w:p w14:paraId="6054D03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3、法定代表人资格证明书及法定代表人授权委托书、被授权人身份证(法定代表人投标具备法定代表人身份证及法人代表资格证明书)；</w:t>
      </w:r>
    </w:p>
    <w:p w14:paraId="75869A6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4、近6个月任意一个月的完税证明；</w:t>
      </w:r>
    </w:p>
    <w:p w14:paraId="646CA261">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sz w:val="24"/>
          <w:szCs w:val="24"/>
          <w:lang w:eastAsia="zh-CN"/>
        </w:rPr>
      </w:pPr>
      <w:r>
        <w:rPr>
          <w:rFonts w:hint="eastAsia" w:ascii="宋体" w:hAnsi="宋体" w:eastAsia="宋体" w:cs="宋体"/>
          <w:sz w:val="24"/>
          <w:szCs w:val="24"/>
        </w:rPr>
        <w:t>5、近6个月任意一个月</w:t>
      </w:r>
      <w:r>
        <w:rPr>
          <w:rFonts w:hint="eastAsia" w:ascii="宋体" w:hAnsi="宋体" w:eastAsia="宋体" w:cs="宋体"/>
          <w:sz w:val="24"/>
          <w:szCs w:val="24"/>
          <w:lang w:val="en-US" w:eastAsia="zh-CN"/>
        </w:rPr>
        <w:t>缴纳</w:t>
      </w:r>
      <w:r>
        <w:rPr>
          <w:rFonts w:hint="eastAsia" w:ascii="宋体" w:hAnsi="宋体" w:eastAsia="宋体" w:cs="宋体"/>
          <w:sz w:val="24"/>
          <w:szCs w:val="24"/>
        </w:rPr>
        <w:t>社会保险的凭据</w:t>
      </w:r>
      <w:r>
        <w:rPr>
          <w:rFonts w:hint="eastAsia" w:ascii="宋体" w:hAnsi="宋体" w:cs="宋体"/>
          <w:sz w:val="24"/>
          <w:szCs w:val="24"/>
          <w:lang w:eastAsia="zh-CN"/>
        </w:rPr>
        <w:t>；</w:t>
      </w:r>
    </w:p>
    <w:p w14:paraId="49151DE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6、供应商若是生产企业的，须具备有效的《药品生产许可证》（中药饮片）；供应商若是经营企业须具备有效的《药品经营许可证》（中药饮片）。</w:t>
      </w:r>
    </w:p>
    <w:p w14:paraId="0101DE6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、提供近两年内任意一年的（2023年或2024年）财务审计报告（新成立未满一年的公司可提供近</w:t>
      </w:r>
      <w:r>
        <w:rPr>
          <w:rFonts w:hint="eastAsia" w:ascii="宋体" w:hAnsi="宋体" w:cs="宋体"/>
          <w:sz w:val="24"/>
          <w:szCs w:val="24"/>
          <w:lang w:val="en-US" w:eastAsia="zh-CN"/>
        </w:rPr>
        <w:t>6</w:t>
      </w:r>
      <w:r>
        <w:rPr>
          <w:rFonts w:hint="eastAsia" w:ascii="宋体" w:hAnsi="宋体" w:eastAsia="宋体" w:cs="宋体"/>
          <w:sz w:val="24"/>
          <w:szCs w:val="24"/>
        </w:rPr>
        <w:t>个月内任意一个月的银行资信证明）；</w:t>
      </w:r>
    </w:p>
    <w:p w14:paraId="0F12D1C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w:t>
      </w:r>
      <w:r>
        <w:rPr>
          <w:rFonts w:hint="eastAsia" w:ascii="宋体" w:hAnsi="宋体" w:cs="宋体"/>
          <w:sz w:val="24"/>
        </w:rPr>
        <w:t>（以招标代理机构或采购人查询为准</w:t>
      </w:r>
      <w:r>
        <w:rPr>
          <w:rFonts w:hint="eastAsia" w:ascii="宋体" w:hAnsi="宋体" w:cs="宋体"/>
          <w:sz w:val="24"/>
          <w:lang w:eastAsia="zh-CN"/>
        </w:rPr>
        <w:t>）</w:t>
      </w:r>
      <w:r>
        <w:rPr>
          <w:rFonts w:hint="eastAsia" w:ascii="宋体" w:hAnsi="宋体" w:eastAsia="宋体" w:cs="宋体"/>
          <w:sz w:val="24"/>
          <w:szCs w:val="24"/>
        </w:rPr>
        <w:t>；</w:t>
      </w:r>
    </w:p>
    <w:p w14:paraId="785D3F9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、参加政府采购活动前三年内，在经营活动中没有重大违法记录声明；</w:t>
      </w:r>
    </w:p>
    <w:p w14:paraId="51010F4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、针对本项目的反商业贿赂承诺书</w:t>
      </w:r>
    </w:p>
    <w:p w14:paraId="32449C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、缴纳投标保证金有效凭证；</w:t>
      </w:r>
    </w:p>
    <w:p w14:paraId="3A7AE13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、投标人</w:t>
      </w:r>
      <w:r>
        <w:rPr>
          <w:rFonts w:hint="eastAsia" w:ascii="宋体" w:hAnsi="宋体" w:eastAsia="宋体" w:cs="宋体"/>
          <w:sz w:val="24"/>
          <w:szCs w:val="24"/>
          <w:lang w:val="en-US" w:eastAsia="zh-CN"/>
        </w:rPr>
        <w:t>认为</w:t>
      </w:r>
      <w:r>
        <w:rPr>
          <w:rFonts w:hint="eastAsia" w:ascii="宋体" w:hAnsi="宋体" w:eastAsia="宋体" w:cs="宋体"/>
          <w:sz w:val="24"/>
          <w:szCs w:val="24"/>
        </w:rPr>
        <w:t>有利于投标的其他资格证明材料</w:t>
      </w:r>
    </w:p>
    <w:p w14:paraId="629F451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03A03BE9">
      <w:pPr>
        <w:pStyle w:val="29"/>
        <w:rPr>
          <w:rFonts w:hint="eastAsia" w:ascii="宋体" w:hAnsi="宋体" w:eastAsia="宋体" w:cs="宋体"/>
          <w:sz w:val="24"/>
          <w:szCs w:val="24"/>
        </w:rPr>
      </w:pPr>
    </w:p>
    <w:p w14:paraId="285E4FC9">
      <w:pPr>
        <w:bidi w:val="0"/>
        <w:jc w:val="both"/>
        <w:outlineLvl w:val="2"/>
        <w:rPr>
          <w:rFonts w:hint="eastAsia" w:ascii="宋体" w:hAnsi="宋体" w:eastAsia="宋体" w:cs="宋体"/>
          <w:sz w:val="20"/>
          <w:szCs w:val="22"/>
        </w:rPr>
      </w:pPr>
      <w:bookmarkStart w:id="351" w:name="_Toc29377"/>
      <w:bookmarkStart w:id="352" w:name="_Toc518923108"/>
      <w:bookmarkStart w:id="353" w:name="_Toc11979"/>
      <w:bookmarkStart w:id="354" w:name="_Toc6208"/>
      <w:r>
        <w:rPr>
          <w:rFonts w:hint="eastAsia" w:ascii="宋体" w:hAnsi="宋体" w:eastAsia="宋体" w:cs="宋体"/>
          <w:sz w:val="30"/>
          <w:szCs w:val="30"/>
        </w:rPr>
        <w:t>1、开标一览表</w:t>
      </w:r>
      <w:bookmarkEnd w:id="351"/>
      <w:bookmarkEnd w:id="352"/>
      <w:bookmarkEnd w:id="353"/>
      <w:bookmarkEnd w:id="354"/>
      <w:bookmarkStart w:id="355" w:name="_Hlt520356241"/>
      <w:bookmarkEnd w:id="355"/>
      <w:bookmarkStart w:id="356" w:name="_Toc520356217"/>
      <w:bookmarkStart w:id="357" w:name="_Toc480942349"/>
      <w:bookmarkStart w:id="358" w:name="_Ref467988698"/>
      <w:bookmarkStart w:id="359" w:name="_Toc216582813"/>
    </w:p>
    <w:p w14:paraId="6EA82DC6">
      <w:pPr>
        <w:spacing w:before="200" w:line="222" w:lineRule="auto"/>
        <w:ind w:firstLine="2458" w:firstLineChars="90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4"/>
          <w:sz w:val="28"/>
          <w:szCs w:val="28"/>
        </w:rPr>
        <w:t>开标一览表（投标文件格式一）</w:t>
      </w:r>
    </w:p>
    <w:p w14:paraId="17A49879">
      <w:pPr>
        <w:spacing w:before="78" w:line="221" w:lineRule="auto"/>
        <w:ind w:firstLine="476" w:firstLineChars="200"/>
        <w:rPr>
          <w:rFonts w:hint="eastAsia" w:ascii="仿宋" w:hAnsi="仿宋" w:eastAsia="仿宋" w:cs="仿宋"/>
          <w:spacing w:val="-1"/>
          <w:sz w:val="24"/>
          <w:szCs w:val="24"/>
        </w:rPr>
      </w:pPr>
    </w:p>
    <w:p w14:paraId="18449FE8">
      <w:pPr>
        <w:spacing w:before="78" w:line="221" w:lineRule="auto"/>
        <w:ind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 xml:space="preserve">项目名称：                    </w:t>
      </w:r>
      <w:r>
        <w:rPr>
          <w:rFonts w:hint="eastAsia" w:ascii="仿宋" w:hAnsi="仿宋" w:eastAsia="仿宋" w:cs="仿宋"/>
          <w:spacing w:val="-1"/>
          <w:sz w:val="24"/>
          <w:szCs w:val="24"/>
          <w:lang w:val="en-US" w:eastAsia="zh-CN"/>
        </w:rPr>
        <w:t xml:space="preserve"> 项目</w:t>
      </w:r>
      <w:r>
        <w:rPr>
          <w:rFonts w:hint="eastAsia" w:ascii="仿宋" w:hAnsi="仿宋" w:eastAsia="仿宋" w:cs="仿宋"/>
          <w:spacing w:val="-1"/>
          <w:sz w:val="24"/>
          <w:szCs w:val="24"/>
        </w:rPr>
        <w:t>编号：</w:t>
      </w:r>
      <w:r>
        <w:rPr>
          <w:rFonts w:hint="eastAsia" w:ascii="仿宋" w:hAnsi="仿宋" w:eastAsia="仿宋" w:cs="仿宋"/>
          <w:spacing w:val="1"/>
          <w:sz w:val="24"/>
          <w:szCs w:val="24"/>
        </w:rPr>
        <w:t xml:space="preserve">          </w:t>
      </w:r>
    </w:p>
    <w:p w14:paraId="42AB6576">
      <w:pPr>
        <w:spacing w:before="78" w:line="221" w:lineRule="auto"/>
        <w:ind w:firstLine="484" w:firstLineChars="200"/>
        <w:rPr>
          <w:rFonts w:hint="eastAsia" w:ascii="仿宋" w:hAnsi="仿宋" w:eastAsia="仿宋" w:cs="仿宋"/>
          <w:spacing w:val="1"/>
          <w:sz w:val="24"/>
          <w:szCs w:val="24"/>
          <w:lang w:val="en-US" w:eastAsia="zh-CN"/>
        </w:rPr>
      </w:pPr>
    </w:p>
    <w:p w14:paraId="43773A4E">
      <w:pPr>
        <w:spacing w:before="78" w:line="221" w:lineRule="auto"/>
        <w:ind w:firstLine="484" w:firstLineChars="200"/>
        <w:rPr>
          <w:rFonts w:hint="eastAsia" w:ascii="仿宋" w:hAnsi="仿宋" w:eastAsia="仿宋" w:cs="仿宋"/>
        </w:rPr>
      </w:pPr>
      <w:r>
        <w:rPr>
          <w:rFonts w:hint="eastAsia" w:ascii="仿宋" w:hAnsi="仿宋" w:eastAsia="仿宋" w:cs="仿宋"/>
          <w:spacing w:val="1"/>
          <w:sz w:val="24"/>
          <w:szCs w:val="24"/>
          <w:lang w:val="en-US" w:eastAsia="zh-CN"/>
        </w:rPr>
        <w:t>包号</w:t>
      </w:r>
      <w:r>
        <w:rPr>
          <w:rFonts w:hint="eastAsia" w:ascii="仿宋" w:hAnsi="仿宋" w:eastAsia="仿宋" w:cs="仿宋"/>
          <w:spacing w:val="-2"/>
          <w:sz w:val="24"/>
          <w:szCs w:val="24"/>
        </w:rPr>
        <w:t>：</w:t>
      </w:r>
      <w:r>
        <w:rPr>
          <w:rFonts w:hint="eastAsia" w:ascii="仿宋" w:hAnsi="仿宋" w:eastAsia="仿宋" w:cs="仿宋"/>
          <w:b/>
          <w:bCs/>
          <w:spacing w:val="-3"/>
          <w:sz w:val="24"/>
          <w:szCs w:val="24"/>
          <w:lang w:val="en-US" w:eastAsia="zh-CN"/>
        </w:rPr>
        <w:t xml:space="preserve">         </w:t>
      </w:r>
    </w:p>
    <w:tbl>
      <w:tblPr>
        <w:tblStyle w:val="31"/>
        <w:tblpPr w:leftFromText="180" w:rightFromText="180" w:vertAnchor="text" w:horzAnchor="page" w:tblpX="569" w:tblpY="172"/>
        <w:tblOverlap w:val="never"/>
        <w:tblW w:w="1039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5"/>
        <w:gridCol w:w="1818"/>
        <w:gridCol w:w="1834"/>
        <w:gridCol w:w="2255"/>
        <w:gridCol w:w="1389"/>
        <w:gridCol w:w="1189"/>
      </w:tblGrid>
      <w:tr w14:paraId="130EA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905" w:type="dxa"/>
            <w:vAlign w:val="top"/>
          </w:tcPr>
          <w:p w14:paraId="44A3948A">
            <w:pPr>
              <w:spacing w:before="78" w:line="221" w:lineRule="auto"/>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标项名称</w:t>
            </w:r>
          </w:p>
        </w:tc>
        <w:tc>
          <w:tcPr>
            <w:tcW w:w="1818" w:type="dxa"/>
            <w:vAlign w:val="top"/>
          </w:tcPr>
          <w:p w14:paraId="0F420D87">
            <w:pPr>
              <w:spacing w:before="78" w:line="221" w:lineRule="auto"/>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投标总价</w:t>
            </w:r>
          </w:p>
        </w:tc>
        <w:tc>
          <w:tcPr>
            <w:tcW w:w="1834" w:type="dxa"/>
            <w:vAlign w:val="top"/>
          </w:tcPr>
          <w:p w14:paraId="6D906362">
            <w:pPr>
              <w:spacing w:before="78" w:line="221" w:lineRule="auto"/>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投标保证金缴纳金额及方式</w:t>
            </w:r>
          </w:p>
        </w:tc>
        <w:tc>
          <w:tcPr>
            <w:tcW w:w="2255" w:type="dxa"/>
            <w:vAlign w:val="top"/>
          </w:tcPr>
          <w:p w14:paraId="75F3154B">
            <w:pPr>
              <w:spacing w:before="78" w:line="221" w:lineRule="auto"/>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合同履约期限</w:t>
            </w:r>
          </w:p>
        </w:tc>
        <w:tc>
          <w:tcPr>
            <w:tcW w:w="1389" w:type="dxa"/>
            <w:vAlign w:val="top"/>
          </w:tcPr>
          <w:p w14:paraId="5D52467C">
            <w:pPr>
              <w:spacing w:before="78" w:line="221" w:lineRule="auto"/>
              <w:jc w:val="center"/>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项目负责人</w:t>
            </w:r>
          </w:p>
        </w:tc>
        <w:tc>
          <w:tcPr>
            <w:tcW w:w="1189" w:type="dxa"/>
            <w:vAlign w:val="top"/>
          </w:tcPr>
          <w:p w14:paraId="5DA982A5">
            <w:pPr>
              <w:spacing w:before="78" w:line="221" w:lineRule="auto"/>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备注</w:t>
            </w:r>
          </w:p>
        </w:tc>
      </w:tr>
      <w:tr w14:paraId="07732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05" w:type="dxa"/>
            <w:vMerge w:val="restart"/>
            <w:vAlign w:val="center"/>
          </w:tcPr>
          <w:p w14:paraId="539AD47C">
            <w:pPr>
              <w:pStyle w:val="32"/>
              <w:keepNext w:val="0"/>
              <w:keepLines w:val="0"/>
              <w:pageBreakBefore w:val="0"/>
              <w:kinsoku/>
              <w:wordWrap/>
              <w:overflowPunct/>
              <w:topLinePunct w:val="0"/>
              <w:autoSpaceDE/>
              <w:autoSpaceDN/>
              <w:bidi w:val="0"/>
              <w:adjustRightInd/>
              <w:snapToGrid/>
              <w:spacing w:before="274" w:line="192" w:lineRule="auto"/>
              <w:jc w:val="both"/>
              <w:textAlignment w:val="auto"/>
              <w:rPr>
                <w:rFonts w:hint="eastAsia" w:ascii="仿宋" w:hAnsi="仿宋" w:eastAsia="仿宋" w:cs="仿宋"/>
                <w:spacing w:val="-1"/>
                <w:kern w:val="2"/>
                <w:sz w:val="24"/>
                <w:szCs w:val="24"/>
                <w:lang w:val="en-US" w:eastAsia="zh-CN" w:bidi="ar-SA"/>
              </w:rPr>
            </w:pPr>
          </w:p>
        </w:tc>
        <w:tc>
          <w:tcPr>
            <w:tcW w:w="1818" w:type="dxa"/>
            <w:vMerge w:val="restart"/>
            <w:vAlign w:val="top"/>
          </w:tcPr>
          <w:p w14:paraId="0078E1A2">
            <w:pPr>
              <w:keepNext w:val="0"/>
              <w:keepLines w:val="0"/>
              <w:pageBreakBefore w:val="0"/>
              <w:widowControl w:val="0"/>
              <w:kinsoku/>
              <w:wordWrap/>
              <w:overflowPunct/>
              <w:topLinePunct w:val="0"/>
              <w:autoSpaceDE/>
              <w:autoSpaceDN/>
              <w:bidi w:val="0"/>
              <w:adjustRightInd/>
              <w:snapToGrid/>
              <w:spacing w:before="78" w:line="192" w:lineRule="auto"/>
              <w:ind w:firstLine="476" w:firstLineChars="200"/>
              <w:textAlignment w:val="auto"/>
              <w:rPr>
                <w:rFonts w:hint="eastAsia" w:ascii="仿宋" w:hAnsi="仿宋" w:eastAsia="仿宋" w:cs="仿宋"/>
                <w:spacing w:val="-1"/>
                <w:kern w:val="2"/>
                <w:sz w:val="24"/>
                <w:szCs w:val="24"/>
                <w:lang w:val="en-US" w:eastAsia="zh-CN" w:bidi="ar-SA"/>
              </w:rPr>
            </w:pPr>
          </w:p>
          <w:p w14:paraId="4B406DF1">
            <w:pPr>
              <w:keepNext w:val="0"/>
              <w:keepLines w:val="0"/>
              <w:pageBreakBefore w:val="0"/>
              <w:widowControl w:val="0"/>
              <w:kinsoku/>
              <w:wordWrap/>
              <w:overflowPunct/>
              <w:topLinePunct w:val="0"/>
              <w:autoSpaceDE/>
              <w:autoSpaceDN/>
              <w:bidi w:val="0"/>
              <w:adjustRightInd/>
              <w:snapToGrid/>
              <w:spacing w:before="78" w:line="192" w:lineRule="auto"/>
              <w:ind w:firstLine="476" w:firstLineChars="200"/>
              <w:textAlignment w:val="auto"/>
              <w:rPr>
                <w:rFonts w:hint="eastAsia" w:ascii="仿宋" w:hAnsi="仿宋" w:eastAsia="仿宋" w:cs="仿宋"/>
                <w:spacing w:val="-1"/>
                <w:kern w:val="2"/>
                <w:sz w:val="24"/>
                <w:szCs w:val="24"/>
                <w:lang w:val="en-US" w:eastAsia="zh-CN" w:bidi="ar-SA"/>
              </w:rPr>
            </w:pPr>
          </w:p>
          <w:p w14:paraId="14593D40">
            <w:pPr>
              <w:keepNext w:val="0"/>
              <w:keepLines w:val="0"/>
              <w:pageBreakBefore w:val="0"/>
              <w:widowControl w:val="0"/>
              <w:kinsoku/>
              <w:wordWrap/>
              <w:overflowPunct/>
              <w:topLinePunct w:val="0"/>
              <w:autoSpaceDE/>
              <w:autoSpaceDN/>
              <w:bidi w:val="0"/>
              <w:adjustRightInd/>
              <w:snapToGrid/>
              <w:spacing w:before="78" w:line="192" w:lineRule="auto"/>
              <w:ind w:firstLine="476" w:firstLineChars="200"/>
              <w:textAlignment w:val="auto"/>
              <w:rPr>
                <w:rFonts w:hint="eastAsia" w:ascii="仿宋" w:hAnsi="仿宋" w:eastAsia="仿宋" w:cs="仿宋"/>
                <w:spacing w:val="-1"/>
                <w:kern w:val="2"/>
                <w:sz w:val="24"/>
                <w:szCs w:val="24"/>
                <w:lang w:val="en-US" w:eastAsia="zh-CN" w:bidi="ar-SA"/>
              </w:rPr>
            </w:pPr>
          </w:p>
          <w:p w14:paraId="7AAE4983">
            <w:pPr>
              <w:keepNext w:val="0"/>
              <w:keepLines w:val="0"/>
              <w:pageBreakBefore w:val="0"/>
              <w:widowControl w:val="0"/>
              <w:kinsoku/>
              <w:wordWrap/>
              <w:overflowPunct/>
              <w:topLinePunct w:val="0"/>
              <w:autoSpaceDE/>
              <w:autoSpaceDN/>
              <w:bidi w:val="0"/>
              <w:adjustRightInd/>
              <w:snapToGrid/>
              <w:spacing w:before="78" w:line="192" w:lineRule="auto"/>
              <w:textAlignment w:val="auto"/>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大写：</w:t>
            </w:r>
          </w:p>
          <w:p w14:paraId="414604E7">
            <w:pPr>
              <w:keepNext w:val="0"/>
              <w:keepLines w:val="0"/>
              <w:pageBreakBefore w:val="0"/>
              <w:widowControl w:val="0"/>
              <w:kinsoku/>
              <w:wordWrap/>
              <w:overflowPunct/>
              <w:topLinePunct w:val="0"/>
              <w:autoSpaceDE/>
              <w:autoSpaceDN/>
              <w:bidi w:val="0"/>
              <w:adjustRightInd/>
              <w:snapToGrid/>
              <w:spacing w:before="78" w:line="192" w:lineRule="auto"/>
              <w:textAlignment w:val="auto"/>
              <w:rPr>
                <w:rFonts w:hint="eastAsia" w:ascii="仿宋" w:hAnsi="仿宋" w:eastAsia="仿宋" w:cs="仿宋"/>
                <w:spacing w:val="-1"/>
                <w:kern w:val="2"/>
                <w:sz w:val="24"/>
                <w:szCs w:val="24"/>
                <w:lang w:val="en-US" w:eastAsia="zh-CN" w:bidi="ar-SA"/>
              </w:rPr>
            </w:pPr>
            <w:r>
              <w:rPr>
                <w:rFonts w:hint="eastAsia" w:ascii="仿宋" w:hAnsi="仿宋" w:eastAsia="仿宋" w:cs="仿宋"/>
                <w:spacing w:val="-1"/>
                <w:kern w:val="2"/>
                <w:sz w:val="24"/>
                <w:szCs w:val="24"/>
                <w:lang w:val="en-US" w:eastAsia="zh-CN" w:bidi="ar-SA"/>
              </w:rPr>
              <w:t>小写：</w:t>
            </w:r>
          </w:p>
        </w:tc>
        <w:tc>
          <w:tcPr>
            <w:tcW w:w="1834" w:type="dxa"/>
            <w:vMerge w:val="restart"/>
            <w:vAlign w:val="top"/>
          </w:tcPr>
          <w:p w14:paraId="2B007BE9">
            <w:pPr>
              <w:keepNext w:val="0"/>
              <w:keepLines w:val="0"/>
              <w:pageBreakBefore w:val="0"/>
              <w:widowControl w:val="0"/>
              <w:kinsoku/>
              <w:wordWrap/>
              <w:overflowPunct/>
              <w:topLinePunct w:val="0"/>
              <w:autoSpaceDE/>
              <w:autoSpaceDN/>
              <w:bidi w:val="0"/>
              <w:adjustRightInd/>
              <w:snapToGrid/>
              <w:spacing w:before="78" w:line="192" w:lineRule="auto"/>
              <w:ind w:firstLine="476" w:firstLineChars="200"/>
              <w:textAlignment w:val="auto"/>
              <w:rPr>
                <w:rFonts w:hint="eastAsia" w:ascii="仿宋" w:hAnsi="仿宋" w:eastAsia="仿宋" w:cs="仿宋"/>
                <w:spacing w:val="-1"/>
                <w:kern w:val="2"/>
                <w:sz w:val="24"/>
                <w:szCs w:val="24"/>
                <w:lang w:val="en-US" w:eastAsia="zh-CN" w:bidi="ar-SA"/>
              </w:rPr>
            </w:pPr>
          </w:p>
        </w:tc>
        <w:tc>
          <w:tcPr>
            <w:tcW w:w="2255" w:type="dxa"/>
            <w:vMerge w:val="restart"/>
            <w:vAlign w:val="top"/>
          </w:tcPr>
          <w:p w14:paraId="507C79FF">
            <w:pPr>
              <w:keepNext w:val="0"/>
              <w:keepLines w:val="0"/>
              <w:pageBreakBefore w:val="0"/>
              <w:widowControl w:val="0"/>
              <w:kinsoku/>
              <w:wordWrap/>
              <w:overflowPunct/>
              <w:topLinePunct w:val="0"/>
              <w:autoSpaceDE/>
              <w:autoSpaceDN/>
              <w:bidi w:val="0"/>
              <w:adjustRightInd/>
              <w:snapToGrid/>
              <w:spacing w:before="78" w:line="192" w:lineRule="auto"/>
              <w:ind w:firstLine="476" w:firstLineChars="200"/>
              <w:textAlignment w:val="auto"/>
              <w:rPr>
                <w:rFonts w:hint="eastAsia" w:ascii="仿宋" w:hAnsi="仿宋" w:eastAsia="仿宋" w:cs="仿宋"/>
                <w:spacing w:val="-1"/>
                <w:kern w:val="2"/>
                <w:sz w:val="24"/>
                <w:szCs w:val="24"/>
                <w:lang w:val="en-US" w:eastAsia="zh-CN" w:bidi="ar-SA"/>
              </w:rPr>
            </w:pPr>
          </w:p>
        </w:tc>
        <w:tc>
          <w:tcPr>
            <w:tcW w:w="1389" w:type="dxa"/>
            <w:vMerge w:val="restart"/>
            <w:vAlign w:val="top"/>
          </w:tcPr>
          <w:p w14:paraId="07D92761">
            <w:pPr>
              <w:keepNext w:val="0"/>
              <w:keepLines w:val="0"/>
              <w:pageBreakBefore w:val="0"/>
              <w:widowControl w:val="0"/>
              <w:kinsoku/>
              <w:wordWrap/>
              <w:overflowPunct/>
              <w:topLinePunct w:val="0"/>
              <w:autoSpaceDE/>
              <w:autoSpaceDN/>
              <w:bidi w:val="0"/>
              <w:adjustRightInd/>
              <w:snapToGrid/>
              <w:spacing w:before="78" w:line="192" w:lineRule="auto"/>
              <w:ind w:firstLine="476" w:firstLineChars="200"/>
              <w:textAlignment w:val="auto"/>
              <w:rPr>
                <w:rFonts w:hint="eastAsia" w:ascii="仿宋" w:hAnsi="仿宋" w:eastAsia="仿宋" w:cs="仿宋"/>
                <w:spacing w:val="-1"/>
                <w:kern w:val="2"/>
                <w:sz w:val="24"/>
                <w:szCs w:val="24"/>
                <w:lang w:val="en-US" w:eastAsia="zh-CN" w:bidi="ar-SA"/>
              </w:rPr>
            </w:pPr>
          </w:p>
        </w:tc>
        <w:tc>
          <w:tcPr>
            <w:tcW w:w="1189" w:type="dxa"/>
            <w:vMerge w:val="restart"/>
            <w:vAlign w:val="top"/>
          </w:tcPr>
          <w:p w14:paraId="75F27991">
            <w:pPr>
              <w:keepNext w:val="0"/>
              <w:keepLines w:val="0"/>
              <w:pageBreakBefore w:val="0"/>
              <w:widowControl w:val="0"/>
              <w:kinsoku/>
              <w:wordWrap/>
              <w:overflowPunct/>
              <w:topLinePunct w:val="0"/>
              <w:autoSpaceDE/>
              <w:autoSpaceDN/>
              <w:bidi w:val="0"/>
              <w:adjustRightInd/>
              <w:snapToGrid/>
              <w:spacing w:before="78" w:line="192" w:lineRule="auto"/>
              <w:ind w:firstLine="476" w:firstLineChars="200"/>
              <w:textAlignment w:val="auto"/>
              <w:rPr>
                <w:rFonts w:hint="eastAsia" w:ascii="仿宋" w:hAnsi="仿宋" w:eastAsia="仿宋" w:cs="仿宋"/>
                <w:spacing w:val="-1"/>
                <w:kern w:val="2"/>
                <w:sz w:val="24"/>
                <w:szCs w:val="24"/>
                <w:lang w:val="en-US" w:eastAsia="zh-CN" w:bidi="ar-SA"/>
              </w:rPr>
            </w:pPr>
          </w:p>
        </w:tc>
      </w:tr>
      <w:tr w14:paraId="028B6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05" w:type="dxa"/>
            <w:vMerge w:val="continue"/>
            <w:vAlign w:val="center"/>
          </w:tcPr>
          <w:p w14:paraId="32FC25B2">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en-US" w:bidi="ar-SA"/>
              </w:rPr>
            </w:pPr>
          </w:p>
        </w:tc>
        <w:tc>
          <w:tcPr>
            <w:tcW w:w="1818" w:type="dxa"/>
            <w:vMerge w:val="continue"/>
            <w:vAlign w:val="top"/>
          </w:tcPr>
          <w:p w14:paraId="3EEE3533">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z w:val="21"/>
                <w:szCs w:val="21"/>
                <w:lang w:val="en-US" w:eastAsia="zh-CN"/>
              </w:rPr>
            </w:pPr>
          </w:p>
        </w:tc>
        <w:tc>
          <w:tcPr>
            <w:tcW w:w="1834" w:type="dxa"/>
            <w:vMerge w:val="continue"/>
            <w:vAlign w:val="top"/>
          </w:tcPr>
          <w:p w14:paraId="2ECFBBF2">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002F38DC">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73712714">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3319249A">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r w14:paraId="55134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05" w:type="dxa"/>
            <w:vMerge w:val="continue"/>
            <w:vAlign w:val="center"/>
          </w:tcPr>
          <w:p w14:paraId="0CE26C5D">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zh-CN" w:bidi="ar-SA"/>
              </w:rPr>
            </w:pPr>
          </w:p>
        </w:tc>
        <w:tc>
          <w:tcPr>
            <w:tcW w:w="1818" w:type="dxa"/>
            <w:vMerge w:val="continue"/>
            <w:vAlign w:val="top"/>
          </w:tcPr>
          <w:p w14:paraId="269BD9EE">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pacing w:val="-6"/>
                <w:sz w:val="21"/>
                <w:szCs w:val="21"/>
              </w:rPr>
            </w:pPr>
          </w:p>
        </w:tc>
        <w:tc>
          <w:tcPr>
            <w:tcW w:w="1834" w:type="dxa"/>
            <w:vMerge w:val="continue"/>
            <w:vAlign w:val="top"/>
          </w:tcPr>
          <w:p w14:paraId="34E09B93">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54A5ABC3">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5D69EA0D">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048B8DD7">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r w14:paraId="3DE70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05" w:type="dxa"/>
            <w:vMerge w:val="continue"/>
            <w:vAlign w:val="center"/>
          </w:tcPr>
          <w:p w14:paraId="0C9B787B">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zh-CN" w:bidi="ar-SA"/>
              </w:rPr>
            </w:pPr>
          </w:p>
        </w:tc>
        <w:tc>
          <w:tcPr>
            <w:tcW w:w="1818" w:type="dxa"/>
            <w:vMerge w:val="continue"/>
            <w:vAlign w:val="top"/>
          </w:tcPr>
          <w:p w14:paraId="79A66542">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pacing w:val="-6"/>
                <w:sz w:val="21"/>
                <w:szCs w:val="21"/>
              </w:rPr>
            </w:pPr>
          </w:p>
        </w:tc>
        <w:tc>
          <w:tcPr>
            <w:tcW w:w="1834" w:type="dxa"/>
            <w:vMerge w:val="continue"/>
            <w:vAlign w:val="top"/>
          </w:tcPr>
          <w:p w14:paraId="062DA3EE">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645B91A9">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2CF59155">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72896270">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r w14:paraId="6E441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05" w:type="dxa"/>
            <w:vMerge w:val="continue"/>
            <w:vAlign w:val="center"/>
          </w:tcPr>
          <w:p w14:paraId="2C82C7AE">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en-US" w:bidi="ar-SA"/>
              </w:rPr>
            </w:pPr>
          </w:p>
        </w:tc>
        <w:tc>
          <w:tcPr>
            <w:tcW w:w="1818" w:type="dxa"/>
            <w:vMerge w:val="continue"/>
            <w:vAlign w:val="top"/>
          </w:tcPr>
          <w:p w14:paraId="7F74A2CD">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pacing w:val="-6"/>
                <w:sz w:val="21"/>
                <w:szCs w:val="21"/>
              </w:rPr>
            </w:pPr>
          </w:p>
        </w:tc>
        <w:tc>
          <w:tcPr>
            <w:tcW w:w="1834" w:type="dxa"/>
            <w:vMerge w:val="continue"/>
            <w:vAlign w:val="top"/>
          </w:tcPr>
          <w:p w14:paraId="4C4072A6">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0954054A">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6B05D2A7">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55497E8A">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r w14:paraId="099ED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05" w:type="dxa"/>
            <w:vMerge w:val="continue"/>
            <w:vAlign w:val="center"/>
          </w:tcPr>
          <w:p w14:paraId="41E38A9F">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en-US" w:bidi="ar-SA"/>
              </w:rPr>
            </w:pPr>
          </w:p>
        </w:tc>
        <w:tc>
          <w:tcPr>
            <w:tcW w:w="1818" w:type="dxa"/>
            <w:vMerge w:val="continue"/>
            <w:vAlign w:val="top"/>
          </w:tcPr>
          <w:p w14:paraId="4E86202F">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z w:val="21"/>
                <w:szCs w:val="21"/>
              </w:rPr>
            </w:pPr>
          </w:p>
        </w:tc>
        <w:tc>
          <w:tcPr>
            <w:tcW w:w="1834" w:type="dxa"/>
            <w:vMerge w:val="continue"/>
            <w:vAlign w:val="top"/>
          </w:tcPr>
          <w:p w14:paraId="6E0718DC">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5933A9FD">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41201306">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5308BAD6">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r w14:paraId="4C4C5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05" w:type="dxa"/>
            <w:vMerge w:val="continue"/>
            <w:vAlign w:val="center"/>
          </w:tcPr>
          <w:p w14:paraId="2FE557C0">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zh-CN" w:bidi="ar-SA"/>
              </w:rPr>
            </w:pPr>
          </w:p>
        </w:tc>
        <w:tc>
          <w:tcPr>
            <w:tcW w:w="1818" w:type="dxa"/>
            <w:vMerge w:val="continue"/>
            <w:vAlign w:val="top"/>
          </w:tcPr>
          <w:p w14:paraId="31060B89">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z w:val="21"/>
                <w:szCs w:val="21"/>
              </w:rPr>
            </w:pPr>
          </w:p>
        </w:tc>
        <w:tc>
          <w:tcPr>
            <w:tcW w:w="1834" w:type="dxa"/>
            <w:vMerge w:val="continue"/>
            <w:vAlign w:val="top"/>
          </w:tcPr>
          <w:p w14:paraId="19ABE908">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199771F2">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43118CCE">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41B9A2C0">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r w14:paraId="3A351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05" w:type="dxa"/>
            <w:vMerge w:val="continue"/>
            <w:vAlign w:val="center"/>
          </w:tcPr>
          <w:p w14:paraId="2791A905">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zh-CN" w:bidi="ar-SA"/>
              </w:rPr>
            </w:pPr>
          </w:p>
        </w:tc>
        <w:tc>
          <w:tcPr>
            <w:tcW w:w="1818" w:type="dxa"/>
            <w:vMerge w:val="continue"/>
            <w:vAlign w:val="top"/>
          </w:tcPr>
          <w:p w14:paraId="00F39DBE">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z w:val="21"/>
                <w:szCs w:val="21"/>
              </w:rPr>
            </w:pPr>
          </w:p>
        </w:tc>
        <w:tc>
          <w:tcPr>
            <w:tcW w:w="1834" w:type="dxa"/>
            <w:vMerge w:val="continue"/>
            <w:vAlign w:val="top"/>
          </w:tcPr>
          <w:p w14:paraId="1B5EDD8E">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6FAAB052">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2E9D74E8">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2422DD1B">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r w14:paraId="100A8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05" w:type="dxa"/>
            <w:vMerge w:val="continue"/>
            <w:vAlign w:val="center"/>
          </w:tcPr>
          <w:p w14:paraId="75220EF7">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zh-CN" w:bidi="ar-SA"/>
              </w:rPr>
            </w:pPr>
          </w:p>
        </w:tc>
        <w:tc>
          <w:tcPr>
            <w:tcW w:w="1818" w:type="dxa"/>
            <w:vMerge w:val="continue"/>
            <w:vAlign w:val="top"/>
          </w:tcPr>
          <w:p w14:paraId="14EE840A">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z w:val="21"/>
                <w:szCs w:val="21"/>
              </w:rPr>
            </w:pPr>
          </w:p>
        </w:tc>
        <w:tc>
          <w:tcPr>
            <w:tcW w:w="1834" w:type="dxa"/>
            <w:vMerge w:val="continue"/>
            <w:vAlign w:val="top"/>
          </w:tcPr>
          <w:p w14:paraId="213E623D">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4EBE4726">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5648011B">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44D2A9DA">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r w14:paraId="02E1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05" w:type="dxa"/>
            <w:vMerge w:val="continue"/>
            <w:vAlign w:val="center"/>
          </w:tcPr>
          <w:p w14:paraId="188C5B51">
            <w:pPr>
              <w:pStyle w:val="32"/>
              <w:keepNext w:val="0"/>
              <w:keepLines w:val="0"/>
              <w:pageBreakBefore w:val="0"/>
              <w:kinsoku/>
              <w:wordWrap/>
              <w:overflowPunct/>
              <w:topLinePunct w:val="0"/>
              <w:autoSpaceDE/>
              <w:autoSpaceDN/>
              <w:bidi w:val="0"/>
              <w:adjustRightInd/>
              <w:snapToGrid/>
              <w:spacing w:before="274" w:line="192" w:lineRule="auto"/>
              <w:jc w:val="center"/>
              <w:textAlignment w:val="auto"/>
              <w:rPr>
                <w:rFonts w:hint="eastAsia" w:ascii="仿宋" w:hAnsi="仿宋" w:eastAsia="仿宋" w:cs="仿宋"/>
                <w:spacing w:val="-1"/>
                <w:kern w:val="2"/>
                <w:sz w:val="24"/>
                <w:szCs w:val="24"/>
                <w:lang w:val="en-US" w:eastAsia="zh-CN" w:bidi="ar-SA"/>
              </w:rPr>
            </w:pPr>
          </w:p>
        </w:tc>
        <w:tc>
          <w:tcPr>
            <w:tcW w:w="1818" w:type="dxa"/>
            <w:vMerge w:val="continue"/>
            <w:vAlign w:val="top"/>
          </w:tcPr>
          <w:p w14:paraId="52854F02">
            <w:pPr>
              <w:pStyle w:val="32"/>
              <w:keepNext w:val="0"/>
              <w:keepLines w:val="0"/>
              <w:pageBreakBefore w:val="0"/>
              <w:kinsoku/>
              <w:wordWrap/>
              <w:overflowPunct/>
              <w:topLinePunct w:val="0"/>
              <w:autoSpaceDE/>
              <w:autoSpaceDN/>
              <w:bidi w:val="0"/>
              <w:adjustRightInd/>
              <w:snapToGrid/>
              <w:spacing w:line="192" w:lineRule="auto"/>
              <w:ind w:left="16"/>
              <w:textAlignment w:val="auto"/>
              <w:rPr>
                <w:rFonts w:hint="eastAsia" w:ascii="宋体" w:hAnsi="宋体" w:eastAsia="宋体" w:cs="宋体"/>
                <w:sz w:val="21"/>
                <w:szCs w:val="21"/>
              </w:rPr>
            </w:pPr>
          </w:p>
        </w:tc>
        <w:tc>
          <w:tcPr>
            <w:tcW w:w="1834" w:type="dxa"/>
            <w:vMerge w:val="continue"/>
            <w:vAlign w:val="top"/>
          </w:tcPr>
          <w:p w14:paraId="13C50482">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2255" w:type="dxa"/>
            <w:vMerge w:val="continue"/>
            <w:vAlign w:val="top"/>
          </w:tcPr>
          <w:p w14:paraId="57DBE498">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389" w:type="dxa"/>
            <w:vMerge w:val="continue"/>
            <w:vAlign w:val="top"/>
          </w:tcPr>
          <w:p w14:paraId="16859E90">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c>
          <w:tcPr>
            <w:tcW w:w="1189" w:type="dxa"/>
            <w:vMerge w:val="continue"/>
            <w:vAlign w:val="top"/>
          </w:tcPr>
          <w:p w14:paraId="22E018C0">
            <w:pPr>
              <w:keepNext w:val="0"/>
              <w:keepLines w:val="0"/>
              <w:pageBreakBefore w:val="0"/>
              <w:kinsoku/>
              <w:wordWrap/>
              <w:overflowPunct/>
              <w:topLinePunct w:val="0"/>
              <w:autoSpaceDE/>
              <w:autoSpaceDN/>
              <w:bidi w:val="0"/>
              <w:adjustRightInd/>
              <w:snapToGrid/>
              <w:spacing w:line="192" w:lineRule="auto"/>
              <w:textAlignment w:val="auto"/>
              <w:rPr>
                <w:rFonts w:hint="eastAsia" w:ascii="宋体" w:hAnsi="宋体" w:eastAsia="宋体" w:cs="宋体"/>
                <w:sz w:val="21"/>
                <w:szCs w:val="21"/>
              </w:rPr>
            </w:pPr>
          </w:p>
        </w:tc>
      </w:tr>
    </w:tbl>
    <w:p w14:paraId="709A311A">
      <w:pPr>
        <w:spacing w:before="78" w:line="358" w:lineRule="auto"/>
        <w:ind w:left="621" w:firstLine="2832" w:firstLineChars="1200"/>
        <w:rPr>
          <w:rFonts w:hint="eastAsia" w:ascii="仿宋" w:hAnsi="仿宋" w:eastAsia="仿宋" w:cs="仿宋"/>
          <w:spacing w:val="-2"/>
          <w:sz w:val="24"/>
          <w:szCs w:val="24"/>
        </w:rPr>
      </w:pPr>
    </w:p>
    <w:p w14:paraId="0D9FB818">
      <w:pPr>
        <w:spacing w:before="78" w:line="358" w:lineRule="auto"/>
        <w:ind w:left="621" w:firstLine="2832" w:firstLineChars="1200"/>
        <w:rPr>
          <w:rFonts w:hint="eastAsia" w:ascii="仿宋" w:hAnsi="仿宋" w:eastAsia="仿宋" w:cs="仿宋"/>
          <w:spacing w:val="-2"/>
          <w:sz w:val="24"/>
          <w:szCs w:val="24"/>
        </w:rPr>
      </w:pPr>
    </w:p>
    <w:p w14:paraId="58C76001">
      <w:pPr>
        <w:spacing w:before="78" w:line="358" w:lineRule="auto"/>
        <w:ind w:left="621" w:firstLine="2832" w:firstLineChars="1200"/>
        <w:rPr>
          <w:rFonts w:hint="eastAsia" w:ascii="仿宋" w:hAnsi="仿宋" w:eastAsia="仿宋" w:cs="仿宋"/>
          <w:spacing w:val="-2"/>
          <w:sz w:val="24"/>
          <w:szCs w:val="24"/>
        </w:rPr>
      </w:pPr>
    </w:p>
    <w:p w14:paraId="715898AE">
      <w:pPr>
        <w:spacing w:before="78" w:line="358" w:lineRule="auto"/>
        <w:ind w:firstLine="3304" w:firstLineChars="1400"/>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064A3410">
      <w:pPr>
        <w:spacing w:before="1" w:line="212" w:lineRule="auto"/>
        <w:ind w:left="629" w:firstLine="2124" w:firstLineChars="900"/>
        <w:rPr>
          <w:rFonts w:hint="eastAsia" w:ascii="仿宋" w:hAnsi="仿宋" w:eastAsia="仿宋" w:cs="仿宋"/>
          <w:spacing w:val="-2"/>
          <w:sz w:val="24"/>
          <w:szCs w:val="24"/>
        </w:rPr>
      </w:pPr>
    </w:p>
    <w:p w14:paraId="69D41E0E">
      <w:pPr>
        <w:spacing w:before="1" w:line="212" w:lineRule="auto"/>
        <w:ind w:left="629" w:firstLine="2124" w:firstLineChars="900"/>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lang w:val="en-US" w:eastAsia="zh-CN"/>
        </w:rPr>
        <w:t>或盖章</w:t>
      </w:r>
      <w:r>
        <w:rPr>
          <w:rFonts w:hint="eastAsia" w:ascii="仿宋" w:hAnsi="仿宋" w:eastAsia="仿宋" w:cs="仿宋"/>
          <w:spacing w:val="-2"/>
          <w:sz w:val="24"/>
          <w:szCs w:val="24"/>
        </w:rPr>
        <w:t>):</w:t>
      </w:r>
      <w:r>
        <w:rPr>
          <w:rFonts w:hint="eastAsia" w:ascii="仿宋" w:hAnsi="仿宋" w:eastAsia="仿宋" w:cs="仿宋"/>
          <w:spacing w:val="-2"/>
          <w:sz w:val="24"/>
          <w:szCs w:val="24"/>
          <w:u w:val="single" w:color="auto"/>
        </w:rPr>
        <w:t xml:space="preserve">                         </w:t>
      </w:r>
    </w:p>
    <w:p w14:paraId="733A0912">
      <w:pPr>
        <w:spacing w:before="192" w:line="230" w:lineRule="auto"/>
        <w:rPr>
          <w:rFonts w:hint="eastAsia" w:ascii="仿宋" w:hAnsi="仿宋" w:eastAsia="仿宋" w:cs="仿宋"/>
          <w:spacing w:val="-1"/>
          <w:sz w:val="24"/>
          <w:szCs w:val="24"/>
        </w:rPr>
      </w:pPr>
    </w:p>
    <w:p w14:paraId="26EADDF5">
      <w:pPr>
        <w:spacing w:before="192" w:line="230" w:lineRule="auto"/>
        <w:rPr>
          <w:rFonts w:hint="eastAsia" w:ascii="仿宋" w:hAnsi="仿宋" w:eastAsia="仿宋" w:cs="仿宋"/>
          <w:sz w:val="24"/>
          <w:szCs w:val="24"/>
        </w:rPr>
      </w:pPr>
      <w:r>
        <w:rPr>
          <w:rFonts w:hint="eastAsia" w:ascii="仿宋" w:hAnsi="仿宋" w:eastAsia="仿宋" w:cs="仿宋"/>
          <w:spacing w:val="-1"/>
          <w:sz w:val="24"/>
          <w:szCs w:val="24"/>
        </w:rPr>
        <w:t>注:</w:t>
      </w:r>
    </w:p>
    <w:p w14:paraId="6090DF40">
      <w:pPr>
        <w:spacing w:before="169" w:line="465" w:lineRule="exact"/>
        <w:rPr>
          <w:rFonts w:hint="eastAsia" w:ascii="仿宋" w:hAnsi="仿宋" w:eastAsia="仿宋" w:cs="仿宋"/>
          <w:sz w:val="24"/>
          <w:szCs w:val="24"/>
        </w:rPr>
      </w:pPr>
      <w:r>
        <w:rPr>
          <w:rFonts w:hint="eastAsia" w:ascii="仿宋" w:hAnsi="仿宋" w:eastAsia="仿宋" w:cs="仿宋"/>
          <w:spacing w:val="-1"/>
          <w:position w:val="16"/>
          <w:sz w:val="24"/>
          <w:szCs w:val="24"/>
        </w:rPr>
        <w:t>①此表中，投标总价应和投标分项报价表的总价相一致。</w:t>
      </w:r>
    </w:p>
    <w:p w14:paraId="04C36FF9">
      <w:pPr>
        <w:spacing w:before="1" w:line="221" w:lineRule="auto"/>
        <w:rPr>
          <w:rFonts w:hint="eastAsia" w:ascii="仿宋" w:hAnsi="仿宋" w:eastAsia="仿宋" w:cs="仿宋"/>
          <w:sz w:val="24"/>
          <w:szCs w:val="24"/>
        </w:rPr>
      </w:pPr>
      <w:r>
        <w:rPr>
          <w:rFonts w:hint="eastAsia" w:ascii="仿宋" w:hAnsi="仿宋" w:eastAsia="仿宋" w:cs="仿宋"/>
          <w:spacing w:val="-1"/>
          <w:sz w:val="24"/>
          <w:szCs w:val="24"/>
        </w:rPr>
        <w:t>②投标商报价时包含税费等一切与本次项目相关的费用。</w:t>
      </w:r>
    </w:p>
    <w:p w14:paraId="79628F81">
      <w:pPr>
        <w:spacing w:before="180" w:line="359" w:lineRule="auto"/>
        <w:ind w:right="112" w:rightChars="0"/>
        <w:jc w:val="both"/>
        <w:rPr>
          <w:rFonts w:hint="eastAsia" w:ascii="仿宋" w:hAnsi="仿宋" w:eastAsia="仿宋" w:cs="仿宋"/>
          <w:spacing w:val="-1"/>
          <w:sz w:val="24"/>
          <w:szCs w:val="24"/>
        </w:rPr>
      </w:pPr>
      <w:r>
        <w:rPr>
          <w:rFonts w:hint="eastAsia" w:ascii="仿宋" w:hAnsi="仿宋" w:eastAsia="仿宋" w:cs="仿宋"/>
          <w:spacing w:val="2"/>
          <w:sz w:val="24"/>
          <w:szCs w:val="24"/>
        </w:rPr>
        <w:t>③如评标委员会认为投标人的报价明显低于其他通过符合性检查投标人的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0DB54DFD">
      <w:pPr>
        <w:pStyle w:val="6"/>
        <w:rPr>
          <w:rFonts w:hint="eastAsia"/>
        </w:rPr>
      </w:pPr>
    </w:p>
    <w:p w14:paraId="6A59B193">
      <w:pPr>
        <w:numPr>
          <w:ilvl w:val="0"/>
          <w:numId w:val="9"/>
        </w:numPr>
        <w:bidi w:val="0"/>
        <w:outlineLvl w:val="2"/>
        <w:rPr>
          <w:rFonts w:hint="eastAsia" w:ascii="宋体" w:hAnsi="宋体" w:eastAsia="宋体" w:cs="宋体"/>
          <w:sz w:val="30"/>
          <w:szCs w:val="30"/>
        </w:rPr>
      </w:pPr>
      <w:bookmarkStart w:id="360" w:name="_Toc5099"/>
      <w:bookmarkStart w:id="361" w:name="_Toc25137"/>
      <w:r>
        <w:rPr>
          <w:rFonts w:hint="eastAsia" w:ascii="宋体" w:hAnsi="宋体" w:eastAsia="宋体" w:cs="宋体"/>
          <w:sz w:val="30"/>
          <w:szCs w:val="30"/>
        </w:rPr>
        <w:t>具有有效的营业执照</w:t>
      </w:r>
      <w:bookmarkEnd w:id="360"/>
      <w:bookmarkEnd w:id="361"/>
    </w:p>
    <w:p w14:paraId="6C903E3E">
      <w:pPr>
        <w:pStyle w:val="6"/>
        <w:numPr>
          <w:ilvl w:val="0"/>
          <w:numId w:val="0"/>
        </w:numPr>
        <w:outlineLvl w:val="9"/>
        <w:rPr>
          <w:rFonts w:hint="eastAsia"/>
        </w:rPr>
      </w:pPr>
    </w:p>
    <w:p w14:paraId="050D110D">
      <w:pPr>
        <w:bidi w:val="0"/>
        <w:outlineLvl w:val="9"/>
        <w:rPr>
          <w:rFonts w:hint="eastAsia" w:ascii="宋体" w:hAnsi="宋体" w:eastAsia="宋体" w:cs="宋体"/>
          <w:sz w:val="30"/>
          <w:szCs w:val="30"/>
          <w:lang w:val="en-US" w:eastAsia="zh-CN"/>
        </w:rPr>
      </w:pPr>
      <w:bookmarkStart w:id="362" w:name="_Toc1037"/>
      <w:bookmarkStart w:id="363" w:name="_Toc15814"/>
      <w:bookmarkStart w:id="364" w:name="_Toc39671741"/>
      <w:bookmarkStart w:id="365" w:name="_Toc804"/>
      <w:bookmarkStart w:id="366" w:name="_Toc22784"/>
      <w:bookmarkStart w:id="367" w:name="_Toc22494200"/>
      <w:bookmarkStart w:id="368" w:name="_Toc3942"/>
      <w:bookmarkStart w:id="369" w:name="_Toc1083"/>
      <w:bookmarkStart w:id="370" w:name="_Toc22472"/>
      <w:bookmarkStart w:id="371" w:name="_Toc515647807"/>
      <w:bookmarkStart w:id="372" w:name="_Toc8780"/>
      <w:bookmarkStart w:id="373" w:name="_Toc23176"/>
    </w:p>
    <w:p w14:paraId="57C70886">
      <w:pPr>
        <w:bidi w:val="0"/>
        <w:outlineLvl w:val="9"/>
        <w:rPr>
          <w:rFonts w:hint="eastAsia" w:ascii="宋体" w:hAnsi="宋体" w:eastAsia="宋体" w:cs="宋体"/>
          <w:sz w:val="30"/>
          <w:szCs w:val="30"/>
          <w:lang w:val="en-US" w:eastAsia="zh-CN"/>
        </w:rPr>
      </w:pPr>
    </w:p>
    <w:p w14:paraId="3F4FD632">
      <w:pPr>
        <w:bidi w:val="0"/>
        <w:outlineLvl w:val="9"/>
        <w:rPr>
          <w:rFonts w:hint="eastAsia" w:ascii="宋体" w:hAnsi="宋体" w:eastAsia="宋体" w:cs="宋体"/>
          <w:sz w:val="30"/>
          <w:szCs w:val="30"/>
          <w:lang w:val="en-US" w:eastAsia="zh-CN"/>
        </w:rPr>
      </w:pPr>
    </w:p>
    <w:p w14:paraId="6631BEB3">
      <w:pPr>
        <w:bidi w:val="0"/>
        <w:outlineLvl w:val="9"/>
        <w:rPr>
          <w:rFonts w:hint="eastAsia" w:ascii="宋体" w:hAnsi="宋体" w:eastAsia="宋体" w:cs="宋体"/>
          <w:sz w:val="30"/>
          <w:szCs w:val="30"/>
          <w:lang w:val="en-US" w:eastAsia="zh-CN"/>
        </w:rPr>
      </w:pPr>
    </w:p>
    <w:p w14:paraId="520EB2FF">
      <w:pPr>
        <w:bidi w:val="0"/>
        <w:outlineLvl w:val="9"/>
        <w:rPr>
          <w:rFonts w:hint="eastAsia" w:ascii="宋体" w:hAnsi="宋体" w:eastAsia="宋体" w:cs="宋体"/>
          <w:sz w:val="30"/>
          <w:szCs w:val="30"/>
          <w:lang w:val="en-US" w:eastAsia="zh-CN"/>
        </w:rPr>
      </w:pPr>
    </w:p>
    <w:p w14:paraId="1D1A98D4">
      <w:pPr>
        <w:bidi w:val="0"/>
        <w:outlineLvl w:val="9"/>
        <w:rPr>
          <w:rFonts w:hint="eastAsia" w:ascii="宋体" w:hAnsi="宋体" w:eastAsia="宋体" w:cs="宋体"/>
          <w:sz w:val="30"/>
          <w:szCs w:val="30"/>
          <w:lang w:val="en-US" w:eastAsia="zh-CN"/>
        </w:rPr>
      </w:pPr>
    </w:p>
    <w:p w14:paraId="37E4452B">
      <w:pPr>
        <w:bidi w:val="0"/>
        <w:outlineLvl w:val="9"/>
        <w:rPr>
          <w:rFonts w:hint="eastAsia" w:ascii="宋体" w:hAnsi="宋体" w:eastAsia="宋体" w:cs="宋体"/>
          <w:sz w:val="30"/>
          <w:szCs w:val="30"/>
          <w:lang w:val="en-US" w:eastAsia="zh-CN"/>
        </w:rPr>
      </w:pPr>
    </w:p>
    <w:p w14:paraId="193A6F8B">
      <w:pPr>
        <w:bidi w:val="0"/>
        <w:outlineLvl w:val="9"/>
        <w:rPr>
          <w:rFonts w:hint="eastAsia" w:ascii="宋体" w:hAnsi="宋体" w:eastAsia="宋体" w:cs="宋体"/>
          <w:sz w:val="30"/>
          <w:szCs w:val="30"/>
          <w:lang w:val="en-US" w:eastAsia="zh-CN"/>
        </w:rPr>
      </w:pPr>
    </w:p>
    <w:p w14:paraId="48EE2BB6">
      <w:pPr>
        <w:bidi w:val="0"/>
        <w:outlineLvl w:val="9"/>
        <w:rPr>
          <w:rFonts w:hint="eastAsia" w:ascii="宋体" w:hAnsi="宋体" w:eastAsia="宋体" w:cs="宋体"/>
          <w:sz w:val="30"/>
          <w:szCs w:val="30"/>
          <w:lang w:val="en-US" w:eastAsia="zh-CN"/>
        </w:rPr>
      </w:pPr>
    </w:p>
    <w:p w14:paraId="3B1C66DD">
      <w:pPr>
        <w:bidi w:val="0"/>
        <w:outlineLvl w:val="9"/>
        <w:rPr>
          <w:rFonts w:hint="eastAsia" w:ascii="宋体" w:hAnsi="宋体" w:eastAsia="宋体" w:cs="宋体"/>
          <w:sz w:val="30"/>
          <w:szCs w:val="30"/>
          <w:lang w:val="en-US" w:eastAsia="zh-CN"/>
        </w:rPr>
      </w:pPr>
    </w:p>
    <w:p w14:paraId="582BF021">
      <w:pPr>
        <w:bidi w:val="0"/>
        <w:outlineLvl w:val="9"/>
        <w:rPr>
          <w:rFonts w:hint="eastAsia" w:ascii="宋体" w:hAnsi="宋体" w:eastAsia="宋体" w:cs="宋体"/>
          <w:sz w:val="30"/>
          <w:szCs w:val="30"/>
          <w:lang w:val="en-US" w:eastAsia="zh-CN"/>
        </w:rPr>
      </w:pPr>
    </w:p>
    <w:p w14:paraId="0BC0AAB5">
      <w:pPr>
        <w:bidi w:val="0"/>
        <w:outlineLvl w:val="9"/>
        <w:rPr>
          <w:rFonts w:hint="eastAsia" w:ascii="宋体" w:hAnsi="宋体" w:eastAsia="宋体" w:cs="宋体"/>
          <w:sz w:val="30"/>
          <w:szCs w:val="30"/>
          <w:lang w:val="en-US" w:eastAsia="zh-CN"/>
        </w:rPr>
      </w:pPr>
    </w:p>
    <w:p w14:paraId="5601B47E">
      <w:pPr>
        <w:bidi w:val="0"/>
        <w:outlineLvl w:val="9"/>
        <w:rPr>
          <w:rFonts w:hint="eastAsia" w:ascii="宋体" w:hAnsi="宋体" w:eastAsia="宋体" w:cs="宋体"/>
          <w:sz w:val="30"/>
          <w:szCs w:val="30"/>
          <w:lang w:val="en-US" w:eastAsia="zh-CN"/>
        </w:rPr>
      </w:pPr>
    </w:p>
    <w:p w14:paraId="7C10DD92">
      <w:pPr>
        <w:bidi w:val="0"/>
        <w:outlineLvl w:val="9"/>
        <w:rPr>
          <w:rFonts w:hint="eastAsia" w:ascii="宋体" w:hAnsi="宋体" w:eastAsia="宋体" w:cs="宋体"/>
          <w:sz w:val="30"/>
          <w:szCs w:val="30"/>
          <w:lang w:val="en-US" w:eastAsia="zh-CN"/>
        </w:rPr>
      </w:pPr>
    </w:p>
    <w:p w14:paraId="56259216">
      <w:pPr>
        <w:bidi w:val="0"/>
        <w:outlineLvl w:val="9"/>
        <w:rPr>
          <w:rFonts w:hint="eastAsia" w:ascii="宋体" w:hAnsi="宋体" w:eastAsia="宋体" w:cs="宋体"/>
          <w:sz w:val="30"/>
          <w:szCs w:val="30"/>
          <w:lang w:val="en-US" w:eastAsia="zh-CN"/>
        </w:rPr>
      </w:pPr>
    </w:p>
    <w:p w14:paraId="581BC26F">
      <w:pPr>
        <w:bidi w:val="0"/>
        <w:outlineLvl w:val="9"/>
        <w:rPr>
          <w:rFonts w:hint="eastAsia" w:ascii="宋体" w:hAnsi="宋体" w:eastAsia="宋体" w:cs="宋体"/>
          <w:sz w:val="30"/>
          <w:szCs w:val="30"/>
          <w:lang w:val="en-US" w:eastAsia="zh-CN"/>
        </w:rPr>
      </w:pPr>
    </w:p>
    <w:p w14:paraId="149902B1">
      <w:pPr>
        <w:bidi w:val="0"/>
        <w:outlineLvl w:val="9"/>
        <w:rPr>
          <w:rFonts w:hint="eastAsia" w:ascii="宋体" w:hAnsi="宋体" w:eastAsia="宋体" w:cs="宋体"/>
          <w:sz w:val="30"/>
          <w:szCs w:val="30"/>
          <w:lang w:val="en-US" w:eastAsia="zh-CN"/>
        </w:rPr>
      </w:pPr>
    </w:p>
    <w:p w14:paraId="6A061214">
      <w:pPr>
        <w:bidi w:val="0"/>
        <w:outlineLvl w:val="9"/>
        <w:rPr>
          <w:rFonts w:hint="eastAsia" w:ascii="宋体" w:hAnsi="宋体" w:eastAsia="宋体" w:cs="宋体"/>
          <w:sz w:val="30"/>
          <w:szCs w:val="30"/>
          <w:lang w:val="en-US" w:eastAsia="zh-CN"/>
        </w:rPr>
      </w:pPr>
    </w:p>
    <w:p w14:paraId="25B27DC3">
      <w:pPr>
        <w:bidi w:val="0"/>
        <w:outlineLvl w:val="9"/>
        <w:rPr>
          <w:rFonts w:hint="eastAsia" w:ascii="宋体" w:hAnsi="宋体" w:eastAsia="宋体" w:cs="宋体"/>
          <w:sz w:val="30"/>
          <w:szCs w:val="30"/>
          <w:lang w:val="en-US" w:eastAsia="zh-CN"/>
        </w:rPr>
      </w:pPr>
    </w:p>
    <w:p w14:paraId="17AAE601">
      <w:pPr>
        <w:bidi w:val="0"/>
        <w:outlineLvl w:val="9"/>
        <w:rPr>
          <w:rFonts w:hint="eastAsia" w:ascii="宋体" w:hAnsi="宋体" w:eastAsia="宋体" w:cs="宋体"/>
          <w:sz w:val="30"/>
          <w:szCs w:val="30"/>
          <w:lang w:val="en-US" w:eastAsia="zh-CN"/>
        </w:rPr>
      </w:pPr>
    </w:p>
    <w:p w14:paraId="51EE97D9">
      <w:pPr>
        <w:bidi w:val="0"/>
        <w:outlineLvl w:val="9"/>
        <w:rPr>
          <w:rFonts w:hint="eastAsia" w:ascii="宋体" w:hAnsi="宋体" w:eastAsia="宋体" w:cs="宋体"/>
          <w:sz w:val="30"/>
          <w:szCs w:val="30"/>
          <w:lang w:val="en-US" w:eastAsia="zh-CN"/>
        </w:rPr>
      </w:pPr>
    </w:p>
    <w:p w14:paraId="67813DBD">
      <w:pPr>
        <w:bidi w:val="0"/>
        <w:outlineLvl w:val="9"/>
        <w:rPr>
          <w:rFonts w:hint="eastAsia" w:ascii="宋体" w:hAnsi="宋体" w:eastAsia="宋体" w:cs="宋体"/>
          <w:sz w:val="30"/>
          <w:szCs w:val="30"/>
          <w:lang w:val="en-US" w:eastAsia="zh-CN"/>
        </w:rPr>
      </w:pPr>
    </w:p>
    <w:p w14:paraId="34676467">
      <w:pPr>
        <w:bidi w:val="0"/>
        <w:outlineLvl w:val="9"/>
        <w:rPr>
          <w:rFonts w:hint="eastAsia" w:ascii="宋体" w:hAnsi="宋体" w:eastAsia="宋体" w:cs="宋体"/>
          <w:sz w:val="30"/>
          <w:szCs w:val="30"/>
          <w:lang w:val="en-US" w:eastAsia="zh-CN"/>
        </w:rPr>
      </w:pPr>
    </w:p>
    <w:p w14:paraId="13C8624F">
      <w:pPr>
        <w:bidi w:val="0"/>
        <w:outlineLvl w:val="9"/>
        <w:rPr>
          <w:rFonts w:hint="eastAsia" w:ascii="宋体" w:hAnsi="宋体" w:eastAsia="宋体" w:cs="宋体"/>
          <w:sz w:val="30"/>
          <w:szCs w:val="30"/>
          <w:lang w:val="en-US" w:eastAsia="zh-CN"/>
        </w:rPr>
      </w:pPr>
    </w:p>
    <w:p w14:paraId="67562454">
      <w:pPr>
        <w:bidi w:val="0"/>
        <w:outlineLvl w:val="9"/>
        <w:rPr>
          <w:rFonts w:hint="eastAsia" w:ascii="宋体" w:hAnsi="宋体" w:eastAsia="宋体" w:cs="宋体"/>
          <w:sz w:val="30"/>
          <w:szCs w:val="30"/>
          <w:lang w:val="en-US" w:eastAsia="zh-CN"/>
        </w:rPr>
      </w:pPr>
    </w:p>
    <w:p w14:paraId="4D4FCFB9">
      <w:pPr>
        <w:bidi w:val="0"/>
        <w:outlineLvl w:val="9"/>
        <w:rPr>
          <w:rFonts w:hint="eastAsia" w:ascii="宋体" w:hAnsi="宋体" w:eastAsia="宋体" w:cs="宋体"/>
          <w:sz w:val="30"/>
          <w:szCs w:val="30"/>
          <w:lang w:val="en-US" w:eastAsia="zh-CN"/>
        </w:rPr>
      </w:pPr>
    </w:p>
    <w:p w14:paraId="25B067C4">
      <w:pPr>
        <w:bidi w:val="0"/>
        <w:outlineLvl w:val="9"/>
        <w:rPr>
          <w:rFonts w:hint="eastAsia" w:ascii="宋体" w:hAnsi="宋体" w:eastAsia="宋体" w:cs="宋体"/>
          <w:sz w:val="30"/>
          <w:szCs w:val="30"/>
          <w:lang w:val="en-US" w:eastAsia="zh-CN"/>
        </w:rPr>
      </w:pPr>
    </w:p>
    <w:p w14:paraId="5222144D">
      <w:pPr>
        <w:bidi w:val="0"/>
        <w:outlineLvl w:val="9"/>
        <w:rPr>
          <w:rFonts w:hint="eastAsia" w:ascii="宋体" w:hAnsi="宋体" w:eastAsia="宋体" w:cs="宋体"/>
          <w:sz w:val="30"/>
          <w:szCs w:val="30"/>
          <w:lang w:val="en-US" w:eastAsia="zh-CN"/>
        </w:rPr>
      </w:pPr>
    </w:p>
    <w:p w14:paraId="0680D12F">
      <w:pPr>
        <w:bidi w:val="0"/>
        <w:outlineLvl w:val="9"/>
        <w:rPr>
          <w:rFonts w:hint="eastAsia" w:ascii="宋体" w:hAnsi="宋体" w:eastAsia="宋体" w:cs="宋体"/>
          <w:sz w:val="30"/>
          <w:szCs w:val="30"/>
          <w:lang w:val="en-US" w:eastAsia="zh-CN"/>
        </w:rPr>
      </w:pPr>
    </w:p>
    <w:p w14:paraId="06DB34BE">
      <w:pPr>
        <w:bidi w:val="0"/>
        <w:outlineLvl w:val="9"/>
        <w:rPr>
          <w:rFonts w:hint="eastAsia" w:ascii="宋体" w:hAnsi="宋体" w:eastAsia="宋体" w:cs="宋体"/>
          <w:sz w:val="30"/>
          <w:szCs w:val="30"/>
          <w:lang w:val="en-US" w:eastAsia="zh-CN"/>
        </w:rPr>
      </w:pPr>
    </w:p>
    <w:p w14:paraId="2440ED5E">
      <w:pPr>
        <w:bidi w:val="0"/>
        <w:outlineLvl w:val="9"/>
        <w:rPr>
          <w:rFonts w:hint="eastAsia" w:ascii="宋体" w:hAnsi="宋体" w:eastAsia="宋体" w:cs="宋体"/>
          <w:sz w:val="30"/>
          <w:szCs w:val="30"/>
          <w:lang w:val="en-US" w:eastAsia="zh-CN"/>
        </w:rPr>
      </w:pPr>
    </w:p>
    <w:p w14:paraId="50B11C9D">
      <w:pPr>
        <w:bidi w:val="0"/>
        <w:outlineLvl w:val="2"/>
        <w:rPr>
          <w:rFonts w:hint="eastAsia"/>
          <w:sz w:val="28"/>
          <w:szCs w:val="28"/>
          <w:lang w:val="en-US" w:eastAsia="zh-CN"/>
        </w:rPr>
      </w:pPr>
      <w:bookmarkStart w:id="374" w:name="_Toc1175"/>
      <w:r>
        <w:rPr>
          <w:rFonts w:hint="eastAsia" w:ascii="宋体" w:hAnsi="宋体" w:eastAsia="宋体" w:cs="宋体"/>
          <w:sz w:val="30"/>
          <w:szCs w:val="30"/>
          <w:lang w:val="en-US" w:eastAsia="zh-CN"/>
        </w:rPr>
        <w:t>3、法定代表人资格证明书及法定代表人授权委托书、被授权人身份证(法定代表人投标具备法定代表人身份证及法人代表资格证明书)；</w:t>
      </w:r>
      <w:bookmarkEnd w:id="362"/>
      <w:bookmarkEnd w:id="374"/>
    </w:p>
    <w:bookmarkEnd w:id="363"/>
    <w:bookmarkEnd w:id="364"/>
    <w:bookmarkEnd w:id="365"/>
    <w:bookmarkEnd w:id="366"/>
    <w:bookmarkEnd w:id="367"/>
    <w:bookmarkEnd w:id="368"/>
    <w:bookmarkEnd w:id="369"/>
    <w:bookmarkEnd w:id="370"/>
    <w:bookmarkEnd w:id="371"/>
    <w:bookmarkEnd w:id="372"/>
    <w:bookmarkEnd w:id="373"/>
    <w:p w14:paraId="3B7E5083">
      <w:pPr>
        <w:pStyle w:val="21"/>
        <w:numPr>
          <w:ilvl w:val="0"/>
          <w:numId w:val="0"/>
        </w:numPr>
        <w:rPr>
          <w:rFonts w:hint="eastAsia" w:ascii="宋体" w:hAnsi="宋体" w:eastAsia="宋体" w:cs="宋体"/>
          <w:b w:val="0"/>
          <w:bCs w:val="0"/>
          <w:color w:val="000000"/>
          <w:kern w:val="0"/>
          <w:sz w:val="28"/>
          <w:szCs w:val="28"/>
          <w:highlight w:val="none"/>
          <w:lang w:val="en-US" w:eastAsia="zh-CN" w:bidi="ar-SA"/>
        </w:rPr>
      </w:pPr>
      <w:bookmarkStart w:id="375" w:name="_Toc22494201"/>
      <w:bookmarkStart w:id="376" w:name="_Toc39671742"/>
      <w:bookmarkStart w:id="377" w:name="_Toc515647808"/>
      <w:bookmarkStart w:id="378" w:name="_Toc32520"/>
      <w:bookmarkStart w:id="379" w:name="_Toc7039"/>
    </w:p>
    <w:p w14:paraId="53C7FF70">
      <w:pPr>
        <w:pStyle w:val="21"/>
        <w:numPr>
          <w:ilvl w:val="0"/>
          <w:numId w:val="0"/>
        </w:numPr>
        <w:jc w:val="center"/>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（一）法定代表人身份证明</w:t>
      </w:r>
    </w:p>
    <w:p w14:paraId="3B591F00">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14:paraId="6294FA7F">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同志，现任我单位</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职务，为法定代表人，特此证明。</w:t>
      </w:r>
    </w:p>
    <w:p w14:paraId="109597E1">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签发日期：</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单位：</w:t>
      </w:r>
      <w:r>
        <w:rPr>
          <w:rFonts w:hint="eastAsia" w:ascii="宋体" w:hAnsi="宋体" w:eastAsia="宋体" w:cs="宋体"/>
          <w:b w:val="0"/>
          <w:bCs w:val="0"/>
          <w:sz w:val="24"/>
          <w:szCs w:val="24"/>
          <w:u w:val="single"/>
        </w:rPr>
        <w:t xml:space="preserve">           </w:t>
      </w:r>
    </w:p>
    <w:p w14:paraId="4F487EA6">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附：代表人性别：</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年龄：</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身份证号码：</w:t>
      </w:r>
      <w:r>
        <w:rPr>
          <w:rFonts w:hint="eastAsia" w:ascii="宋体" w:hAnsi="宋体" w:eastAsia="宋体" w:cs="宋体"/>
          <w:b w:val="0"/>
          <w:bCs w:val="0"/>
          <w:sz w:val="24"/>
          <w:szCs w:val="24"/>
          <w:u w:val="single"/>
        </w:rPr>
        <w:t xml:space="preserve">            </w:t>
      </w:r>
    </w:p>
    <w:p w14:paraId="3BF371C6">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联系电话：</w:t>
      </w:r>
      <w:r>
        <w:rPr>
          <w:rFonts w:hint="eastAsia" w:ascii="宋体" w:hAnsi="宋体" w:eastAsia="宋体" w:cs="宋体"/>
          <w:b w:val="0"/>
          <w:bCs w:val="0"/>
          <w:sz w:val="24"/>
          <w:szCs w:val="24"/>
          <w:u w:val="single"/>
        </w:rPr>
        <w:t xml:space="preserve">           </w:t>
      </w:r>
    </w:p>
    <w:p w14:paraId="6E9C690F">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营业执照号码：</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经济性质：</w:t>
      </w:r>
      <w:r>
        <w:rPr>
          <w:rFonts w:hint="eastAsia" w:ascii="宋体" w:hAnsi="宋体" w:eastAsia="宋体" w:cs="宋体"/>
          <w:b w:val="0"/>
          <w:bCs w:val="0"/>
          <w:sz w:val="24"/>
          <w:szCs w:val="24"/>
          <w:u w:val="single"/>
        </w:rPr>
        <w:t xml:space="preserve">       </w:t>
      </w:r>
    </w:p>
    <w:p w14:paraId="4B98D8EC">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p>
    <w:p w14:paraId="77BD4A93">
      <w:pPr>
        <w:numPr>
          <w:ilvl w:val="0"/>
          <w:numId w:val="10"/>
        </w:numPr>
        <w:spacing w:line="360" w:lineRule="auto"/>
        <w:jc w:val="right"/>
        <w:rPr>
          <w:rFonts w:hint="eastAsia" w:ascii="宋体" w:hAnsi="宋体" w:cs="宋体"/>
          <w:sz w:val="24"/>
          <w:szCs w:val="20"/>
        </w:rPr>
      </w:pPr>
      <w:r>
        <w:rPr>
          <w:rFonts w:ascii="宋体" w:hAnsi="宋体" w:eastAsia="宋体" w:cs="宋体"/>
          <w:sz w:val="24"/>
          <w:szCs w:val="24"/>
        </w:rPr>
        <w:t>法定代表人为企业事业单位、国家机关、社会团体的主要行政负责人。</w:t>
      </w:r>
    </w:p>
    <w:p w14:paraId="63F84484">
      <w:pPr>
        <w:numPr>
          <w:ilvl w:val="0"/>
          <w:numId w:val="10"/>
        </w:numPr>
        <w:spacing w:line="360" w:lineRule="auto"/>
        <w:ind w:left="420" w:leftChars="200" w:firstLine="0" w:firstLineChars="0"/>
        <w:rPr>
          <w:rFonts w:ascii="宋体" w:hAnsi="宋体" w:eastAsia="宋体" w:cs="宋体"/>
          <w:sz w:val="24"/>
          <w:szCs w:val="24"/>
        </w:rPr>
      </w:pPr>
      <w:r>
        <w:rPr>
          <w:rFonts w:ascii="宋体" w:hAnsi="宋体" w:eastAsia="宋体" w:cs="宋体"/>
          <w:sz w:val="24"/>
          <w:szCs w:val="24"/>
        </w:rPr>
        <w:t xml:space="preserve">提供身份证正反面。 </w:t>
      </w:r>
    </w:p>
    <w:p w14:paraId="3C179949">
      <w:pPr>
        <w:numPr>
          <w:ilvl w:val="0"/>
          <w:numId w:val="0"/>
        </w:numPr>
        <w:spacing w:line="360" w:lineRule="auto"/>
        <w:ind w:leftChars="0" w:firstLine="480" w:firstLineChars="200"/>
        <w:rPr>
          <w:rFonts w:hint="eastAsia" w:ascii="宋体" w:hAnsi="宋体" w:cs="宋体"/>
          <w:sz w:val="24"/>
          <w:szCs w:val="20"/>
        </w:rPr>
      </w:pPr>
      <w:r>
        <w:rPr>
          <w:rFonts w:ascii="宋体" w:hAnsi="宋体" w:eastAsia="宋体" w:cs="宋体"/>
          <w:sz w:val="24"/>
          <w:szCs w:val="24"/>
        </w:rPr>
        <w:t>3、内容必须填写真实、清楚、涂改无效，不得转让。</w:t>
      </w:r>
    </w:p>
    <w:p w14:paraId="67E4BDC6">
      <w:pPr>
        <w:spacing w:line="360" w:lineRule="auto"/>
        <w:rPr>
          <w:rFonts w:hint="eastAsia" w:ascii="宋体" w:hAnsi="宋体" w:cs="宋体"/>
          <w:sz w:val="24"/>
          <w:szCs w:val="20"/>
        </w:rPr>
      </w:pPr>
      <w:r>
        <w:rPr>
          <w:rFonts w:hint="eastAsia" w:ascii="宋体" w:hAnsi="宋体" w:cs="宋体"/>
          <w:sz w:val="24"/>
          <w:szCs w:val="20"/>
        </w:rPr>
        <mc:AlternateContent>
          <mc:Choice Requires="wps">
            <w:drawing>
              <wp:anchor distT="0" distB="0" distL="114300" distR="114300" simplePos="0" relativeHeight="251660288" behindDoc="0" locked="0" layoutInCell="1" allowOverlap="1">
                <wp:simplePos x="0" y="0"/>
                <wp:positionH relativeFrom="column">
                  <wp:posOffset>2953385</wp:posOffset>
                </wp:positionH>
                <wp:positionV relativeFrom="paragraph">
                  <wp:posOffset>135890</wp:posOffset>
                </wp:positionV>
                <wp:extent cx="2609850" cy="1557020"/>
                <wp:effectExtent l="7620" t="7620" r="11430" b="10160"/>
                <wp:wrapNone/>
                <wp:docPr id="29" name="圆角矩形 29"/>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8F2C069">
                            <w:pPr>
                              <w:jc w:val="center"/>
                              <w:rPr>
                                <w:rFonts w:hAnsi="宋体"/>
                                <w:szCs w:val="21"/>
                              </w:rPr>
                            </w:pPr>
                            <w:r>
                              <w:rPr>
                                <w:rFonts w:hint="eastAsia" w:hAnsi="宋体"/>
                                <w:szCs w:val="21"/>
                              </w:rPr>
                              <w:t xml:space="preserve">  </w:t>
                            </w:r>
                          </w:p>
                          <w:p w14:paraId="6D2F6F16">
                            <w:pPr>
                              <w:jc w:val="center"/>
                              <w:rPr>
                                <w:rFonts w:hAnsi="宋体"/>
                                <w:szCs w:val="21"/>
                              </w:rPr>
                            </w:pPr>
                          </w:p>
                          <w:p w14:paraId="42D1BFE4">
                            <w:pPr>
                              <w:jc w:val="center"/>
                              <w:rPr>
                                <w:rFonts w:hAnsi="宋体"/>
                                <w:szCs w:val="21"/>
                              </w:rPr>
                            </w:pPr>
                          </w:p>
                          <w:p w14:paraId="0F0924C7">
                            <w:pPr>
                              <w:jc w:val="center"/>
                              <w:rPr>
                                <w:rFonts w:hint="eastAsia" w:eastAsiaTheme="minorEastAsia"/>
                                <w:szCs w:val="21"/>
                                <w:lang w:val="en-US" w:eastAsia="zh-CN"/>
                              </w:rPr>
                            </w:pPr>
                            <w:r>
                              <w:rPr>
                                <w:rFonts w:hint="eastAsia" w:hAnsi="宋体"/>
                                <w:szCs w:val="21"/>
                              </w:rPr>
                              <w:t>法定代表人身份证复印件</w:t>
                            </w:r>
                          </w:p>
                          <w:p w14:paraId="58E73B56"/>
                          <w:p w14:paraId="41B55951">
                            <w:pPr>
                              <w:pStyle w:val="6"/>
                            </w:pPr>
                          </w:p>
                          <w:p w14:paraId="4254DE08">
                            <w:pPr>
                              <w:pStyle w:val="6"/>
                            </w:pPr>
                          </w:p>
                          <w:p w14:paraId="31A94BA3">
                            <w:pPr>
                              <w:pStyle w:val="6"/>
                            </w:pPr>
                          </w:p>
                          <w:p w14:paraId="473FD2E5">
                            <w:pPr>
                              <w:pStyle w:val="6"/>
                            </w:pPr>
                          </w:p>
                        </w:txbxContent>
                      </wps:txbx>
                      <wps:bodyPr upright="1"/>
                    </wps:wsp>
                  </a:graphicData>
                </a:graphic>
              </wp:anchor>
            </w:drawing>
          </mc:Choice>
          <mc:Fallback>
            <w:pict>
              <v:roundrect id="_x0000_s1026" o:spid="_x0000_s1026" o:spt="2" style="position:absolute;left:0pt;margin-left:232.55pt;margin-top:10.7pt;height:122.6pt;width:205.5pt;z-index:251660288;mso-width-relative:page;mso-height-relative:page;" fillcolor="#FFFFFF" filled="t" stroked="t" coordsize="21600,21600" arcsize="0.166666666666667" o:gfxdata="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Th1B2wAAAAoBAAAPAAAAAAAAAAEAIAAAACIAAABkcnMvZG93bnJldi54bWxQ&#10;SwECFAAUAAAACACHTuJABiUvHS0CAABoBAAADgAAAAAAAAABACAAAAAqAQAAZHJzL2Uyb0RvYy54&#10;bWxQSwUGAAAAAAYABgBZAQAAyQUAAAAA&#10;">
                <v:fill on="t" focussize="0,0"/>
                <v:stroke weight="1.25pt" color="#808080" joinstyle="round"/>
                <v:imagedata o:title=""/>
                <o:lock v:ext="edit" aspectratio="f"/>
                <v:textbox>
                  <w:txbxContent>
                    <w:p w14:paraId="38F2C069">
                      <w:pPr>
                        <w:jc w:val="center"/>
                        <w:rPr>
                          <w:rFonts w:hAnsi="宋体"/>
                          <w:szCs w:val="21"/>
                        </w:rPr>
                      </w:pPr>
                      <w:r>
                        <w:rPr>
                          <w:rFonts w:hint="eastAsia" w:hAnsi="宋体"/>
                          <w:szCs w:val="21"/>
                        </w:rPr>
                        <w:t xml:space="preserve">  </w:t>
                      </w:r>
                    </w:p>
                    <w:p w14:paraId="6D2F6F16">
                      <w:pPr>
                        <w:jc w:val="center"/>
                        <w:rPr>
                          <w:rFonts w:hAnsi="宋体"/>
                          <w:szCs w:val="21"/>
                        </w:rPr>
                      </w:pPr>
                    </w:p>
                    <w:p w14:paraId="42D1BFE4">
                      <w:pPr>
                        <w:jc w:val="center"/>
                        <w:rPr>
                          <w:rFonts w:hAnsi="宋体"/>
                          <w:szCs w:val="21"/>
                        </w:rPr>
                      </w:pPr>
                    </w:p>
                    <w:p w14:paraId="0F0924C7">
                      <w:pPr>
                        <w:jc w:val="center"/>
                        <w:rPr>
                          <w:rFonts w:hint="eastAsia" w:eastAsiaTheme="minorEastAsia"/>
                          <w:szCs w:val="21"/>
                          <w:lang w:val="en-US" w:eastAsia="zh-CN"/>
                        </w:rPr>
                      </w:pPr>
                      <w:r>
                        <w:rPr>
                          <w:rFonts w:hint="eastAsia" w:hAnsi="宋体"/>
                          <w:szCs w:val="21"/>
                        </w:rPr>
                        <w:t>法定代表人身份证复印件</w:t>
                      </w:r>
                    </w:p>
                    <w:p w14:paraId="58E73B56"/>
                    <w:p w14:paraId="41B55951">
                      <w:pPr>
                        <w:pStyle w:val="6"/>
                      </w:pPr>
                    </w:p>
                    <w:p w14:paraId="4254DE08">
                      <w:pPr>
                        <w:pStyle w:val="6"/>
                      </w:pPr>
                    </w:p>
                    <w:p w14:paraId="31A94BA3">
                      <w:pPr>
                        <w:pStyle w:val="6"/>
                      </w:pPr>
                    </w:p>
                    <w:p w14:paraId="473FD2E5">
                      <w:pPr>
                        <w:pStyle w:val="6"/>
                      </w:pPr>
                    </w:p>
                  </w:txbxContent>
                </v:textbox>
              </v:roundrect>
            </w:pict>
          </mc:Fallback>
        </mc:AlternateContent>
      </w:r>
      <w:r>
        <w:rPr>
          <w:rFonts w:hint="eastAsia" w:ascii="宋体" w:hAnsi="宋体" w:cs="宋体"/>
          <w:sz w:val="24"/>
          <w:szCs w:val="20"/>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224790</wp:posOffset>
                </wp:positionV>
                <wp:extent cx="2428875" cy="1602105"/>
                <wp:effectExtent l="4445" t="4445" r="5080" b="6350"/>
                <wp:wrapNone/>
                <wp:docPr id="28" name="流程图: 可选过程 28"/>
                <wp:cNvGraphicFramePr/>
                <a:graphic xmlns:a="http://schemas.openxmlformats.org/drawingml/2006/main">
                  <a:graphicData uri="http://schemas.microsoft.com/office/word/2010/wordprocessingShape">
                    <wps:wsp>
                      <wps:cNvSpPr/>
                      <wps:spPr>
                        <a:xfrm>
                          <a:off x="0" y="0"/>
                          <a:ext cx="2428875" cy="16021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879D0C8">
                            <w:pPr>
                              <w:jc w:val="center"/>
                              <w:rPr>
                                <w:rFonts w:hAnsi="宋体"/>
                                <w:szCs w:val="21"/>
                              </w:rPr>
                            </w:pPr>
                          </w:p>
                          <w:p w14:paraId="3A1E9AA9">
                            <w:pPr>
                              <w:jc w:val="center"/>
                              <w:rPr>
                                <w:rFonts w:hAnsi="宋体"/>
                                <w:szCs w:val="21"/>
                              </w:rPr>
                            </w:pPr>
                          </w:p>
                          <w:p w14:paraId="01AFBB39">
                            <w:pPr>
                              <w:jc w:val="center"/>
                              <w:rPr>
                                <w:rFonts w:hAnsi="宋体"/>
                                <w:szCs w:val="21"/>
                              </w:rPr>
                            </w:pPr>
                          </w:p>
                          <w:p w14:paraId="06006BA3">
                            <w:pPr>
                              <w:jc w:val="center"/>
                              <w:rPr>
                                <w:rFonts w:hint="eastAsia" w:eastAsiaTheme="minorEastAsia"/>
                                <w:szCs w:val="21"/>
                                <w:lang w:val="en-US" w:eastAsia="zh-CN"/>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5.35pt;margin-top:17.7pt;height:126.15pt;width:191.25pt;z-index:251659264;mso-width-relative:page;mso-height-relative:page;" fillcolor="#FFFFFF" filled="t" stroked="t" coordsize="21600,21600" o:gfxdata="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giUP/YAAAACgEAAA8AAAAAAAAAAQAgAAAAIgAAAGRycy9kb3ducmV2LnhtbFBL&#10;AQIUABQAAAAIAIdO4kAkDkorLwIAAGAEAAAOAAAAAAAAAAEAIAAAACcBAABkcnMvZTJvRG9jLnht&#10;bFBLBQYAAAAABgAGAFkBAADIBQAAAAA=&#10;">
                <v:fill on="t" focussize="0,0"/>
                <v:stroke color="#000000" joinstyle="miter"/>
                <v:imagedata o:title=""/>
                <o:lock v:ext="edit" aspectratio="f"/>
                <v:textbox>
                  <w:txbxContent>
                    <w:p w14:paraId="1879D0C8">
                      <w:pPr>
                        <w:jc w:val="center"/>
                        <w:rPr>
                          <w:rFonts w:hAnsi="宋体"/>
                          <w:szCs w:val="21"/>
                        </w:rPr>
                      </w:pPr>
                    </w:p>
                    <w:p w14:paraId="3A1E9AA9">
                      <w:pPr>
                        <w:jc w:val="center"/>
                        <w:rPr>
                          <w:rFonts w:hAnsi="宋体"/>
                          <w:szCs w:val="21"/>
                        </w:rPr>
                      </w:pPr>
                    </w:p>
                    <w:p w14:paraId="01AFBB39">
                      <w:pPr>
                        <w:jc w:val="center"/>
                        <w:rPr>
                          <w:rFonts w:hAnsi="宋体"/>
                          <w:szCs w:val="21"/>
                        </w:rPr>
                      </w:pPr>
                    </w:p>
                    <w:p w14:paraId="06006BA3">
                      <w:pPr>
                        <w:jc w:val="center"/>
                        <w:rPr>
                          <w:rFonts w:hint="eastAsia" w:eastAsiaTheme="minorEastAsia"/>
                          <w:szCs w:val="21"/>
                          <w:lang w:val="en-US" w:eastAsia="zh-CN"/>
                        </w:rPr>
                      </w:pPr>
                      <w:r>
                        <w:rPr>
                          <w:rFonts w:hint="eastAsia" w:hAnsi="宋体"/>
                          <w:szCs w:val="21"/>
                        </w:rPr>
                        <w:t>法定代表人身份证复印件</w:t>
                      </w:r>
                    </w:p>
                  </w:txbxContent>
                </v:textbox>
              </v:shape>
            </w:pict>
          </mc:Fallback>
        </mc:AlternateContent>
      </w:r>
    </w:p>
    <w:p w14:paraId="60D378BB">
      <w:pPr>
        <w:spacing w:line="360" w:lineRule="auto"/>
        <w:rPr>
          <w:rFonts w:hint="eastAsia" w:ascii="宋体" w:hAnsi="宋体" w:cs="宋体"/>
          <w:sz w:val="24"/>
          <w:szCs w:val="20"/>
        </w:rPr>
      </w:pPr>
    </w:p>
    <w:p w14:paraId="32DDFF9F">
      <w:pPr>
        <w:autoSpaceDE w:val="0"/>
        <w:autoSpaceDN w:val="0"/>
        <w:adjustRightInd w:val="0"/>
        <w:spacing w:line="360" w:lineRule="auto"/>
        <w:ind w:right="246"/>
        <w:rPr>
          <w:rFonts w:hint="eastAsia" w:ascii="宋体" w:hAnsi="宋体" w:cs="宋体"/>
          <w:sz w:val="24"/>
          <w:szCs w:val="20"/>
        </w:rPr>
      </w:pPr>
    </w:p>
    <w:p w14:paraId="3217646C">
      <w:pPr>
        <w:autoSpaceDE w:val="0"/>
        <w:autoSpaceDN w:val="0"/>
        <w:adjustRightInd w:val="0"/>
        <w:spacing w:line="360" w:lineRule="auto"/>
        <w:ind w:right="246" w:firstLine="784" w:firstLineChars="327"/>
        <w:rPr>
          <w:rFonts w:hint="eastAsia" w:ascii="宋体" w:hAnsi="宋体" w:cs="宋体"/>
          <w:sz w:val="24"/>
          <w:szCs w:val="20"/>
        </w:rPr>
      </w:pPr>
      <w:r>
        <w:rPr>
          <w:rFonts w:hint="eastAsia" w:ascii="宋体" w:hAnsi="宋体" w:cs="宋体"/>
          <w:sz w:val="24"/>
          <w:szCs w:val="20"/>
        </w:rPr>
        <w:t xml:space="preserve">                            </w:t>
      </w:r>
    </w:p>
    <w:p w14:paraId="7C3B5E6C">
      <w:pPr>
        <w:adjustRightInd w:val="0"/>
        <w:snapToGrid w:val="0"/>
        <w:spacing w:line="360" w:lineRule="auto"/>
        <w:ind w:firstLine="784" w:firstLineChars="327"/>
        <w:rPr>
          <w:rFonts w:hint="eastAsia" w:ascii="宋体" w:hAnsi="宋体" w:cs="宋体"/>
          <w:sz w:val="24"/>
          <w:szCs w:val="20"/>
        </w:rPr>
      </w:pPr>
    </w:p>
    <w:p w14:paraId="2E0F72ED">
      <w:pPr>
        <w:pStyle w:val="6"/>
        <w:rPr>
          <w:rFonts w:hint="eastAsia" w:hAnsi="宋体" w:cs="宋体"/>
        </w:rPr>
      </w:pPr>
    </w:p>
    <w:p w14:paraId="2D7762C5">
      <w:pPr>
        <w:adjustRightInd w:val="0"/>
        <w:snapToGrid w:val="0"/>
        <w:spacing w:line="360" w:lineRule="auto"/>
        <w:ind w:firstLine="5582" w:firstLineChars="2326"/>
        <w:rPr>
          <w:rFonts w:hint="eastAsia" w:ascii="宋体" w:hAnsi="宋体" w:cs="宋体"/>
          <w:sz w:val="24"/>
          <w:szCs w:val="20"/>
        </w:rPr>
      </w:pPr>
    </w:p>
    <w:p w14:paraId="34B55DF3">
      <w:pPr>
        <w:adjustRightInd w:val="0"/>
        <w:snapToGrid w:val="0"/>
        <w:spacing w:line="360" w:lineRule="auto"/>
        <w:ind w:firstLine="5582" w:firstLineChars="2326"/>
        <w:rPr>
          <w:rFonts w:hint="eastAsia" w:ascii="宋体" w:hAnsi="宋体" w:cs="宋体"/>
          <w:sz w:val="24"/>
          <w:szCs w:val="20"/>
        </w:rPr>
      </w:pPr>
    </w:p>
    <w:p w14:paraId="61E809E2">
      <w:pPr>
        <w:adjustRightInd w:val="0"/>
        <w:snapToGrid w:val="0"/>
        <w:spacing w:line="360" w:lineRule="auto"/>
        <w:ind w:firstLine="5520" w:firstLineChars="2300"/>
        <w:rPr>
          <w:rFonts w:hint="eastAsia" w:ascii="宋体" w:hAnsi="宋体" w:cs="宋体"/>
          <w:sz w:val="24"/>
          <w:szCs w:val="20"/>
        </w:rPr>
      </w:pPr>
      <w:r>
        <w:rPr>
          <w:rFonts w:hint="eastAsia" w:ascii="宋体" w:hAnsi="宋体" w:cs="宋体"/>
          <w:sz w:val="24"/>
          <w:szCs w:val="20"/>
        </w:rPr>
        <w:t xml:space="preserve">投标人名称（盖章）：                              </w:t>
      </w:r>
    </w:p>
    <w:p w14:paraId="4E837784">
      <w:pPr>
        <w:adjustRightInd w:val="0"/>
        <w:snapToGrid w:val="0"/>
        <w:spacing w:line="360" w:lineRule="auto"/>
        <w:ind w:firstLine="784" w:firstLineChars="327"/>
        <w:rPr>
          <w:rFonts w:hint="eastAsia" w:ascii="宋体" w:hAnsi="宋体" w:cs="宋体"/>
          <w:sz w:val="24"/>
          <w:szCs w:val="20"/>
        </w:rPr>
      </w:pPr>
    </w:p>
    <w:p w14:paraId="1CCB165C">
      <w:pPr>
        <w:adjustRightInd w:val="0"/>
        <w:snapToGrid w:val="0"/>
        <w:spacing w:line="360" w:lineRule="auto"/>
        <w:ind w:firstLine="4862" w:firstLineChars="2026"/>
        <w:rPr>
          <w:rFonts w:hint="eastAsia" w:ascii="宋体" w:hAnsi="宋体" w:cs="宋体"/>
          <w:sz w:val="24"/>
          <w:szCs w:val="20"/>
        </w:rPr>
      </w:pPr>
      <w:r>
        <w:rPr>
          <w:rFonts w:hint="eastAsia" w:ascii="宋体" w:hAnsi="宋体" w:cs="宋体"/>
          <w:sz w:val="24"/>
          <w:szCs w:val="20"/>
        </w:rPr>
        <w:t>法定代表人</w:t>
      </w:r>
      <w:r>
        <w:rPr>
          <w:rFonts w:hint="eastAsia" w:ascii="宋体" w:hAnsi="宋体" w:cs="宋体"/>
          <w:sz w:val="24"/>
          <w:szCs w:val="20"/>
          <w:lang w:eastAsia="zh-CN"/>
        </w:rPr>
        <w:t>（</w:t>
      </w:r>
      <w:r>
        <w:rPr>
          <w:rFonts w:hint="eastAsia" w:ascii="宋体" w:hAnsi="宋体" w:cs="宋体"/>
          <w:sz w:val="24"/>
          <w:szCs w:val="20"/>
        </w:rPr>
        <w:t>签字或盖章</w:t>
      </w:r>
      <w:r>
        <w:rPr>
          <w:rFonts w:hint="eastAsia" w:ascii="宋体" w:hAnsi="宋体" w:cs="宋体"/>
          <w:sz w:val="24"/>
          <w:szCs w:val="20"/>
          <w:lang w:eastAsia="zh-CN"/>
        </w:rPr>
        <w:t>）</w:t>
      </w:r>
      <w:r>
        <w:rPr>
          <w:rFonts w:hint="eastAsia" w:ascii="宋体" w:hAnsi="宋体" w:cs="宋体"/>
          <w:sz w:val="24"/>
          <w:szCs w:val="20"/>
        </w:rPr>
        <w:t xml:space="preserve">：                    </w:t>
      </w:r>
    </w:p>
    <w:p w14:paraId="6D1E167C">
      <w:pPr>
        <w:adjustRightInd w:val="0"/>
        <w:snapToGrid w:val="0"/>
        <w:spacing w:line="360" w:lineRule="auto"/>
        <w:ind w:firstLine="784" w:firstLineChars="327"/>
        <w:rPr>
          <w:rFonts w:hint="eastAsia" w:ascii="宋体" w:hAnsi="宋体" w:cs="宋体"/>
          <w:sz w:val="24"/>
          <w:szCs w:val="20"/>
        </w:rPr>
      </w:pPr>
      <w:r>
        <w:rPr>
          <w:rFonts w:hint="eastAsia" w:ascii="宋体" w:hAnsi="宋体" w:cs="宋体"/>
          <w:sz w:val="24"/>
          <w:szCs w:val="20"/>
        </w:rPr>
        <w:t xml:space="preserve">                                                   </w:t>
      </w:r>
    </w:p>
    <w:p w14:paraId="60A8614F">
      <w:pPr>
        <w:bidi w:val="0"/>
        <w:ind w:firstLine="5040" w:firstLineChars="2100"/>
        <w:rPr>
          <w:rFonts w:hint="eastAsia" w:ascii="宋体" w:hAnsi="宋体" w:cs="宋体"/>
          <w:sz w:val="24"/>
          <w:szCs w:val="20"/>
        </w:rPr>
      </w:pPr>
    </w:p>
    <w:p w14:paraId="4129A4B1">
      <w:pPr>
        <w:bidi w:val="0"/>
        <w:ind w:firstLine="5040" w:firstLineChars="2100"/>
        <w:rPr>
          <w:rFonts w:hint="eastAsia" w:ascii="宋体" w:hAnsi="宋体" w:cs="宋体"/>
          <w:sz w:val="24"/>
          <w:szCs w:val="20"/>
        </w:rPr>
      </w:pPr>
      <w:r>
        <w:rPr>
          <w:rFonts w:hint="eastAsia" w:ascii="宋体" w:hAnsi="宋体" w:cs="宋体"/>
          <w:sz w:val="24"/>
          <w:szCs w:val="20"/>
        </w:rPr>
        <w:t>日期：  年   月   日</w:t>
      </w:r>
    </w:p>
    <w:p w14:paraId="1B38FD75">
      <w:pPr>
        <w:pStyle w:val="29"/>
        <w:rPr>
          <w:rFonts w:hint="eastAsia" w:ascii="宋体" w:hAnsi="宋体" w:cs="宋体"/>
          <w:sz w:val="24"/>
          <w:szCs w:val="20"/>
        </w:rPr>
      </w:pPr>
    </w:p>
    <w:bookmarkEnd w:id="375"/>
    <w:bookmarkEnd w:id="376"/>
    <w:p w14:paraId="29400C41">
      <w:pPr>
        <w:pStyle w:val="21"/>
        <w:numPr>
          <w:ilvl w:val="0"/>
          <w:numId w:val="0"/>
        </w:numPr>
        <w:jc w:val="center"/>
        <w:rPr>
          <w:rFonts w:hint="eastAsia" w:ascii="宋体" w:hAnsi="宋体" w:eastAsia="宋体" w:cs="宋体"/>
          <w:b w:val="0"/>
          <w:bCs w:val="0"/>
          <w:color w:val="000000"/>
          <w:kern w:val="0"/>
          <w:sz w:val="28"/>
          <w:szCs w:val="28"/>
          <w:highlight w:val="none"/>
          <w:lang w:val="en-US" w:eastAsia="zh-CN" w:bidi="ar-SA"/>
        </w:rPr>
      </w:pPr>
    </w:p>
    <w:p w14:paraId="1E005FEF">
      <w:pPr>
        <w:pStyle w:val="9"/>
        <w:rPr>
          <w:rFonts w:hint="eastAsia"/>
          <w:lang w:val="en-US" w:eastAsia="zh-CN"/>
        </w:rPr>
      </w:pPr>
    </w:p>
    <w:p w14:paraId="5B3B8732">
      <w:pPr>
        <w:pStyle w:val="21"/>
        <w:numPr>
          <w:ilvl w:val="0"/>
          <w:numId w:val="0"/>
        </w:numPr>
        <w:jc w:val="center"/>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（二）法人授权委托书</w:t>
      </w:r>
    </w:p>
    <w:p w14:paraId="32CB3DE7">
      <w:pPr>
        <w:pStyle w:val="21"/>
        <w:numPr>
          <w:ilvl w:val="0"/>
          <w:numId w:val="0"/>
        </w:numPr>
        <w:ind w:firstLine="2800" w:firstLineChars="1000"/>
        <w:rPr>
          <w:rFonts w:hint="eastAsia" w:ascii="宋体" w:hAnsi="宋体" w:eastAsia="宋体" w:cs="宋体"/>
          <w:b w:val="0"/>
          <w:bCs w:val="0"/>
          <w:color w:val="000000"/>
          <w:kern w:val="0"/>
          <w:sz w:val="28"/>
          <w:szCs w:val="28"/>
          <w:highlight w:val="none"/>
          <w:lang w:val="en-US" w:eastAsia="zh-CN" w:bidi="ar-SA"/>
        </w:rPr>
      </w:pPr>
    </w:p>
    <w:p w14:paraId="7767381A">
      <w:pPr>
        <w:pStyle w:val="2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本授权书声明：注册于</w:t>
      </w:r>
      <w:r>
        <w:rPr>
          <w:rFonts w:hint="eastAsia" w:ascii="宋体" w:hAnsi="宋体" w:eastAsia="宋体" w:cs="宋体"/>
          <w:b w:val="0"/>
          <w:bCs w:val="0"/>
          <w:color w:val="000000"/>
          <w:kern w:val="0"/>
          <w:sz w:val="24"/>
          <w:szCs w:val="24"/>
          <w:highlight w:val="none"/>
          <w:u w:val="single"/>
          <w:lang w:val="en-US" w:eastAsia="zh-CN" w:bidi="ar-SA"/>
        </w:rPr>
        <w:t xml:space="preserve">（国家或地区的名称） </w:t>
      </w:r>
      <w:r>
        <w:rPr>
          <w:rFonts w:hint="eastAsia" w:ascii="宋体" w:hAnsi="宋体" w:eastAsia="宋体" w:cs="宋体"/>
          <w:b w:val="0"/>
          <w:bCs w:val="0"/>
          <w:color w:val="000000"/>
          <w:kern w:val="0"/>
          <w:sz w:val="24"/>
          <w:szCs w:val="24"/>
          <w:highlight w:val="none"/>
          <w:lang w:val="en-US" w:eastAsia="zh-CN" w:bidi="ar-SA"/>
        </w:rPr>
        <w:t>的</w:t>
      </w:r>
      <w:r>
        <w:rPr>
          <w:rFonts w:hint="eastAsia" w:ascii="宋体" w:hAnsi="宋体" w:eastAsia="宋体" w:cs="宋体"/>
          <w:b w:val="0"/>
          <w:bCs w:val="0"/>
          <w:color w:val="000000"/>
          <w:kern w:val="0"/>
          <w:sz w:val="24"/>
          <w:szCs w:val="24"/>
          <w:highlight w:val="none"/>
          <w:u w:val="single"/>
          <w:lang w:val="en-US" w:eastAsia="zh-CN" w:bidi="ar-SA"/>
        </w:rPr>
        <w:t xml:space="preserve">  （供应商）  </w:t>
      </w:r>
      <w:r>
        <w:rPr>
          <w:rFonts w:hint="eastAsia" w:ascii="宋体" w:hAnsi="宋体" w:eastAsia="宋体" w:cs="宋体"/>
          <w:b w:val="0"/>
          <w:bCs w:val="0"/>
          <w:color w:val="000000"/>
          <w:kern w:val="0"/>
          <w:sz w:val="24"/>
          <w:szCs w:val="24"/>
          <w:highlight w:val="none"/>
          <w:lang w:val="en-US" w:eastAsia="zh-CN" w:bidi="ar-SA"/>
        </w:rPr>
        <w:t>的在下面签字的</w:t>
      </w:r>
      <w:r>
        <w:rPr>
          <w:rFonts w:hint="eastAsia" w:ascii="宋体" w:hAnsi="宋体" w:eastAsia="宋体" w:cs="宋体"/>
          <w:b w:val="0"/>
          <w:bCs w:val="0"/>
          <w:color w:val="000000"/>
          <w:kern w:val="0"/>
          <w:sz w:val="24"/>
          <w:szCs w:val="24"/>
          <w:highlight w:val="none"/>
          <w:u w:val="single"/>
          <w:lang w:val="en-US" w:eastAsia="zh-CN" w:bidi="ar-SA"/>
        </w:rPr>
        <w:t>（法人代表姓名、职务）</w:t>
      </w:r>
      <w:r>
        <w:rPr>
          <w:rFonts w:hint="eastAsia" w:ascii="宋体" w:hAnsi="宋体" w:eastAsia="宋体" w:cs="宋体"/>
          <w:b w:val="0"/>
          <w:bCs w:val="0"/>
          <w:color w:val="000000"/>
          <w:kern w:val="0"/>
          <w:sz w:val="24"/>
          <w:szCs w:val="24"/>
          <w:highlight w:val="none"/>
          <w:lang w:val="en-US" w:eastAsia="zh-CN" w:bidi="ar-SA"/>
        </w:rPr>
        <w:t>代表我单位授权</w:t>
      </w:r>
      <w:r>
        <w:rPr>
          <w:rFonts w:hint="eastAsia" w:ascii="宋体" w:hAnsi="宋体" w:eastAsia="宋体" w:cs="宋体"/>
          <w:b w:val="0"/>
          <w:bCs w:val="0"/>
          <w:color w:val="000000"/>
          <w:kern w:val="0"/>
          <w:sz w:val="24"/>
          <w:szCs w:val="24"/>
          <w:highlight w:val="none"/>
          <w:u w:val="single"/>
          <w:lang w:val="en-US" w:eastAsia="zh-CN" w:bidi="ar-SA"/>
        </w:rPr>
        <w:t>（单位名称）</w:t>
      </w:r>
      <w:r>
        <w:rPr>
          <w:rFonts w:hint="eastAsia" w:ascii="宋体" w:hAnsi="宋体" w:eastAsia="宋体" w:cs="宋体"/>
          <w:b w:val="0"/>
          <w:bCs w:val="0"/>
          <w:color w:val="000000"/>
          <w:kern w:val="0"/>
          <w:sz w:val="24"/>
          <w:szCs w:val="24"/>
          <w:highlight w:val="none"/>
          <w:lang w:val="en-US" w:eastAsia="zh-CN" w:bidi="ar-SA"/>
        </w:rPr>
        <w:t>的在下面签字的</w:t>
      </w:r>
      <w:r>
        <w:rPr>
          <w:rFonts w:hint="eastAsia" w:ascii="宋体" w:hAnsi="宋体" w:eastAsia="宋体" w:cs="宋体"/>
          <w:b w:val="0"/>
          <w:bCs w:val="0"/>
          <w:color w:val="000000"/>
          <w:kern w:val="0"/>
          <w:sz w:val="24"/>
          <w:szCs w:val="24"/>
          <w:highlight w:val="none"/>
          <w:u w:val="single"/>
          <w:lang w:val="en-US" w:eastAsia="zh-CN" w:bidi="ar-SA"/>
        </w:rPr>
        <w:t>（被授权人的姓名、职务）</w:t>
      </w:r>
      <w:r>
        <w:rPr>
          <w:rFonts w:hint="eastAsia" w:ascii="宋体" w:hAnsi="宋体" w:eastAsia="宋体" w:cs="宋体"/>
          <w:b w:val="0"/>
          <w:bCs w:val="0"/>
          <w:color w:val="000000"/>
          <w:kern w:val="0"/>
          <w:sz w:val="24"/>
          <w:szCs w:val="24"/>
          <w:highlight w:val="none"/>
          <w:lang w:val="en-US" w:eastAsia="zh-CN" w:bidi="ar-SA"/>
        </w:rPr>
        <w:t>为我单位的合法代理人，就</w:t>
      </w:r>
      <w:r>
        <w:rPr>
          <w:rFonts w:hint="eastAsia" w:ascii="宋体" w:hAnsi="宋体" w:eastAsia="宋体" w:cs="宋体"/>
          <w:b w:val="0"/>
          <w:bCs w:val="0"/>
          <w:color w:val="000000"/>
          <w:kern w:val="0"/>
          <w:sz w:val="24"/>
          <w:szCs w:val="24"/>
          <w:highlight w:val="none"/>
          <w:u w:val="single"/>
          <w:lang w:val="en-US" w:eastAsia="zh-CN" w:bidi="ar-SA"/>
        </w:rPr>
        <w:t>（项目名称</w:t>
      </w:r>
      <w:r>
        <w:rPr>
          <w:rFonts w:hint="eastAsia" w:ascii="宋体" w:hAnsi="宋体" w:cs="宋体"/>
          <w:b w:val="0"/>
          <w:bCs w:val="0"/>
          <w:color w:val="000000"/>
          <w:kern w:val="0"/>
          <w:sz w:val="24"/>
          <w:szCs w:val="24"/>
          <w:highlight w:val="none"/>
          <w:u w:val="single"/>
          <w:lang w:val="en-US" w:eastAsia="zh-CN" w:bidi="ar-SA"/>
        </w:rPr>
        <w:t>、</w:t>
      </w:r>
      <w:r>
        <w:rPr>
          <w:rFonts w:hint="eastAsia" w:ascii="宋体" w:hAnsi="宋体" w:eastAsia="宋体" w:cs="宋体"/>
          <w:b w:val="0"/>
          <w:bCs w:val="0"/>
          <w:color w:val="000000"/>
          <w:kern w:val="0"/>
          <w:sz w:val="24"/>
          <w:szCs w:val="24"/>
          <w:highlight w:val="none"/>
          <w:u w:val="single"/>
          <w:lang w:val="en-US" w:eastAsia="zh-CN" w:bidi="ar-SA"/>
        </w:rPr>
        <w:t>项目编号</w:t>
      </w:r>
      <w:r>
        <w:rPr>
          <w:rFonts w:hint="eastAsia" w:ascii="宋体" w:hAnsi="宋体" w:cs="宋体"/>
          <w:b w:val="0"/>
          <w:bCs w:val="0"/>
          <w:color w:val="000000"/>
          <w:kern w:val="0"/>
          <w:sz w:val="24"/>
          <w:szCs w:val="24"/>
          <w:highlight w:val="none"/>
          <w:u w:val="single"/>
          <w:lang w:val="en-US" w:eastAsia="zh-CN" w:bidi="ar-SA"/>
        </w:rPr>
        <w:t>、包号</w:t>
      </w:r>
      <w:r>
        <w:rPr>
          <w:rFonts w:hint="eastAsia" w:ascii="宋体" w:hAnsi="宋体" w:eastAsia="宋体" w:cs="宋体"/>
          <w:b w:val="0"/>
          <w:bCs w:val="0"/>
          <w:color w:val="000000"/>
          <w:kern w:val="0"/>
          <w:sz w:val="24"/>
          <w:szCs w:val="24"/>
          <w:highlight w:val="none"/>
          <w:u w:val="single"/>
          <w:lang w:val="en-US" w:eastAsia="zh-CN" w:bidi="ar-SA"/>
        </w:rPr>
        <w:t>）</w:t>
      </w:r>
      <w:r>
        <w:rPr>
          <w:rFonts w:hint="eastAsia" w:ascii="宋体" w:hAnsi="宋体" w:eastAsia="宋体" w:cs="宋体"/>
          <w:b w:val="0"/>
          <w:bCs w:val="0"/>
          <w:color w:val="000000"/>
          <w:kern w:val="0"/>
          <w:sz w:val="24"/>
          <w:szCs w:val="24"/>
          <w:highlight w:val="none"/>
          <w:lang w:val="en-US" w:eastAsia="zh-CN" w:bidi="ar-SA"/>
        </w:rPr>
        <w:t>，以我单位名义处理一切与之有关的事务。</w:t>
      </w:r>
    </w:p>
    <w:p w14:paraId="0D81C1DD">
      <w:pPr>
        <w:pStyle w:val="2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本授权书于</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年</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月</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日签字生效,特此声明。</w:t>
      </w:r>
    </w:p>
    <w:p w14:paraId="146CDF32">
      <w:pPr>
        <w:pStyle w:val="14"/>
        <w:tabs>
          <w:tab w:val="left" w:pos="5580"/>
        </w:tabs>
        <w:spacing w:line="240" w:lineRule="atLeast"/>
        <w:ind w:firstLine="480" w:firstLineChars="200"/>
        <w:rPr>
          <w:rFonts w:hint="eastAsia" w:ascii="宋体" w:hAnsi="宋体" w:eastAsia="宋体" w:cs="宋体"/>
          <w:sz w:val="24"/>
          <w:highlight w:val="none"/>
          <w:lang w:val="en-US" w:eastAsia="zh-CN"/>
        </w:rPr>
      </w:pPr>
      <w:r>
        <w:rPr>
          <w:rFonts w:hint="default" w:ascii="宋体" w:hAnsi="宋体" w:eastAsia="宋体" w:cs="宋体"/>
          <w:sz w:val="24"/>
          <w:highlight w:val="none"/>
          <w:lang w:val="en-US"/>
        </w:rPr>
        <mc:AlternateContent>
          <mc:Choice Requires="wps">
            <w:drawing>
              <wp:anchor distT="0" distB="0" distL="114300" distR="114300" simplePos="0" relativeHeight="251662336" behindDoc="0" locked="0" layoutInCell="1" allowOverlap="1">
                <wp:simplePos x="0" y="0"/>
                <wp:positionH relativeFrom="column">
                  <wp:posOffset>2655570</wp:posOffset>
                </wp:positionH>
                <wp:positionV relativeFrom="paragraph">
                  <wp:posOffset>57150</wp:posOffset>
                </wp:positionV>
                <wp:extent cx="2668905" cy="1271905"/>
                <wp:effectExtent l="7620" t="7620" r="15875" b="15875"/>
                <wp:wrapNone/>
                <wp:docPr id="30" name="圆角矩形 30"/>
                <wp:cNvGraphicFramePr/>
                <a:graphic xmlns:a="http://schemas.openxmlformats.org/drawingml/2006/main">
                  <a:graphicData uri="http://schemas.microsoft.com/office/word/2010/wordprocessingShape">
                    <wps:wsp>
                      <wps:cNvSpPr/>
                      <wps:spPr>
                        <a:xfrm>
                          <a:off x="0" y="0"/>
                          <a:ext cx="2668905" cy="127190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BA326D9">
                            <w:pPr>
                              <w:jc w:val="both"/>
                              <w:rPr>
                                <w:rFonts w:hint="eastAsia" w:hAnsi="宋体"/>
                              </w:rPr>
                            </w:pPr>
                          </w:p>
                          <w:p w14:paraId="0AABD42C">
                            <w:pPr>
                              <w:jc w:val="both"/>
                              <w:rPr>
                                <w:rFonts w:hint="eastAsia" w:hAnsi="宋体"/>
                              </w:rPr>
                            </w:pPr>
                          </w:p>
                          <w:p w14:paraId="393AAB51">
                            <w:pPr>
                              <w:ind w:firstLine="420" w:firstLineChars="200"/>
                              <w:jc w:val="both"/>
                              <w:rPr>
                                <w:rFonts w:hint="default" w:eastAsiaTheme="minorEastAsia"/>
                                <w:lang w:val="en-US" w:eastAsia="zh-CN"/>
                              </w:rPr>
                            </w:pPr>
                            <w:r>
                              <w:rPr>
                                <w:rFonts w:hint="eastAsia" w:hAnsi="宋体"/>
                              </w:rPr>
                              <w:t>授权委托人身份证复印件</w:t>
                            </w:r>
                          </w:p>
                          <w:p w14:paraId="1C37D0F5"/>
                        </w:txbxContent>
                      </wps:txbx>
                      <wps:bodyPr upright="1"/>
                    </wps:wsp>
                  </a:graphicData>
                </a:graphic>
              </wp:anchor>
            </w:drawing>
          </mc:Choice>
          <mc:Fallback>
            <w:pict>
              <v:roundrect id="_x0000_s1026" o:spid="_x0000_s1026" o:spt="2" style="position:absolute;left:0pt;margin-left:209.1pt;margin-top:4.5pt;height:100.15pt;width:210.15pt;z-index:251662336;mso-width-relative:page;mso-height-relative:page;" fillcolor="#FFFFFF" filled="t" stroked="t" coordsize="21600,21600" arcsize="0.166666666666667" o:gfxdata="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Vy6FnaAAAACQEAAA8AAAAAAAAAAQAgAAAAIgAAAGRycy9kb3ducmV2LnhtbFBLAQIUABQAAAAI&#10;AIdO4kCpnNP+JAIAAFoEAAAOAAAAAAAAAAEAIAAAACkBAABkcnMvZTJvRG9jLnhtbFBLBQYAAAAA&#10;BgAGAFkBAAC/BQAAAAA=&#10;">
                <v:fill on="t" focussize="0,0"/>
                <v:stroke weight="1.25pt" color="#808080" joinstyle="round"/>
                <v:imagedata o:title=""/>
                <o:lock v:ext="edit" aspectratio="f"/>
                <v:textbox>
                  <w:txbxContent>
                    <w:p w14:paraId="2BA326D9">
                      <w:pPr>
                        <w:jc w:val="both"/>
                        <w:rPr>
                          <w:rFonts w:hint="eastAsia" w:hAnsi="宋体"/>
                        </w:rPr>
                      </w:pPr>
                    </w:p>
                    <w:p w14:paraId="0AABD42C">
                      <w:pPr>
                        <w:jc w:val="both"/>
                        <w:rPr>
                          <w:rFonts w:hint="eastAsia" w:hAnsi="宋体"/>
                        </w:rPr>
                      </w:pPr>
                    </w:p>
                    <w:p w14:paraId="393AAB51">
                      <w:pPr>
                        <w:ind w:firstLine="420" w:firstLineChars="200"/>
                        <w:jc w:val="both"/>
                        <w:rPr>
                          <w:rFonts w:hint="default" w:eastAsiaTheme="minorEastAsia"/>
                          <w:lang w:val="en-US" w:eastAsia="zh-CN"/>
                        </w:rPr>
                      </w:pPr>
                      <w:r>
                        <w:rPr>
                          <w:rFonts w:hint="eastAsia" w:hAnsi="宋体"/>
                        </w:rPr>
                        <w:t>授权委托人身份证复印件</w:t>
                      </w:r>
                    </w:p>
                    <w:p w14:paraId="1C37D0F5"/>
                  </w:txbxContent>
                </v:textbox>
              </v:roundrect>
            </w:pict>
          </mc:Fallback>
        </mc:AlternateContent>
      </w:r>
      <w:r>
        <w:rPr>
          <w:rFonts w:hint="default" w:ascii="宋体" w:hAnsi="宋体" w:eastAsia="宋体" w:cs="宋体"/>
          <w:sz w:val="24"/>
          <w:highlight w:val="none"/>
          <w:lang w:val="en-US"/>
        </w:rPr>
        <mc:AlternateContent>
          <mc:Choice Requires="wps">
            <w:drawing>
              <wp:anchor distT="0" distB="0" distL="114300" distR="114300" simplePos="0" relativeHeight="251661312" behindDoc="0" locked="0" layoutInCell="1" allowOverlap="1">
                <wp:simplePos x="0" y="0"/>
                <wp:positionH relativeFrom="column">
                  <wp:posOffset>-116205</wp:posOffset>
                </wp:positionH>
                <wp:positionV relativeFrom="paragraph">
                  <wp:posOffset>45720</wp:posOffset>
                </wp:positionV>
                <wp:extent cx="2586355" cy="1280795"/>
                <wp:effectExtent l="5080" t="4445" r="12065" b="10160"/>
                <wp:wrapNone/>
                <wp:docPr id="31" name="流程图: 可选过程 31"/>
                <wp:cNvGraphicFramePr/>
                <a:graphic xmlns:a="http://schemas.openxmlformats.org/drawingml/2006/main">
                  <a:graphicData uri="http://schemas.microsoft.com/office/word/2010/wordprocessingShape">
                    <wps:wsp>
                      <wps:cNvSpPr/>
                      <wps:spPr>
                        <a:xfrm>
                          <a:off x="0" y="0"/>
                          <a:ext cx="2586355" cy="12807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0C7D2F">
                            <w:pPr>
                              <w:jc w:val="center"/>
                              <w:rPr>
                                <w:rFonts w:hint="eastAsia" w:hAnsi="宋体"/>
                              </w:rPr>
                            </w:pPr>
                          </w:p>
                          <w:p w14:paraId="36D4A37C">
                            <w:pPr>
                              <w:jc w:val="center"/>
                              <w:rPr>
                                <w:rFonts w:hint="eastAsia" w:hAnsi="宋体"/>
                              </w:rPr>
                            </w:pPr>
                          </w:p>
                          <w:p w14:paraId="429B7268">
                            <w:pPr>
                              <w:jc w:val="center"/>
                              <w:rPr>
                                <w:rFonts w:hint="default" w:eastAsiaTheme="minorEastAsia"/>
                                <w:lang w:val="en-US" w:eastAsia="zh-CN"/>
                              </w:rPr>
                            </w:pPr>
                            <w:r>
                              <w:rPr>
                                <w:rFonts w:hint="eastAsia" w:hAnsi="宋体"/>
                              </w:rPr>
                              <w:t>授权委托人身份证复印件</w:t>
                            </w:r>
                          </w:p>
                        </w:txbxContent>
                      </wps:txbx>
                      <wps:bodyPr upright="1"/>
                    </wps:wsp>
                  </a:graphicData>
                </a:graphic>
              </wp:anchor>
            </w:drawing>
          </mc:Choice>
          <mc:Fallback>
            <w:pict>
              <v:shape id="_x0000_s1026" o:spid="_x0000_s1026" o:spt="176" type="#_x0000_t176" style="position:absolute;left:0pt;margin-left:-9.15pt;margin-top:3.6pt;height:100.85pt;width:203.65pt;z-index:251661312;mso-width-relative:page;mso-height-relative:page;" fillcolor="#FFFFFF" filled="t" stroked="t" coordsize="21600,21600" o:gfxdata="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Xqip1wAAAAkBAAAPAAAAAAAAAAEAIAAAACIAAABkcnMvZG93bnJldi54bWxQSwECFAAU&#10;AAAACACHTuJAlk4yJisCAABSBAAADgAAAAAAAAABACAAAAAmAQAAZHJzL2Uyb0RvYy54bWxQSwUG&#10;AAAAAAYABgBZAQAAwwUAAAAA&#10;">
                <v:fill on="t" focussize="0,0"/>
                <v:stroke color="#000000" joinstyle="miter"/>
                <v:imagedata o:title=""/>
                <o:lock v:ext="edit" aspectratio="f"/>
                <v:textbox>
                  <w:txbxContent>
                    <w:p w14:paraId="490C7D2F">
                      <w:pPr>
                        <w:jc w:val="center"/>
                        <w:rPr>
                          <w:rFonts w:hint="eastAsia" w:hAnsi="宋体"/>
                        </w:rPr>
                      </w:pPr>
                    </w:p>
                    <w:p w14:paraId="36D4A37C">
                      <w:pPr>
                        <w:jc w:val="center"/>
                        <w:rPr>
                          <w:rFonts w:hint="eastAsia" w:hAnsi="宋体"/>
                        </w:rPr>
                      </w:pPr>
                    </w:p>
                    <w:p w14:paraId="429B7268">
                      <w:pPr>
                        <w:jc w:val="center"/>
                        <w:rPr>
                          <w:rFonts w:hint="default" w:eastAsiaTheme="minorEastAsia"/>
                          <w:lang w:val="en-US" w:eastAsia="zh-CN"/>
                        </w:rPr>
                      </w:pPr>
                      <w:r>
                        <w:rPr>
                          <w:rFonts w:hint="eastAsia" w:hAnsi="宋体"/>
                        </w:rPr>
                        <w:t>授权委托人身份证复印件</w:t>
                      </w:r>
                    </w:p>
                  </w:txbxContent>
                </v:textbox>
              </v:shape>
            </w:pict>
          </mc:Fallback>
        </mc:AlternateContent>
      </w:r>
      <w:r>
        <w:rPr>
          <w:rFonts w:hint="eastAsia" w:ascii="宋体" w:hAnsi="宋体" w:eastAsia="宋体" w:cs="宋体"/>
          <w:sz w:val="24"/>
          <w:highlight w:val="none"/>
          <w:lang w:val="en-US" w:eastAsia="zh-CN"/>
        </w:rPr>
        <w:t xml:space="preserve">  </w:t>
      </w:r>
    </w:p>
    <w:p w14:paraId="52E4C9B2">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5D02816F">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55EE5B79">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7DDB6317">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04605A38">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157A300D">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055490D6">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2D05511A">
      <w:pPr>
        <w:pStyle w:val="14"/>
        <w:tabs>
          <w:tab w:val="left" w:pos="5580"/>
        </w:tabs>
        <w:spacing w:line="240" w:lineRule="atLeast"/>
        <w:ind w:firstLine="420" w:firstLineChars="200"/>
        <w:rPr>
          <w:rFonts w:hint="eastAsia" w:ascii="宋体" w:hAnsi="宋体" w:eastAsia="宋体" w:cs="宋体"/>
          <w:sz w:val="24"/>
          <w:highlight w:val="none"/>
          <w:lang w:val="en-US" w:eastAsia="zh-CN"/>
        </w:rPr>
      </w:pPr>
      <w:r>
        <w:rPr>
          <w:rFonts w:hint="eastAsia" w:ascii="宋体" w:hAnsi="宋体" w:eastAsia="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2720975</wp:posOffset>
                </wp:positionH>
                <wp:positionV relativeFrom="paragraph">
                  <wp:posOffset>46990</wp:posOffset>
                </wp:positionV>
                <wp:extent cx="2674620" cy="1283335"/>
                <wp:effectExtent l="7620" t="7620" r="10160" b="17145"/>
                <wp:wrapNone/>
                <wp:docPr id="32" name="圆角矩形 32"/>
                <wp:cNvGraphicFramePr/>
                <a:graphic xmlns:a="http://schemas.openxmlformats.org/drawingml/2006/main">
                  <a:graphicData uri="http://schemas.microsoft.com/office/word/2010/wordprocessingShape">
                    <wps:wsp>
                      <wps:cNvSpPr/>
                      <wps:spPr>
                        <a:xfrm>
                          <a:off x="0" y="0"/>
                          <a:ext cx="2674620" cy="12833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B6D4D4C">
                            <w:pPr>
                              <w:jc w:val="center"/>
                              <w:rPr>
                                <w:rFonts w:hint="eastAsia" w:hAnsi="宋体"/>
                              </w:rPr>
                            </w:pPr>
                          </w:p>
                          <w:p w14:paraId="13C80FBD">
                            <w:pPr>
                              <w:jc w:val="center"/>
                              <w:rPr>
                                <w:rFonts w:hint="eastAsia" w:hAnsi="宋体"/>
                              </w:rPr>
                            </w:pPr>
                          </w:p>
                          <w:p w14:paraId="21633D9C">
                            <w:pPr>
                              <w:ind w:firstLine="630" w:firstLineChars="300"/>
                              <w:jc w:val="both"/>
                              <w:rPr>
                                <w:rFonts w:hint="eastAsia" w:eastAsiaTheme="minorEastAsia"/>
                                <w:lang w:val="en-US" w:eastAsia="zh-CN"/>
                              </w:rPr>
                            </w:pPr>
                            <w:r>
                              <w:rPr>
                                <w:rFonts w:hint="eastAsia" w:hAnsi="宋体"/>
                              </w:rPr>
                              <w:t>法人身份证复印件</w:t>
                            </w:r>
                          </w:p>
                          <w:p w14:paraId="68F375AB"/>
                        </w:txbxContent>
                      </wps:txbx>
                      <wps:bodyPr upright="1"/>
                    </wps:wsp>
                  </a:graphicData>
                </a:graphic>
              </wp:anchor>
            </w:drawing>
          </mc:Choice>
          <mc:Fallback>
            <w:pict>
              <v:roundrect id="_x0000_s1026" o:spid="_x0000_s1026" o:spt="2" style="position:absolute;left:0pt;margin-left:214.25pt;margin-top:3.7pt;height:101.05pt;width:210.6pt;z-index:251664384;mso-width-relative:page;mso-height-relative:page;" fillcolor="#FFFFFF" filled="t" stroked="t" coordsize="21600,21600" arcsize="0.166666666666667" o:gfxdata="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WhoF2wAAAAkBAAAPAAAAAAAAAAEAIAAAACIAAABkcnMvZG93bnJldi54bWxQSwECFAAU&#10;AAAACACHTuJAOreTKicCAABaBAAADgAAAAAAAAABACAAAAAqAQAAZHJzL2Uyb0RvYy54bWxQSwUG&#10;AAAAAAYABgBZAQAAwwUAAAAA&#10;">
                <v:fill on="t" focussize="0,0"/>
                <v:stroke weight="1.25pt" color="#808080" joinstyle="round"/>
                <v:imagedata o:title=""/>
                <o:lock v:ext="edit" aspectratio="f"/>
                <v:textbox>
                  <w:txbxContent>
                    <w:p w14:paraId="5B6D4D4C">
                      <w:pPr>
                        <w:jc w:val="center"/>
                        <w:rPr>
                          <w:rFonts w:hint="eastAsia" w:hAnsi="宋体"/>
                        </w:rPr>
                      </w:pPr>
                    </w:p>
                    <w:p w14:paraId="13C80FBD">
                      <w:pPr>
                        <w:jc w:val="center"/>
                        <w:rPr>
                          <w:rFonts w:hint="eastAsia" w:hAnsi="宋体"/>
                        </w:rPr>
                      </w:pPr>
                    </w:p>
                    <w:p w14:paraId="21633D9C">
                      <w:pPr>
                        <w:ind w:firstLine="630" w:firstLineChars="300"/>
                        <w:jc w:val="both"/>
                        <w:rPr>
                          <w:rFonts w:hint="eastAsia" w:eastAsiaTheme="minorEastAsia"/>
                          <w:lang w:val="en-US" w:eastAsia="zh-CN"/>
                        </w:rPr>
                      </w:pPr>
                      <w:r>
                        <w:rPr>
                          <w:rFonts w:hint="eastAsia" w:hAnsi="宋体"/>
                        </w:rPr>
                        <w:t>法人身份证复印件</w:t>
                      </w:r>
                    </w:p>
                    <w:p w14:paraId="68F375AB"/>
                  </w:txbxContent>
                </v:textbox>
              </v:roundrect>
            </w:pict>
          </mc:Fallback>
        </mc:AlternateContent>
      </w:r>
      <w:r>
        <w:rPr>
          <w:rFonts w:hint="eastAsia" w:ascii="宋体" w:hAnsi="宋体" w:eastAsia="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-130175</wp:posOffset>
                </wp:positionH>
                <wp:positionV relativeFrom="paragraph">
                  <wp:posOffset>53975</wp:posOffset>
                </wp:positionV>
                <wp:extent cx="2593975" cy="1267460"/>
                <wp:effectExtent l="7620" t="7620" r="14605" b="20320"/>
                <wp:wrapNone/>
                <wp:docPr id="33" name="圆角矩形 33"/>
                <wp:cNvGraphicFramePr/>
                <a:graphic xmlns:a="http://schemas.openxmlformats.org/drawingml/2006/main">
                  <a:graphicData uri="http://schemas.microsoft.com/office/word/2010/wordprocessingShape">
                    <wps:wsp>
                      <wps:cNvSpPr/>
                      <wps:spPr>
                        <a:xfrm>
                          <a:off x="0" y="0"/>
                          <a:ext cx="2593975" cy="126746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6BBC3CB">
                            <w:pPr>
                              <w:jc w:val="both"/>
                              <w:rPr>
                                <w:rFonts w:hint="eastAsia" w:hAnsi="宋体"/>
                              </w:rPr>
                            </w:pPr>
                          </w:p>
                          <w:p w14:paraId="097BE326">
                            <w:pPr>
                              <w:jc w:val="both"/>
                              <w:rPr>
                                <w:rFonts w:hint="eastAsia" w:hAnsi="宋体"/>
                              </w:rPr>
                            </w:pPr>
                          </w:p>
                          <w:p w14:paraId="0CF00E57">
                            <w:pPr>
                              <w:ind w:firstLine="840" w:firstLineChars="400"/>
                              <w:jc w:val="both"/>
                              <w:rPr>
                                <w:rFonts w:hint="eastAsia" w:eastAsiaTheme="minorEastAsia"/>
                                <w:lang w:val="en-US" w:eastAsia="zh-CN"/>
                              </w:rPr>
                            </w:pPr>
                            <w:r>
                              <w:rPr>
                                <w:rFonts w:hint="eastAsia" w:hAnsi="宋体"/>
                              </w:rPr>
                              <w:t>法人身份证复印件</w:t>
                            </w:r>
                          </w:p>
                          <w:p w14:paraId="4FF3C61F"/>
                        </w:txbxContent>
                      </wps:txbx>
                      <wps:bodyPr upright="1"/>
                    </wps:wsp>
                  </a:graphicData>
                </a:graphic>
              </wp:anchor>
            </w:drawing>
          </mc:Choice>
          <mc:Fallback>
            <w:pict>
              <v:roundrect id="_x0000_s1026" o:spid="_x0000_s1026" o:spt="2" style="position:absolute;left:0pt;margin-left:-10.25pt;margin-top:4.25pt;height:99.8pt;width:204.25pt;z-index:251663360;mso-width-relative:page;mso-height-relative:page;" fillcolor="#FFFFFF" filled="t" stroked="t" coordsize="21600,21600" arcsize="0.166666666666667" o:gfxdata="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0foMvaAAAACQEAAA8AAAAAAAAAAQAgAAAAIgAAAGRycy9kb3ducmV2LnhtbFBLAQIUABQA&#10;AAAIAIdO4kCSfWojJwIAAFoEAAAOAAAAAAAAAAEAIAAAACkBAABkcnMvZTJvRG9jLnhtbFBLBQYA&#10;AAAABgAGAFkBAADCBQAAAAA=&#10;">
                <v:fill on="t" focussize="0,0"/>
                <v:stroke weight="1.25pt" color="#808080" joinstyle="round"/>
                <v:imagedata o:title=""/>
                <o:lock v:ext="edit" aspectratio="f"/>
                <v:textbox>
                  <w:txbxContent>
                    <w:p w14:paraId="76BBC3CB">
                      <w:pPr>
                        <w:jc w:val="both"/>
                        <w:rPr>
                          <w:rFonts w:hint="eastAsia" w:hAnsi="宋体"/>
                        </w:rPr>
                      </w:pPr>
                    </w:p>
                    <w:p w14:paraId="097BE326">
                      <w:pPr>
                        <w:jc w:val="both"/>
                        <w:rPr>
                          <w:rFonts w:hint="eastAsia" w:hAnsi="宋体"/>
                        </w:rPr>
                      </w:pPr>
                    </w:p>
                    <w:p w14:paraId="0CF00E57">
                      <w:pPr>
                        <w:ind w:firstLine="840" w:firstLineChars="400"/>
                        <w:jc w:val="both"/>
                        <w:rPr>
                          <w:rFonts w:hint="eastAsia" w:eastAsiaTheme="minorEastAsia"/>
                          <w:lang w:val="en-US" w:eastAsia="zh-CN"/>
                        </w:rPr>
                      </w:pPr>
                      <w:r>
                        <w:rPr>
                          <w:rFonts w:hint="eastAsia" w:hAnsi="宋体"/>
                        </w:rPr>
                        <w:t>法人身份证复印件</w:t>
                      </w:r>
                    </w:p>
                    <w:p w14:paraId="4FF3C61F"/>
                  </w:txbxContent>
                </v:textbox>
              </v:roundrect>
            </w:pict>
          </mc:Fallback>
        </mc:AlternateContent>
      </w:r>
    </w:p>
    <w:p w14:paraId="09A5EDEC">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593E6A7B">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19503986">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7F910258">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6552B315">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5D38BEA3">
      <w:pPr>
        <w:pStyle w:val="14"/>
        <w:tabs>
          <w:tab w:val="left" w:pos="5580"/>
        </w:tabs>
        <w:spacing w:line="240" w:lineRule="atLeast"/>
        <w:ind w:firstLine="480" w:firstLineChars="200"/>
        <w:rPr>
          <w:rFonts w:hint="eastAsia" w:ascii="宋体" w:hAnsi="宋体" w:eastAsia="宋体" w:cs="宋体"/>
          <w:sz w:val="24"/>
          <w:highlight w:val="none"/>
          <w:lang w:val="en-US" w:eastAsia="zh-CN"/>
        </w:rPr>
      </w:pPr>
    </w:p>
    <w:p w14:paraId="34877CD9">
      <w:pPr>
        <w:pStyle w:val="14"/>
        <w:tabs>
          <w:tab w:val="left" w:pos="5580"/>
        </w:tabs>
        <w:spacing w:line="240" w:lineRule="atLeast"/>
        <w:rPr>
          <w:rFonts w:hint="eastAsia" w:ascii="宋体" w:hAnsi="宋体" w:eastAsia="宋体" w:cs="宋体"/>
          <w:sz w:val="24"/>
          <w:highlight w:val="none"/>
          <w:lang w:val="en-US" w:eastAsia="zh-CN"/>
        </w:rPr>
      </w:pPr>
    </w:p>
    <w:p w14:paraId="54651D99">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（盖单位章）;</w:t>
      </w:r>
      <w:r>
        <w:rPr>
          <w:rFonts w:hint="eastAsia" w:ascii="宋体" w:hAnsi="宋体" w:eastAsia="宋体" w:cs="宋体"/>
          <w:sz w:val="24"/>
          <w:highlight w:val="none"/>
          <w:u w:val="single"/>
        </w:rPr>
        <w:t xml:space="preserve">                          </w:t>
      </w:r>
    </w:p>
    <w:p w14:paraId="0C06B938">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法定代表人（签字或签章）：</w:t>
      </w:r>
      <w:r>
        <w:rPr>
          <w:rFonts w:hint="eastAsia" w:ascii="宋体" w:hAnsi="宋体" w:eastAsia="宋体" w:cs="宋体"/>
          <w:sz w:val="24"/>
          <w:highlight w:val="none"/>
          <w:u w:val="single"/>
        </w:rPr>
        <w:t xml:space="preserve">                    </w:t>
      </w:r>
    </w:p>
    <w:p w14:paraId="7C14C293">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u w:val="single" w:color="EEECE1"/>
        </w:rPr>
        <w:t>身份证号码</w:t>
      </w:r>
      <w:r>
        <w:rPr>
          <w:rFonts w:hint="eastAsia" w:ascii="宋体" w:hAnsi="宋体" w:eastAsia="宋体" w:cs="宋体"/>
          <w:sz w:val="24"/>
          <w:highlight w:val="none"/>
        </w:rPr>
        <w:t>：_________________________________</w:t>
      </w:r>
    </w:p>
    <w:p w14:paraId="4F6A3E9E">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委托代理人（签字或签章）：</w:t>
      </w:r>
      <w:r>
        <w:rPr>
          <w:rFonts w:hint="eastAsia" w:ascii="宋体" w:hAnsi="宋体" w:eastAsia="宋体" w:cs="宋体"/>
          <w:sz w:val="24"/>
          <w:highlight w:val="none"/>
          <w:u w:val="single"/>
        </w:rPr>
        <w:t xml:space="preserve">                    </w:t>
      </w:r>
    </w:p>
    <w:p w14:paraId="328E1A23">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p>
    <w:p w14:paraId="5C6DF1CA">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详细通讯地址：</w:t>
      </w:r>
      <w:r>
        <w:rPr>
          <w:rFonts w:hint="eastAsia" w:ascii="宋体" w:hAnsi="宋体" w:eastAsia="宋体" w:cs="宋体"/>
          <w:sz w:val="24"/>
          <w:highlight w:val="none"/>
          <w:u w:val="single"/>
        </w:rPr>
        <w:t xml:space="preserve">                               </w:t>
      </w:r>
    </w:p>
    <w:p w14:paraId="53611E10">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邮 政 编 码 ：</w:t>
      </w:r>
      <w:r>
        <w:rPr>
          <w:rFonts w:hint="eastAsia" w:ascii="宋体" w:hAnsi="宋体" w:eastAsia="宋体" w:cs="宋体"/>
          <w:sz w:val="24"/>
          <w:highlight w:val="none"/>
          <w:u w:val="single"/>
        </w:rPr>
        <w:t xml:space="preserve">                               </w:t>
      </w:r>
    </w:p>
    <w:p w14:paraId="780E3EF0">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p>
    <w:p w14:paraId="20137A57">
      <w:pPr>
        <w:pStyle w:val="14"/>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p>
    <w:p w14:paraId="15D431E6">
      <w:pPr>
        <w:bidi w:val="0"/>
        <w:rPr>
          <w:rFonts w:hint="eastAsia"/>
        </w:rPr>
      </w:pPr>
    </w:p>
    <w:p w14:paraId="21DEAECE">
      <w:pPr>
        <w:bidi w:val="0"/>
        <w:rPr>
          <w:rFonts w:hint="eastAsia"/>
        </w:rPr>
      </w:pPr>
    </w:p>
    <w:p w14:paraId="0B856A5E">
      <w:pPr>
        <w:pStyle w:val="29"/>
        <w:rPr>
          <w:rFonts w:hint="eastAsia"/>
        </w:rPr>
      </w:pPr>
    </w:p>
    <w:p w14:paraId="7B21A0CB">
      <w:pPr>
        <w:pStyle w:val="29"/>
        <w:rPr>
          <w:rFonts w:hint="eastAsia"/>
        </w:rPr>
      </w:pPr>
    </w:p>
    <w:p w14:paraId="0D98DAC0">
      <w:pPr>
        <w:numPr>
          <w:ilvl w:val="0"/>
          <w:numId w:val="0"/>
        </w:numPr>
        <w:bidi w:val="0"/>
        <w:jc w:val="left"/>
        <w:outlineLvl w:val="9"/>
        <w:rPr>
          <w:rFonts w:hint="eastAsia" w:ascii="宋体" w:hAnsi="宋体" w:eastAsia="宋体" w:cs="宋体"/>
          <w:sz w:val="30"/>
          <w:szCs w:val="30"/>
          <w:lang w:val="en-US" w:eastAsia="zh-CN"/>
        </w:rPr>
      </w:pPr>
      <w:bookmarkStart w:id="380" w:name="_Toc14143"/>
    </w:p>
    <w:p w14:paraId="430764AD">
      <w:pPr>
        <w:numPr>
          <w:ilvl w:val="0"/>
          <w:numId w:val="0"/>
        </w:numPr>
        <w:bidi w:val="0"/>
        <w:jc w:val="left"/>
        <w:outlineLvl w:val="2"/>
        <w:rPr>
          <w:rFonts w:hint="eastAsia"/>
          <w:sz w:val="32"/>
          <w:szCs w:val="40"/>
        </w:rPr>
      </w:pPr>
      <w:bookmarkStart w:id="381" w:name="_Toc21625"/>
      <w:r>
        <w:rPr>
          <w:rFonts w:hint="eastAsia" w:ascii="宋体" w:hAnsi="宋体" w:eastAsia="宋体" w:cs="宋体"/>
          <w:sz w:val="30"/>
          <w:szCs w:val="30"/>
          <w:lang w:val="en-US" w:eastAsia="zh-CN"/>
        </w:rPr>
        <w:t>4、</w:t>
      </w:r>
      <w:r>
        <w:rPr>
          <w:rFonts w:hint="eastAsia" w:ascii="宋体" w:hAnsi="宋体" w:eastAsia="宋体" w:cs="宋体"/>
          <w:sz w:val="30"/>
          <w:szCs w:val="30"/>
        </w:rPr>
        <w:t>近6个月任意一个月的完税证明</w:t>
      </w:r>
      <w:bookmarkEnd w:id="380"/>
      <w:bookmarkEnd w:id="381"/>
    </w:p>
    <w:p w14:paraId="21774633">
      <w:pPr>
        <w:numPr>
          <w:ilvl w:val="0"/>
          <w:numId w:val="0"/>
        </w:numPr>
        <w:bidi w:val="0"/>
        <w:ind w:firstLine="480" w:firstLineChars="200"/>
        <w:jc w:val="left"/>
        <w:outlineLvl w:val="9"/>
        <w:rPr>
          <w:rFonts w:hint="eastAsia" w:ascii="宋体" w:hAnsi="宋体" w:cs="宋体"/>
          <w:sz w:val="24"/>
          <w:szCs w:val="24"/>
          <w:lang w:val="en-US" w:eastAsia="zh-CN"/>
        </w:rPr>
      </w:pPr>
    </w:p>
    <w:p w14:paraId="4D9C1091">
      <w:pPr>
        <w:numPr>
          <w:ilvl w:val="0"/>
          <w:numId w:val="0"/>
        </w:numPr>
        <w:bidi w:val="0"/>
        <w:ind w:firstLine="480" w:firstLineChars="200"/>
        <w:jc w:val="left"/>
        <w:outlineLvl w:val="9"/>
        <w:rPr>
          <w:rFonts w:hint="eastAsia"/>
          <w:sz w:val="32"/>
          <w:szCs w:val="40"/>
        </w:rPr>
      </w:pPr>
      <w:r>
        <w:rPr>
          <w:rFonts w:hint="eastAsia" w:ascii="宋体" w:hAnsi="宋体" w:cs="宋体"/>
          <w:sz w:val="24"/>
          <w:szCs w:val="24"/>
          <w:lang w:val="en-US" w:eastAsia="zh-CN"/>
        </w:rPr>
        <w:t>注：</w:t>
      </w:r>
      <w:r>
        <w:rPr>
          <w:rFonts w:hint="eastAsia" w:ascii="宋体" w:hAnsi="宋体" w:eastAsia="宋体" w:cs="宋体"/>
          <w:sz w:val="24"/>
          <w:szCs w:val="24"/>
        </w:rPr>
        <w:t>“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5F57B7E6">
      <w:pPr>
        <w:bidi w:val="0"/>
        <w:rPr>
          <w:rFonts w:hint="eastAsia"/>
        </w:rPr>
      </w:pPr>
    </w:p>
    <w:p w14:paraId="06F42076">
      <w:pPr>
        <w:pStyle w:val="29"/>
        <w:rPr>
          <w:rFonts w:hint="eastAsia"/>
        </w:rPr>
      </w:pPr>
    </w:p>
    <w:p w14:paraId="48969F7B">
      <w:pPr>
        <w:pStyle w:val="29"/>
        <w:rPr>
          <w:rFonts w:hint="eastAsia"/>
        </w:rPr>
      </w:pPr>
    </w:p>
    <w:p w14:paraId="76A255A2">
      <w:pPr>
        <w:pStyle w:val="29"/>
        <w:ind w:left="0" w:leftChars="0" w:firstLine="0" w:firstLineChars="0"/>
        <w:jc w:val="left"/>
        <w:outlineLvl w:val="9"/>
        <w:rPr>
          <w:rFonts w:hint="eastAsia" w:ascii="宋体" w:hAnsi="宋体" w:eastAsia="宋体" w:cs="宋体"/>
          <w:sz w:val="32"/>
          <w:szCs w:val="40"/>
        </w:rPr>
      </w:pPr>
    </w:p>
    <w:p w14:paraId="51043998">
      <w:pPr>
        <w:pStyle w:val="29"/>
        <w:ind w:left="0" w:leftChars="0" w:firstLine="0" w:firstLineChars="0"/>
        <w:jc w:val="left"/>
        <w:outlineLvl w:val="9"/>
        <w:rPr>
          <w:rFonts w:hint="eastAsia" w:ascii="宋体" w:hAnsi="宋体" w:eastAsia="宋体" w:cs="宋体"/>
          <w:sz w:val="32"/>
          <w:szCs w:val="40"/>
        </w:rPr>
      </w:pPr>
    </w:p>
    <w:p w14:paraId="6554F4EA">
      <w:pPr>
        <w:pStyle w:val="29"/>
        <w:ind w:left="0" w:leftChars="0" w:firstLine="0" w:firstLineChars="0"/>
        <w:jc w:val="left"/>
        <w:outlineLvl w:val="9"/>
        <w:rPr>
          <w:rFonts w:hint="eastAsia" w:ascii="宋体" w:hAnsi="宋体" w:eastAsia="宋体" w:cs="宋体"/>
          <w:sz w:val="32"/>
          <w:szCs w:val="40"/>
        </w:rPr>
      </w:pPr>
    </w:p>
    <w:p w14:paraId="5DCBFD4A">
      <w:pPr>
        <w:pStyle w:val="29"/>
        <w:ind w:left="0" w:leftChars="0" w:firstLine="0" w:firstLineChars="0"/>
        <w:jc w:val="left"/>
        <w:outlineLvl w:val="9"/>
        <w:rPr>
          <w:rFonts w:hint="eastAsia" w:ascii="宋体" w:hAnsi="宋体" w:eastAsia="宋体" w:cs="宋体"/>
          <w:sz w:val="32"/>
          <w:szCs w:val="40"/>
        </w:rPr>
      </w:pPr>
    </w:p>
    <w:p w14:paraId="4BE66FB2">
      <w:pPr>
        <w:pStyle w:val="29"/>
        <w:ind w:left="0" w:leftChars="0" w:firstLine="0" w:firstLineChars="0"/>
        <w:jc w:val="left"/>
        <w:outlineLvl w:val="9"/>
        <w:rPr>
          <w:rFonts w:hint="eastAsia" w:ascii="宋体" w:hAnsi="宋体" w:eastAsia="宋体" w:cs="宋体"/>
          <w:sz w:val="32"/>
          <w:szCs w:val="40"/>
        </w:rPr>
      </w:pPr>
    </w:p>
    <w:p w14:paraId="07C04F68">
      <w:pPr>
        <w:pStyle w:val="29"/>
        <w:ind w:left="0" w:leftChars="0" w:firstLine="0" w:firstLineChars="0"/>
        <w:jc w:val="left"/>
        <w:outlineLvl w:val="9"/>
        <w:rPr>
          <w:rFonts w:hint="eastAsia" w:ascii="宋体" w:hAnsi="宋体" w:eastAsia="宋体" w:cs="宋体"/>
          <w:sz w:val="32"/>
          <w:szCs w:val="40"/>
        </w:rPr>
      </w:pPr>
    </w:p>
    <w:p w14:paraId="3A30E956">
      <w:pPr>
        <w:pStyle w:val="29"/>
        <w:ind w:left="0" w:leftChars="0" w:firstLine="0" w:firstLineChars="0"/>
        <w:jc w:val="left"/>
        <w:outlineLvl w:val="9"/>
        <w:rPr>
          <w:rFonts w:hint="eastAsia" w:ascii="宋体" w:hAnsi="宋体" w:eastAsia="宋体" w:cs="宋体"/>
          <w:sz w:val="32"/>
          <w:szCs w:val="40"/>
        </w:rPr>
      </w:pPr>
    </w:p>
    <w:p w14:paraId="62E0D767">
      <w:pPr>
        <w:pStyle w:val="29"/>
        <w:ind w:left="0" w:leftChars="0" w:firstLine="0" w:firstLineChars="0"/>
        <w:jc w:val="left"/>
        <w:outlineLvl w:val="9"/>
        <w:rPr>
          <w:rFonts w:hint="eastAsia" w:ascii="宋体" w:hAnsi="宋体" w:eastAsia="宋体" w:cs="宋体"/>
          <w:sz w:val="32"/>
          <w:szCs w:val="40"/>
        </w:rPr>
      </w:pPr>
    </w:p>
    <w:p w14:paraId="42C120C9">
      <w:pPr>
        <w:pStyle w:val="29"/>
        <w:ind w:left="0" w:leftChars="0" w:firstLine="0" w:firstLineChars="0"/>
        <w:jc w:val="left"/>
        <w:outlineLvl w:val="9"/>
        <w:rPr>
          <w:rFonts w:hint="eastAsia" w:ascii="宋体" w:hAnsi="宋体" w:eastAsia="宋体" w:cs="宋体"/>
          <w:sz w:val="32"/>
          <w:szCs w:val="40"/>
        </w:rPr>
      </w:pPr>
    </w:p>
    <w:p w14:paraId="510658B9">
      <w:pPr>
        <w:pStyle w:val="29"/>
        <w:numPr>
          <w:ilvl w:val="0"/>
          <w:numId w:val="11"/>
        </w:numPr>
        <w:ind w:left="0" w:leftChars="0" w:firstLine="0" w:firstLineChars="0"/>
        <w:jc w:val="left"/>
        <w:outlineLvl w:val="2"/>
        <w:rPr>
          <w:rFonts w:hint="eastAsia" w:ascii="宋体" w:hAnsi="宋体" w:eastAsia="宋体" w:cs="宋体"/>
          <w:sz w:val="30"/>
          <w:szCs w:val="30"/>
        </w:rPr>
      </w:pPr>
      <w:bookmarkStart w:id="382" w:name="_Toc11403"/>
      <w:bookmarkStart w:id="383" w:name="_Toc22611"/>
      <w:r>
        <w:rPr>
          <w:rFonts w:hint="eastAsia" w:ascii="宋体" w:hAnsi="宋体" w:eastAsia="宋体" w:cs="宋体"/>
          <w:sz w:val="30"/>
          <w:szCs w:val="30"/>
        </w:rPr>
        <w:t>近6个月任意一个月缴纳社会保险的凭据</w:t>
      </w:r>
      <w:bookmarkEnd w:id="382"/>
      <w:bookmarkEnd w:id="383"/>
    </w:p>
    <w:p w14:paraId="4AE3C0E5">
      <w:pPr>
        <w:pStyle w:val="29"/>
        <w:widowControl w:val="0"/>
        <w:numPr>
          <w:ilvl w:val="0"/>
          <w:numId w:val="0"/>
        </w:numPr>
        <w:jc w:val="left"/>
        <w:outlineLvl w:val="9"/>
        <w:rPr>
          <w:rFonts w:hint="eastAsia" w:ascii="宋体" w:hAnsi="宋体" w:eastAsia="宋体" w:cs="宋体"/>
          <w:sz w:val="30"/>
          <w:szCs w:val="30"/>
        </w:rPr>
      </w:pPr>
    </w:p>
    <w:p w14:paraId="52DC121B">
      <w:pPr>
        <w:pStyle w:val="29"/>
        <w:widowControl w:val="0"/>
        <w:numPr>
          <w:ilvl w:val="0"/>
          <w:numId w:val="0"/>
        </w:numPr>
        <w:jc w:val="left"/>
        <w:outlineLvl w:val="9"/>
        <w:rPr>
          <w:rFonts w:hint="eastAsia" w:ascii="宋体" w:hAnsi="宋体" w:eastAsia="宋体" w:cs="宋体"/>
          <w:sz w:val="30"/>
          <w:szCs w:val="30"/>
        </w:rPr>
      </w:pPr>
    </w:p>
    <w:p w14:paraId="34399646">
      <w:pPr>
        <w:pStyle w:val="29"/>
        <w:numPr>
          <w:ilvl w:val="0"/>
          <w:numId w:val="0"/>
        </w:numPr>
        <w:ind w:leftChars="0"/>
        <w:jc w:val="left"/>
        <w:outlineLvl w:val="9"/>
        <w:rPr>
          <w:rFonts w:hint="eastAsia" w:ascii="宋体" w:hAnsi="宋体" w:eastAsia="宋体" w:cs="宋体"/>
          <w:sz w:val="32"/>
          <w:szCs w:val="40"/>
        </w:rPr>
      </w:pPr>
    </w:p>
    <w:p w14:paraId="7D34A35B">
      <w:pPr>
        <w:pStyle w:val="29"/>
        <w:rPr>
          <w:rFonts w:hint="eastAsia"/>
        </w:rPr>
      </w:pPr>
    </w:p>
    <w:p w14:paraId="6C60217E">
      <w:pPr>
        <w:bidi w:val="0"/>
        <w:rPr>
          <w:rFonts w:hint="eastAsia"/>
        </w:rPr>
      </w:pPr>
    </w:p>
    <w:p w14:paraId="14C65635">
      <w:pPr>
        <w:pStyle w:val="29"/>
        <w:rPr>
          <w:rFonts w:hint="eastAsia"/>
        </w:rPr>
      </w:pPr>
    </w:p>
    <w:p w14:paraId="4EE50FA0">
      <w:pPr>
        <w:pStyle w:val="29"/>
        <w:rPr>
          <w:rFonts w:hint="eastAsia"/>
        </w:rPr>
      </w:pPr>
    </w:p>
    <w:p w14:paraId="4EF1B44D">
      <w:pPr>
        <w:pStyle w:val="29"/>
        <w:rPr>
          <w:rFonts w:hint="eastAsia"/>
        </w:rPr>
      </w:pPr>
    </w:p>
    <w:p w14:paraId="0DDB5615">
      <w:pPr>
        <w:pStyle w:val="29"/>
        <w:ind w:left="0" w:leftChars="0" w:firstLine="0" w:firstLineChars="0"/>
        <w:rPr>
          <w:rFonts w:hint="eastAsia"/>
        </w:rPr>
      </w:pPr>
    </w:p>
    <w:p w14:paraId="3C5DF6A2">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30"/>
          <w:szCs w:val="30"/>
        </w:rPr>
      </w:pPr>
      <w:bookmarkStart w:id="384" w:name="_Toc21617"/>
      <w:bookmarkStart w:id="385" w:name="_Toc9903"/>
      <w:r>
        <w:rPr>
          <w:rFonts w:hint="eastAsia" w:ascii="宋体" w:hAnsi="宋体" w:eastAsia="宋体" w:cs="宋体"/>
          <w:sz w:val="28"/>
          <w:szCs w:val="28"/>
        </w:rPr>
        <w:t>6、</w:t>
      </w:r>
      <w:bookmarkEnd w:id="384"/>
      <w:r>
        <w:rPr>
          <w:rFonts w:hint="eastAsia" w:ascii="宋体" w:hAnsi="宋体" w:eastAsia="宋体" w:cs="宋体"/>
          <w:sz w:val="28"/>
          <w:szCs w:val="28"/>
        </w:rPr>
        <w:t>供应商若是生产企业的，须具备有效的《药品生产许可证》（中药饮片）；供应商若是经营企业须具备有效的《药品经营许可证》（中药饮片）</w:t>
      </w:r>
      <w:bookmarkEnd w:id="385"/>
    </w:p>
    <w:p w14:paraId="3A2A4F99">
      <w:pPr>
        <w:pStyle w:val="29"/>
        <w:rPr>
          <w:rFonts w:hint="eastAsia"/>
          <w:sz w:val="32"/>
          <w:szCs w:val="40"/>
        </w:rPr>
      </w:pPr>
    </w:p>
    <w:p w14:paraId="2E1B5058">
      <w:pPr>
        <w:pStyle w:val="29"/>
        <w:rPr>
          <w:rFonts w:hint="eastAsia"/>
          <w:sz w:val="32"/>
          <w:szCs w:val="40"/>
        </w:rPr>
      </w:pPr>
    </w:p>
    <w:p w14:paraId="3D599375">
      <w:pPr>
        <w:pStyle w:val="29"/>
        <w:rPr>
          <w:rFonts w:hint="eastAsia"/>
          <w:sz w:val="32"/>
          <w:szCs w:val="40"/>
        </w:rPr>
      </w:pPr>
    </w:p>
    <w:p w14:paraId="3C38CCC4">
      <w:pPr>
        <w:pStyle w:val="29"/>
        <w:rPr>
          <w:rFonts w:hint="eastAsia"/>
          <w:sz w:val="32"/>
          <w:szCs w:val="40"/>
        </w:rPr>
      </w:pPr>
    </w:p>
    <w:p w14:paraId="4A2FD41E">
      <w:pPr>
        <w:pStyle w:val="29"/>
        <w:ind w:left="0" w:leftChars="0" w:firstLine="0" w:firstLineChars="0"/>
        <w:rPr>
          <w:rFonts w:hint="eastAsia"/>
          <w:sz w:val="32"/>
          <w:szCs w:val="40"/>
        </w:rPr>
      </w:pPr>
    </w:p>
    <w:p w14:paraId="29848CE4">
      <w:pPr>
        <w:bidi w:val="0"/>
        <w:jc w:val="both"/>
        <w:outlineLvl w:val="2"/>
        <w:rPr>
          <w:rFonts w:hint="eastAsia" w:ascii="宋体" w:hAnsi="宋体" w:eastAsia="宋体" w:cs="宋体"/>
          <w:b w:val="0"/>
          <w:kern w:val="2"/>
          <w:sz w:val="28"/>
          <w:szCs w:val="28"/>
          <w:lang w:val="en-US" w:eastAsia="zh-CN" w:bidi="ar-SA"/>
        </w:rPr>
      </w:pPr>
      <w:bookmarkStart w:id="386" w:name="_Toc25370"/>
      <w:bookmarkStart w:id="387" w:name="_Toc20625"/>
      <w:r>
        <w:rPr>
          <w:rFonts w:hint="eastAsia" w:ascii="宋体" w:hAnsi="宋体" w:eastAsia="宋体" w:cs="宋体"/>
          <w:b w:val="0"/>
          <w:kern w:val="2"/>
          <w:sz w:val="28"/>
          <w:szCs w:val="28"/>
          <w:lang w:val="en-US" w:eastAsia="zh-CN" w:bidi="ar-SA"/>
        </w:rPr>
        <w:t>7、提供近两年内任意一年的（2023年或2024年）财务审计报告（新成立未满一年的公司可提供近6个月内任意一个月的银行资信证明）</w:t>
      </w:r>
      <w:bookmarkEnd w:id="386"/>
      <w:bookmarkEnd w:id="387"/>
    </w:p>
    <w:p w14:paraId="567347C2">
      <w:pPr>
        <w:pStyle w:val="29"/>
        <w:outlineLvl w:val="9"/>
        <w:rPr>
          <w:rFonts w:hint="eastAsia"/>
          <w:sz w:val="32"/>
          <w:szCs w:val="40"/>
        </w:rPr>
      </w:pPr>
    </w:p>
    <w:p w14:paraId="628A779B">
      <w:pPr>
        <w:pStyle w:val="29"/>
        <w:ind w:left="0" w:leftChars="0" w:firstLine="0" w:firstLineChars="0"/>
        <w:outlineLvl w:val="9"/>
        <w:rPr>
          <w:rFonts w:hint="eastAsia" w:ascii="宋体" w:hAnsi="宋体" w:eastAsia="宋体" w:cs="宋体"/>
          <w:sz w:val="28"/>
          <w:szCs w:val="28"/>
        </w:rPr>
      </w:pPr>
    </w:p>
    <w:p w14:paraId="4BFD54D4">
      <w:pPr>
        <w:pStyle w:val="29"/>
        <w:ind w:left="0" w:leftChars="0" w:firstLine="0" w:firstLineChars="0"/>
        <w:outlineLvl w:val="9"/>
        <w:rPr>
          <w:rFonts w:hint="eastAsia" w:ascii="宋体" w:hAnsi="宋体" w:eastAsia="宋体" w:cs="宋体"/>
          <w:sz w:val="28"/>
          <w:szCs w:val="28"/>
        </w:rPr>
      </w:pPr>
    </w:p>
    <w:p w14:paraId="41033CB1">
      <w:pPr>
        <w:pStyle w:val="29"/>
        <w:ind w:left="0" w:leftChars="0" w:firstLine="0" w:firstLineChars="0"/>
        <w:outlineLvl w:val="9"/>
        <w:rPr>
          <w:rFonts w:hint="eastAsia" w:ascii="宋体" w:hAnsi="宋体" w:eastAsia="宋体" w:cs="宋体"/>
          <w:sz w:val="28"/>
          <w:szCs w:val="28"/>
        </w:rPr>
      </w:pPr>
    </w:p>
    <w:p w14:paraId="393824C8">
      <w:pPr>
        <w:pStyle w:val="29"/>
        <w:ind w:left="0" w:leftChars="0" w:firstLine="0" w:firstLineChars="0"/>
        <w:outlineLvl w:val="9"/>
        <w:rPr>
          <w:rFonts w:hint="eastAsia" w:ascii="宋体" w:hAnsi="宋体" w:eastAsia="宋体" w:cs="宋体"/>
          <w:sz w:val="28"/>
          <w:szCs w:val="28"/>
        </w:rPr>
      </w:pPr>
    </w:p>
    <w:p w14:paraId="24BA69B8">
      <w:pPr>
        <w:pStyle w:val="29"/>
        <w:ind w:left="0" w:leftChars="0" w:firstLine="0" w:firstLineChars="0"/>
        <w:outlineLvl w:val="9"/>
        <w:rPr>
          <w:rFonts w:hint="eastAsia" w:ascii="宋体" w:hAnsi="宋体" w:eastAsia="宋体" w:cs="宋体"/>
          <w:sz w:val="28"/>
          <w:szCs w:val="28"/>
        </w:rPr>
      </w:pPr>
    </w:p>
    <w:p w14:paraId="3A3D29C7">
      <w:pPr>
        <w:pStyle w:val="29"/>
        <w:ind w:left="0" w:leftChars="0" w:firstLine="0" w:firstLineChars="0"/>
        <w:outlineLvl w:val="9"/>
        <w:rPr>
          <w:rFonts w:hint="eastAsia" w:ascii="宋体" w:hAnsi="宋体" w:eastAsia="宋体" w:cs="宋体"/>
          <w:sz w:val="28"/>
          <w:szCs w:val="28"/>
        </w:rPr>
      </w:pPr>
    </w:p>
    <w:p w14:paraId="7298A9C4">
      <w:pPr>
        <w:pStyle w:val="29"/>
        <w:ind w:left="0" w:leftChars="0" w:firstLine="0" w:firstLineChars="0"/>
        <w:outlineLvl w:val="9"/>
        <w:rPr>
          <w:rFonts w:hint="eastAsia" w:ascii="宋体" w:hAnsi="宋体" w:eastAsia="宋体" w:cs="宋体"/>
          <w:sz w:val="28"/>
          <w:szCs w:val="28"/>
        </w:rPr>
      </w:pPr>
    </w:p>
    <w:p w14:paraId="35D8ED57">
      <w:pPr>
        <w:pStyle w:val="29"/>
        <w:ind w:left="0" w:leftChars="0" w:firstLine="0" w:firstLineChars="0"/>
        <w:outlineLvl w:val="9"/>
        <w:rPr>
          <w:rFonts w:hint="eastAsia" w:ascii="宋体" w:hAnsi="宋体" w:eastAsia="宋体" w:cs="宋体"/>
          <w:sz w:val="28"/>
          <w:szCs w:val="28"/>
        </w:rPr>
      </w:pPr>
    </w:p>
    <w:p w14:paraId="46E73661">
      <w:pPr>
        <w:pStyle w:val="29"/>
        <w:ind w:left="0" w:leftChars="0" w:firstLine="0" w:firstLineChars="0"/>
        <w:outlineLvl w:val="9"/>
        <w:rPr>
          <w:rFonts w:hint="eastAsia" w:ascii="宋体" w:hAnsi="宋体" w:eastAsia="宋体" w:cs="宋体"/>
          <w:sz w:val="28"/>
          <w:szCs w:val="28"/>
        </w:rPr>
      </w:pPr>
    </w:p>
    <w:p w14:paraId="4CC17E37">
      <w:pPr>
        <w:pStyle w:val="29"/>
        <w:ind w:left="0" w:leftChars="0" w:firstLine="0" w:firstLineChars="0"/>
        <w:outlineLvl w:val="9"/>
        <w:rPr>
          <w:rFonts w:hint="eastAsia" w:ascii="宋体" w:hAnsi="宋体" w:eastAsia="宋体" w:cs="宋体"/>
          <w:sz w:val="28"/>
          <w:szCs w:val="28"/>
        </w:rPr>
      </w:pPr>
    </w:p>
    <w:p w14:paraId="3200659F">
      <w:pPr>
        <w:pStyle w:val="29"/>
        <w:ind w:left="0" w:leftChars="0" w:firstLine="0" w:firstLineChars="0"/>
        <w:outlineLvl w:val="9"/>
        <w:rPr>
          <w:rFonts w:hint="eastAsia" w:ascii="宋体" w:hAnsi="宋体" w:eastAsia="宋体" w:cs="宋体"/>
          <w:sz w:val="28"/>
          <w:szCs w:val="28"/>
        </w:rPr>
      </w:pPr>
    </w:p>
    <w:p w14:paraId="113A1232">
      <w:pPr>
        <w:pStyle w:val="29"/>
        <w:ind w:left="0" w:leftChars="0" w:firstLine="0" w:firstLineChars="0"/>
        <w:outlineLvl w:val="2"/>
        <w:rPr>
          <w:rFonts w:hint="eastAsia" w:ascii="宋体" w:hAnsi="宋体" w:eastAsia="宋体" w:cs="宋体"/>
          <w:sz w:val="24"/>
          <w:szCs w:val="32"/>
        </w:rPr>
      </w:pPr>
      <w:bookmarkStart w:id="388" w:name="_Toc27644"/>
      <w:bookmarkStart w:id="389" w:name="_Toc2150"/>
      <w:r>
        <w:rPr>
          <w:rFonts w:hint="eastAsia" w:ascii="宋体" w:hAnsi="宋体" w:cs="宋体"/>
          <w:sz w:val="28"/>
          <w:szCs w:val="28"/>
          <w:lang w:val="en-US" w:eastAsia="zh-CN"/>
        </w:rPr>
        <w:t>8</w:t>
      </w:r>
      <w:r>
        <w:rPr>
          <w:rFonts w:hint="eastAsia" w:ascii="宋体" w:hAnsi="宋体" w:eastAsia="宋体" w:cs="宋体"/>
          <w:sz w:val="28"/>
          <w:szCs w:val="28"/>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bookmarkEnd w:id="388"/>
      <w:bookmarkEnd w:id="389"/>
    </w:p>
    <w:bookmarkEnd w:id="377"/>
    <w:bookmarkEnd w:id="378"/>
    <w:bookmarkEnd w:id="379"/>
    <w:p w14:paraId="3DE807C0">
      <w:pPr>
        <w:bidi w:val="0"/>
        <w:rPr>
          <w:rFonts w:hint="eastAsia"/>
          <w:sz w:val="20"/>
          <w:szCs w:val="22"/>
        </w:rPr>
      </w:pPr>
      <w:bookmarkStart w:id="390" w:name="_Toc518923115"/>
      <w:bookmarkStart w:id="391" w:name="_Toc16844"/>
    </w:p>
    <w:p w14:paraId="0DA2A9FD">
      <w:pPr>
        <w:bidi w:val="0"/>
        <w:rPr>
          <w:rFonts w:hint="eastAsia"/>
        </w:rPr>
      </w:pPr>
    </w:p>
    <w:p w14:paraId="25413698">
      <w:pPr>
        <w:bidi w:val="0"/>
        <w:rPr>
          <w:rFonts w:hint="eastAsia"/>
        </w:rPr>
      </w:pPr>
    </w:p>
    <w:p w14:paraId="6FDEA648">
      <w:pPr>
        <w:pStyle w:val="6"/>
        <w:rPr>
          <w:rFonts w:hint="eastAsia"/>
        </w:rPr>
      </w:pPr>
    </w:p>
    <w:p w14:paraId="01D0F6A7">
      <w:pPr>
        <w:rPr>
          <w:rFonts w:hint="eastAsia"/>
        </w:rPr>
      </w:pPr>
    </w:p>
    <w:p w14:paraId="06CF0B9D">
      <w:pPr>
        <w:pStyle w:val="6"/>
        <w:rPr>
          <w:rFonts w:hint="eastAsia"/>
        </w:rPr>
      </w:pPr>
    </w:p>
    <w:p w14:paraId="13F65EFD">
      <w:pPr>
        <w:rPr>
          <w:rFonts w:hint="eastAsia"/>
        </w:rPr>
      </w:pPr>
    </w:p>
    <w:p w14:paraId="18D4627B">
      <w:pPr>
        <w:pStyle w:val="6"/>
        <w:rPr>
          <w:rFonts w:hint="eastAsia"/>
        </w:rPr>
      </w:pPr>
    </w:p>
    <w:p w14:paraId="0C401C2E">
      <w:pPr>
        <w:rPr>
          <w:rFonts w:hint="eastAsia"/>
        </w:rPr>
      </w:pPr>
    </w:p>
    <w:p w14:paraId="65176B9F">
      <w:pPr>
        <w:pStyle w:val="6"/>
        <w:rPr>
          <w:rFonts w:hint="eastAsia"/>
        </w:rPr>
      </w:pPr>
    </w:p>
    <w:p w14:paraId="1489CBB6">
      <w:pPr>
        <w:rPr>
          <w:rFonts w:hint="eastAsia"/>
        </w:rPr>
      </w:pPr>
    </w:p>
    <w:p w14:paraId="05B887CC">
      <w:pPr>
        <w:pStyle w:val="6"/>
        <w:rPr>
          <w:rFonts w:hint="eastAsia"/>
        </w:rPr>
      </w:pPr>
    </w:p>
    <w:p w14:paraId="52C0668F">
      <w:pPr>
        <w:rPr>
          <w:rFonts w:hint="eastAsia"/>
        </w:rPr>
      </w:pPr>
    </w:p>
    <w:p w14:paraId="6D6517DB">
      <w:pPr>
        <w:pStyle w:val="6"/>
        <w:rPr>
          <w:rFonts w:hint="eastAsia"/>
        </w:rPr>
      </w:pPr>
    </w:p>
    <w:p w14:paraId="4F8CA7DD">
      <w:pPr>
        <w:rPr>
          <w:rFonts w:hint="eastAsia"/>
        </w:rPr>
      </w:pPr>
    </w:p>
    <w:p w14:paraId="4901C68C">
      <w:pPr>
        <w:pStyle w:val="6"/>
        <w:rPr>
          <w:rFonts w:hint="eastAsia"/>
        </w:rPr>
      </w:pPr>
    </w:p>
    <w:p w14:paraId="6C2F51CE">
      <w:pPr>
        <w:pStyle w:val="6"/>
        <w:ind w:left="0" w:leftChars="0" w:firstLine="0" w:firstLineChars="0"/>
        <w:rPr>
          <w:rFonts w:hint="eastAsia"/>
        </w:rPr>
      </w:pPr>
    </w:p>
    <w:p w14:paraId="29226C68">
      <w:pPr>
        <w:rPr>
          <w:rFonts w:hint="eastAsia"/>
        </w:rPr>
      </w:pPr>
    </w:p>
    <w:p w14:paraId="713C1441">
      <w:pPr>
        <w:keepNext w:val="0"/>
        <w:keepLines w:val="0"/>
        <w:widowControl/>
        <w:numPr>
          <w:ilvl w:val="0"/>
          <w:numId w:val="0"/>
        </w:numPr>
        <w:suppressLineNumbers w:val="0"/>
        <w:jc w:val="left"/>
        <w:outlineLvl w:val="2"/>
        <w:rPr>
          <w:sz w:val="30"/>
          <w:szCs w:val="30"/>
        </w:rPr>
      </w:pPr>
      <w:bookmarkStart w:id="392" w:name="_Toc27862"/>
      <w:bookmarkStart w:id="393" w:name="_Toc1720"/>
      <w:r>
        <w:rPr>
          <w:rFonts w:hint="eastAsia" w:ascii="宋体" w:hAnsi="宋体" w:cs="宋体"/>
          <w:b w:val="0"/>
          <w:bCs w:val="0"/>
          <w:color w:val="000000"/>
          <w:kern w:val="0"/>
          <w:sz w:val="30"/>
          <w:szCs w:val="30"/>
          <w:lang w:val="en-US" w:eastAsia="zh-CN" w:bidi="ar"/>
        </w:rPr>
        <w:t>9</w:t>
      </w:r>
      <w:r>
        <w:rPr>
          <w:rFonts w:hint="eastAsia" w:ascii="宋体" w:hAnsi="宋体" w:eastAsia="宋体" w:cs="宋体"/>
          <w:b w:val="0"/>
          <w:bCs w:val="0"/>
          <w:color w:val="000000"/>
          <w:kern w:val="0"/>
          <w:sz w:val="30"/>
          <w:szCs w:val="30"/>
          <w:lang w:val="en-US" w:eastAsia="zh-CN" w:bidi="ar"/>
        </w:rPr>
        <w:t>、参加政府采购活动前三年内在经营活动中没有重大违法记录的书面声明</w:t>
      </w:r>
      <w:bookmarkEnd w:id="392"/>
      <w:bookmarkEnd w:id="393"/>
    </w:p>
    <w:p w14:paraId="03360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val="0"/>
          <w:bCs w:val="0"/>
          <w:color w:val="000000"/>
          <w:kern w:val="0"/>
          <w:sz w:val="24"/>
          <w:szCs w:val="24"/>
          <w:highlight w:val="none"/>
          <w:lang w:val="en-US" w:eastAsia="zh-CN"/>
        </w:rPr>
      </w:pPr>
    </w:p>
    <w:p w14:paraId="5A48B321">
      <w:pPr>
        <w:pStyle w:val="29"/>
        <w:outlineLvl w:val="9"/>
        <w:rPr>
          <w:rFonts w:hint="eastAsia" w:ascii="宋体" w:hAnsi="宋体" w:eastAsia="宋体" w:cs="宋体"/>
          <w:b w:val="0"/>
          <w:bCs w:val="0"/>
          <w:color w:val="000000"/>
          <w:kern w:val="0"/>
          <w:sz w:val="24"/>
          <w:szCs w:val="24"/>
          <w:highlight w:val="none"/>
          <w:lang w:val="en-US" w:eastAsia="zh-CN"/>
        </w:rPr>
      </w:pPr>
    </w:p>
    <w:p w14:paraId="321FBC16">
      <w:pPr>
        <w:pStyle w:val="29"/>
        <w:outlineLvl w:val="9"/>
        <w:rPr>
          <w:rFonts w:hint="eastAsia" w:ascii="宋体" w:hAnsi="宋体" w:eastAsia="宋体" w:cs="宋体"/>
          <w:b w:val="0"/>
          <w:bCs w:val="0"/>
          <w:color w:val="000000"/>
          <w:kern w:val="0"/>
          <w:sz w:val="24"/>
          <w:szCs w:val="24"/>
          <w:highlight w:val="none"/>
          <w:lang w:val="en-US" w:eastAsia="zh-CN"/>
        </w:rPr>
      </w:pPr>
    </w:p>
    <w:p w14:paraId="43141580">
      <w:pPr>
        <w:keepNext w:val="0"/>
        <w:keepLines w:val="0"/>
        <w:widowControl/>
        <w:numPr>
          <w:ilvl w:val="0"/>
          <w:numId w:val="0"/>
        </w:numPr>
        <w:suppressLineNumbers w:val="0"/>
        <w:jc w:val="center"/>
        <w:outlineLvl w:val="9"/>
        <w:rPr>
          <w:rFonts w:hint="eastAsia" w:ascii="宋体" w:hAnsi="宋体" w:eastAsia="宋体" w:cs="宋体"/>
          <w:b w:val="0"/>
          <w:bCs w:val="0"/>
          <w:color w:val="000000"/>
          <w:kern w:val="0"/>
          <w:sz w:val="32"/>
          <w:szCs w:val="32"/>
          <w:lang w:val="en-US" w:eastAsia="zh-CN" w:bidi="ar"/>
        </w:rPr>
      </w:pPr>
      <w:r>
        <w:rPr>
          <w:rFonts w:hint="eastAsia" w:ascii="宋体" w:hAnsi="宋体" w:eastAsia="宋体" w:cs="宋体"/>
          <w:b w:val="0"/>
          <w:bCs w:val="0"/>
          <w:color w:val="000000"/>
          <w:kern w:val="0"/>
          <w:sz w:val="32"/>
          <w:szCs w:val="32"/>
          <w:lang w:val="en-US" w:eastAsia="zh-CN" w:bidi="ar"/>
        </w:rPr>
        <w:t>参加政府采购活动前三年内在经营活动中没有</w:t>
      </w:r>
    </w:p>
    <w:p w14:paraId="516EB462">
      <w:pPr>
        <w:keepNext w:val="0"/>
        <w:keepLines w:val="0"/>
        <w:widowControl/>
        <w:numPr>
          <w:ilvl w:val="0"/>
          <w:numId w:val="0"/>
        </w:numPr>
        <w:suppressLineNumbers w:val="0"/>
        <w:jc w:val="center"/>
        <w:outlineLvl w:val="9"/>
      </w:pPr>
      <w:r>
        <w:rPr>
          <w:rFonts w:hint="eastAsia" w:ascii="宋体" w:hAnsi="宋体" w:eastAsia="宋体" w:cs="宋体"/>
          <w:b w:val="0"/>
          <w:bCs w:val="0"/>
          <w:color w:val="000000"/>
          <w:kern w:val="0"/>
          <w:sz w:val="32"/>
          <w:szCs w:val="32"/>
          <w:lang w:val="en-US" w:eastAsia="zh-CN" w:bidi="ar"/>
        </w:rPr>
        <w:t>重大违法记录的书面声明</w:t>
      </w:r>
    </w:p>
    <w:p w14:paraId="60D8D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val="0"/>
          <w:bCs w:val="0"/>
          <w:color w:val="000000"/>
          <w:kern w:val="0"/>
          <w:sz w:val="24"/>
          <w:szCs w:val="24"/>
          <w:highlight w:val="none"/>
          <w:lang w:val="en-US" w:eastAsia="zh-CN"/>
        </w:rPr>
      </w:pPr>
    </w:p>
    <w:p w14:paraId="1214085D">
      <w:pPr>
        <w:pStyle w:val="29"/>
        <w:outlineLvl w:val="9"/>
        <w:rPr>
          <w:rFonts w:hint="eastAsia"/>
          <w:lang w:val="en-US" w:eastAsia="zh-CN"/>
        </w:rPr>
      </w:pPr>
    </w:p>
    <w:p w14:paraId="47FC648A">
      <w:pPr>
        <w:pStyle w:val="21"/>
        <w:keepNext w:val="0"/>
        <w:keepLines w:val="0"/>
        <w:pageBreakBefore w:val="0"/>
        <w:widowControl w:val="0"/>
        <w:kinsoku/>
        <w:wordWrap/>
        <w:overflowPunct/>
        <w:topLinePunct w:val="0"/>
        <w:autoSpaceDE/>
        <w:autoSpaceDN/>
        <w:bidi w:val="0"/>
        <w:adjustRightInd/>
        <w:snapToGrid w:val="0"/>
        <w:spacing w:line="480" w:lineRule="auto"/>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至</w:t>
      </w:r>
      <w:r>
        <w:rPr>
          <w:rFonts w:hint="eastAsia" w:ascii="宋体" w:hAnsi="宋体" w:eastAsia="宋体" w:cs="宋体"/>
          <w:b w:val="0"/>
          <w:bCs w:val="0"/>
          <w:color w:val="000000"/>
          <w:kern w:val="0"/>
          <w:sz w:val="28"/>
          <w:szCs w:val="28"/>
          <w:highlight w:val="none"/>
          <w:u w:val="single"/>
          <w:lang w:val="en-US" w:eastAsia="zh-CN"/>
        </w:rPr>
        <w:t>（采购人）：</w:t>
      </w:r>
    </w:p>
    <w:p w14:paraId="6C4C381E">
      <w:pPr>
        <w:pStyle w:val="21"/>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我单位在参加采购活动前三年内在经营活动中没有《政府采购法》第二十二条第一款第（五）项所称重大违法记录，包括：</w:t>
      </w:r>
    </w:p>
    <w:p w14:paraId="1E0358B8">
      <w:pPr>
        <w:pStyle w:val="21"/>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我单位或者其法定代表人、董事、监事、高级管理人员未因经营活动中的违法行为收到刑事处罚或者责令停产停业、吊销执照、较大数额罚款等行政处罚。</w:t>
      </w:r>
    </w:p>
    <w:p w14:paraId="01114CEF">
      <w:pPr>
        <w:pStyle w:val="21"/>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 xml:space="preserve">特此声明！ </w:t>
      </w:r>
    </w:p>
    <w:p w14:paraId="328F95B8">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 xml:space="preserve">                                        </w:t>
      </w:r>
    </w:p>
    <w:p w14:paraId="669F34BC">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 xml:space="preserve">                                 供应商名称： （盖章）</w:t>
      </w:r>
    </w:p>
    <w:p w14:paraId="3C85259B">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p>
    <w:p w14:paraId="50BE2248">
      <w:pPr>
        <w:pStyle w:val="21"/>
        <w:keepNext w:val="0"/>
        <w:keepLines w:val="0"/>
        <w:pageBreakBefore w:val="0"/>
        <w:widowControl w:val="0"/>
        <w:kinsoku/>
        <w:wordWrap/>
        <w:overflowPunct/>
        <w:topLinePunct w:val="0"/>
        <w:autoSpaceDE/>
        <w:autoSpaceDN/>
        <w:bidi w:val="0"/>
        <w:adjustRightInd/>
        <w:snapToGrid w:val="0"/>
        <w:spacing w:line="480" w:lineRule="auto"/>
        <w:jc w:val="right"/>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法定代表人或授权委托人： （签字或盖章）</w:t>
      </w:r>
    </w:p>
    <w:p w14:paraId="0BBB81CB">
      <w:pPr>
        <w:pStyle w:val="21"/>
        <w:keepNext w:val="0"/>
        <w:keepLines w:val="0"/>
        <w:pageBreakBefore w:val="0"/>
        <w:widowControl w:val="0"/>
        <w:kinsoku/>
        <w:wordWrap/>
        <w:overflowPunct/>
        <w:topLinePunct w:val="0"/>
        <w:autoSpaceDE/>
        <w:autoSpaceDN/>
        <w:bidi w:val="0"/>
        <w:adjustRightInd/>
        <w:snapToGrid w:val="0"/>
        <w:spacing w:line="480" w:lineRule="auto"/>
        <w:jc w:val="right"/>
        <w:textAlignment w:val="auto"/>
        <w:outlineLvl w:val="9"/>
        <w:rPr>
          <w:rFonts w:hint="eastAsia" w:ascii="宋体" w:hAnsi="宋体" w:eastAsia="宋体" w:cs="宋体"/>
          <w:b w:val="0"/>
          <w:bCs w:val="0"/>
          <w:color w:val="000000"/>
          <w:kern w:val="0"/>
          <w:sz w:val="28"/>
          <w:szCs w:val="28"/>
          <w:highlight w:val="none"/>
          <w:lang w:val="en-US" w:eastAsia="zh-CN"/>
        </w:rPr>
      </w:pPr>
    </w:p>
    <w:p w14:paraId="138490D7">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 xml:space="preserve">                             日期：     年   月   日</w:t>
      </w:r>
    </w:p>
    <w:p w14:paraId="19419781">
      <w:pPr>
        <w:numPr>
          <w:ilvl w:val="0"/>
          <w:numId w:val="0"/>
        </w:numPr>
        <w:bidi w:val="0"/>
        <w:outlineLvl w:val="9"/>
        <w:rPr>
          <w:rFonts w:hint="eastAsia" w:ascii="宋体" w:hAnsi="宋体" w:cs="宋体"/>
          <w:sz w:val="30"/>
          <w:szCs w:val="30"/>
          <w:lang w:val="en-US" w:eastAsia="zh-CN"/>
        </w:rPr>
      </w:pPr>
      <w:bookmarkStart w:id="394" w:name="_Toc15423"/>
    </w:p>
    <w:p w14:paraId="6DD58F1C">
      <w:pPr>
        <w:numPr>
          <w:ilvl w:val="0"/>
          <w:numId w:val="0"/>
        </w:numPr>
        <w:bidi w:val="0"/>
        <w:outlineLvl w:val="9"/>
        <w:rPr>
          <w:rFonts w:hint="eastAsia" w:ascii="宋体" w:hAnsi="宋体" w:cs="宋体"/>
          <w:sz w:val="30"/>
          <w:szCs w:val="30"/>
          <w:lang w:val="en-US" w:eastAsia="zh-CN"/>
        </w:rPr>
      </w:pPr>
    </w:p>
    <w:p w14:paraId="11F0C9BE">
      <w:pPr>
        <w:numPr>
          <w:ilvl w:val="0"/>
          <w:numId w:val="0"/>
        </w:numPr>
        <w:bidi w:val="0"/>
        <w:outlineLvl w:val="2"/>
        <w:rPr>
          <w:rFonts w:hint="eastAsia" w:ascii="宋体" w:hAnsi="宋体" w:eastAsia="宋体" w:cs="宋体"/>
          <w:sz w:val="30"/>
          <w:szCs w:val="30"/>
        </w:rPr>
      </w:pPr>
      <w:bookmarkStart w:id="395" w:name="_Toc1782"/>
      <w:r>
        <w:rPr>
          <w:rFonts w:hint="eastAsia" w:ascii="宋体" w:hAnsi="宋体" w:cs="宋体"/>
          <w:sz w:val="30"/>
          <w:szCs w:val="30"/>
          <w:lang w:val="en-US" w:eastAsia="zh-CN"/>
        </w:rPr>
        <w:t>10、</w:t>
      </w:r>
      <w:r>
        <w:rPr>
          <w:rFonts w:hint="eastAsia" w:ascii="宋体" w:hAnsi="宋体" w:eastAsia="宋体" w:cs="宋体"/>
          <w:sz w:val="30"/>
          <w:szCs w:val="30"/>
        </w:rPr>
        <w:t>针对本项目的反商业贿赂承诺书</w:t>
      </w:r>
      <w:bookmarkEnd w:id="394"/>
      <w:bookmarkEnd w:id="395"/>
    </w:p>
    <w:p w14:paraId="13826BDF">
      <w:pPr>
        <w:pStyle w:val="29"/>
        <w:widowControl w:val="0"/>
        <w:numPr>
          <w:ilvl w:val="0"/>
          <w:numId w:val="0"/>
        </w:numPr>
        <w:jc w:val="both"/>
        <w:outlineLvl w:val="9"/>
        <w:rPr>
          <w:rFonts w:hint="eastAsia"/>
        </w:rPr>
      </w:pPr>
    </w:p>
    <w:p w14:paraId="302B62DB">
      <w:pPr>
        <w:pStyle w:val="21"/>
        <w:jc w:val="center"/>
        <w:outlineLvl w:val="9"/>
        <w:rPr>
          <w:rFonts w:hint="eastAsia" w:ascii="宋体" w:hAnsi="宋体" w:eastAsia="宋体" w:cs="宋体"/>
          <w:b w:val="0"/>
          <w:bCs w:val="0"/>
          <w:color w:val="000000"/>
          <w:kern w:val="0"/>
          <w:sz w:val="32"/>
          <w:szCs w:val="32"/>
          <w:highlight w:val="none"/>
          <w:lang w:val="en-US" w:eastAsia="zh-CN"/>
        </w:rPr>
      </w:pPr>
    </w:p>
    <w:p w14:paraId="20ECA277">
      <w:pPr>
        <w:pStyle w:val="21"/>
        <w:jc w:val="center"/>
        <w:outlineLvl w:val="9"/>
        <w:rPr>
          <w:rFonts w:hint="eastAsia" w:ascii="宋体" w:hAnsi="宋体" w:eastAsia="宋体" w:cs="宋体"/>
          <w:b w:val="0"/>
          <w:bCs w:val="0"/>
          <w:color w:val="000000"/>
          <w:kern w:val="0"/>
          <w:sz w:val="36"/>
          <w:szCs w:val="36"/>
          <w:highlight w:val="none"/>
          <w:lang w:val="en-US" w:eastAsia="zh-CN"/>
        </w:rPr>
      </w:pPr>
      <w:r>
        <w:rPr>
          <w:rFonts w:hint="eastAsia" w:ascii="宋体" w:hAnsi="宋体" w:eastAsia="宋体" w:cs="宋体"/>
          <w:b w:val="0"/>
          <w:bCs w:val="0"/>
          <w:color w:val="000000"/>
          <w:kern w:val="0"/>
          <w:sz w:val="32"/>
          <w:szCs w:val="32"/>
          <w:highlight w:val="none"/>
          <w:lang w:val="en-US" w:eastAsia="zh-CN"/>
        </w:rPr>
        <w:t>反商业贿赂承诺书</w:t>
      </w:r>
    </w:p>
    <w:p w14:paraId="5EA6A087">
      <w:pPr>
        <w:pStyle w:val="21"/>
        <w:jc w:val="both"/>
        <w:outlineLvl w:val="9"/>
        <w:rPr>
          <w:rFonts w:hint="eastAsia" w:ascii="宋体" w:hAnsi="宋体" w:eastAsia="宋体" w:cs="宋体"/>
          <w:b w:val="0"/>
          <w:bCs w:val="0"/>
          <w:color w:val="000000"/>
          <w:kern w:val="0"/>
          <w:sz w:val="32"/>
          <w:szCs w:val="32"/>
          <w:highlight w:val="none"/>
          <w:lang w:val="en-US" w:eastAsia="zh-CN"/>
        </w:rPr>
      </w:pPr>
    </w:p>
    <w:p w14:paraId="139EF925">
      <w:pPr>
        <w:pStyle w:val="21"/>
        <w:jc w:val="left"/>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我单位承诺：</w:t>
      </w:r>
    </w:p>
    <w:p w14:paraId="721B67D1">
      <w:pPr>
        <w:pStyle w:val="21"/>
        <w:ind w:firstLine="560" w:firstLineChars="200"/>
        <w:jc w:val="left"/>
        <w:outlineLvl w:val="9"/>
        <w:rPr>
          <w:rFonts w:hint="eastAsia" w:ascii="宋体" w:hAnsi="宋体" w:eastAsia="宋体" w:cs="宋体"/>
          <w:b w:val="0"/>
          <w:bCs w:val="0"/>
          <w:color w:val="000000"/>
          <w:kern w:val="0"/>
          <w:sz w:val="28"/>
          <w:szCs w:val="28"/>
          <w:highlight w:val="none"/>
          <w:lang w:val="en-US" w:eastAsia="zh-CN"/>
        </w:rPr>
      </w:pPr>
    </w:p>
    <w:p w14:paraId="3E8D71E7">
      <w:pPr>
        <w:pStyle w:val="21"/>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在参加</w:t>
      </w:r>
      <w:r>
        <w:rPr>
          <w:rFonts w:hint="eastAsia" w:ascii="宋体" w:hAnsi="宋体" w:eastAsia="宋体" w:cs="宋体"/>
          <w:b w:val="0"/>
          <w:bCs w:val="0"/>
          <w:color w:val="000000"/>
          <w:kern w:val="0"/>
          <w:sz w:val="28"/>
          <w:szCs w:val="28"/>
          <w:highlight w:val="none"/>
          <w:u w:val="single"/>
          <w:lang w:val="en-US" w:eastAsia="zh-CN"/>
        </w:rPr>
        <w:t>（项目名称及编号）</w:t>
      </w:r>
      <w:r>
        <w:rPr>
          <w:rFonts w:hint="eastAsia" w:ascii="宋体" w:hAnsi="宋体" w:eastAsia="宋体" w:cs="宋体"/>
          <w:b w:val="0"/>
          <w:bCs w:val="0"/>
          <w:color w:val="000000"/>
          <w:kern w:val="0"/>
          <w:sz w:val="28"/>
          <w:szCs w:val="28"/>
          <w:highlight w:val="none"/>
          <w:lang w:val="en-US" w:eastAsia="zh-CN"/>
        </w:rPr>
        <w:t>时，我单位保证做到：</w:t>
      </w:r>
    </w:p>
    <w:p w14:paraId="585FB539">
      <w:pPr>
        <w:pStyle w:val="21"/>
        <w:keepNext w:val="0"/>
        <w:keepLines w:val="0"/>
        <w:pageBreakBefore w:val="0"/>
        <w:widowControl w:val="0"/>
        <w:kinsoku/>
        <w:wordWrap/>
        <w:overflowPunct/>
        <w:topLinePunct w:val="0"/>
        <w:autoSpaceDE/>
        <w:autoSpaceDN/>
        <w:bidi w:val="0"/>
        <w:adjustRightInd/>
        <w:snapToGrid w:val="0"/>
        <w:spacing w:line="360" w:lineRule="auto"/>
        <w:ind w:firstLine="840" w:firstLineChars="300"/>
        <w:jc w:val="left"/>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一、公平竞争参加本次招标活动。</w:t>
      </w:r>
    </w:p>
    <w:p w14:paraId="1C0CAC49">
      <w:pPr>
        <w:pStyle w:val="21"/>
        <w:keepNext w:val="0"/>
        <w:keepLines w:val="0"/>
        <w:pageBreakBefore w:val="0"/>
        <w:widowControl w:val="0"/>
        <w:kinsoku/>
        <w:wordWrap/>
        <w:overflowPunct/>
        <w:topLinePunct w:val="0"/>
        <w:autoSpaceDE/>
        <w:autoSpaceDN/>
        <w:bidi w:val="0"/>
        <w:adjustRightInd/>
        <w:snapToGrid w:val="0"/>
        <w:spacing w:line="360" w:lineRule="auto"/>
        <w:ind w:left="280" w:hanging="280" w:hangingChars="100"/>
        <w:jc w:val="left"/>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 xml:space="preserve">      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75B6C96">
      <w:pPr>
        <w:pStyle w:val="21"/>
        <w:keepNext w:val="0"/>
        <w:keepLines w:val="0"/>
        <w:pageBreakBefore w:val="0"/>
        <w:widowControl w:val="0"/>
        <w:kinsoku/>
        <w:wordWrap/>
        <w:overflowPunct/>
        <w:topLinePunct w:val="0"/>
        <w:autoSpaceDE/>
        <w:autoSpaceDN/>
        <w:bidi w:val="0"/>
        <w:adjustRightInd/>
        <w:snapToGrid w:val="0"/>
        <w:spacing w:line="360" w:lineRule="auto"/>
        <w:ind w:firstLine="840" w:firstLineChars="300"/>
        <w:jc w:val="left"/>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三、若出现上述行为，我单位及参与投标的工作人员愿意接受按照国家法律法规等有关规定给予的处罚。</w:t>
      </w:r>
    </w:p>
    <w:p w14:paraId="0A4836B6">
      <w:pPr>
        <w:pStyle w:val="21"/>
        <w:jc w:val="left"/>
        <w:outlineLvl w:val="9"/>
        <w:rPr>
          <w:rFonts w:hint="eastAsia" w:ascii="宋体" w:hAnsi="宋体" w:eastAsia="宋体" w:cs="宋体"/>
          <w:b w:val="0"/>
          <w:bCs w:val="0"/>
          <w:color w:val="000000"/>
          <w:kern w:val="0"/>
          <w:sz w:val="32"/>
          <w:szCs w:val="32"/>
          <w:highlight w:val="none"/>
          <w:lang w:val="en-US" w:eastAsia="zh-CN"/>
        </w:rPr>
      </w:pPr>
    </w:p>
    <w:p w14:paraId="64E15992">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 xml:space="preserve">                           供应商名称： （盖章）</w:t>
      </w:r>
    </w:p>
    <w:p w14:paraId="28E8C204">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p>
    <w:p w14:paraId="30AE5C9F">
      <w:pPr>
        <w:pStyle w:val="21"/>
        <w:keepNext w:val="0"/>
        <w:keepLines w:val="0"/>
        <w:pageBreakBefore w:val="0"/>
        <w:widowControl w:val="0"/>
        <w:kinsoku/>
        <w:wordWrap/>
        <w:overflowPunct/>
        <w:topLinePunct w:val="0"/>
        <w:autoSpaceDE/>
        <w:autoSpaceDN/>
        <w:bidi w:val="0"/>
        <w:adjustRightInd/>
        <w:snapToGrid w:val="0"/>
        <w:spacing w:line="480" w:lineRule="auto"/>
        <w:jc w:val="right"/>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法定代表人或授权委托人： （签字或盖章）</w:t>
      </w:r>
    </w:p>
    <w:p w14:paraId="3CFF8447">
      <w:pPr>
        <w:pStyle w:val="21"/>
        <w:keepNext w:val="0"/>
        <w:keepLines w:val="0"/>
        <w:pageBreakBefore w:val="0"/>
        <w:widowControl w:val="0"/>
        <w:kinsoku/>
        <w:wordWrap/>
        <w:overflowPunct/>
        <w:topLinePunct w:val="0"/>
        <w:autoSpaceDE/>
        <w:autoSpaceDN/>
        <w:bidi w:val="0"/>
        <w:adjustRightInd/>
        <w:snapToGrid w:val="0"/>
        <w:spacing w:line="480" w:lineRule="auto"/>
        <w:jc w:val="right"/>
        <w:textAlignment w:val="auto"/>
        <w:outlineLvl w:val="9"/>
        <w:rPr>
          <w:rFonts w:hint="eastAsia" w:ascii="宋体" w:hAnsi="宋体" w:eastAsia="宋体" w:cs="宋体"/>
          <w:b w:val="0"/>
          <w:bCs w:val="0"/>
          <w:color w:val="000000"/>
          <w:kern w:val="0"/>
          <w:sz w:val="28"/>
          <w:szCs w:val="28"/>
          <w:highlight w:val="none"/>
          <w:lang w:val="en-US" w:eastAsia="zh-CN"/>
        </w:rPr>
      </w:pPr>
    </w:p>
    <w:p w14:paraId="4CC0B4B4">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 xml:space="preserve">                                日期：     年   月   日</w:t>
      </w:r>
    </w:p>
    <w:p w14:paraId="6FFD0398">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p>
    <w:p w14:paraId="3B6654FF">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p>
    <w:p w14:paraId="02F3B62B">
      <w:pPr>
        <w:pStyle w:val="21"/>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val="0"/>
          <w:bCs w:val="0"/>
          <w:color w:val="000000"/>
          <w:kern w:val="0"/>
          <w:sz w:val="28"/>
          <w:szCs w:val="28"/>
          <w:highlight w:val="none"/>
          <w:lang w:val="en-US" w:eastAsia="zh-CN"/>
        </w:rPr>
      </w:pPr>
    </w:p>
    <w:p w14:paraId="05CC3135">
      <w:pPr>
        <w:bidi w:val="0"/>
        <w:outlineLvl w:val="9"/>
        <w:rPr>
          <w:rFonts w:hint="eastAsia" w:ascii="宋体" w:hAnsi="宋体" w:cs="宋体"/>
          <w:sz w:val="30"/>
          <w:szCs w:val="30"/>
          <w:lang w:val="en-US" w:eastAsia="zh-CN"/>
        </w:rPr>
      </w:pPr>
      <w:bookmarkStart w:id="396" w:name="_Toc10954"/>
    </w:p>
    <w:p w14:paraId="0562B26D">
      <w:pPr>
        <w:bidi w:val="0"/>
        <w:outlineLvl w:val="2"/>
        <w:rPr>
          <w:rFonts w:hint="eastAsia" w:ascii="宋体" w:hAnsi="宋体" w:eastAsia="宋体" w:cs="宋体"/>
          <w:sz w:val="28"/>
          <w:szCs w:val="28"/>
        </w:rPr>
      </w:pPr>
      <w:bookmarkStart w:id="397" w:name="_Toc3733"/>
      <w:r>
        <w:rPr>
          <w:rFonts w:hint="eastAsia" w:ascii="宋体" w:hAnsi="宋体" w:cs="宋体"/>
          <w:sz w:val="30"/>
          <w:szCs w:val="30"/>
          <w:lang w:val="en-US" w:eastAsia="zh-CN"/>
        </w:rPr>
        <w:t>11、</w:t>
      </w:r>
      <w:r>
        <w:rPr>
          <w:rFonts w:hint="eastAsia" w:ascii="宋体" w:hAnsi="宋体" w:eastAsia="宋体" w:cs="宋体"/>
          <w:sz w:val="30"/>
          <w:szCs w:val="30"/>
        </w:rPr>
        <w:t>缴纳投标保证金有效凭证</w:t>
      </w:r>
      <w:bookmarkEnd w:id="396"/>
      <w:bookmarkEnd w:id="397"/>
    </w:p>
    <w:p w14:paraId="7145A55D">
      <w:pPr>
        <w:bidi w:val="0"/>
        <w:ind w:firstLine="2160" w:firstLineChars="900"/>
        <w:outlineLvl w:val="9"/>
        <w:rPr>
          <w:rFonts w:hint="eastAsia" w:ascii="宋体" w:hAnsi="宋体" w:eastAsia="宋体" w:cs="宋体"/>
          <w:color w:val="000000"/>
          <w:kern w:val="0"/>
          <w:sz w:val="24"/>
          <w:szCs w:val="24"/>
          <w:lang w:val="en-US" w:eastAsia="zh-CN" w:bidi="ar"/>
        </w:rPr>
      </w:pPr>
    </w:p>
    <w:p w14:paraId="3646F242">
      <w:pPr>
        <w:bidi w:val="0"/>
        <w:ind w:firstLine="2160" w:firstLineChars="900"/>
        <w:outlineLvl w:val="9"/>
        <w:rPr>
          <w:rFonts w:hint="eastAsia" w:ascii="宋体" w:hAnsi="宋体" w:eastAsia="宋体" w:cs="宋体"/>
          <w:color w:val="000000"/>
          <w:kern w:val="0"/>
          <w:sz w:val="24"/>
          <w:szCs w:val="24"/>
          <w:lang w:val="en-US" w:eastAsia="zh-CN" w:bidi="ar"/>
        </w:rPr>
      </w:pPr>
    </w:p>
    <w:p w14:paraId="3CAADEFA">
      <w:pPr>
        <w:pStyle w:val="29"/>
        <w:outlineLvl w:val="9"/>
        <w:rPr>
          <w:rFonts w:hint="eastAsia" w:ascii="宋体" w:hAnsi="宋体" w:eastAsia="宋体" w:cs="宋体"/>
          <w:color w:val="000000"/>
          <w:kern w:val="0"/>
          <w:sz w:val="24"/>
          <w:szCs w:val="24"/>
          <w:lang w:val="en-US" w:eastAsia="zh-CN" w:bidi="ar"/>
        </w:rPr>
      </w:pPr>
    </w:p>
    <w:p w14:paraId="6FA22249">
      <w:pPr>
        <w:pStyle w:val="29"/>
        <w:outlineLvl w:val="9"/>
        <w:rPr>
          <w:rFonts w:hint="eastAsia" w:ascii="宋体" w:hAnsi="宋体" w:eastAsia="宋体" w:cs="宋体"/>
          <w:color w:val="000000"/>
          <w:kern w:val="0"/>
          <w:sz w:val="24"/>
          <w:szCs w:val="24"/>
          <w:lang w:val="en-US" w:eastAsia="zh-CN" w:bidi="ar"/>
        </w:rPr>
      </w:pPr>
    </w:p>
    <w:p w14:paraId="2B30B97C">
      <w:pPr>
        <w:bidi w:val="0"/>
        <w:ind w:firstLine="1600" w:firstLineChars="500"/>
        <w:outlineLvl w:val="9"/>
        <w:rPr>
          <w:rFonts w:hint="eastAsia"/>
          <w:sz w:val="32"/>
          <w:szCs w:val="40"/>
          <w:lang w:val="en-US" w:eastAsia="zh-CN"/>
        </w:rPr>
      </w:pPr>
    </w:p>
    <w:p w14:paraId="24CD6FCB">
      <w:pPr>
        <w:bidi w:val="0"/>
        <w:ind w:firstLine="1600" w:firstLineChars="500"/>
        <w:outlineLvl w:val="9"/>
        <w:rPr>
          <w:rFonts w:hint="eastAsia"/>
          <w:sz w:val="32"/>
          <w:szCs w:val="40"/>
          <w:lang w:val="en-US" w:eastAsia="zh-CN"/>
        </w:rPr>
      </w:pPr>
    </w:p>
    <w:p w14:paraId="6A7F0DD1">
      <w:pPr>
        <w:bidi w:val="0"/>
        <w:ind w:firstLine="1600" w:firstLineChars="500"/>
        <w:outlineLvl w:val="9"/>
        <w:rPr>
          <w:rFonts w:hint="eastAsia"/>
          <w:sz w:val="32"/>
          <w:szCs w:val="40"/>
          <w:lang w:val="en-US" w:eastAsia="zh-CN"/>
        </w:rPr>
      </w:pPr>
    </w:p>
    <w:p w14:paraId="14D8C1BA">
      <w:pPr>
        <w:bidi w:val="0"/>
        <w:ind w:firstLine="1600" w:firstLineChars="500"/>
        <w:outlineLvl w:val="9"/>
        <w:rPr>
          <w:rFonts w:hint="eastAsia"/>
          <w:sz w:val="32"/>
          <w:szCs w:val="40"/>
          <w:lang w:val="en-US" w:eastAsia="zh-CN"/>
        </w:rPr>
      </w:pPr>
    </w:p>
    <w:p w14:paraId="193D537A">
      <w:pPr>
        <w:bidi w:val="0"/>
        <w:ind w:firstLine="1600" w:firstLineChars="500"/>
        <w:outlineLvl w:val="9"/>
        <w:rPr>
          <w:rFonts w:hint="eastAsia"/>
          <w:sz w:val="32"/>
          <w:szCs w:val="40"/>
          <w:lang w:val="en-US" w:eastAsia="zh-CN"/>
        </w:rPr>
      </w:pPr>
    </w:p>
    <w:p w14:paraId="0E2A0CDF">
      <w:pPr>
        <w:bidi w:val="0"/>
        <w:outlineLvl w:val="9"/>
        <w:rPr>
          <w:rFonts w:hint="eastAsia"/>
        </w:rPr>
      </w:pPr>
    </w:p>
    <w:p w14:paraId="169AFCD0">
      <w:pPr>
        <w:pStyle w:val="6"/>
        <w:ind w:left="0" w:leftChars="0" w:firstLine="0" w:firstLineChars="0"/>
        <w:outlineLvl w:val="9"/>
        <w:rPr>
          <w:rFonts w:hint="eastAsia"/>
        </w:rPr>
      </w:pPr>
    </w:p>
    <w:p w14:paraId="4E198E83">
      <w:pPr>
        <w:bidi w:val="0"/>
        <w:jc w:val="left"/>
        <w:outlineLvl w:val="2"/>
        <w:rPr>
          <w:rFonts w:hint="eastAsia" w:ascii="宋体" w:hAnsi="宋体" w:eastAsia="宋体" w:cs="宋体"/>
          <w:b w:val="0"/>
          <w:bCs/>
          <w:sz w:val="28"/>
          <w:szCs w:val="18"/>
        </w:rPr>
      </w:pPr>
      <w:bookmarkStart w:id="398" w:name="_Toc12706"/>
      <w:bookmarkStart w:id="399" w:name="_Toc14407"/>
      <w:r>
        <w:rPr>
          <w:rFonts w:hint="eastAsia" w:ascii="宋体" w:hAnsi="宋体" w:eastAsia="宋体" w:cs="宋体"/>
          <w:b w:val="0"/>
          <w:bCs/>
          <w:sz w:val="28"/>
          <w:szCs w:val="18"/>
        </w:rPr>
        <w:t>1</w:t>
      </w:r>
      <w:r>
        <w:rPr>
          <w:rFonts w:hint="eastAsia" w:ascii="宋体" w:hAnsi="宋体" w:eastAsia="宋体" w:cs="宋体"/>
          <w:b w:val="0"/>
          <w:bCs/>
          <w:sz w:val="28"/>
          <w:szCs w:val="18"/>
          <w:lang w:val="en-US" w:eastAsia="zh-CN"/>
        </w:rPr>
        <w:t>2</w:t>
      </w:r>
      <w:r>
        <w:rPr>
          <w:rFonts w:hint="eastAsia" w:ascii="宋体" w:hAnsi="宋体" w:eastAsia="宋体" w:cs="宋体"/>
          <w:b w:val="0"/>
          <w:bCs/>
          <w:sz w:val="28"/>
          <w:szCs w:val="18"/>
        </w:rPr>
        <w:t>、投标人认为有利于投标的其他资格证明材料</w:t>
      </w:r>
      <w:bookmarkEnd w:id="398"/>
      <w:bookmarkEnd w:id="399"/>
    </w:p>
    <w:p w14:paraId="01F2F56A">
      <w:pPr>
        <w:bidi w:val="0"/>
        <w:outlineLvl w:val="9"/>
        <w:rPr>
          <w:rFonts w:hint="eastAsia"/>
        </w:rPr>
      </w:pPr>
    </w:p>
    <w:p w14:paraId="76453F4F">
      <w:pPr>
        <w:bidi w:val="0"/>
        <w:outlineLvl w:val="9"/>
        <w:rPr>
          <w:rFonts w:hint="eastAsia"/>
        </w:rPr>
      </w:pPr>
    </w:p>
    <w:p w14:paraId="45111DBD">
      <w:pPr>
        <w:bidi w:val="0"/>
        <w:outlineLvl w:val="9"/>
        <w:rPr>
          <w:rFonts w:hint="eastAsia"/>
        </w:rPr>
      </w:pPr>
    </w:p>
    <w:p w14:paraId="184A9C92">
      <w:pPr>
        <w:bidi w:val="0"/>
        <w:outlineLvl w:val="9"/>
        <w:rPr>
          <w:rFonts w:hint="eastAsia"/>
        </w:rPr>
      </w:pPr>
    </w:p>
    <w:p w14:paraId="5B0F5439">
      <w:pPr>
        <w:bidi w:val="0"/>
        <w:outlineLvl w:val="9"/>
        <w:rPr>
          <w:rFonts w:hint="eastAsia"/>
        </w:rPr>
      </w:pPr>
    </w:p>
    <w:p w14:paraId="0AC5EA0B">
      <w:pPr>
        <w:bidi w:val="0"/>
        <w:outlineLvl w:val="9"/>
        <w:rPr>
          <w:rFonts w:hint="eastAsia"/>
        </w:rPr>
      </w:pPr>
    </w:p>
    <w:p w14:paraId="4951AF4A">
      <w:pPr>
        <w:bidi w:val="0"/>
        <w:outlineLvl w:val="9"/>
        <w:rPr>
          <w:rFonts w:hint="eastAsia"/>
        </w:rPr>
      </w:pPr>
    </w:p>
    <w:p w14:paraId="12BA1202">
      <w:pPr>
        <w:bidi w:val="0"/>
        <w:outlineLvl w:val="9"/>
        <w:rPr>
          <w:rFonts w:hint="eastAsia"/>
        </w:rPr>
      </w:pPr>
    </w:p>
    <w:p w14:paraId="0AA15D8E">
      <w:pPr>
        <w:bidi w:val="0"/>
        <w:outlineLvl w:val="9"/>
        <w:rPr>
          <w:rFonts w:hint="eastAsia"/>
        </w:rPr>
      </w:pPr>
    </w:p>
    <w:p w14:paraId="478B93F0">
      <w:pPr>
        <w:bidi w:val="0"/>
        <w:outlineLvl w:val="9"/>
        <w:rPr>
          <w:rFonts w:hint="eastAsia"/>
        </w:rPr>
      </w:pPr>
    </w:p>
    <w:p w14:paraId="7353CF38">
      <w:pPr>
        <w:bidi w:val="0"/>
        <w:outlineLvl w:val="9"/>
        <w:rPr>
          <w:rFonts w:hint="eastAsia"/>
        </w:rPr>
      </w:pPr>
    </w:p>
    <w:p w14:paraId="3070211C">
      <w:pPr>
        <w:bidi w:val="0"/>
        <w:outlineLvl w:val="9"/>
        <w:rPr>
          <w:rFonts w:hint="eastAsia"/>
        </w:rPr>
      </w:pPr>
    </w:p>
    <w:p w14:paraId="02A7C19A">
      <w:pPr>
        <w:bidi w:val="0"/>
        <w:outlineLvl w:val="9"/>
        <w:rPr>
          <w:rFonts w:hint="eastAsia"/>
        </w:rPr>
      </w:pPr>
    </w:p>
    <w:p w14:paraId="72CE6B4F">
      <w:pPr>
        <w:bidi w:val="0"/>
        <w:outlineLvl w:val="9"/>
        <w:rPr>
          <w:rFonts w:hint="eastAsia"/>
        </w:rPr>
      </w:pPr>
    </w:p>
    <w:p w14:paraId="43031816">
      <w:pPr>
        <w:bidi w:val="0"/>
        <w:outlineLvl w:val="9"/>
        <w:rPr>
          <w:rFonts w:hint="eastAsia"/>
        </w:rPr>
      </w:pPr>
    </w:p>
    <w:p w14:paraId="7DDA8A37">
      <w:pPr>
        <w:bidi w:val="0"/>
        <w:outlineLvl w:val="9"/>
        <w:rPr>
          <w:rFonts w:hint="eastAsia"/>
        </w:rPr>
      </w:pPr>
    </w:p>
    <w:p w14:paraId="159E7F1F">
      <w:pPr>
        <w:bidi w:val="0"/>
        <w:outlineLvl w:val="9"/>
        <w:rPr>
          <w:rFonts w:hint="eastAsia"/>
        </w:rPr>
      </w:pPr>
    </w:p>
    <w:p w14:paraId="47ECD57A">
      <w:pPr>
        <w:bidi w:val="0"/>
        <w:outlineLvl w:val="9"/>
        <w:rPr>
          <w:rFonts w:hint="eastAsia"/>
        </w:rPr>
      </w:pPr>
    </w:p>
    <w:p w14:paraId="3267A7C2">
      <w:pPr>
        <w:bidi w:val="0"/>
        <w:outlineLvl w:val="9"/>
        <w:rPr>
          <w:rFonts w:hint="eastAsia"/>
        </w:rPr>
      </w:pPr>
    </w:p>
    <w:p w14:paraId="7DF29483">
      <w:pPr>
        <w:bidi w:val="0"/>
        <w:outlineLvl w:val="9"/>
        <w:rPr>
          <w:rFonts w:hint="eastAsia"/>
        </w:rPr>
      </w:pPr>
    </w:p>
    <w:p w14:paraId="3A623A30">
      <w:pPr>
        <w:bidi w:val="0"/>
        <w:outlineLvl w:val="9"/>
        <w:rPr>
          <w:rFonts w:hint="eastAsia"/>
        </w:rPr>
      </w:pPr>
    </w:p>
    <w:p w14:paraId="1F6788EB">
      <w:pPr>
        <w:bidi w:val="0"/>
        <w:outlineLvl w:val="9"/>
        <w:rPr>
          <w:rFonts w:hint="eastAsia"/>
        </w:rPr>
      </w:pPr>
    </w:p>
    <w:p w14:paraId="39EEFEEB">
      <w:pPr>
        <w:bidi w:val="0"/>
        <w:outlineLvl w:val="9"/>
        <w:rPr>
          <w:rFonts w:hint="eastAsia"/>
        </w:rPr>
      </w:pPr>
    </w:p>
    <w:p w14:paraId="7A3C6271">
      <w:pPr>
        <w:bidi w:val="0"/>
        <w:outlineLvl w:val="9"/>
        <w:rPr>
          <w:rFonts w:hint="eastAsia"/>
        </w:rPr>
      </w:pPr>
    </w:p>
    <w:p w14:paraId="4ACAE5AB">
      <w:pPr>
        <w:bidi w:val="0"/>
        <w:outlineLvl w:val="9"/>
        <w:rPr>
          <w:rFonts w:hint="eastAsia"/>
        </w:rPr>
      </w:pPr>
    </w:p>
    <w:p w14:paraId="6C24F187">
      <w:pPr>
        <w:bidi w:val="0"/>
        <w:outlineLvl w:val="9"/>
        <w:rPr>
          <w:rFonts w:hint="eastAsia"/>
        </w:rPr>
      </w:pPr>
    </w:p>
    <w:p w14:paraId="4FF478D8">
      <w:pPr>
        <w:bidi w:val="0"/>
        <w:outlineLvl w:val="9"/>
        <w:rPr>
          <w:rFonts w:hint="eastAsia"/>
        </w:rPr>
      </w:pPr>
    </w:p>
    <w:p w14:paraId="24763E3F">
      <w:pPr>
        <w:bidi w:val="0"/>
        <w:outlineLvl w:val="9"/>
        <w:rPr>
          <w:rFonts w:hint="eastAsia"/>
        </w:rPr>
      </w:pPr>
    </w:p>
    <w:p w14:paraId="3DB9B32C">
      <w:pPr>
        <w:bidi w:val="0"/>
        <w:outlineLvl w:val="9"/>
        <w:rPr>
          <w:rFonts w:hint="eastAsia"/>
        </w:rPr>
      </w:pPr>
    </w:p>
    <w:p w14:paraId="05F1273E">
      <w:pPr>
        <w:bidi w:val="0"/>
        <w:outlineLvl w:val="9"/>
        <w:rPr>
          <w:rFonts w:hint="eastAsia"/>
        </w:rPr>
      </w:pPr>
    </w:p>
    <w:p w14:paraId="7998E66E">
      <w:pPr>
        <w:bidi w:val="0"/>
        <w:outlineLvl w:val="9"/>
        <w:rPr>
          <w:rFonts w:hint="eastAsia"/>
        </w:rPr>
      </w:pPr>
    </w:p>
    <w:p w14:paraId="3B175EDD">
      <w:pPr>
        <w:bidi w:val="0"/>
        <w:outlineLvl w:val="9"/>
        <w:rPr>
          <w:rFonts w:hint="eastAsia"/>
        </w:rPr>
      </w:pPr>
    </w:p>
    <w:p w14:paraId="6CEF55FE">
      <w:pPr>
        <w:bidi w:val="0"/>
        <w:outlineLvl w:val="9"/>
        <w:rPr>
          <w:rFonts w:hint="eastAsia"/>
        </w:rPr>
      </w:pPr>
    </w:p>
    <w:p w14:paraId="0999F7A9">
      <w:pPr>
        <w:bidi w:val="0"/>
        <w:outlineLvl w:val="9"/>
        <w:rPr>
          <w:rFonts w:hint="eastAsia"/>
        </w:rPr>
      </w:pPr>
    </w:p>
    <w:p w14:paraId="3BD504B8">
      <w:pPr>
        <w:bidi w:val="0"/>
        <w:outlineLvl w:val="9"/>
        <w:rPr>
          <w:rFonts w:hint="eastAsia"/>
        </w:rPr>
      </w:pPr>
    </w:p>
    <w:p w14:paraId="30F7A6B6">
      <w:pPr>
        <w:bidi w:val="0"/>
        <w:outlineLvl w:val="9"/>
        <w:rPr>
          <w:rFonts w:hint="eastAsia"/>
        </w:rPr>
      </w:pPr>
    </w:p>
    <w:p w14:paraId="263C9EB1">
      <w:pPr>
        <w:bidi w:val="0"/>
        <w:outlineLvl w:val="9"/>
        <w:rPr>
          <w:rFonts w:hint="eastAsia"/>
        </w:rPr>
      </w:pPr>
    </w:p>
    <w:p w14:paraId="4892FB84">
      <w:pPr>
        <w:bidi w:val="0"/>
        <w:outlineLvl w:val="9"/>
        <w:rPr>
          <w:rFonts w:hint="eastAsia"/>
        </w:rPr>
      </w:pPr>
    </w:p>
    <w:p w14:paraId="4C05FD13">
      <w:pPr>
        <w:bidi w:val="0"/>
        <w:jc w:val="center"/>
        <w:outlineLvl w:val="2"/>
        <w:rPr>
          <w:rFonts w:hint="eastAsia"/>
        </w:rPr>
      </w:pPr>
      <w:bookmarkStart w:id="400" w:name="_Toc14443"/>
      <w:bookmarkStart w:id="401" w:name="_Toc25075"/>
      <w:r>
        <w:rPr>
          <w:rFonts w:hint="eastAsia"/>
          <w:sz w:val="32"/>
          <w:szCs w:val="40"/>
        </w:rPr>
        <w:t>第二部分  商务及技术文件</w:t>
      </w:r>
      <w:bookmarkEnd w:id="390"/>
      <w:bookmarkEnd w:id="391"/>
      <w:bookmarkEnd w:id="400"/>
      <w:bookmarkEnd w:id="401"/>
    </w:p>
    <w:p w14:paraId="6AB885C5">
      <w:pPr>
        <w:pStyle w:val="29"/>
        <w:ind w:left="0" w:leftChars="0" w:firstLine="0" w:firstLineChars="0"/>
        <w:outlineLvl w:val="9"/>
        <w:rPr>
          <w:rFonts w:hint="eastAsia"/>
        </w:rPr>
      </w:pPr>
    </w:p>
    <w:p w14:paraId="4203394F">
      <w:pPr>
        <w:pStyle w:val="29"/>
        <w:outlineLvl w:val="9"/>
        <w:rPr>
          <w:rFonts w:hint="eastAsia"/>
        </w:rPr>
      </w:pPr>
    </w:p>
    <w:p w14:paraId="02CF6EC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投标书</w:t>
      </w:r>
    </w:p>
    <w:p w14:paraId="628C66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、投标分项报价表</w:t>
      </w:r>
    </w:p>
    <w:p w14:paraId="505E38DE">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3、货物说明一览表</w:t>
      </w:r>
    </w:p>
    <w:p w14:paraId="7A94279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采购需求</w:t>
      </w:r>
      <w:r>
        <w:rPr>
          <w:rFonts w:hint="eastAsia" w:ascii="宋体" w:hAnsi="宋体" w:eastAsia="宋体" w:cs="宋体"/>
          <w:sz w:val="24"/>
          <w:szCs w:val="24"/>
        </w:rPr>
        <w:t>偏离表</w:t>
      </w:r>
    </w:p>
    <w:p w14:paraId="3BB7ED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5-1、中小企业声明函（可选）</w:t>
      </w:r>
    </w:p>
    <w:p w14:paraId="75508CB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5-2、残疾人福利性单位声明函（可选）</w:t>
      </w:r>
    </w:p>
    <w:p w14:paraId="64F1CE0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5-3、监狱企业证明（可选）</w:t>
      </w:r>
    </w:p>
    <w:p w14:paraId="049E98D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、投标人关联单位的说明（格式自拟）</w:t>
      </w:r>
    </w:p>
    <w:p w14:paraId="23CA66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、政府采购诚信投标承诺书</w:t>
      </w:r>
    </w:p>
    <w:p w14:paraId="589508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8、项目主要人员一览表</w:t>
      </w:r>
    </w:p>
    <w:p w14:paraId="1D46EF6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lang w:val="en-US" w:eastAsia="zh-CN"/>
        </w:rPr>
      </w:pPr>
      <w:r>
        <w:rPr>
          <w:rFonts w:hint="eastAsia" w:ascii="宋体" w:hAnsi="宋体" w:eastAsia="宋体" w:cs="宋体"/>
          <w:sz w:val="24"/>
          <w:szCs w:val="24"/>
          <w:lang w:val="en-US" w:eastAsia="zh-CN"/>
        </w:rPr>
        <w:t>9、技术方案</w:t>
      </w:r>
    </w:p>
    <w:p w14:paraId="4036A6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投标人</w:t>
      </w:r>
      <w:r>
        <w:rPr>
          <w:rFonts w:hint="eastAsia" w:ascii="宋体" w:hAnsi="宋体" w:eastAsia="宋体" w:cs="宋体"/>
          <w:sz w:val="24"/>
          <w:szCs w:val="24"/>
        </w:rPr>
        <w:t>认为有利于投标的其他证明材料</w:t>
      </w:r>
    </w:p>
    <w:p w14:paraId="32036EE0">
      <w:pPr>
        <w:bidi w:val="0"/>
        <w:outlineLvl w:val="9"/>
        <w:rPr>
          <w:rFonts w:hint="default" w:eastAsia="宋体"/>
          <w:sz w:val="28"/>
          <w:szCs w:val="28"/>
          <w:lang w:val="en-US" w:eastAsia="zh-CN"/>
        </w:rPr>
      </w:pPr>
      <w:r>
        <w:rPr>
          <w:rFonts w:hint="eastAsia"/>
        </w:rPr>
        <w:br w:type="page"/>
      </w:r>
    </w:p>
    <w:bookmarkEnd w:id="356"/>
    <w:bookmarkEnd w:id="357"/>
    <w:bookmarkEnd w:id="358"/>
    <w:bookmarkEnd w:id="359"/>
    <w:p w14:paraId="50A81476">
      <w:pPr>
        <w:numPr>
          <w:ilvl w:val="0"/>
          <w:numId w:val="12"/>
        </w:numPr>
        <w:bidi w:val="0"/>
        <w:jc w:val="center"/>
        <w:outlineLvl w:val="2"/>
        <w:rPr>
          <w:rFonts w:hint="eastAsia" w:ascii="宋体" w:hAnsi="宋体" w:eastAsia="宋体" w:cs="宋体"/>
          <w:sz w:val="32"/>
          <w:szCs w:val="40"/>
        </w:rPr>
      </w:pPr>
      <w:bookmarkStart w:id="402" w:name="_Hlt520355938"/>
      <w:bookmarkEnd w:id="402"/>
      <w:bookmarkStart w:id="403" w:name="_Hlt520356243"/>
      <w:bookmarkEnd w:id="403"/>
      <w:bookmarkStart w:id="404" w:name="_Hlt520355504"/>
      <w:bookmarkEnd w:id="404"/>
      <w:bookmarkStart w:id="405" w:name="_Toc2041"/>
      <w:bookmarkStart w:id="406" w:name="_Toc24846"/>
      <w:bookmarkStart w:id="407" w:name="_Toc5752"/>
      <w:bookmarkStart w:id="408" w:name="_Toc28424"/>
      <w:bookmarkStart w:id="409" w:name="_Toc2825"/>
      <w:bookmarkStart w:id="410" w:name="_Toc2830"/>
      <w:bookmarkStart w:id="411" w:name="_Toc515647817"/>
      <w:bookmarkStart w:id="412" w:name="_Toc12794"/>
      <w:bookmarkStart w:id="413" w:name="_Toc14915"/>
      <w:bookmarkStart w:id="414" w:name="_Toc216582815"/>
      <w:r>
        <w:rPr>
          <w:rFonts w:hint="eastAsia" w:ascii="宋体" w:hAnsi="宋体" w:eastAsia="宋体" w:cs="宋体"/>
          <w:sz w:val="30"/>
          <w:szCs w:val="30"/>
          <w:lang w:val="en-US" w:eastAsia="zh-CN"/>
        </w:rPr>
        <w:t>投标</w:t>
      </w:r>
      <w:r>
        <w:rPr>
          <w:rFonts w:hint="eastAsia" w:ascii="宋体" w:hAnsi="宋体" w:eastAsia="宋体" w:cs="宋体"/>
          <w:sz w:val="30"/>
          <w:szCs w:val="30"/>
        </w:rPr>
        <w:t>书</w:t>
      </w:r>
      <w:bookmarkEnd w:id="405"/>
      <w:bookmarkEnd w:id="406"/>
      <w:bookmarkEnd w:id="407"/>
      <w:bookmarkEnd w:id="408"/>
      <w:bookmarkEnd w:id="409"/>
      <w:bookmarkEnd w:id="410"/>
      <w:bookmarkEnd w:id="411"/>
      <w:bookmarkEnd w:id="412"/>
      <w:bookmarkEnd w:id="413"/>
    </w:p>
    <w:p w14:paraId="3E4A9C55">
      <w:pPr>
        <w:pageBreakBefore w:val="0"/>
        <w:widowControl w:val="0"/>
        <w:tabs>
          <w:tab w:val="left" w:pos="5580"/>
        </w:tabs>
        <w:kinsoku/>
        <w:wordWrap/>
        <w:overflowPunct/>
        <w:topLinePunct w:val="0"/>
        <w:bidi w:val="0"/>
        <w:spacing w:line="400" w:lineRule="exact"/>
        <w:textAlignment w:val="auto"/>
        <w:outlineLvl w:val="9"/>
        <w:rPr>
          <w:rFonts w:hint="eastAsia" w:ascii="宋体" w:hAnsi="宋体" w:eastAsia="宋体" w:cs="宋体"/>
          <w:i w:val="0"/>
          <w:iCs w:val="0"/>
          <w:sz w:val="24"/>
          <w:szCs w:val="24"/>
        </w:rPr>
      </w:pPr>
    </w:p>
    <w:p w14:paraId="220F680C">
      <w:pPr>
        <w:pageBreakBefore w:val="0"/>
        <w:widowControl w:val="0"/>
        <w:tabs>
          <w:tab w:val="left" w:pos="5580"/>
        </w:tabs>
        <w:kinsoku/>
        <w:wordWrap/>
        <w:overflowPunct/>
        <w:topLinePunct w:val="0"/>
        <w:bidi w:val="0"/>
        <w:spacing w:line="400" w:lineRule="exact"/>
        <w:textAlignment w:val="auto"/>
        <w:outlineLvl w:val="9"/>
        <w:rPr>
          <w:rFonts w:hint="default" w:ascii="宋体" w:hAnsi="宋体" w:eastAsia="宋体" w:cs="宋体"/>
          <w:i w:val="0"/>
          <w:iCs w:val="0"/>
          <w:sz w:val="24"/>
          <w:szCs w:val="20"/>
          <w:lang w:val="en-US" w:eastAsia="zh-CN"/>
        </w:rPr>
      </w:pPr>
      <w:r>
        <w:rPr>
          <w:rFonts w:hint="eastAsia" w:ascii="宋体" w:hAnsi="宋体" w:eastAsia="宋体" w:cs="宋体"/>
          <w:i w:val="0"/>
          <w:iCs w:val="0"/>
          <w:sz w:val="24"/>
          <w:szCs w:val="24"/>
        </w:rPr>
        <w:t>致：</w:t>
      </w:r>
      <w:r>
        <w:rPr>
          <w:rFonts w:hint="eastAsia" w:ascii="宋体" w:hAnsi="宋体" w:eastAsia="宋体" w:cs="宋体"/>
          <w:i w:val="0"/>
          <w:iCs w:val="0"/>
          <w:sz w:val="24"/>
          <w:szCs w:val="24"/>
          <w:u w:val="single"/>
          <w:lang w:val="en-US" w:eastAsia="zh-CN"/>
        </w:rPr>
        <w:t>新疆正昊建设工程项目管理有限公司</w:t>
      </w:r>
    </w:p>
    <w:p w14:paraId="61C0D1C8">
      <w:pPr>
        <w:pStyle w:val="14"/>
        <w:pageBreakBefore w:val="0"/>
        <w:widowControl w:val="0"/>
        <w:tabs>
          <w:tab w:val="left" w:pos="5580"/>
        </w:tabs>
        <w:kinsoku/>
        <w:wordWrap/>
        <w:overflowPunct/>
        <w:topLinePunct w:val="0"/>
        <w:bidi w:val="0"/>
        <w:spacing w:line="400" w:lineRule="exact"/>
        <w:ind w:left="2" w:leftChars="1" w:right="-307" w:rightChars="-146" w:firstLine="480" w:firstLineChars="20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根据贵方(</w:t>
      </w:r>
      <w:r>
        <w:rPr>
          <w:rFonts w:hint="eastAsia" w:ascii="宋体" w:hAnsi="宋体" w:eastAsia="宋体" w:cs="宋体"/>
          <w:i w:val="0"/>
          <w:iCs w:val="0"/>
          <w:sz w:val="24"/>
          <w:szCs w:val="20"/>
          <w:u w:val="single"/>
        </w:rPr>
        <w:t>项目名称</w:t>
      </w:r>
      <w:r>
        <w:rPr>
          <w:rFonts w:hint="eastAsia" w:ascii="宋体" w:hAnsi="宋体" w:eastAsia="宋体" w:cs="宋体"/>
          <w:i w:val="0"/>
          <w:iCs w:val="0"/>
          <w:sz w:val="24"/>
          <w:szCs w:val="20"/>
        </w:rPr>
        <w:t>)项目的</w:t>
      </w:r>
      <w:r>
        <w:rPr>
          <w:rFonts w:hint="eastAsia" w:ascii="宋体" w:hAnsi="宋体" w:eastAsia="宋体" w:cs="宋体"/>
          <w:i w:val="0"/>
          <w:iCs w:val="0"/>
          <w:sz w:val="24"/>
          <w:szCs w:val="20"/>
          <w:lang w:val="en-US" w:eastAsia="zh-CN"/>
        </w:rPr>
        <w:t>投标邀请</w:t>
      </w:r>
      <w:r>
        <w:rPr>
          <w:rFonts w:hint="eastAsia" w:ascii="宋体" w:hAnsi="宋体" w:eastAsia="宋体" w:cs="宋体"/>
          <w:i w:val="0"/>
          <w:iCs w:val="0"/>
          <w:sz w:val="24"/>
          <w:szCs w:val="20"/>
        </w:rPr>
        <w:t>(</w:t>
      </w:r>
      <w:r>
        <w:rPr>
          <w:rFonts w:hint="eastAsia" w:ascii="宋体" w:hAnsi="宋体" w:eastAsia="宋体" w:cs="宋体"/>
          <w:i w:val="0"/>
          <w:iCs w:val="0"/>
          <w:sz w:val="24"/>
          <w:szCs w:val="20"/>
          <w:u w:val="single"/>
          <w:lang w:eastAsia="zh-CN"/>
        </w:rPr>
        <w:t>项目</w:t>
      </w:r>
      <w:r>
        <w:rPr>
          <w:rFonts w:hint="eastAsia" w:ascii="宋体" w:hAnsi="宋体" w:eastAsia="宋体" w:cs="宋体"/>
          <w:i w:val="0"/>
          <w:iCs w:val="0"/>
          <w:sz w:val="24"/>
          <w:szCs w:val="20"/>
          <w:u w:val="single"/>
        </w:rPr>
        <w:t>编号</w:t>
      </w:r>
      <w:r>
        <w:rPr>
          <w:rFonts w:hint="eastAsia" w:hAnsi="宋体" w:cs="宋体"/>
          <w:i w:val="0"/>
          <w:iCs w:val="0"/>
          <w:sz w:val="24"/>
          <w:szCs w:val="20"/>
          <w:u w:val="single"/>
          <w:lang w:eastAsia="zh-CN"/>
        </w:rPr>
        <w:t>、</w:t>
      </w:r>
      <w:r>
        <w:rPr>
          <w:rFonts w:hint="eastAsia" w:hAnsi="宋体" w:cs="宋体"/>
          <w:i w:val="0"/>
          <w:iCs w:val="0"/>
          <w:sz w:val="24"/>
          <w:szCs w:val="20"/>
          <w:u w:val="single"/>
          <w:lang w:val="en-US" w:eastAsia="zh-CN"/>
        </w:rPr>
        <w:t>包号</w:t>
      </w:r>
      <w:r>
        <w:rPr>
          <w:rFonts w:hint="eastAsia" w:ascii="宋体" w:hAnsi="宋体" w:eastAsia="宋体" w:cs="宋体"/>
          <w:i w:val="0"/>
          <w:iCs w:val="0"/>
          <w:sz w:val="24"/>
          <w:szCs w:val="20"/>
        </w:rPr>
        <w:t>),签字代表(</w:t>
      </w:r>
      <w:r>
        <w:rPr>
          <w:rFonts w:hint="eastAsia" w:ascii="宋体" w:hAnsi="宋体" w:eastAsia="宋体" w:cs="宋体"/>
          <w:i w:val="0"/>
          <w:iCs w:val="0"/>
          <w:sz w:val="24"/>
          <w:szCs w:val="20"/>
          <w:u w:val="single"/>
        </w:rPr>
        <w:t>姓名、职务</w:t>
      </w:r>
      <w:r>
        <w:rPr>
          <w:rFonts w:hint="eastAsia" w:ascii="宋体" w:hAnsi="宋体" w:eastAsia="宋体" w:cs="宋体"/>
          <w:i w:val="0"/>
          <w:iCs w:val="0"/>
          <w:sz w:val="24"/>
          <w:szCs w:val="20"/>
        </w:rPr>
        <w:t>)经正式授权并代表供应商（</w:t>
      </w:r>
      <w:r>
        <w:rPr>
          <w:rFonts w:hint="eastAsia" w:ascii="宋体" w:hAnsi="宋体" w:eastAsia="宋体" w:cs="宋体"/>
          <w:i w:val="0"/>
          <w:iCs w:val="0"/>
          <w:sz w:val="24"/>
          <w:szCs w:val="20"/>
          <w:u w:val="single"/>
        </w:rPr>
        <w:t>名称、地址</w:t>
      </w:r>
      <w:r>
        <w:rPr>
          <w:rFonts w:hint="eastAsia" w:ascii="宋体" w:hAnsi="宋体" w:eastAsia="宋体" w:cs="宋体"/>
          <w:i w:val="0"/>
          <w:iCs w:val="0"/>
          <w:sz w:val="24"/>
          <w:szCs w:val="20"/>
        </w:rPr>
        <w:t>）</w:t>
      </w:r>
      <w:r>
        <w:rPr>
          <w:rFonts w:hint="eastAsia" w:hAnsi="宋体" w:cs="宋体"/>
          <w:i w:val="0"/>
          <w:iCs w:val="0"/>
          <w:sz w:val="24"/>
          <w:szCs w:val="20"/>
          <w:lang w:val="en-US" w:eastAsia="zh-CN"/>
        </w:rPr>
        <w:t>在政采云上提交了电子投标文件</w:t>
      </w:r>
      <w:r>
        <w:rPr>
          <w:rFonts w:hint="eastAsia" w:ascii="宋体" w:hAnsi="宋体" w:eastAsia="宋体" w:cs="宋体"/>
          <w:i w:val="0"/>
          <w:iCs w:val="0"/>
          <w:sz w:val="24"/>
          <w:szCs w:val="20"/>
        </w:rPr>
        <w:t>，并以</w:t>
      </w:r>
      <w:r>
        <w:rPr>
          <w:rFonts w:hint="eastAsia" w:ascii="宋体" w:hAnsi="宋体" w:eastAsia="宋体" w:cs="宋体"/>
          <w:i w:val="0"/>
          <w:iCs w:val="0"/>
          <w:sz w:val="24"/>
          <w:szCs w:val="20"/>
          <w:u w:val="single"/>
        </w:rPr>
        <w:t xml:space="preserve"> </w:t>
      </w:r>
      <w:r>
        <w:rPr>
          <w:rFonts w:hint="eastAsia" w:hAnsi="宋体" w:cs="宋体"/>
          <w:i w:val="0"/>
          <w:iCs w:val="0"/>
          <w:sz w:val="24"/>
          <w:szCs w:val="20"/>
          <w:u w:val="single"/>
          <w:lang w:val="en-US" w:eastAsia="zh-CN"/>
        </w:rPr>
        <w:t xml:space="preserve">     </w:t>
      </w:r>
      <w:r>
        <w:rPr>
          <w:rFonts w:hint="eastAsia" w:ascii="宋体" w:hAnsi="宋体" w:eastAsia="宋体" w:cs="宋体"/>
          <w:i w:val="0"/>
          <w:iCs w:val="0"/>
          <w:sz w:val="24"/>
          <w:szCs w:val="20"/>
        </w:rPr>
        <w:t>形式出具的金额为人民币</w:t>
      </w:r>
      <w:r>
        <w:rPr>
          <w:rFonts w:hint="eastAsia" w:ascii="宋体" w:hAnsi="宋体" w:eastAsia="宋体" w:cs="宋体"/>
          <w:i w:val="0"/>
          <w:iCs w:val="0"/>
          <w:sz w:val="24"/>
          <w:szCs w:val="20"/>
          <w:u w:val="single"/>
        </w:rPr>
        <w:t>　　　　</w:t>
      </w:r>
      <w:r>
        <w:rPr>
          <w:rFonts w:hint="eastAsia" w:ascii="宋体" w:hAnsi="宋体" w:eastAsia="宋体" w:cs="宋体"/>
          <w:i w:val="0"/>
          <w:iCs w:val="0"/>
          <w:sz w:val="24"/>
          <w:szCs w:val="20"/>
        </w:rPr>
        <w:t>元的</w:t>
      </w:r>
      <w:r>
        <w:rPr>
          <w:rFonts w:hint="eastAsia" w:ascii="宋体" w:hAnsi="宋体" w:eastAsia="宋体" w:cs="宋体"/>
          <w:i w:val="0"/>
          <w:iCs w:val="0"/>
          <w:sz w:val="24"/>
          <w:szCs w:val="20"/>
          <w:lang w:val="en-US" w:eastAsia="zh-CN"/>
        </w:rPr>
        <w:t>投标</w:t>
      </w:r>
      <w:r>
        <w:rPr>
          <w:rFonts w:hint="eastAsia" w:ascii="宋体" w:hAnsi="宋体" w:eastAsia="宋体" w:cs="宋体"/>
          <w:i w:val="0"/>
          <w:iCs w:val="0"/>
          <w:sz w:val="24"/>
          <w:szCs w:val="20"/>
        </w:rPr>
        <w:t>保证金。</w:t>
      </w:r>
    </w:p>
    <w:p w14:paraId="366BA6F9">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据此，签字代表宣布同意如下：</w:t>
      </w:r>
    </w:p>
    <w:p w14:paraId="7D9DA85B">
      <w:pPr>
        <w:pStyle w:val="14"/>
        <w:pageBreakBefore w:val="0"/>
        <w:widowControl w:val="0"/>
        <w:tabs>
          <w:tab w:val="left" w:pos="720"/>
          <w:tab w:val="left" w:pos="900"/>
        </w:tabs>
        <w:kinsoku/>
        <w:wordWrap/>
        <w:overflowPunct/>
        <w:topLinePunct w:val="0"/>
        <w:bidi w:val="0"/>
        <w:spacing w:line="400" w:lineRule="exact"/>
        <w:ind w:left="769" w:leftChars="257" w:hanging="229"/>
        <w:textAlignment w:val="auto"/>
        <w:outlineLvl w:val="9"/>
        <w:rPr>
          <w:rFonts w:hint="eastAsia" w:ascii="宋体" w:hAnsi="宋体" w:eastAsia="宋体" w:cs="宋体"/>
          <w:i w:val="0"/>
          <w:iCs w:val="0"/>
          <w:sz w:val="24"/>
          <w:szCs w:val="20"/>
          <w:u w:val="single"/>
        </w:rPr>
      </w:pPr>
      <w:r>
        <w:rPr>
          <w:rFonts w:hint="eastAsia" w:ascii="宋体" w:hAnsi="宋体" w:eastAsia="宋体" w:cs="宋体"/>
          <w:i w:val="0"/>
          <w:iCs w:val="0"/>
          <w:sz w:val="24"/>
          <w:szCs w:val="20"/>
        </w:rPr>
        <w:t>（1）附</w:t>
      </w:r>
      <w:r>
        <w:rPr>
          <w:rFonts w:hint="eastAsia" w:ascii="宋体" w:hAnsi="宋体" w:eastAsia="宋体" w:cs="宋体"/>
          <w:i w:val="0"/>
          <w:iCs w:val="0"/>
          <w:sz w:val="24"/>
          <w:szCs w:val="20"/>
          <w:lang w:eastAsia="zh-CN"/>
        </w:rPr>
        <w:t>所投</w:t>
      </w:r>
      <w:r>
        <w:rPr>
          <w:rFonts w:hint="eastAsia" w:ascii="宋体" w:hAnsi="宋体" w:eastAsia="宋体" w:cs="宋体"/>
          <w:i w:val="0"/>
          <w:iCs w:val="0"/>
          <w:sz w:val="24"/>
          <w:szCs w:val="20"/>
        </w:rPr>
        <w:t>价格表中规定的应提供</w:t>
      </w:r>
      <w:r>
        <w:rPr>
          <w:rFonts w:hint="eastAsia" w:ascii="宋体" w:hAnsi="宋体" w:eastAsia="宋体" w:cs="宋体"/>
          <w:i w:val="0"/>
          <w:iCs w:val="0"/>
          <w:sz w:val="24"/>
          <w:szCs w:val="20"/>
          <w:lang w:eastAsia="zh-CN"/>
        </w:rPr>
        <w:t>货物</w:t>
      </w:r>
      <w:r>
        <w:rPr>
          <w:rFonts w:hint="eastAsia" w:ascii="宋体" w:hAnsi="宋体" w:eastAsia="宋体" w:cs="宋体"/>
          <w:i w:val="0"/>
          <w:iCs w:val="0"/>
          <w:sz w:val="24"/>
          <w:szCs w:val="20"/>
        </w:rPr>
        <w:t>的</w:t>
      </w:r>
      <w:r>
        <w:rPr>
          <w:rFonts w:hint="eastAsia" w:ascii="宋体" w:hAnsi="宋体" w:eastAsia="宋体" w:cs="宋体"/>
          <w:i w:val="0"/>
          <w:iCs w:val="0"/>
          <w:sz w:val="24"/>
          <w:szCs w:val="20"/>
          <w:lang w:val="en-US" w:eastAsia="zh-CN"/>
        </w:rPr>
        <w:t>投标</w:t>
      </w:r>
      <w:r>
        <w:rPr>
          <w:rFonts w:hint="eastAsia" w:ascii="宋体" w:hAnsi="宋体" w:eastAsia="宋体" w:cs="宋体"/>
          <w:i w:val="0"/>
          <w:iCs w:val="0"/>
          <w:sz w:val="24"/>
          <w:szCs w:val="20"/>
        </w:rPr>
        <w:t>总价详见</w:t>
      </w:r>
      <w:r>
        <w:rPr>
          <w:rFonts w:hint="eastAsia" w:ascii="宋体" w:hAnsi="宋体" w:eastAsia="宋体" w:cs="宋体"/>
          <w:i w:val="0"/>
          <w:iCs w:val="0"/>
          <w:sz w:val="24"/>
          <w:szCs w:val="20"/>
          <w:lang w:val="en-US" w:eastAsia="zh-CN"/>
        </w:rPr>
        <w:t>开标</w:t>
      </w:r>
      <w:r>
        <w:rPr>
          <w:rFonts w:hint="eastAsia" w:ascii="宋体" w:hAnsi="宋体" w:eastAsia="宋体" w:cs="宋体"/>
          <w:i w:val="0"/>
          <w:iCs w:val="0"/>
          <w:sz w:val="24"/>
          <w:szCs w:val="20"/>
        </w:rPr>
        <w:t>一览表，</w:t>
      </w:r>
      <w:r>
        <w:rPr>
          <w:rFonts w:hint="eastAsia" w:ascii="宋体" w:hAnsi="宋体" w:eastAsia="宋体" w:cs="宋体"/>
          <w:i w:val="0"/>
          <w:iCs w:val="0"/>
          <w:sz w:val="24"/>
          <w:szCs w:val="20"/>
          <w:u w:val="none"/>
        </w:rPr>
        <w:t>其中由</w:t>
      </w:r>
      <w:r>
        <w:rPr>
          <w:rFonts w:hint="eastAsia" w:hAnsi="宋体" w:cs="宋体"/>
          <w:i w:val="0"/>
          <w:iCs w:val="0"/>
          <w:sz w:val="24"/>
          <w:szCs w:val="20"/>
          <w:u w:val="none"/>
          <w:lang w:val="en-US" w:eastAsia="zh-CN"/>
        </w:rPr>
        <w:t>小微</w:t>
      </w:r>
      <w:r>
        <w:rPr>
          <w:rFonts w:hint="eastAsia" w:ascii="宋体" w:hAnsi="宋体" w:eastAsia="宋体" w:cs="宋体"/>
          <w:i w:val="0"/>
          <w:iCs w:val="0"/>
          <w:sz w:val="24"/>
          <w:szCs w:val="20"/>
          <w:u w:val="none"/>
        </w:rPr>
        <w:t>制造产品</w:t>
      </w:r>
      <w:r>
        <w:rPr>
          <w:rFonts w:hint="eastAsia" w:ascii="宋体" w:hAnsi="宋体" w:eastAsia="宋体" w:cs="宋体"/>
          <w:i w:val="0"/>
          <w:iCs w:val="0"/>
          <w:sz w:val="24"/>
          <w:szCs w:val="20"/>
        </w:rPr>
        <w:t>的价格为</w:t>
      </w:r>
      <w:r>
        <w:rPr>
          <w:rFonts w:hint="eastAsia" w:ascii="宋体" w:hAnsi="宋体" w:eastAsia="宋体" w:cs="宋体"/>
          <w:i w:val="0"/>
          <w:iCs w:val="0"/>
          <w:sz w:val="24"/>
          <w:szCs w:val="20"/>
          <w:u w:val="single"/>
        </w:rPr>
        <w:t xml:space="preserve">　　  </w:t>
      </w:r>
      <w:r>
        <w:rPr>
          <w:rFonts w:hint="eastAsia" w:ascii="宋体" w:hAnsi="宋体" w:eastAsia="宋体" w:cs="宋体"/>
          <w:i w:val="0"/>
          <w:iCs w:val="0"/>
          <w:sz w:val="24"/>
          <w:szCs w:val="20"/>
          <w:u w:val="single"/>
          <w:lang w:val="en-US" w:eastAsia="zh-CN"/>
        </w:rPr>
        <w:t xml:space="preserve">  </w:t>
      </w:r>
      <w:r>
        <w:rPr>
          <w:rFonts w:hint="eastAsia" w:ascii="宋体" w:hAnsi="宋体" w:eastAsia="宋体" w:cs="宋体"/>
          <w:i w:val="0"/>
          <w:iCs w:val="0"/>
          <w:sz w:val="24"/>
          <w:szCs w:val="20"/>
          <w:u w:val="single"/>
        </w:rPr>
        <w:t>（用文字和数字表示），占标的总价   %</w:t>
      </w:r>
      <w:r>
        <w:rPr>
          <w:rFonts w:hint="eastAsia" w:ascii="宋体" w:hAnsi="宋体" w:eastAsia="宋体" w:cs="宋体"/>
          <w:i w:val="0"/>
          <w:iCs w:val="0"/>
          <w:sz w:val="24"/>
          <w:szCs w:val="20"/>
        </w:rPr>
        <w:t>。</w:t>
      </w:r>
    </w:p>
    <w:p w14:paraId="2437CA77">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（2）本</w:t>
      </w:r>
      <w:r>
        <w:rPr>
          <w:rFonts w:hint="eastAsia" w:hAnsi="宋体" w:eastAsia="宋体" w:cs="宋体"/>
          <w:i w:val="0"/>
          <w:iCs w:val="0"/>
          <w:sz w:val="24"/>
          <w:szCs w:val="20"/>
          <w:lang w:val="en-US" w:eastAsia="zh-CN"/>
        </w:rPr>
        <w:t>投标</w:t>
      </w:r>
      <w:r>
        <w:rPr>
          <w:rFonts w:hint="eastAsia" w:ascii="宋体" w:hAnsi="宋体" w:eastAsia="宋体" w:cs="宋体"/>
          <w:i w:val="0"/>
          <w:iCs w:val="0"/>
          <w:sz w:val="24"/>
          <w:szCs w:val="20"/>
        </w:rPr>
        <w:t>有效期为自</w:t>
      </w:r>
      <w:r>
        <w:rPr>
          <w:rFonts w:hint="eastAsia" w:ascii="宋体" w:hAnsi="宋体" w:eastAsia="宋体" w:cs="宋体"/>
          <w:i w:val="0"/>
          <w:iCs w:val="0"/>
          <w:sz w:val="24"/>
          <w:szCs w:val="20"/>
          <w:lang w:val="en-US" w:eastAsia="zh-CN"/>
        </w:rPr>
        <w:t>投标</w:t>
      </w:r>
      <w:r>
        <w:rPr>
          <w:rFonts w:hint="eastAsia" w:ascii="宋体" w:hAnsi="宋体" w:eastAsia="宋体" w:cs="宋体"/>
          <w:i w:val="0"/>
          <w:iCs w:val="0"/>
          <w:sz w:val="24"/>
          <w:szCs w:val="20"/>
        </w:rPr>
        <w:t>截止之日起</w:t>
      </w:r>
      <w:r>
        <w:rPr>
          <w:rFonts w:hint="eastAsia" w:ascii="宋体" w:hAnsi="宋体" w:eastAsia="宋体" w:cs="宋体"/>
          <w:i w:val="0"/>
          <w:iCs w:val="0"/>
          <w:sz w:val="24"/>
          <w:szCs w:val="20"/>
          <w:u w:val="single"/>
        </w:rPr>
        <w:t xml:space="preserve">          </w:t>
      </w:r>
      <w:r>
        <w:rPr>
          <w:rFonts w:hint="eastAsia" w:ascii="宋体" w:hAnsi="宋体" w:eastAsia="宋体" w:cs="宋体"/>
          <w:i w:val="0"/>
          <w:iCs w:val="0"/>
          <w:sz w:val="24"/>
          <w:szCs w:val="20"/>
        </w:rPr>
        <w:t>个日历日。</w:t>
      </w:r>
    </w:p>
    <w:p w14:paraId="6E9EBDED">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（3）联合体中的大中型企业和其他自然人、法人或者非法人组织，与联合体中的小型、微型企业之间</w:t>
      </w:r>
      <w:r>
        <w:rPr>
          <w:rFonts w:hint="eastAsia" w:ascii="宋体" w:hAnsi="宋体" w:eastAsia="宋体" w:cs="宋体"/>
          <w:i w:val="0"/>
          <w:iCs w:val="0"/>
          <w:sz w:val="24"/>
          <w:szCs w:val="20"/>
          <w:u w:val="single"/>
        </w:rPr>
        <w:t xml:space="preserve">     （</w:t>
      </w:r>
      <w:r>
        <w:rPr>
          <w:rFonts w:hint="eastAsia" w:ascii="宋体" w:hAnsi="宋体" w:eastAsia="宋体" w:cs="宋体"/>
          <w:i w:val="0"/>
          <w:iCs w:val="0"/>
          <w:sz w:val="24"/>
          <w:szCs w:val="20"/>
        </w:rPr>
        <w:t>存在、不存在）投资关系（如果是联合体的话）。</w:t>
      </w:r>
    </w:p>
    <w:p w14:paraId="5C8FB14B">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（4）已详细审查全部</w:t>
      </w:r>
      <w:r>
        <w:rPr>
          <w:rFonts w:hint="eastAsia" w:ascii="宋体" w:hAnsi="宋体" w:eastAsia="宋体" w:cs="宋体"/>
          <w:i w:val="0"/>
          <w:iCs w:val="0"/>
          <w:sz w:val="24"/>
          <w:szCs w:val="20"/>
          <w:lang w:val="en-US" w:eastAsia="zh-CN"/>
        </w:rPr>
        <w:t>招标文件</w:t>
      </w:r>
      <w:r>
        <w:rPr>
          <w:rFonts w:hint="eastAsia" w:ascii="宋体" w:hAnsi="宋体" w:eastAsia="宋体" w:cs="宋体"/>
          <w:i w:val="0"/>
          <w:iCs w:val="0"/>
          <w:sz w:val="24"/>
          <w:szCs w:val="20"/>
        </w:rPr>
        <w:t>，包括所有补充通知（如果有的话），完全理解并同意放弃对这方面有不明、误解和质疑的权力。</w:t>
      </w:r>
    </w:p>
    <w:p w14:paraId="419D655E">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（5）在规定的</w:t>
      </w:r>
      <w:r>
        <w:rPr>
          <w:rFonts w:hint="eastAsia" w:hAnsi="宋体" w:eastAsia="宋体" w:cs="宋体"/>
          <w:i w:val="0"/>
          <w:iCs w:val="0"/>
          <w:sz w:val="24"/>
          <w:szCs w:val="20"/>
          <w:lang w:val="en-US" w:eastAsia="zh-CN"/>
        </w:rPr>
        <w:t>开标时间</w:t>
      </w:r>
      <w:r>
        <w:rPr>
          <w:rFonts w:hint="eastAsia" w:ascii="宋体" w:hAnsi="宋体" w:eastAsia="宋体" w:cs="宋体"/>
          <w:i w:val="0"/>
          <w:iCs w:val="0"/>
          <w:sz w:val="24"/>
          <w:szCs w:val="20"/>
        </w:rPr>
        <w:t>后，遵守</w:t>
      </w:r>
      <w:r>
        <w:rPr>
          <w:rFonts w:hint="eastAsia" w:ascii="宋体" w:hAnsi="宋体" w:eastAsia="宋体" w:cs="宋体"/>
          <w:i w:val="0"/>
          <w:iCs w:val="0"/>
          <w:sz w:val="24"/>
          <w:szCs w:val="20"/>
          <w:lang w:val="en-US" w:eastAsia="zh-CN"/>
        </w:rPr>
        <w:t>招标文件</w:t>
      </w:r>
      <w:r>
        <w:rPr>
          <w:rFonts w:hint="eastAsia" w:ascii="宋体" w:hAnsi="宋体" w:eastAsia="宋体" w:cs="宋体"/>
          <w:i w:val="0"/>
          <w:iCs w:val="0"/>
          <w:sz w:val="24"/>
          <w:szCs w:val="20"/>
        </w:rPr>
        <w:t>中有关保证金的规定。</w:t>
      </w:r>
    </w:p>
    <w:p w14:paraId="77096377">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（6）我方不是为本项目提供整体设计、规范编制或者项目管理、监理等</w:t>
      </w:r>
      <w:r>
        <w:rPr>
          <w:rFonts w:hint="eastAsia" w:ascii="宋体" w:hAnsi="宋体" w:eastAsia="宋体" w:cs="宋体"/>
          <w:i w:val="0"/>
          <w:iCs w:val="0"/>
          <w:sz w:val="24"/>
          <w:szCs w:val="20"/>
          <w:lang w:eastAsia="zh-CN"/>
        </w:rPr>
        <w:t>货物</w:t>
      </w:r>
      <w:r>
        <w:rPr>
          <w:rFonts w:hint="eastAsia" w:ascii="宋体" w:hAnsi="宋体" w:eastAsia="宋体" w:cs="宋体"/>
          <w:i w:val="0"/>
          <w:iCs w:val="0"/>
          <w:sz w:val="24"/>
          <w:szCs w:val="20"/>
        </w:rPr>
        <w:t>的供应商，我方不是采购代理机构的附属机构。</w:t>
      </w:r>
    </w:p>
    <w:p w14:paraId="43E02897">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lang w:eastAsia="zh-CN"/>
        </w:rPr>
      </w:pPr>
      <w:r>
        <w:rPr>
          <w:rFonts w:hint="eastAsia" w:hAnsi="宋体" w:eastAsia="宋体" w:cs="宋体"/>
          <w:i w:val="0"/>
          <w:iCs w:val="0"/>
          <w:sz w:val="24"/>
          <w:szCs w:val="20"/>
          <w:lang w:eastAsia="zh-CN"/>
        </w:rPr>
        <w:t>（</w:t>
      </w:r>
      <w:r>
        <w:rPr>
          <w:rFonts w:hint="eastAsia" w:hAnsi="宋体" w:eastAsia="宋体" w:cs="宋体"/>
          <w:i w:val="0"/>
          <w:iCs w:val="0"/>
          <w:sz w:val="24"/>
          <w:szCs w:val="20"/>
          <w:lang w:val="en-US" w:eastAsia="zh-CN"/>
        </w:rPr>
        <w:t>7</w:t>
      </w:r>
      <w:r>
        <w:rPr>
          <w:rFonts w:hint="eastAsia" w:hAnsi="宋体" w:eastAsia="宋体" w:cs="宋体"/>
          <w:i w:val="0"/>
          <w:iCs w:val="0"/>
          <w:sz w:val="24"/>
          <w:szCs w:val="20"/>
          <w:lang w:eastAsia="zh-CN"/>
        </w:rPr>
        <w:t>）我方与其他投标人不存在法定代表人或单位负责人为同一人或者存在直接控股、管理关系。</w:t>
      </w:r>
    </w:p>
    <w:p w14:paraId="41BB9F55">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w:t>
      </w:r>
      <w:r>
        <w:rPr>
          <w:rFonts w:hint="eastAsia" w:hAnsi="宋体" w:eastAsia="宋体" w:cs="宋体"/>
          <w:i w:val="0"/>
          <w:iCs w:val="0"/>
          <w:sz w:val="24"/>
          <w:szCs w:val="20"/>
          <w:lang w:val="en-US" w:eastAsia="zh-CN"/>
        </w:rPr>
        <w:t>8</w:t>
      </w:r>
      <w:r>
        <w:rPr>
          <w:rFonts w:hint="eastAsia" w:ascii="宋体" w:hAnsi="宋体" w:eastAsia="宋体" w:cs="宋体"/>
          <w:i w:val="0"/>
          <w:iCs w:val="0"/>
          <w:sz w:val="24"/>
          <w:szCs w:val="20"/>
        </w:rPr>
        <w:t>）在领取</w:t>
      </w:r>
      <w:r>
        <w:rPr>
          <w:rFonts w:hint="eastAsia" w:ascii="宋体" w:hAnsi="宋体" w:eastAsia="宋体" w:cs="宋体"/>
          <w:i w:val="0"/>
          <w:iCs w:val="0"/>
          <w:sz w:val="24"/>
          <w:szCs w:val="20"/>
          <w:lang w:val="en-US" w:eastAsia="zh-CN"/>
        </w:rPr>
        <w:t>中标</w:t>
      </w:r>
      <w:r>
        <w:rPr>
          <w:rFonts w:hint="eastAsia" w:ascii="宋体" w:hAnsi="宋体" w:eastAsia="宋体" w:cs="宋体"/>
          <w:i w:val="0"/>
          <w:iCs w:val="0"/>
          <w:sz w:val="24"/>
          <w:szCs w:val="20"/>
        </w:rPr>
        <w:t>通知书的同时按</w:t>
      </w:r>
      <w:r>
        <w:rPr>
          <w:rFonts w:hint="eastAsia" w:ascii="宋体" w:hAnsi="宋体" w:eastAsia="宋体" w:cs="宋体"/>
          <w:i w:val="0"/>
          <w:iCs w:val="0"/>
          <w:sz w:val="24"/>
          <w:szCs w:val="20"/>
          <w:lang w:val="en-US" w:eastAsia="zh-CN"/>
        </w:rPr>
        <w:t>招标文件</w:t>
      </w:r>
      <w:r>
        <w:rPr>
          <w:rFonts w:hint="eastAsia" w:ascii="宋体" w:hAnsi="宋体" w:eastAsia="宋体" w:cs="宋体"/>
          <w:i w:val="0"/>
          <w:iCs w:val="0"/>
          <w:sz w:val="24"/>
          <w:szCs w:val="20"/>
        </w:rPr>
        <w:t>规定的形式，向贵方一次性支付</w:t>
      </w:r>
      <w:r>
        <w:rPr>
          <w:rFonts w:hint="eastAsia" w:hAnsi="宋体" w:eastAsia="宋体" w:cs="宋体"/>
          <w:i w:val="0"/>
          <w:iCs w:val="0"/>
          <w:sz w:val="24"/>
          <w:szCs w:val="20"/>
          <w:lang w:val="en-US" w:eastAsia="zh-CN"/>
        </w:rPr>
        <w:t>招标代理服务费</w:t>
      </w:r>
      <w:r>
        <w:rPr>
          <w:rFonts w:hint="eastAsia" w:ascii="宋体" w:hAnsi="宋体" w:eastAsia="宋体" w:cs="宋体"/>
          <w:i w:val="0"/>
          <w:iCs w:val="0"/>
          <w:sz w:val="24"/>
          <w:szCs w:val="20"/>
        </w:rPr>
        <w:t>。</w:t>
      </w:r>
    </w:p>
    <w:p w14:paraId="3872C62F">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w:t>
      </w:r>
      <w:r>
        <w:rPr>
          <w:rFonts w:hint="eastAsia" w:hAnsi="宋体" w:eastAsia="宋体" w:cs="宋体"/>
          <w:i w:val="0"/>
          <w:iCs w:val="0"/>
          <w:sz w:val="24"/>
          <w:szCs w:val="20"/>
          <w:lang w:val="en-US" w:eastAsia="zh-CN"/>
        </w:rPr>
        <w:t>9</w:t>
      </w:r>
      <w:r>
        <w:rPr>
          <w:rFonts w:hint="eastAsia" w:ascii="宋体" w:hAnsi="宋体" w:eastAsia="宋体" w:cs="宋体"/>
          <w:i w:val="0"/>
          <w:iCs w:val="0"/>
          <w:sz w:val="24"/>
          <w:szCs w:val="20"/>
        </w:rPr>
        <w:t>）按照贵方可能要求，提供与其</w:t>
      </w:r>
      <w:r>
        <w:rPr>
          <w:rFonts w:hint="eastAsia" w:ascii="宋体" w:hAnsi="宋体" w:eastAsia="宋体" w:cs="宋体"/>
          <w:i w:val="0"/>
          <w:iCs w:val="0"/>
          <w:sz w:val="24"/>
          <w:szCs w:val="20"/>
          <w:lang w:eastAsia="zh-CN"/>
        </w:rPr>
        <w:t>报价</w:t>
      </w:r>
      <w:r>
        <w:rPr>
          <w:rFonts w:hint="eastAsia" w:ascii="宋体" w:hAnsi="宋体" w:eastAsia="宋体" w:cs="宋体"/>
          <w:i w:val="0"/>
          <w:iCs w:val="0"/>
          <w:sz w:val="24"/>
          <w:szCs w:val="20"/>
        </w:rPr>
        <w:t>有关的一切数据或资料，完全理解贵方不一定接受最低价的</w:t>
      </w:r>
      <w:r>
        <w:rPr>
          <w:rFonts w:hint="eastAsia" w:ascii="宋体" w:hAnsi="宋体" w:eastAsia="宋体" w:cs="宋体"/>
          <w:i w:val="0"/>
          <w:iCs w:val="0"/>
          <w:sz w:val="24"/>
          <w:szCs w:val="20"/>
          <w:lang w:eastAsia="zh-CN"/>
        </w:rPr>
        <w:t>报价</w:t>
      </w:r>
      <w:r>
        <w:rPr>
          <w:rFonts w:hint="eastAsia" w:ascii="宋体" w:hAnsi="宋体" w:eastAsia="宋体" w:cs="宋体"/>
          <w:i w:val="0"/>
          <w:iCs w:val="0"/>
          <w:sz w:val="24"/>
          <w:szCs w:val="20"/>
        </w:rPr>
        <w:t>或收到的任何</w:t>
      </w:r>
      <w:r>
        <w:rPr>
          <w:rFonts w:hint="eastAsia" w:ascii="宋体" w:hAnsi="宋体" w:eastAsia="宋体" w:cs="宋体"/>
          <w:i w:val="0"/>
          <w:iCs w:val="0"/>
          <w:sz w:val="24"/>
          <w:szCs w:val="20"/>
          <w:lang w:eastAsia="zh-CN"/>
        </w:rPr>
        <w:t>报价</w:t>
      </w:r>
      <w:r>
        <w:rPr>
          <w:rFonts w:hint="eastAsia" w:ascii="宋体" w:hAnsi="宋体" w:eastAsia="宋体" w:cs="宋体"/>
          <w:i w:val="0"/>
          <w:iCs w:val="0"/>
          <w:sz w:val="24"/>
          <w:szCs w:val="20"/>
        </w:rPr>
        <w:t>。</w:t>
      </w:r>
    </w:p>
    <w:p w14:paraId="50697DDA">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w:t>
      </w:r>
      <w:r>
        <w:rPr>
          <w:rFonts w:hint="eastAsia" w:hAnsi="宋体" w:eastAsia="宋体" w:cs="宋体"/>
          <w:i w:val="0"/>
          <w:iCs w:val="0"/>
          <w:sz w:val="24"/>
          <w:szCs w:val="20"/>
          <w:lang w:val="en-US" w:eastAsia="zh-CN"/>
        </w:rPr>
        <w:t>10</w:t>
      </w:r>
      <w:r>
        <w:rPr>
          <w:rFonts w:hint="eastAsia" w:ascii="宋体" w:hAnsi="宋体" w:eastAsia="宋体" w:cs="宋体"/>
          <w:i w:val="0"/>
          <w:iCs w:val="0"/>
          <w:sz w:val="24"/>
          <w:szCs w:val="20"/>
        </w:rPr>
        <w:t>）按照</w:t>
      </w:r>
      <w:r>
        <w:rPr>
          <w:rFonts w:hint="eastAsia" w:ascii="宋体" w:hAnsi="宋体" w:eastAsia="宋体" w:cs="宋体"/>
          <w:i w:val="0"/>
          <w:iCs w:val="0"/>
          <w:sz w:val="24"/>
          <w:szCs w:val="20"/>
          <w:lang w:val="en-US" w:eastAsia="zh-CN"/>
        </w:rPr>
        <w:t>招标文件</w:t>
      </w:r>
      <w:r>
        <w:rPr>
          <w:rFonts w:hint="eastAsia" w:ascii="宋体" w:hAnsi="宋体" w:eastAsia="宋体" w:cs="宋体"/>
          <w:i w:val="0"/>
          <w:iCs w:val="0"/>
          <w:sz w:val="24"/>
          <w:szCs w:val="20"/>
        </w:rPr>
        <w:t>的规定履行合同责任和义务。</w:t>
      </w:r>
    </w:p>
    <w:p w14:paraId="4898C88B">
      <w:pPr>
        <w:pStyle w:val="14"/>
        <w:pageBreakBefore w:val="0"/>
        <w:widowControl w:val="0"/>
        <w:tabs>
          <w:tab w:val="left" w:pos="5580"/>
        </w:tabs>
        <w:kinsoku/>
        <w:wordWrap/>
        <w:overflowPunct/>
        <w:topLinePunct w:val="0"/>
        <w:bidi w:val="0"/>
        <w:spacing w:line="400" w:lineRule="exact"/>
        <w:ind w:left="359" w:leftChars="68" w:hanging="216" w:hangingChars="9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 xml:space="preserve">  </w:t>
      </w:r>
      <w:r>
        <w:rPr>
          <w:rFonts w:hint="eastAsia" w:hAnsi="宋体" w:cs="宋体"/>
          <w:i w:val="0"/>
          <w:iCs w:val="0"/>
          <w:sz w:val="24"/>
          <w:szCs w:val="20"/>
          <w:lang w:val="en-US" w:eastAsia="zh-CN"/>
        </w:rPr>
        <w:t xml:space="preserve"> </w:t>
      </w:r>
      <w:r>
        <w:rPr>
          <w:rFonts w:hint="eastAsia" w:ascii="宋体" w:hAnsi="宋体" w:eastAsia="宋体" w:cs="宋体"/>
          <w:i w:val="0"/>
          <w:iCs w:val="0"/>
          <w:sz w:val="24"/>
          <w:szCs w:val="20"/>
        </w:rPr>
        <w:t>与本</w:t>
      </w:r>
      <w:r>
        <w:rPr>
          <w:rFonts w:hint="eastAsia" w:ascii="宋体" w:hAnsi="宋体" w:eastAsia="宋体" w:cs="宋体"/>
          <w:i w:val="0"/>
          <w:iCs w:val="0"/>
          <w:sz w:val="24"/>
          <w:szCs w:val="20"/>
          <w:lang w:val="en-US" w:eastAsia="zh-CN"/>
        </w:rPr>
        <w:t>投标</w:t>
      </w:r>
      <w:r>
        <w:rPr>
          <w:rFonts w:hint="eastAsia" w:ascii="宋体" w:hAnsi="宋体" w:eastAsia="宋体" w:cs="宋体"/>
          <w:i w:val="0"/>
          <w:iCs w:val="0"/>
          <w:sz w:val="24"/>
          <w:szCs w:val="20"/>
        </w:rPr>
        <w:t>有关的一切正式往来信函请寄：</w:t>
      </w:r>
    </w:p>
    <w:p w14:paraId="4442AD53">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地址</w:t>
      </w:r>
      <w:r>
        <w:rPr>
          <w:rFonts w:hint="eastAsia" w:ascii="宋体" w:hAnsi="宋体" w:eastAsia="宋体" w:cs="宋体"/>
          <w:i w:val="0"/>
          <w:iCs w:val="0"/>
          <w:sz w:val="24"/>
          <w:szCs w:val="20"/>
          <w:u w:val="single"/>
        </w:rPr>
        <w:t xml:space="preserve">                         </w:t>
      </w:r>
      <w:r>
        <w:rPr>
          <w:rFonts w:hint="eastAsia" w:ascii="宋体" w:hAnsi="宋体" w:eastAsia="宋体" w:cs="宋体"/>
          <w:i w:val="0"/>
          <w:iCs w:val="0"/>
          <w:sz w:val="24"/>
          <w:szCs w:val="20"/>
        </w:rPr>
        <w:t xml:space="preserve">     传真</w:t>
      </w:r>
      <w:r>
        <w:rPr>
          <w:rFonts w:hint="eastAsia" w:ascii="宋体" w:hAnsi="宋体" w:eastAsia="宋体" w:cs="宋体"/>
          <w:i w:val="0"/>
          <w:iCs w:val="0"/>
          <w:sz w:val="24"/>
          <w:szCs w:val="20"/>
          <w:u w:val="single"/>
        </w:rPr>
        <w:t xml:space="preserve">                             </w:t>
      </w:r>
    </w:p>
    <w:p w14:paraId="65F448C2">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电话</w:t>
      </w:r>
      <w:r>
        <w:rPr>
          <w:rFonts w:hint="eastAsia" w:ascii="宋体" w:hAnsi="宋体" w:eastAsia="宋体" w:cs="宋体"/>
          <w:i w:val="0"/>
          <w:iCs w:val="0"/>
          <w:sz w:val="24"/>
          <w:szCs w:val="20"/>
          <w:u w:val="single"/>
        </w:rPr>
        <w:t xml:space="preserve">                         </w:t>
      </w:r>
      <w:r>
        <w:rPr>
          <w:rFonts w:hint="eastAsia" w:ascii="宋体" w:hAnsi="宋体" w:eastAsia="宋体" w:cs="宋体"/>
          <w:i w:val="0"/>
          <w:iCs w:val="0"/>
          <w:sz w:val="24"/>
          <w:szCs w:val="20"/>
        </w:rPr>
        <w:t xml:space="preserve">     电子函件</w:t>
      </w:r>
      <w:r>
        <w:rPr>
          <w:rFonts w:hint="eastAsia" w:ascii="宋体" w:hAnsi="宋体" w:eastAsia="宋体" w:cs="宋体"/>
          <w:i w:val="0"/>
          <w:iCs w:val="0"/>
          <w:sz w:val="24"/>
          <w:szCs w:val="20"/>
          <w:u w:val="single"/>
        </w:rPr>
        <w:t xml:space="preserve">                         </w:t>
      </w:r>
    </w:p>
    <w:p w14:paraId="0D1A5EDA">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u w:val="single"/>
        </w:rPr>
      </w:pPr>
      <w:r>
        <w:rPr>
          <w:rFonts w:hint="eastAsia" w:ascii="宋体" w:hAnsi="宋体" w:eastAsia="宋体" w:cs="宋体"/>
          <w:i w:val="0"/>
          <w:iCs w:val="0"/>
          <w:sz w:val="24"/>
          <w:szCs w:val="20"/>
        </w:rPr>
        <w:t>法定代表人或其委托代理人签字</w:t>
      </w:r>
      <w:r>
        <w:rPr>
          <w:rFonts w:hint="eastAsia" w:hAnsi="宋体" w:eastAsia="宋体" w:cs="宋体"/>
          <w:i w:val="0"/>
          <w:iCs w:val="0"/>
          <w:sz w:val="24"/>
          <w:szCs w:val="20"/>
          <w:lang w:val="en-US" w:eastAsia="zh-CN"/>
        </w:rPr>
        <w:t>或盖章</w:t>
      </w:r>
      <w:r>
        <w:rPr>
          <w:rFonts w:hint="eastAsia" w:ascii="宋体" w:hAnsi="宋体" w:eastAsia="宋体" w:cs="宋体"/>
          <w:i w:val="0"/>
          <w:iCs w:val="0"/>
          <w:sz w:val="24"/>
          <w:szCs w:val="20"/>
          <w:u w:val="single"/>
        </w:rPr>
        <w:t xml:space="preserve">            </w:t>
      </w:r>
    </w:p>
    <w:p w14:paraId="205B181C">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供应商名称（</w:t>
      </w:r>
      <w:r>
        <w:rPr>
          <w:rFonts w:hint="eastAsia" w:hAnsi="宋体" w:cs="宋体"/>
          <w:i w:val="0"/>
          <w:iCs w:val="0"/>
          <w:sz w:val="24"/>
          <w:szCs w:val="20"/>
          <w:lang w:val="en-US" w:eastAsia="zh-CN"/>
        </w:rPr>
        <w:t>盖章</w:t>
      </w:r>
      <w:r>
        <w:rPr>
          <w:rFonts w:hint="eastAsia" w:ascii="宋体" w:hAnsi="宋体" w:eastAsia="宋体" w:cs="宋体"/>
          <w:i w:val="0"/>
          <w:iCs w:val="0"/>
          <w:sz w:val="24"/>
          <w:szCs w:val="20"/>
        </w:rPr>
        <w:t>）</w:t>
      </w:r>
      <w:r>
        <w:rPr>
          <w:rFonts w:hint="eastAsia" w:ascii="宋体" w:hAnsi="宋体" w:eastAsia="宋体" w:cs="宋体"/>
          <w:i w:val="0"/>
          <w:iCs w:val="0"/>
          <w:sz w:val="24"/>
          <w:szCs w:val="20"/>
          <w:u w:val="single"/>
        </w:rPr>
        <w:t xml:space="preserve">     </w:t>
      </w:r>
      <w:r>
        <w:rPr>
          <w:rFonts w:hint="eastAsia" w:ascii="宋体" w:hAnsi="宋体" w:eastAsia="宋体" w:cs="宋体"/>
          <w:i w:val="0"/>
          <w:iCs w:val="0"/>
          <w:sz w:val="24"/>
          <w:szCs w:val="20"/>
          <w:u w:val="single"/>
          <w:lang w:val="en-US" w:eastAsia="zh-CN"/>
        </w:rPr>
        <w:t xml:space="preserve">     </w:t>
      </w:r>
      <w:r>
        <w:rPr>
          <w:rFonts w:hint="eastAsia" w:ascii="宋体" w:hAnsi="宋体" w:eastAsia="宋体" w:cs="宋体"/>
          <w:i w:val="0"/>
          <w:iCs w:val="0"/>
          <w:sz w:val="24"/>
          <w:szCs w:val="20"/>
          <w:u w:val="single"/>
        </w:rPr>
        <w:t xml:space="preserve">       </w:t>
      </w:r>
    </w:p>
    <w:p w14:paraId="27DF43DD">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rPr>
      </w:pPr>
      <w:r>
        <w:rPr>
          <w:rFonts w:hint="eastAsia" w:ascii="宋体" w:hAnsi="宋体" w:eastAsia="宋体" w:cs="宋体"/>
          <w:i w:val="0"/>
          <w:iCs w:val="0"/>
          <w:sz w:val="24"/>
          <w:szCs w:val="20"/>
        </w:rPr>
        <w:t>供应商开户银行（全称）</w:t>
      </w:r>
      <w:r>
        <w:rPr>
          <w:rFonts w:hint="eastAsia" w:ascii="宋体" w:hAnsi="宋体" w:eastAsia="宋体" w:cs="宋体"/>
          <w:i w:val="0"/>
          <w:iCs w:val="0"/>
          <w:sz w:val="24"/>
          <w:szCs w:val="20"/>
          <w:u w:val="single"/>
        </w:rPr>
        <w:t xml:space="preserve">　　　　　　 </w:t>
      </w:r>
    </w:p>
    <w:p w14:paraId="3F4359CF">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lang w:val="en-US" w:eastAsia="zh-CN"/>
        </w:rPr>
      </w:pPr>
      <w:r>
        <w:rPr>
          <w:rFonts w:hint="eastAsia" w:ascii="宋体" w:hAnsi="宋体" w:eastAsia="宋体" w:cs="宋体"/>
          <w:i w:val="0"/>
          <w:iCs w:val="0"/>
          <w:sz w:val="24"/>
          <w:szCs w:val="20"/>
        </w:rPr>
        <w:t>供应商银行帐号</w:t>
      </w:r>
      <w:r>
        <w:rPr>
          <w:rFonts w:hint="eastAsia" w:ascii="宋体" w:hAnsi="宋体" w:eastAsia="宋体" w:cs="宋体"/>
          <w:i w:val="0"/>
          <w:iCs w:val="0"/>
          <w:sz w:val="24"/>
          <w:szCs w:val="20"/>
          <w:u w:val="single"/>
        </w:rPr>
        <w:t>　　　　　　　　 　　</w:t>
      </w:r>
      <w:r>
        <w:rPr>
          <w:rFonts w:hint="eastAsia" w:ascii="宋体" w:hAnsi="宋体" w:eastAsia="宋体" w:cs="宋体"/>
          <w:i w:val="0"/>
          <w:iCs w:val="0"/>
          <w:sz w:val="24"/>
          <w:szCs w:val="20"/>
          <w:lang w:val="en-US" w:eastAsia="zh-CN"/>
        </w:rPr>
        <w:t xml:space="preserve"> </w:t>
      </w:r>
    </w:p>
    <w:p w14:paraId="02B73B4C">
      <w:pPr>
        <w:pStyle w:val="14"/>
        <w:pageBreakBefore w:val="0"/>
        <w:widowControl w:val="0"/>
        <w:tabs>
          <w:tab w:val="left" w:pos="5580"/>
        </w:tabs>
        <w:kinsoku/>
        <w:wordWrap/>
        <w:overflowPunct/>
        <w:topLinePunct w:val="0"/>
        <w:bidi w:val="0"/>
        <w:spacing w:line="400" w:lineRule="exact"/>
        <w:ind w:left="1080" w:leftChars="257" w:hanging="540"/>
        <w:textAlignment w:val="auto"/>
        <w:outlineLvl w:val="9"/>
        <w:rPr>
          <w:rFonts w:hint="eastAsia" w:ascii="宋体" w:hAnsi="宋体" w:eastAsia="宋体" w:cs="宋体"/>
          <w:i w:val="0"/>
          <w:iCs w:val="0"/>
          <w:sz w:val="24"/>
          <w:szCs w:val="20"/>
          <w:u w:val="singl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i w:val="0"/>
          <w:iCs w:val="0"/>
          <w:sz w:val="24"/>
          <w:szCs w:val="20"/>
        </w:rPr>
        <w:t>日期</w:t>
      </w:r>
      <w:r>
        <w:rPr>
          <w:rFonts w:hint="eastAsia" w:ascii="宋体" w:hAnsi="宋体" w:eastAsia="宋体" w:cs="宋体"/>
          <w:i w:val="0"/>
          <w:iCs w:val="0"/>
          <w:sz w:val="24"/>
          <w:szCs w:val="20"/>
          <w:u w:val="single"/>
        </w:rPr>
        <w:t xml:space="preserve">            </w:t>
      </w:r>
    </w:p>
    <w:p w14:paraId="2015A6F0">
      <w:pPr>
        <w:numPr>
          <w:ilvl w:val="0"/>
          <w:numId w:val="0"/>
        </w:numPr>
        <w:bidi w:val="0"/>
        <w:jc w:val="center"/>
        <w:outlineLvl w:val="2"/>
        <w:rPr>
          <w:rFonts w:hint="default" w:ascii="宋体" w:hAnsi="宋体" w:eastAsia="宋体" w:cs="宋体"/>
          <w:sz w:val="30"/>
          <w:szCs w:val="30"/>
          <w:lang w:val="en-US" w:eastAsia="zh-CN"/>
        </w:rPr>
      </w:pPr>
      <w:bookmarkStart w:id="415" w:name="_Toc28256"/>
      <w:r>
        <w:rPr>
          <w:rFonts w:hint="eastAsia" w:ascii="宋体" w:hAnsi="宋体" w:eastAsia="宋体" w:cs="宋体"/>
          <w:sz w:val="30"/>
          <w:szCs w:val="30"/>
          <w:lang w:val="en-US" w:eastAsia="zh-CN"/>
        </w:rPr>
        <w:t>2、分项报价表</w:t>
      </w:r>
      <w:bookmarkEnd w:id="415"/>
    </w:p>
    <w:bookmarkEnd w:id="414"/>
    <w:p w14:paraId="42ACB84F">
      <w:pPr>
        <w:bidi w:val="0"/>
        <w:ind w:firstLine="5400" w:firstLineChars="1800"/>
        <w:outlineLvl w:val="9"/>
        <w:rPr>
          <w:rFonts w:hint="eastAsia" w:ascii="宋体" w:hAnsi="宋体" w:eastAsia="宋体" w:cs="宋体"/>
          <w:sz w:val="30"/>
          <w:szCs w:val="30"/>
        </w:rPr>
      </w:pPr>
      <w:bookmarkStart w:id="416" w:name="_Toc26345"/>
    </w:p>
    <w:p w14:paraId="67DAF0A6">
      <w:pPr>
        <w:bidi w:val="0"/>
        <w:ind w:firstLine="6000" w:firstLineChars="2000"/>
        <w:outlineLvl w:val="9"/>
        <w:rPr>
          <w:rFonts w:hint="eastAsia" w:ascii="宋体" w:hAnsi="宋体" w:eastAsia="宋体" w:cs="宋体"/>
          <w:sz w:val="24"/>
          <w:szCs w:val="32"/>
        </w:rPr>
      </w:pPr>
      <w:r>
        <w:rPr>
          <w:rFonts w:hint="eastAsia" w:ascii="宋体" w:hAnsi="宋体" w:eastAsia="宋体" w:cs="宋体"/>
          <w:sz w:val="30"/>
          <w:szCs w:val="30"/>
        </w:rPr>
        <w:t>投标分项报价表</w:t>
      </w:r>
      <w:bookmarkEnd w:id="416"/>
    </w:p>
    <w:p w14:paraId="50DBC2EC">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outlineLvl w:val="9"/>
        <w:rPr>
          <w:rFonts w:hint="eastAsia" w:ascii="宋体" w:hAnsi="宋体" w:eastAsia="宋体" w:cs="宋体"/>
          <w:sz w:val="24"/>
          <w:szCs w:val="32"/>
        </w:rPr>
      </w:pPr>
      <w:r>
        <w:rPr>
          <w:rFonts w:hint="eastAsia" w:ascii="宋体" w:hAnsi="宋体" w:eastAsia="宋体" w:cs="宋体"/>
          <w:sz w:val="24"/>
          <w:szCs w:val="32"/>
        </w:rPr>
        <w:t xml:space="preserve">项目名称：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r>
        <w:rPr>
          <w:rFonts w:hint="eastAsia" w:ascii="宋体" w:hAnsi="宋体" w:cs="宋体"/>
          <w:sz w:val="24"/>
          <w:szCs w:val="32"/>
          <w:lang w:val="en-US" w:eastAsia="zh-CN"/>
        </w:rPr>
        <w:t>项目</w:t>
      </w:r>
      <w:r>
        <w:rPr>
          <w:rFonts w:hint="eastAsia" w:ascii="宋体" w:hAnsi="宋体" w:eastAsia="宋体" w:cs="宋体"/>
          <w:sz w:val="24"/>
          <w:szCs w:val="32"/>
        </w:rPr>
        <w:t xml:space="preserve">编号：                  </w:t>
      </w:r>
    </w:p>
    <w:p w14:paraId="7E75350E">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outlineLvl w:val="9"/>
        <w:rPr>
          <w:rFonts w:hint="eastAsia" w:hAnsi="宋体" w:cs="宋体"/>
          <w:sz w:val="24"/>
          <w:lang w:val="en-US" w:eastAsia="zh-CN"/>
        </w:rPr>
      </w:pPr>
      <w:r>
        <w:rPr>
          <w:rFonts w:hint="eastAsia" w:ascii="宋体" w:hAnsi="宋体" w:cs="宋体"/>
          <w:sz w:val="24"/>
          <w:szCs w:val="32"/>
          <w:lang w:val="en-US" w:eastAsia="zh-CN"/>
        </w:rPr>
        <w:t xml:space="preserve">包号：                                                 </w:t>
      </w:r>
      <w:r>
        <w:rPr>
          <w:rFonts w:hint="eastAsia" w:ascii="仿宋" w:hAnsi="仿宋" w:eastAsia="仿宋" w:cs="仿宋"/>
          <w:color w:val="auto"/>
          <w:sz w:val="24"/>
        </w:rPr>
        <w:t>报价单位：人民币</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元</w:t>
      </w:r>
      <w:r>
        <w:rPr>
          <w:rFonts w:hint="eastAsia" w:hAnsi="宋体" w:cs="宋体"/>
          <w:sz w:val="24"/>
          <w:lang w:val="en-US" w:eastAsia="zh-CN"/>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858"/>
        <w:gridCol w:w="1670"/>
        <w:gridCol w:w="1956"/>
        <w:gridCol w:w="2453"/>
        <w:gridCol w:w="2078"/>
        <w:gridCol w:w="2078"/>
      </w:tblGrid>
      <w:tr w14:paraId="5AC1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tcPr>
          <w:p w14:paraId="6A747E28">
            <w:pPr>
              <w:pStyle w:val="14"/>
              <w:widowControl w:val="0"/>
              <w:tabs>
                <w:tab w:val="left" w:pos="5370"/>
              </w:tabs>
              <w:spacing w:line="240" w:lineRule="atLeast"/>
              <w:jc w:val="center"/>
              <w:outlineLvl w:val="9"/>
              <w:rPr>
                <w:rFonts w:hint="default" w:hAnsi="宋体" w:cs="宋体"/>
                <w:sz w:val="24"/>
                <w:vertAlign w:val="baseline"/>
                <w:lang w:val="en-US" w:eastAsia="zh-CN"/>
              </w:rPr>
            </w:pPr>
            <w:r>
              <w:rPr>
                <w:rFonts w:hint="eastAsia" w:hAnsi="宋体" w:cs="宋体"/>
                <w:sz w:val="24"/>
                <w:vertAlign w:val="baseline"/>
                <w:lang w:val="en-US" w:eastAsia="zh-CN"/>
              </w:rPr>
              <w:t>序号</w:t>
            </w:r>
          </w:p>
        </w:tc>
        <w:tc>
          <w:tcPr>
            <w:tcW w:w="1858" w:type="dxa"/>
          </w:tcPr>
          <w:p w14:paraId="2E78EAD1">
            <w:pPr>
              <w:pStyle w:val="14"/>
              <w:widowControl w:val="0"/>
              <w:tabs>
                <w:tab w:val="left" w:pos="5370"/>
              </w:tabs>
              <w:spacing w:line="240" w:lineRule="atLeast"/>
              <w:jc w:val="center"/>
              <w:outlineLvl w:val="9"/>
              <w:rPr>
                <w:rFonts w:hint="default" w:hAnsi="宋体" w:cs="宋体"/>
                <w:sz w:val="24"/>
                <w:vertAlign w:val="baseline"/>
                <w:lang w:val="en-US" w:eastAsia="zh-CN"/>
              </w:rPr>
            </w:pPr>
            <w:r>
              <w:rPr>
                <w:rFonts w:hint="eastAsia" w:hAnsi="宋体" w:cs="宋体"/>
                <w:sz w:val="24"/>
                <w:vertAlign w:val="baseline"/>
                <w:lang w:val="en-US" w:eastAsia="zh-CN"/>
              </w:rPr>
              <w:t>药名</w:t>
            </w:r>
          </w:p>
        </w:tc>
        <w:tc>
          <w:tcPr>
            <w:tcW w:w="1670" w:type="dxa"/>
          </w:tcPr>
          <w:p w14:paraId="180E04F4">
            <w:pPr>
              <w:pStyle w:val="14"/>
              <w:widowControl w:val="0"/>
              <w:tabs>
                <w:tab w:val="left" w:pos="5370"/>
              </w:tabs>
              <w:spacing w:line="240" w:lineRule="atLeast"/>
              <w:jc w:val="center"/>
              <w:outlineLvl w:val="9"/>
              <w:rPr>
                <w:rFonts w:hint="default" w:hAnsi="宋体" w:cs="宋体"/>
                <w:sz w:val="24"/>
                <w:vertAlign w:val="baseline"/>
                <w:lang w:val="en-US" w:eastAsia="zh-CN"/>
              </w:rPr>
            </w:pPr>
            <w:r>
              <w:rPr>
                <w:rFonts w:hint="default" w:hAnsi="宋体" w:cs="宋体"/>
                <w:sz w:val="24"/>
                <w:vertAlign w:val="baseline"/>
                <w:lang w:val="en-US" w:eastAsia="zh-CN"/>
              </w:rPr>
              <w:t>生产厂家</w:t>
            </w:r>
          </w:p>
        </w:tc>
        <w:tc>
          <w:tcPr>
            <w:tcW w:w="1956" w:type="dxa"/>
          </w:tcPr>
          <w:p w14:paraId="7BA60B10">
            <w:pPr>
              <w:pStyle w:val="14"/>
              <w:widowControl w:val="0"/>
              <w:tabs>
                <w:tab w:val="left" w:pos="5370"/>
              </w:tabs>
              <w:spacing w:line="240" w:lineRule="atLeast"/>
              <w:jc w:val="center"/>
              <w:outlineLvl w:val="9"/>
              <w:rPr>
                <w:rFonts w:hint="default" w:hAnsi="宋体" w:cs="宋体"/>
                <w:sz w:val="24"/>
                <w:vertAlign w:val="baseline"/>
                <w:lang w:val="en-US" w:eastAsia="zh-CN"/>
              </w:rPr>
            </w:pPr>
            <w:r>
              <w:rPr>
                <w:rFonts w:hint="default" w:hAnsi="宋体" w:cs="宋体"/>
                <w:sz w:val="24"/>
                <w:vertAlign w:val="baseline"/>
                <w:lang w:val="en-US" w:eastAsia="zh-CN"/>
              </w:rPr>
              <w:t>规格/单位</w:t>
            </w:r>
          </w:p>
        </w:tc>
        <w:tc>
          <w:tcPr>
            <w:tcW w:w="2453" w:type="dxa"/>
          </w:tcPr>
          <w:p w14:paraId="20058F33">
            <w:pPr>
              <w:pStyle w:val="14"/>
              <w:widowControl w:val="0"/>
              <w:tabs>
                <w:tab w:val="left" w:pos="5370"/>
              </w:tabs>
              <w:spacing w:line="240" w:lineRule="atLeast"/>
              <w:jc w:val="center"/>
              <w:outlineLvl w:val="9"/>
              <w:rPr>
                <w:rFonts w:hint="default" w:hAnsi="宋体" w:cs="宋体"/>
                <w:sz w:val="24"/>
                <w:vertAlign w:val="baseline"/>
                <w:lang w:val="en-US" w:eastAsia="zh-CN"/>
              </w:rPr>
            </w:pPr>
            <w:r>
              <w:rPr>
                <w:rFonts w:hint="eastAsia" w:hAnsi="宋体" w:cs="宋体"/>
                <w:sz w:val="24"/>
                <w:vertAlign w:val="baseline"/>
                <w:lang w:val="en-US" w:eastAsia="zh-CN"/>
              </w:rPr>
              <w:t>年使用数量</w:t>
            </w:r>
          </w:p>
        </w:tc>
        <w:tc>
          <w:tcPr>
            <w:tcW w:w="2078" w:type="dxa"/>
          </w:tcPr>
          <w:p w14:paraId="13E8E8A1">
            <w:pPr>
              <w:pStyle w:val="14"/>
              <w:widowControl w:val="0"/>
              <w:tabs>
                <w:tab w:val="left" w:pos="5370"/>
              </w:tabs>
              <w:spacing w:line="240" w:lineRule="atLeast"/>
              <w:jc w:val="center"/>
              <w:outlineLvl w:val="9"/>
              <w:rPr>
                <w:rFonts w:hint="default" w:hAnsi="宋体" w:cs="宋体"/>
                <w:sz w:val="24"/>
                <w:vertAlign w:val="baseline"/>
                <w:lang w:val="en-US" w:eastAsia="zh-CN"/>
              </w:rPr>
            </w:pPr>
            <w:r>
              <w:rPr>
                <w:rFonts w:hint="eastAsia" w:hAnsi="宋体" w:cs="宋体"/>
                <w:sz w:val="24"/>
                <w:vertAlign w:val="baseline"/>
                <w:lang w:val="en-US" w:eastAsia="zh-CN"/>
              </w:rPr>
              <w:t>单价</w:t>
            </w:r>
          </w:p>
        </w:tc>
        <w:tc>
          <w:tcPr>
            <w:tcW w:w="2078" w:type="dxa"/>
          </w:tcPr>
          <w:p w14:paraId="24FD4507">
            <w:pPr>
              <w:pStyle w:val="14"/>
              <w:widowControl w:val="0"/>
              <w:tabs>
                <w:tab w:val="left" w:pos="5370"/>
              </w:tabs>
              <w:spacing w:line="240" w:lineRule="atLeast"/>
              <w:jc w:val="center"/>
              <w:outlineLvl w:val="9"/>
              <w:rPr>
                <w:rFonts w:hint="default" w:hAnsi="宋体" w:cs="宋体"/>
                <w:sz w:val="24"/>
                <w:vertAlign w:val="baseline"/>
                <w:lang w:val="en-US" w:eastAsia="zh-CN"/>
              </w:rPr>
            </w:pPr>
            <w:r>
              <w:rPr>
                <w:rFonts w:hint="eastAsia" w:hAnsi="宋体" w:cs="宋体"/>
                <w:sz w:val="24"/>
                <w:vertAlign w:val="baseline"/>
                <w:lang w:val="en-US" w:eastAsia="zh-CN"/>
              </w:rPr>
              <w:t>合价</w:t>
            </w:r>
          </w:p>
        </w:tc>
      </w:tr>
      <w:tr w14:paraId="2F8C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vAlign w:val="center"/>
          </w:tcPr>
          <w:p w14:paraId="30C565A7">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858" w:type="dxa"/>
            <w:vAlign w:val="center"/>
          </w:tcPr>
          <w:p w14:paraId="5E54A02F">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670" w:type="dxa"/>
            <w:vAlign w:val="center"/>
          </w:tcPr>
          <w:p w14:paraId="45C105DF">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956" w:type="dxa"/>
            <w:vAlign w:val="center"/>
          </w:tcPr>
          <w:p w14:paraId="583BDCE2">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453" w:type="dxa"/>
            <w:vAlign w:val="center"/>
          </w:tcPr>
          <w:p w14:paraId="29C10B1F">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078" w:type="dxa"/>
          </w:tcPr>
          <w:p w14:paraId="734DB92F">
            <w:pPr>
              <w:pStyle w:val="14"/>
              <w:widowControl w:val="0"/>
              <w:tabs>
                <w:tab w:val="left" w:pos="5370"/>
              </w:tabs>
              <w:spacing w:line="240" w:lineRule="atLeast"/>
              <w:jc w:val="center"/>
              <w:outlineLvl w:val="9"/>
              <w:rPr>
                <w:rFonts w:hint="eastAsia" w:hAnsi="宋体" w:cs="宋体"/>
                <w:sz w:val="24"/>
                <w:vertAlign w:val="baseline"/>
                <w:lang w:val="en-US" w:eastAsia="zh-CN"/>
              </w:rPr>
            </w:pPr>
          </w:p>
        </w:tc>
        <w:tc>
          <w:tcPr>
            <w:tcW w:w="2078" w:type="dxa"/>
          </w:tcPr>
          <w:p w14:paraId="5356ADE0">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r w14:paraId="594B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vAlign w:val="center"/>
          </w:tcPr>
          <w:p w14:paraId="33780453">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858" w:type="dxa"/>
            <w:vAlign w:val="center"/>
          </w:tcPr>
          <w:p w14:paraId="5D7D00C9">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670" w:type="dxa"/>
            <w:vAlign w:val="center"/>
          </w:tcPr>
          <w:p w14:paraId="105D8649">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956" w:type="dxa"/>
            <w:vAlign w:val="center"/>
          </w:tcPr>
          <w:p w14:paraId="11895A0B">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453" w:type="dxa"/>
            <w:vAlign w:val="center"/>
          </w:tcPr>
          <w:p w14:paraId="2A42646B">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078" w:type="dxa"/>
          </w:tcPr>
          <w:p w14:paraId="6631C7EA">
            <w:pPr>
              <w:pStyle w:val="14"/>
              <w:widowControl w:val="0"/>
              <w:tabs>
                <w:tab w:val="left" w:pos="5370"/>
              </w:tabs>
              <w:spacing w:line="240" w:lineRule="atLeast"/>
              <w:jc w:val="center"/>
              <w:outlineLvl w:val="9"/>
              <w:rPr>
                <w:rFonts w:hint="eastAsia" w:hAnsi="宋体" w:cs="宋体"/>
                <w:sz w:val="24"/>
                <w:vertAlign w:val="baseline"/>
                <w:lang w:val="en-US" w:eastAsia="zh-CN"/>
              </w:rPr>
            </w:pPr>
          </w:p>
        </w:tc>
        <w:tc>
          <w:tcPr>
            <w:tcW w:w="2078" w:type="dxa"/>
          </w:tcPr>
          <w:p w14:paraId="1162BC96">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r w14:paraId="1465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vAlign w:val="center"/>
          </w:tcPr>
          <w:p w14:paraId="216E656E">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858" w:type="dxa"/>
            <w:vAlign w:val="center"/>
          </w:tcPr>
          <w:p w14:paraId="6454B37F">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670" w:type="dxa"/>
            <w:vAlign w:val="center"/>
          </w:tcPr>
          <w:p w14:paraId="1A701F2A">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956" w:type="dxa"/>
            <w:vAlign w:val="center"/>
          </w:tcPr>
          <w:p w14:paraId="560EF84C">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453" w:type="dxa"/>
            <w:vAlign w:val="center"/>
          </w:tcPr>
          <w:p w14:paraId="136E0A21">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078" w:type="dxa"/>
          </w:tcPr>
          <w:p w14:paraId="446DF6B7">
            <w:pPr>
              <w:pStyle w:val="14"/>
              <w:widowControl w:val="0"/>
              <w:tabs>
                <w:tab w:val="left" w:pos="5370"/>
              </w:tabs>
              <w:spacing w:line="240" w:lineRule="atLeast"/>
              <w:jc w:val="center"/>
              <w:outlineLvl w:val="9"/>
              <w:rPr>
                <w:rFonts w:hint="eastAsia" w:hAnsi="宋体" w:cs="宋体"/>
                <w:sz w:val="24"/>
                <w:vertAlign w:val="baseline"/>
                <w:lang w:val="en-US" w:eastAsia="zh-CN"/>
              </w:rPr>
            </w:pPr>
          </w:p>
        </w:tc>
        <w:tc>
          <w:tcPr>
            <w:tcW w:w="2078" w:type="dxa"/>
          </w:tcPr>
          <w:p w14:paraId="2390A95A">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r w14:paraId="0B56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vAlign w:val="center"/>
          </w:tcPr>
          <w:p w14:paraId="3C4517E2">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858" w:type="dxa"/>
            <w:vAlign w:val="center"/>
          </w:tcPr>
          <w:p w14:paraId="5AD45EAE">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670" w:type="dxa"/>
            <w:vAlign w:val="center"/>
          </w:tcPr>
          <w:p w14:paraId="60A806BD">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956" w:type="dxa"/>
            <w:vAlign w:val="center"/>
          </w:tcPr>
          <w:p w14:paraId="27F7D59C">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453" w:type="dxa"/>
            <w:vAlign w:val="center"/>
          </w:tcPr>
          <w:p w14:paraId="28627772">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078" w:type="dxa"/>
          </w:tcPr>
          <w:p w14:paraId="10171AD3">
            <w:pPr>
              <w:pStyle w:val="14"/>
              <w:widowControl w:val="0"/>
              <w:tabs>
                <w:tab w:val="left" w:pos="5370"/>
              </w:tabs>
              <w:spacing w:line="240" w:lineRule="atLeast"/>
              <w:jc w:val="center"/>
              <w:outlineLvl w:val="9"/>
              <w:rPr>
                <w:rFonts w:hint="eastAsia" w:hAnsi="宋体" w:cs="宋体"/>
                <w:sz w:val="24"/>
                <w:vertAlign w:val="baseline"/>
                <w:lang w:val="en-US" w:eastAsia="zh-CN"/>
              </w:rPr>
            </w:pPr>
          </w:p>
        </w:tc>
        <w:tc>
          <w:tcPr>
            <w:tcW w:w="2078" w:type="dxa"/>
          </w:tcPr>
          <w:p w14:paraId="55ECFD27">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r w14:paraId="6ACC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vAlign w:val="center"/>
          </w:tcPr>
          <w:p w14:paraId="1F8B4114">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858" w:type="dxa"/>
            <w:vAlign w:val="center"/>
          </w:tcPr>
          <w:p w14:paraId="06F3F48D">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670" w:type="dxa"/>
            <w:vAlign w:val="center"/>
          </w:tcPr>
          <w:p w14:paraId="32A3B493">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956" w:type="dxa"/>
            <w:vAlign w:val="center"/>
          </w:tcPr>
          <w:p w14:paraId="5D673D5E">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453" w:type="dxa"/>
            <w:vAlign w:val="center"/>
          </w:tcPr>
          <w:p w14:paraId="7B9844C4">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078" w:type="dxa"/>
          </w:tcPr>
          <w:p w14:paraId="3AFCC60D">
            <w:pPr>
              <w:pStyle w:val="14"/>
              <w:widowControl w:val="0"/>
              <w:tabs>
                <w:tab w:val="left" w:pos="5370"/>
              </w:tabs>
              <w:spacing w:line="240" w:lineRule="atLeast"/>
              <w:jc w:val="center"/>
              <w:outlineLvl w:val="9"/>
              <w:rPr>
                <w:rFonts w:hint="eastAsia" w:hAnsi="宋体" w:cs="宋体"/>
                <w:sz w:val="24"/>
                <w:vertAlign w:val="baseline"/>
                <w:lang w:val="en-US" w:eastAsia="zh-CN"/>
              </w:rPr>
            </w:pPr>
          </w:p>
        </w:tc>
        <w:tc>
          <w:tcPr>
            <w:tcW w:w="2078" w:type="dxa"/>
          </w:tcPr>
          <w:p w14:paraId="4DA6F28F">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r w14:paraId="6DDA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vAlign w:val="center"/>
          </w:tcPr>
          <w:p w14:paraId="2970098D">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858" w:type="dxa"/>
            <w:vAlign w:val="center"/>
          </w:tcPr>
          <w:p w14:paraId="2AAF8AD8">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670" w:type="dxa"/>
            <w:vAlign w:val="center"/>
          </w:tcPr>
          <w:p w14:paraId="176CAA31">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956" w:type="dxa"/>
            <w:vAlign w:val="center"/>
          </w:tcPr>
          <w:p w14:paraId="74C5B028">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453" w:type="dxa"/>
            <w:vAlign w:val="center"/>
          </w:tcPr>
          <w:p w14:paraId="0BA9F4E7">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078" w:type="dxa"/>
          </w:tcPr>
          <w:p w14:paraId="53CA23DF">
            <w:pPr>
              <w:pStyle w:val="14"/>
              <w:widowControl w:val="0"/>
              <w:tabs>
                <w:tab w:val="left" w:pos="5370"/>
              </w:tabs>
              <w:spacing w:line="240" w:lineRule="atLeast"/>
              <w:jc w:val="center"/>
              <w:outlineLvl w:val="9"/>
              <w:rPr>
                <w:rFonts w:hint="eastAsia" w:hAnsi="宋体" w:cs="宋体"/>
                <w:sz w:val="24"/>
                <w:vertAlign w:val="baseline"/>
                <w:lang w:val="en-US" w:eastAsia="zh-CN"/>
              </w:rPr>
            </w:pPr>
          </w:p>
        </w:tc>
        <w:tc>
          <w:tcPr>
            <w:tcW w:w="2078" w:type="dxa"/>
          </w:tcPr>
          <w:p w14:paraId="540C501E">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r w14:paraId="5458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vAlign w:val="center"/>
          </w:tcPr>
          <w:p w14:paraId="7EFB6A13">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858" w:type="dxa"/>
            <w:vAlign w:val="center"/>
          </w:tcPr>
          <w:p w14:paraId="016B892D">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670" w:type="dxa"/>
            <w:vAlign w:val="center"/>
          </w:tcPr>
          <w:p w14:paraId="6820EFED">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956" w:type="dxa"/>
            <w:vAlign w:val="center"/>
          </w:tcPr>
          <w:p w14:paraId="350718FD">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453" w:type="dxa"/>
            <w:vAlign w:val="center"/>
          </w:tcPr>
          <w:p w14:paraId="43726512">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078" w:type="dxa"/>
          </w:tcPr>
          <w:p w14:paraId="5CD73698">
            <w:pPr>
              <w:pStyle w:val="14"/>
              <w:widowControl w:val="0"/>
              <w:tabs>
                <w:tab w:val="left" w:pos="5370"/>
              </w:tabs>
              <w:spacing w:line="240" w:lineRule="atLeast"/>
              <w:jc w:val="center"/>
              <w:outlineLvl w:val="9"/>
              <w:rPr>
                <w:rFonts w:hint="eastAsia" w:hAnsi="宋体" w:cs="宋体"/>
                <w:sz w:val="24"/>
                <w:vertAlign w:val="baseline"/>
                <w:lang w:val="en-US" w:eastAsia="zh-CN"/>
              </w:rPr>
            </w:pPr>
          </w:p>
        </w:tc>
        <w:tc>
          <w:tcPr>
            <w:tcW w:w="2078" w:type="dxa"/>
          </w:tcPr>
          <w:p w14:paraId="5D6044AD">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r w14:paraId="7221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vAlign w:val="center"/>
          </w:tcPr>
          <w:p w14:paraId="1B01C75E">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858" w:type="dxa"/>
            <w:vAlign w:val="center"/>
          </w:tcPr>
          <w:p w14:paraId="64C42D9F">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670" w:type="dxa"/>
            <w:vAlign w:val="center"/>
          </w:tcPr>
          <w:p w14:paraId="76C1453A">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1956" w:type="dxa"/>
            <w:vAlign w:val="center"/>
          </w:tcPr>
          <w:p w14:paraId="5C46F653">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453" w:type="dxa"/>
            <w:vAlign w:val="center"/>
          </w:tcPr>
          <w:p w14:paraId="09E2200D">
            <w:pPr>
              <w:keepNext w:val="0"/>
              <w:keepLines w:val="0"/>
              <w:widowControl/>
              <w:suppressLineNumbers w:val="0"/>
              <w:jc w:val="center"/>
              <w:textAlignment w:val="center"/>
              <w:outlineLvl w:val="9"/>
              <w:rPr>
                <w:rFonts w:hint="eastAsia" w:hAnsi="宋体" w:cs="宋体"/>
                <w:sz w:val="24"/>
                <w:vertAlign w:val="baseline"/>
                <w:lang w:val="en-US" w:eastAsia="zh-CN"/>
              </w:rPr>
            </w:pPr>
          </w:p>
        </w:tc>
        <w:tc>
          <w:tcPr>
            <w:tcW w:w="2078" w:type="dxa"/>
          </w:tcPr>
          <w:p w14:paraId="2AED9771">
            <w:pPr>
              <w:pStyle w:val="14"/>
              <w:widowControl w:val="0"/>
              <w:tabs>
                <w:tab w:val="left" w:pos="5370"/>
              </w:tabs>
              <w:spacing w:line="240" w:lineRule="atLeast"/>
              <w:jc w:val="center"/>
              <w:outlineLvl w:val="9"/>
              <w:rPr>
                <w:rFonts w:hint="eastAsia" w:hAnsi="宋体" w:cs="宋体"/>
                <w:sz w:val="24"/>
                <w:vertAlign w:val="baseline"/>
                <w:lang w:val="en-US" w:eastAsia="zh-CN"/>
              </w:rPr>
            </w:pPr>
          </w:p>
        </w:tc>
        <w:tc>
          <w:tcPr>
            <w:tcW w:w="2078" w:type="dxa"/>
          </w:tcPr>
          <w:p w14:paraId="451D8084">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r w14:paraId="1958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2" w:type="dxa"/>
            <w:gridSpan w:val="6"/>
            <w:vAlign w:val="center"/>
          </w:tcPr>
          <w:p w14:paraId="08C329B8">
            <w:pPr>
              <w:pStyle w:val="14"/>
              <w:widowControl w:val="0"/>
              <w:tabs>
                <w:tab w:val="left" w:pos="5370"/>
              </w:tabs>
              <w:spacing w:line="240" w:lineRule="atLeast"/>
              <w:jc w:val="center"/>
              <w:outlineLvl w:val="9"/>
              <w:rPr>
                <w:rFonts w:hint="default" w:hAnsi="宋体" w:cs="宋体"/>
                <w:sz w:val="24"/>
                <w:vertAlign w:val="baseline"/>
                <w:lang w:val="en-US" w:eastAsia="zh-CN"/>
              </w:rPr>
            </w:pPr>
            <w:r>
              <w:rPr>
                <w:rFonts w:hint="eastAsia" w:hAnsi="宋体" w:cs="宋体"/>
                <w:sz w:val="24"/>
                <w:vertAlign w:val="baseline"/>
                <w:lang w:val="en-US" w:eastAsia="zh-CN"/>
              </w:rPr>
              <w:t>总价</w:t>
            </w:r>
          </w:p>
        </w:tc>
        <w:tc>
          <w:tcPr>
            <w:tcW w:w="2078" w:type="dxa"/>
          </w:tcPr>
          <w:p w14:paraId="508C2C52">
            <w:pPr>
              <w:pStyle w:val="14"/>
              <w:widowControl w:val="0"/>
              <w:tabs>
                <w:tab w:val="left" w:pos="5370"/>
              </w:tabs>
              <w:spacing w:line="240" w:lineRule="atLeast"/>
              <w:jc w:val="center"/>
              <w:outlineLvl w:val="9"/>
              <w:rPr>
                <w:rFonts w:hint="eastAsia" w:hAnsi="宋体" w:cs="宋体"/>
                <w:sz w:val="24"/>
                <w:vertAlign w:val="baseline"/>
                <w:lang w:val="en-US" w:eastAsia="zh-CN"/>
              </w:rPr>
            </w:pPr>
          </w:p>
        </w:tc>
      </w:tr>
    </w:tbl>
    <w:p w14:paraId="09B8DCD4">
      <w:pPr>
        <w:pStyle w:val="14"/>
        <w:tabs>
          <w:tab w:val="left" w:pos="5370"/>
        </w:tabs>
        <w:spacing w:line="240" w:lineRule="atLeast"/>
        <w:ind w:left="1080" w:leftChars="257" w:hanging="540"/>
        <w:jc w:val="right"/>
        <w:outlineLvl w:val="9"/>
        <w:rPr>
          <w:rFonts w:hint="eastAsia" w:hAnsi="宋体" w:cs="宋体"/>
          <w:sz w:val="24"/>
          <w:lang w:val="en-US" w:eastAsia="zh-CN"/>
        </w:rPr>
      </w:pPr>
    </w:p>
    <w:p w14:paraId="258A5754">
      <w:pPr>
        <w:pStyle w:val="14"/>
        <w:tabs>
          <w:tab w:val="left" w:pos="5370"/>
        </w:tabs>
        <w:spacing w:line="240" w:lineRule="atLeast"/>
        <w:jc w:val="both"/>
        <w:outlineLvl w:val="9"/>
        <w:rPr>
          <w:rFonts w:hint="eastAsia" w:hAnsi="宋体" w:cs="宋体"/>
          <w:sz w:val="24"/>
          <w:lang w:val="en-US" w:eastAsia="zh-CN"/>
        </w:rPr>
      </w:pPr>
    </w:p>
    <w:p w14:paraId="4B8804AB">
      <w:pPr>
        <w:pStyle w:val="14"/>
        <w:tabs>
          <w:tab w:val="left" w:pos="5370"/>
        </w:tabs>
        <w:spacing w:line="240" w:lineRule="atLeast"/>
        <w:ind w:left="1080" w:leftChars="257" w:hanging="540"/>
        <w:jc w:val="right"/>
        <w:outlineLvl w:val="9"/>
        <w:rPr>
          <w:rFonts w:hint="eastAsia"/>
          <w:sz w:val="24"/>
          <w:szCs w:val="32"/>
        </w:rPr>
      </w:pPr>
      <w:r>
        <w:rPr>
          <w:rFonts w:hint="eastAsia" w:hAnsi="宋体" w:cs="宋体"/>
          <w:sz w:val="24"/>
          <w:lang w:val="en-US" w:eastAsia="zh-CN"/>
        </w:rPr>
        <w:t>供应商</w:t>
      </w:r>
      <w:r>
        <w:rPr>
          <w:rFonts w:hint="eastAsia" w:hAnsi="宋体" w:cs="宋体"/>
          <w:sz w:val="24"/>
        </w:rPr>
        <w:t>(盖单位章):</w:t>
      </w:r>
      <w:r>
        <w:rPr>
          <w:rFonts w:hint="eastAsia" w:hAnsi="宋体" w:cs="宋体"/>
          <w:sz w:val="24"/>
          <w:u w:val="single"/>
        </w:rPr>
        <w:tab/>
      </w:r>
    </w:p>
    <w:p w14:paraId="21C0A0D4">
      <w:pPr>
        <w:pStyle w:val="14"/>
        <w:spacing w:line="240" w:lineRule="atLeast"/>
        <w:ind w:left="1080" w:leftChars="257" w:hanging="540"/>
        <w:jc w:val="center"/>
        <w:outlineLvl w:val="9"/>
        <w:rPr>
          <w:rFonts w:hint="eastAsia" w:hAnsi="宋体" w:cs="宋体"/>
          <w:sz w:val="24"/>
          <w:lang w:val="en-US" w:eastAsia="zh-CN"/>
        </w:rPr>
      </w:pPr>
      <w:r>
        <w:rPr>
          <w:rFonts w:hint="eastAsia" w:hAnsi="宋体" w:cs="宋体"/>
          <w:sz w:val="24"/>
          <w:lang w:val="en-US" w:eastAsia="zh-CN"/>
        </w:rPr>
        <w:t xml:space="preserve"> </w:t>
      </w:r>
    </w:p>
    <w:p w14:paraId="1C2DC182">
      <w:pPr>
        <w:pStyle w:val="14"/>
        <w:spacing w:line="240" w:lineRule="atLeast"/>
        <w:ind w:left="1080" w:leftChars="257" w:hanging="540"/>
        <w:jc w:val="center"/>
        <w:outlineLvl w:val="9"/>
        <w:rPr>
          <w:rFonts w:hint="eastAsia" w:hAnsi="宋体" w:cs="宋体"/>
          <w:sz w:val="24"/>
          <w:u w:val="single"/>
        </w:rPr>
      </w:pPr>
      <w:r>
        <w:rPr>
          <w:rFonts w:hint="eastAsia" w:hAnsi="宋体" w:eastAsia="宋体" w:cs="宋体"/>
          <w:sz w:val="24"/>
          <w:lang w:val="en-US" w:eastAsia="zh-CN"/>
        </w:rPr>
        <w:t xml:space="preserve">                                </w:t>
      </w:r>
      <w:r>
        <w:rPr>
          <w:rFonts w:hint="eastAsia" w:hAnsi="宋体" w:cs="宋体"/>
          <w:sz w:val="24"/>
        </w:rPr>
        <w:t>法定代表人或其委托代理人</w:t>
      </w:r>
      <w:r>
        <w:rPr>
          <w:rFonts w:hint="eastAsia" w:hAnsi="宋体" w:cs="宋体"/>
          <w:sz w:val="24"/>
          <w:lang w:eastAsia="zh-CN"/>
        </w:rPr>
        <w:t>（</w:t>
      </w:r>
      <w:r>
        <w:rPr>
          <w:rFonts w:hint="eastAsia" w:hAnsi="宋体" w:cs="宋体"/>
          <w:sz w:val="24"/>
        </w:rPr>
        <w:t>签字</w:t>
      </w:r>
      <w:r>
        <w:rPr>
          <w:rFonts w:hint="eastAsia" w:hAnsi="宋体" w:cs="宋体"/>
          <w:sz w:val="24"/>
          <w:lang w:val="en-US" w:eastAsia="zh-CN"/>
        </w:rPr>
        <w:t>或盖章）</w:t>
      </w:r>
      <w:r>
        <w:rPr>
          <w:rFonts w:hint="eastAsia" w:hAnsi="宋体" w:cs="宋体"/>
          <w:sz w:val="24"/>
        </w:rPr>
        <w:t>:</w:t>
      </w:r>
      <w:r>
        <w:rPr>
          <w:rFonts w:hint="eastAsia" w:hAnsi="宋体" w:cs="宋体"/>
          <w:sz w:val="24"/>
          <w:u w:val="single"/>
        </w:rPr>
        <w:t xml:space="preserve"> </w:t>
      </w:r>
      <w:r>
        <w:rPr>
          <w:rFonts w:hint="eastAsia" w:hAnsi="宋体" w:cs="宋体"/>
          <w:sz w:val="24"/>
          <w:u w:val="single"/>
        </w:rPr>
        <w:tab/>
      </w:r>
      <w:r>
        <w:rPr>
          <w:rFonts w:hint="eastAsia" w:hAnsi="宋体" w:cs="宋体"/>
          <w:sz w:val="24"/>
          <w:u w:val="single"/>
        </w:rPr>
        <w:t xml:space="preserve">                 </w:t>
      </w:r>
    </w:p>
    <w:p w14:paraId="1045D7BC">
      <w:pPr>
        <w:bidi w:val="0"/>
        <w:outlineLvl w:val="9"/>
        <w:rPr>
          <w:rFonts w:hint="eastAsia"/>
        </w:rPr>
      </w:pPr>
    </w:p>
    <w:p w14:paraId="7616C84C">
      <w:pPr>
        <w:bidi w:val="0"/>
        <w:outlineLvl w:val="9"/>
        <w:rPr>
          <w:rFonts w:hint="eastAsia"/>
          <w:lang w:val="en-US" w:eastAsia="zh-CN"/>
        </w:rPr>
      </w:pPr>
      <w:r>
        <w:rPr>
          <w:rFonts w:hint="eastAsia"/>
          <w:lang w:val="en-US" w:eastAsia="zh-CN"/>
        </w:rPr>
        <w:t xml:space="preserve">                                       </w:t>
      </w:r>
    </w:p>
    <w:p w14:paraId="34647EF7">
      <w:pPr>
        <w:bidi w:val="0"/>
        <w:ind w:firstLine="4410" w:firstLineChars="2100"/>
        <w:outlineLvl w:val="9"/>
        <w:rPr>
          <w:rFonts w:hint="eastAsia"/>
        </w:rPr>
      </w:pPr>
      <w:r>
        <w:rPr>
          <w:rFonts w:hint="eastAsia"/>
          <w:lang w:val="en-US" w:eastAsia="zh-CN"/>
        </w:rPr>
        <w:t xml:space="preserve">                                                      年     月    日 </w:t>
      </w:r>
    </w:p>
    <w:p w14:paraId="3B1E6076">
      <w:pPr>
        <w:pStyle w:val="14"/>
        <w:spacing w:line="240" w:lineRule="atLeast"/>
        <w:outlineLvl w:val="9"/>
        <w:rPr>
          <w:rFonts w:hint="eastAsia" w:ascii="仿宋" w:hAnsi="仿宋" w:eastAsia="仿宋" w:cs="仿宋"/>
          <w:color w:val="auto"/>
          <w:sz w:val="24"/>
        </w:rPr>
      </w:pPr>
      <w:bookmarkStart w:id="417" w:name="_Toc14264"/>
      <w:bookmarkStart w:id="418" w:name="_Toc30828"/>
      <w:bookmarkStart w:id="419" w:name="_Toc30410"/>
      <w:bookmarkStart w:id="420" w:name="_Toc18267"/>
      <w:bookmarkStart w:id="421" w:name="_Toc14037"/>
      <w:bookmarkStart w:id="422" w:name="_Toc515647819"/>
      <w:bookmarkStart w:id="423" w:name="_Toc25212"/>
      <w:bookmarkStart w:id="424" w:name="_Toc216582816"/>
      <w:bookmarkStart w:id="425" w:name="_Toc28759"/>
      <w:bookmarkStart w:id="426" w:name="_Toc2103"/>
      <w:bookmarkStart w:id="427" w:name="_Toc14331"/>
      <w:bookmarkStart w:id="428" w:name="_Toc16728"/>
    </w:p>
    <w:p w14:paraId="51C94F87">
      <w:pPr>
        <w:pStyle w:val="14"/>
        <w:spacing w:line="240" w:lineRule="atLeast"/>
        <w:outlineLvl w:val="9"/>
        <w:rPr>
          <w:rFonts w:hint="eastAsia" w:ascii="仿宋" w:hAnsi="仿宋" w:eastAsia="仿宋" w:cs="仿宋"/>
          <w:color w:val="auto"/>
          <w:sz w:val="24"/>
        </w:rPr>
      </w:pPr>
    </w:p>
    <w:p w14:paraId="106E7C83">
      <w:pPr>
        <w:pStyle w:val="14"/>
        <w:spacing w:line="240" w:lineRule="atLeast"/>
        <w:ind w:firstLine="240" w:firstLineChars="100"/>
        <w:outlineLvl w:val="9"/>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rPr>
        <w:t>注:1.</w:t>
      </w:r>
      <w:r>
        <w:rPr>
          <w:rFonts w:hint="eastAsia" w:ascii="仿宋" w:hAnsi="仿宋" w:eastAsia="仿宋" w:cs="仿宋"/>
          <w:b w:val="0"/>
          <w:bCs w:val="0"/>
          <w:color w:val="auto"/>
          <w:sz w:val="24"/>
          <w:lang w:val="en-US" w:eastAsia="zh-CN"/>
        </w:rPr>
        <w:t>本表格投标人可自行根据实际情况添加行</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 xml:space="preserve"> </w:t>
      </w:r>
    </w:p>
    <w:p w14:paraId="6DFE4163">
      <w:pPr>
        <w:pStyle w:val="14"/>
        <w:numPr>
          <w:ilvl w:val="0"/>
          <w:numId w:val="0"/>
        </w:numPr>
        <w:spacing w:line="240" w:lineRule="atLeast"/>
        <w:ind w:left="0" w:leftChars="0" w:firstLine="420" w:firstLineChars="175"/>
        <w:outlineLvl w:val="9"/>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如果按单价计算的结果与总价不一致,以单价为准修正总价。</w:t>
      </w:r>
    </w:p>
    <w:p w14:paraId="6D10D255">
      <w:pPr>
        <w:pStyle w:val="14"/>
        <w:numPr>
          <w:ilvl w:val="0"/>
          <w:numId w:val="0"/>
        </w:numPr>
        <w:spacing w:line="240" w:lineRule="atLeast"/>
        <w:ind w:left="0" w:leftChars="0" w:firstLine="420" w:firstLineChars="175"/>
        <w:outlineLvl w:val="9"/>
        <w:rPr>
          <w:rFonts w:hint="eastAsia" w:ascii="仿宋" w:hAnsi="仿宋" w:eastAsia="仿宋" w:cs="仿宋"/>
          <w:b w:val="0"/>
          <w:bCs w:val="0"/>
          <w:color w:val="auto"/>
          <w:sz w:val="24"/>
        </w:rPr>
      </w:pPr>
      <w:r>
        <w:rPr>
          <w:rFonts w:hint="eastAsia" w:ascii="仿宋" w:hAnsi="仿宋" w:eastAsia="仿宋" w:cs="仿宋"/>
          <w:b w:val="0"/>
          <w:bCs w:val="0"/>
          <w:color w:val="FF0000"/>
          <w:sz w:val="24"/>
        </w:rPr>
        <w:t>3.如果不提供详细分项报价</w:t>
      </w:r>
      <w:r>
        <w:rPr>
          <w:rFonts w:hint="eastAsia" w:ascii="仿宋" w:hAnsi="仿宋" w:eastAsia="仿宋" w:cs="仿宋"/>
          <w:b w:val="0"/>
          <w:bCs w:val="0"/>
          <w:color w:val="FF0000"/>
          <w:sz w:val="24"/>
          <w:lang w:val="en-US" w:eastAsia="zh-CN"/>
        </w:rPr>
        <w:t>表</w:t>
      </w:r>
      <w:r>
        <w:rPr>
          <w:rFonts w:hint="eastAsia" w:ascii="仿宋" w:hAnsi="仿宋" w:eastAsia="仿宋" w:cs="仿宋"/>
          <w:b w:val="0"/>
          <w:bCs w:val="0"/>
          <w:color w:val="FF0000"/>
          <w:sz w:val="24"/>
        </w:rPr>
        <w:t>将视为没有实质性响应招标文件。</w:t>
      </w:r>
    </w:p>
    <w:p w14:paraId="4533931D">
      <w:pPr>
        <w:pStyle w:val="14"/>
        <w:spacing w:line="240" w:lineRule="atLeast"/>
        <w:ind w:left="0" w:leftChars="0" w:firstLine="420" w:firstLineChars="175"/>
        <w:outlineLvl w:val="9"/>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4</w:t>
      </w:r>
      <w:r>
        <w:rPr>
          <w:rFonts w:hint="eastAsia" w:ascii="仿宋" w:hAnsi="仿宋" w:eastAsia="仿宋" w:cs="仿宋"/>
          <w:b w:val="0"/>
          <w:bCs w:val="0"/>
          <w:color w:val="auto"/>
          <w:sz w:val="24"/>
        </w:rPr>
        <w:t>.如果开标一览表（报价表）内容与投标文件中明细表内容不一致的，以开标一览表（报价表）内容为准。</w:t>
      </w:r>
    </w:p>
    <w:p w14:paraId="69913086">
      <w:pPr>
        <w:pStyle w:val="14"/>
        <w:spacing w:line="240" w:lineRule="atLeast"/>
        <w:ind w:left="0" w:leftChars="0" w:firstLine="420" w:firstLineChars="175"/>
        <w:outlineLvl w:val="9"/>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5.分项报价表请标明所投包号。</w:t>
      </w:r>
    </w:p>
    <w:p w14:paraId="02EA66A1">
      <w:pPr>
        <w:pStyle w:val="14"/>
        <w:spacing w:line="240" w:lineRule="atLeast"/>
        <w:ind w:left="0" w:leftChars="0" w:firstLine="420" w:firstLineChars="175"/>
        <w:outlineLvl w:val="9"/>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6.投标报价保留小数点后两位。</w:t>
      </w:r>
    </w:p>
    <w:bookmarkEnd w:id="417"/>
    <w:p w14:paraId="7E31384D">
      <w:pPr>
        <w:outlineLvl w:val="9"/>
        <w:rPr>
          <w:rFonts w:hint="eastAsia" w:ascii="宋体" w:hAnsi="宋体" w:eastAsia="宋体" w:cs="宋体"/>
          <w:b w:val="0"/>
          <w:bCs w:val="0"/>
          <w:sz w:val="30"/>
          <w:szCs w:val="30"/>
          <w:lang w:val="en-US" w:eastAsia="zh-CN"/>
        </w:rPr>
        <w:sectPr>
          <w:pgSz w:w="16838" w:h="11906" w:orient="landscape"/>
          <w:pgMar w:top="1803" w:right="1440" w:bottom="1803" w:left="1440" w:header="851" w:footer="992" w:gutter="0"/>
          <w:cols w:space="0" w:num="1"/>
          <w:rtlGutter w:val="0"/>
          <w:docGrid w:type="lines" w:linePitch="319" w:charSpace="0"/>
        </w:sectPr>
      </w:pPr>
    </w:p>
    <w:p w14:paraId="05BE9C95">
      <w:pPr>
        <w:numPr>
          <w:ilvl w:val="0"/>
          <w:numId w:val="0"/>
        </w:numPr>
        <w:bidi w:val="0"/>
        <w:jc w:val="both"/>
        <w:outlineLvl w:val="9"/>
        <w:rPr>
          <w:rFonts w:hint="eastAsia" w:ascii="宋体" w:hAnsi="宋体" w:eastAsia="宋体" w:cs="宋体"/>
          <w:sz w:val="30"/>
          <w:szCs w:val="30"/>
          <w:lang w:val="en-US" w:eastAsia="zh-CN"/>
        </w:rPr>
      </w:pPr>
    </w:p>
    <w:p w14:paraId="3D4E5E88">
      <w:pPr>
        <w:numPr>
          <w:ilvl w:val="0"/>
          <w:numId w:val="0"/>
        </w:numPr>
        <w:bidi w:val="0"/>
        <w:jc w:val="center"/>
        <w:outlineLvl w:val="2"/>
        <w:rPr>
          <w:rFonts w:hint="eastAsia" w:ascii="宋体" w:hAnsi="宋体" w:eastAsia="宋体" w:cs="宋体"/>
          <w:sz w:val="28"/>
          <w:szCs w:val="36"/>
        </w:rPr>
      </w:pPr>
      <w:bookmarkStart w:id="429" w:name="_Toc28616"/>
      <w:bookmarkStart w:id="430" w:name="_Toc14979"/>
      <w:r>
        <w:rPr>
          <w:rFonts w:hint="eastAsia" w:ascii="宋体" w:hAnsi="宋体" w:eastAsia="宋体" w:cs="宋体"/>
          <w:sz w:val="30"/>
          <w:szCs w:val="30"/>
          <w:lang w:val="en-US" w:eastAsia="zh-CN"/>
        </w:rPr>
        <w:t>3、</w:t>
      </w:r>
      <w:bookmarkEnd w:id="418"/>
      <w:bookmarkEnd w:id="419"/>
      <w:bookmarkEnd w:id="420"/>
      <w:bookmarkEnd w:id="421"/>
      <w:bookmarkEnd w:id="422"/>
      <w:bookmarkEnd w:id="423"/>
      <w:bookmarkEnd w:id="424"/>
      <w:bookmarkEnd w:id="425"/>
      <w:r>
        <w:rPr>
          <w:rFonts w:hint="eastAsia" w:ascii="宋体" w:hAnsi="宋体" w:eastAsia="宋体" w:cs="宋体"/>
          <w:sz w:val="30"/>
          <w:szCs w:val="30"/>
          <w:lang w:val="en-US" w:eastAsia="zh-CN"/>
        </w:rPr>
        <w:t>货物说明一览表</w:t>
      </w:r>
      <w:bookmarkEnd w:id="429"/>
      <w:bookmarkEnd w:id="430"/>
    </w:p>
    <w:p w14:paraId="29044C62">
      <w:pPr>
        <w:pStyle w:val="6"/>
        <w:numPr>
          <w:ilvl w:val="0"/>
          <w:numId w:val="0"/>
        </w:numPr>
        <w:outlineLvl w:val="9"/>
        <w:rPr>
          <w:rFonts w:hint="eastAsia"/>
        </w:rPr>
      </w:pPr>
    </w:p>
    <w:p w14:paraId="3A65376C">
      <w:pPr>
        <w:pStyle w:val="1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cs="宋体"/>
          <w:sz w:val="24"/>
        </w:rPr>
      </w:pPr>
      <w:r>
        <w:rPr>
          <w:rFonts w:hint="eastAsia" w:hAnsi="宋体" w:cs="宋体"/>
          <w:sz w:val="24"/>
        </w:rPr>
        <w:t xml:space="preserve">项目名称:                      </w:t>
      </w:r>
      <w:r>
        <w:rPr>
          <w:rFonts w:hint="eastAsia" w:hAnsi="宋体" w:cs="宋体"/>
          <w:sz w:val="24"/>
          <w:lang w:val="en-US" w:eastAsia="zh-CN"/>
        </w:rPr>
        <w:t xml:space="preserve"> 项目</w:t>
      </w:r>
      <w:r>
        <w:rPr>
          <w:rFonts w:hint="eastAsia" w:hAnsi="宋体" w:cs="宋体"/>
          <w:sz w:val="24"/>
        </w:rPr>
        <w:t>编号:</w:t>
      </w:r>
    </w:p>
    <w:p w14:paraId="4D0F6E6B">
      <w:pPr>
        <w:pStyle w:val="22"/>
        <w:ind w:left="0" w:leftChars="0" w:firstLine="0" w:firstLineChars="0"/>
        <w:outlineLvl w:val="9"/>
        <w:rPr>
          <w:rFonts w:hint="default" w:eastAsia="宋体"/>
          <w:lang w:val="en-US" w:eastAsia="zh-CN"/>
        </w:rPr>
      </w:pPr>
      <w:r>
        <w:rPr>
          <w:rFonts w:hint="eastAsia" w:hAnsi="宋体" w:cs="宋体"/>
          <w:sz w:val="24"/>
          <w:lang w:val="en-US" w:eastAsia="zh-CN"/>
        </w:rPr>
        <w:t>包号：</w:t>
      </w:r>
    </w:p>
    <w:p w14:paraId="290EF715">
      <w:pPr>
        <w:pStyle w:val="14"/>
        <w:spacing w:line="240" w:lineRule="atLeast"/>
        <w:ind w:firstLine="1680" w:firstLineChars="700"/>
        <w:outlineLvl w:val="9"/>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tbl>
      <w:tblPr>
        <w:tblStyle w:val="26"/>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11"/>
        <w:gridCol w:w="1333"/>
        <w:gridCol w:w="1556"/>
        <w:gridCol w:w="1255"/>
        <w:gridCol w:w="1689"/>
        <w:gridCol w:w="1345"/>
        <w:gridCol w:w="1023"/>
      </w:tblGrid>
      <w:tr w14:paraId="3733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0" w:type="dxa"/>
            <w:noWrap w:val="0"/>
            <w:vAlign w:val="center"/>
          </w:tcPr>
          <w:p w14:paraId="12F40A17">
            <w:pPr>
              <w:pStyle w:val="14"/>
              <w:spacing w:line="240" w:lineRule="atLeast"/>
              <w:jc w:val="center"/>
              <w:outlineLvl w:val="9"/>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序号</w:t>
            </w:r>
          </w:p>
        </w:tc>
        <w:tc>
          <w:tcPr>
            <w:tcW w:w="1111" w:type="dxa"/>
            <w:noWrap w:val="0"/>
            <w:vAlign w:val="center"/>
          </w:tcPr>
          <w:p w14:paraId="3C3314A7">
            <w:pPr>
              <w:pStyle w:val="14"/>
              <w:spacing w:line="240" w:lineRule="atLeast"/>
              <w:jc w:val="center"/>
              <w:outlineLvl w:val="9"/>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药名</w:t>
            </w:r>
          </w:p>
        </w:tc>
        <w:tc>
          <w:tcPr>
            <w:tcW w:w="1333" w:type="dxa"/>
            <w:noWrap w:val="0"/>
            <w:vAlign w:val="center"/>
          </w:tcPr>
          <w:p w14:paraId="5CDA7E95">
            <w:pPr>
              <w:pStyle w:val="14"/>
              <w:spacing w:line="240" w:lineRule="atLeast"/>
              <w:jc w:val="center"/>
              <w:outlineLvl w:val="9"/>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规格</w:t>
            </w:r>
            <w:r>
              <w:rPr>
                <w:rFonts w:hint="eastAsia" w:ascii="Times New Roman" w:hAnsi="Times New Roman" w:eastAsia="宋体" w:cs="Times New Roman"/>
                <w:sz w:val="24"/>
                <w:lang w:val="en-US" w:eastAsia="zh-CN"/>
              </w:rPr>
              <w:t>/单位</w:t>
            </w:r>
          </w:p>
        </w:tc>
        <w:tc>
          <w:tcPr>
            <w:tcW w:w="1556" w:type="dxa"/>
            <w:noWrap w:val="0"/>
            <w:vAlign w:val="center"/>
          </w:tcPr>
          <w:p w14:paraId="13700011">
            <w:pPr>
              <w:pStyle w:val="14"/>
              <w:spacing w:line="240" w:lineRule="atLeast"/>
              <w:jc w:val="center"/>
              <w:outlineLvl w:val="9"/>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性能说明</w:t>
            </w:r>
          </w:p>
        </w:tc>
        <w:tc>
          <w:tcPr>
            <w:tcW w:w="1255" w:type="dxa"/>
            <w:noWrap w:val="0"/>
            <w:vAlign w:val="center"/>
          </w:tcPr>
          <w:p w14:paraId="68E1EFA1">
            <w:pPr>
              <w:pStyle w:val="14"/>
              <w:spacing w:line="240" w:lineRule="atLeast"/>
              <w:jc w:val="center"/>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执行标准</w:t>
            </w:r>
          </w:p>
        </w:tc>
        <w:tc>
          <w:tcPr>
            <w:tcW w:w="1689" w:type="dxa"/>
            <w:noWrap w:val="0"/>
            <w:vAlign w:val="center"/>
          </w:tcPr>
          <w:p w14:paraId="2511E6AB">
            <w:pPr>
              <w:pStyle w:val="14"/>
              <w:spacing w:line="240" w:lineRule="atLeast"/>
              <w:jc w:val="center"/>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生产厂家及产地</w:t>
            </w:r>
          </w:p>
        </w:tc>
        <w:tc>
          <w:tcPr>
            <w:tcW w:w="1345" w:type="dxa"/>
            <w:noWrap w:val="0"/>
            <w:vAlign w:val="center"/>
          </w:tcPr>
          <w:p w14:paraId="59861440">
            <w:pPr>
              <w:pStyle w:val="14"/>
              <w:spacing w:line="240" w:lineRule="atLeast"/>
              <w:jc w:val="center"/>
              <w:outlineLvl w:val="9"/>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交货时间及交货地点</w:t>
            </w:r>
          </w:p>
        </w:tc>
        <w:tc>
          <w:tcPr>
            <w:tcW w:w="1023" w:type="dxa"/>
            <w:noWrap w:val="0"/>
            <w:vAlign w:val="center"/>
          </w:tcPr>
          <w:p w14:paraId="01884E24">
            <w:pPr>
              <w:pStyle w:val="14"/>
              <w:spacing w:line="240" w:lineRule="atLeast"/>
              <w:jc w:val="center"/>
              <w:outlineLvl w:val="9"/>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备注</w:t>
            </w:r>
          </w:p>
        </w:tc>
      </w:tr>
      <w:tr w14:paraId="7D43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0" w:type="dxa"/>
            <w:noWrap w:val="0"/>
            <w:vAlign w:val="top"/>
          </w:tcPr>
          <w:p w14:paraId="378A4A12">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111" w:type="dxa"/>
            <w:noWrap w:val="0"/>
            <w:vAlign w:val="top"/>
          </w:tcPr>
          <w:p w14:paraId="46FF01B9">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33" w:type="dxa"/>
            <w:noWrap w:val="0"/>
            <w:vAlign w:val="top"/>
          </w:tcPr>
          <w:p w14:paraId="53FE74A5">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556" w:type="dxa"/>
            <w:noWrap w:val="0"/>
            <w:vAlign w:val="top"/>
          </w:tcPr>
          <w:p w14:paraId="121B6D91">
            <w:pPr>
              <w:pStyle w:val="14"/>
              <w:spacing w:line="240" w:lineRule="atLeast"/>
              <w:outlineLvl w:val="9"/>
              <w:rPr>
                <w:rFonts w:hint="default" w:ascii="Times New Roman" w:hAnsi="Times New Roman" w:eastAsia="宋体" w:cs="Times New Roman"/>
                <w:sz w:val="24"/>
                <w:lang w:val="en-US" w:eastAsia="zh-CN"/>
              </w:rPr>
            </w:pPr>
          </w:p>
        </w:tc>
        <w:tc>
          <w:tcPr>
            <w:tcW w:w="1255" w:type="dxa"/>
            <w:noWrap w:val="0"/>
            <w:vAlign w:val="top"/>
          </w:tcPr>
          <w:p w14:paraId="7B9F7A09">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689" w:type="dxa"/>
            <w:noWrap w:val="0"/>
            <w:vAlign w:val="top"/>
          </w:tcPr>
          <w:p w14:paraId="35019D88">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45" w:type="dxa"/>
            <w:noWrap w:val="0"/>
            <w:vAlign w:val="top"/>
          </w:tcPr>
          <w:p w14:paraId="44718E99">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023" w:type="dxa"/>
            <w:noWrap w:val="0"/>
            <w:vAlign w:val="top"/>
          </w:tcPr>
          <w:p w14:paraId="0B09309E">
            <w:pPr>
              <w:pStyle w:val="14"/>
              <w:spacing w:line="240" w:lineRule="atLeast"/>
              <w:ind w:left="1080" w:leftChars="257" w:hanging="540"/>
              <w:outlineLvl w:val="9"/>
              <w:rPr>
                <w:rFonts w:hint="default" w:ascii="Times New Roman" w:hAnsi="Times New Roman" w:eastAsia="宋体" w:cs="Times New Roman"/>
                <w:sz w:val="24"/>
                <w:lang w:val="en-US" w:eastAsia="zh-CN"/>
              </w:rPr>
            </w:pPr>
          </w:p>
        </w:tc>
      </w:tr>
      <w:tr w14:paraId="357F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0" w:type="dxa"/>
            <w:noWrap w:val="0"/>
            <w:vAlign w:val="top"/>
          </w:tcPr>
          <w:p w14:paraId="516794AC">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111" w:type="dxa"/>
            <w:noWrap w:val="0"/>
            <w:vAlign w:val="top"/>
          </w:tcPr>
          <w:p w14:paraId="5C0ECC4C">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33" w:type="dxa"/>
            <w:noWrap w:val="0"/>
            <w:vAlign w:val="top"/>
          </w:tcPr>
          <w:p w14:paraId="23169BF7">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556" w:type="dxa"/>
            <w:noWrap w:val="0"/>
            <w:vAlign w:val="top"/>
          </w:tcPr>
          <w:p w14:paraId="5E65E872">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255" w:type="dxa"/>
            <w:noWrap w:val="0"/>
            <w:vAlign w:val="top"/>
          </w:tcPr>
          <w:p w14:paraId="51471E6D">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689" w:type="dxa"/>
            <w:noWrap w:val="0"/>
            <w:vAlign w:val="top"/>
          </w:tcPr>
          <w:p w14:paraId="1393AE23">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45" w:type="dxa"/>
            <w:noWrap w:val="0"/>
            <w:vAlign w:val="top"/>
          </w:tcPr>
          <w:p w14:paraId="52A74BED">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023" w:type="dxa"/>
            <w:noWrap w:val="0"/>
            <w:vAlign w:val="top"/>
          </w:tcPr>
          <w:p w14:paraId="42D1C307">
            <w:pPr>
              <w:pStyle w:val="14"/>
              <w:spacing w:line="240" w:lineRule="atLeast"/>
              <w:ind w:left="1080" w:leftChars="257" w:hanging="540"/>
              <w:outlineLvl w:val="9"/>
              <w:rPr>
                <w:rFonts w:hint="default" w:ascii="Times New Roman" w:hAnsi="Times New Roman" w:eastAsia="宋体" w:cs="Times New Roman"/>
                <w:sz w:val="24"/>
                <w:lang w:val="en-US" w:eastAsia="zh-CN"/>
              </w:rPr>
            </w:pPr>
          </w:p>
        </w:tc>
      </w:tr>
      <w:tr w14:paraId="73D2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0" w:type="dxa"/>
            <w:noWrap w:val="0"/>
            <w:vAlign w:val="top"/>
          </w:tcPr>
          <w:p w14:paraId="615B19A8">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111" w:type="dxa"/>
            <w:noWrap w:val="0"/>
            <w:vAlign w:val="top"/>
          </w:tcPr>
          <w:p w14:paraId="2949E1F6">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33" w:type="dxa"/>
            <w:noWrap w:val="0"/>
            <w:vAlign w:val="top"/>
          </w:tcPr>
          <w:p w14:paraId="6E6CF18A">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556" w:type="dxa"/>
            <w:noWrap w:val="0"/>
            <w:vAlign w:val="top"/>
          </w:tcPr>
          <w:p w14:paraId="40186BBE">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255" w:type="dxa"/>
            <w:noWrap w:val="0"/>
            <w:vAlign w:val="top"/>
          </w:tcPr>
          <w:p w14:paraId="2F5510CE">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689" w:type="dxa"/>
            <w:noWrap w:val="0"/>
            <w:vAlign w:val="top"/>
          </w:tcPr>
          <w:p w14:paraId="0C48A408">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45" w:type="dxa"/>
            <w:noWrap w:val="0"/>
            <w:vAlign w:val="top"/>
          </w:tcPr>
          <w:p w14:paraId="1CAD18E3">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023" w:type="dxa"/>
            <w:noWrap w:val="0"/>
            <w:vAlign w:val="top"/>
          </w:tcPr>
          <w:p w14:paraId="6BE0508E">
            <w:pPr>
              <w:pStyle w:val="14"/>
              <w:spacing w:line="240" w:lineRule="atLeast"/>
              <w:ind w:left="1080" w:leftChars="257" w:hanging="540"/>
              <w:outlineLvl w:val="9"/>
              <w:rPr>
                <w:rFonts w:hint="default" w:ascii="Times New Roman" w:hAnsi="Times New Roman" w:eastAsia="宋体" w:cs="Times New Roman"/>
                <w:sz w:val="24"/>
                <w:lang w:val="en-US" w:eastAsia="zh-CN"/>
              </w:rPr>
            </w:pPr>
          </w:p>
        </w:tc>
      </w:tr>
      <w:tr w14:paraId="416D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0" w:type="dxa"/>
            <w:noWrap w:val="0"/>
            <w:vAlign w:val="top"/>
          </w:tcPr>
          <w:p w14:paraId="653405FE">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111" w:type="dxa"/>
            <w:noWrap w:val="0"/>
            <w:vAlign w:val="top"/>
          </w:tcPr>
          <w:p w14:paraId="03A0D975">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33" w:type="dxa"/>
            <w:noWrap w:val="0"/>
            <w:vAlign w:val="top"/>
          </w:tcPr>
          <w:p w14:paraId="3DC96B76">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556" w:type="dxa"/>
            <w:noWrap w:val="0"/>
            <w:vAlign w:val="top"/>
          </w:tcPr>
          <w:p w14:paraId="5E727342">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255" w:type="dxa"/>
            <w:noWrap w:val="0"/>
            <w:vAlign w:val="top"/>
          </w:tcPr>
          <w:p w14:paraId="099F7662">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689" w:type="dxa"/>
            <w:noWrap w:val="0"/>
            <w:vAlign w:val="top"/>
          </w:tcPr>
          <w:p w14:paraId="67FAEC92">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45" w:type="dxa"/>
            <w:noWrap w:val="0"/>
            <w:vAlign w:val="top"/>
          </w:tcPr>
          <w:p w14:paraId="1156618A">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023" w:type="dxa"/>
            <w:noWrap w:val="0"/>
            <w:vAlign w:val="top"/>
          </w:tcPr>
          <w:p w14:paraId="54BDEC0F">
            <w:pPr>
              <w:pStyle w:val="14"/>
              <w:spacing w:line="240" w:lineRule="atLeast"/>
              <w:ind w:left="1080" w:leftChars="257" w:hanging="540"/>
              <w:outlineLvl w:val="9"/>
              <w:rPr>
                <w:rFonts w:hint="default" w:ascii="Times New Roman" w:hAnsi="Times New Roman" w:eastAsia="宋体" w:cs="Times New Roman"/>
                <w:sz w:val="24"/>
                <w:lang w:val="en-US" w:eastAsia="zh-CN"/>
              </w:rPr>
            </w:pPr>
          </w:p>
        </w:tc>
      </w:tr>
      <w:tr w14:paraId="3A49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0" w:type="dxa"/>
            <w:noWrap w:val="0"/>
            <w:vAlign w:val="top"/>
          </w:tcPr>
          <w:p w14:paraId="0F045710">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111" w:type="dxa"/>
            <w:noWrap w:val="0"/>
            <w:vAlign w:val="top"/>
          </w:tcPr>
          <w:p w14:paraId="53FCEA11">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33" w:type="dxa"/>
            <w:noWrap w:val="0"/>
            <w:vAlign w:val="top"/>
          </w:tcPr>
          <w:p w14:paraId="78F9F009">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556" w:type="dxa"/>
            <w:noWrap w:val="0"/>
            <w:vAlign w:val="top"/>
          </w:tcPr>
          <w:p w14:paraId="2C222A46">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255" w:type="dxa"/>
            <w:noWrap w:val="0"/>
            <w:vAlign w:val="top"/>
          </w:tcPr>
          <w:p w14:paraId="5C53B30B">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689" w:type="dxa"/>
            <w:noWrap w:val="0"/>
            <w:vAlign w:val="top"/>
          </w:tcPr>
          <w:p w14:paraId="57526BFB">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45" w:type="dxa"/>
            <w:noWrap w:val="0"/>
            <w:vAlign w:val="top"/>
          </w:tcPr>
          <w:p w14:paraId="1FD311FC">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023" w:type="dxa"/>
            <w:noWrap w:val="0"/>
            <w:vAlign w:val="top"/>
          </w:tcPr>
          <w:p w14:paraId="71D2267F">
            <w:pPr>
              <w:pStyle w:val="14"/>
              <w:spacing w:line="240" w:lineRule="atLeast"/>
              <w:ind w:left="1080" w:leftChars="257" w:hanging="540"/>
              <w:outlineLvl w:val="9"/>
              <w:rPr>
                <w:rFonts w:hint="default" w:ascii="Times New Roman" w:hAnsi="Times New Roman" w:eastAsia="宋体" w:cs="Times New Roman"/>
                <w:sz w:val="24"/>
                <w:lang w:val="en-US" w:eastAsia="zh-CN"/>
              </w:rPr>
            </w:pPr>
          </w:p>
        </w:tc>
      </w:tr>
      <w:tr w14:paraId="4C28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0" w:type="dxa"/>
            <w:noWrap w:val="0"/>
            <w:vAlign w:val="top"/>
          </w:tcPr>
          <w:p w14:paraId="49948E80">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111" w:type="dxa"/>
            <w:noWrap w:val="0"/>
            <w:vAlign w:val="top"/>
          </w:tcPr>
          <w:p w14:paraId="3D791864">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33" w:type="dxa"/>
            <w:noWrap w:val="0"/>
            <w:vAlign w:val="top"/>
          </w:tcPr>
          <w:p w14:paraId="2681D10B">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556" w:type="dxa"/>
            <w:noWrap w:val="0"/>
            <w:vAlign w:val="top"/>
          </w:tcPr>
          <w:p w14:paraId="136C0BAD">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255" w:type="dxa"/>
            <w:noWrap w:val="0"/>
            <w:vAlign w:val="top"/>
          </w:tcPr>
          <w:p w14:paraId="68283942">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689" w:type="dxa"/>
            <w:noWrap w:val="0"/>
            <w:vAlign w:val="top"/>
          </w:tcPr>
          <w:p w14:paraId="3224F6AD">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45" w:type="dxa"/>
            <w:noWrap w:val="0"/>
            <w:vAlign w:val="top"/>
          </w:tcPr>
          <w:p w14:paraId="2423B1F5">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023" w:type="dxa"/>
            <w:noWrap w:val="0"/>
            <w:vAlign w:val="top"/>
          </w:tcPr>
          <w:p w14:paraId="69E94DC5">
            <w:pPr>
              <w:pStyle w:val="14"/>
              <w:spacing w:line="240" w:lineRule="atLeast"/>
              <w:ind w:left="1080" w:leftChars="257" w:hanging="540"/>
              <w:outlineLvl w:val="9"/>
              <w:rPr>
                <w:rFonts w:hint="default" w:ascii="Times New Roman" w:hAnsi="Times New Roman" w:eastAsia="宋体" w:cs="Times New Roman"/>
                <w:sz w:val="24"/>
                <w:lang w:val="en-US" w:eastAsia="zh-CN"/>
              </w:rPr>
            </w:pPr>
          </w:p>
        </w:tc>
      </w:tr>
      <w:tr w14:paraId="1801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0" w:type="dxa"/>
            <w:noWrap w:val="0"/>
            <w:vAlign w:val="top"/>
          </w:tcPr>
          <w:p w14:paraId="330BAD6E">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111" w:type="dxa"/>
            <w:noWrap w:val="0"/>
            <w:vAlign w:val="top"/>
          </w:tcPr>
          <w:p w14:paraId="10E9CA6F">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33" w:type="dxa"/>
            <w:noWrap w:val="0"/>
            <w:vAlign w:val="top"/>
          </w:tcPr>
          <w:p w14:paraId="3787C94A">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556" w:type="dxa"/>
            <w:noWrap w:val="0"/>
            <w:vAlign w:val="top"/>
          </w:tcPr>
          <w:p w14:paraId="1E733DB2">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255" w:type="dxa"/>
            <w:noWrap w:val="0"/>
            <w:vAlign w:val="top"/>
          </w:tcPr>
          <w:p w14:paraId="43AC35A7">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689" w:type="dxa"/>
            <w:noWrap w:val="0"/>
            <w:vAlign w:val="top"/>
          </w:tcPr>
          <w:p w14:paraId="1866F0ED">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45" w:type="dxa"/>
            <w:noWrap w:val="0"/>
            <w:vAlign w:val="top"/>
          </w:tcPr>
          <w:p w14:paraId="1D57DBED">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023" w:type="dxa"/>
            <w:noWrap w:val="0"/>
            <w:vAlign w:val="top"/>
          </w:tcPr>
          <w:p w14:paraId="1506327C">
            <w:pPr>
              <w:pStyle w:val="14"/>
              <w:spacing w:line="240" w:lineRule="atLeast"/>
              <w:ind w:left="1080" w:leftChars="257" w:hanging="540"/>
              <w:outlineLvl w:val="9"/>
              <w:rPr>
                <w:rFonts w:hint="default" w:ascii="Times New Roman" w:hAnsi="Times New Roman" w:eastAsia="宋体" w:cs="Times New Roman"/>
                <w:sz w:val="24"/>
                <w:lang w:val="en-US" w:eastAsia="zh-CN"/>
              </w:rPr>
            </w:pPr>
          </w:p>
        </w:tc>
      </w:tr>
      <w:tr w14:paraId="6044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0" w:type="dxa"/>
            <w:noWrap w:val="0"/>
            <w:vAlign w:val="top"/>
          </w:tcPr>
          <w:p w14:paraId="2E44B40F">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111" w:type="dxa"/>
            <w:noWrap w:val="0"/>
            <w:vAlign w:val="top"/>
          </w:tcPr>
          <w:p w14:paraId="4013BEBD">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33" w:type="dxa"/>
            <w:noWrap w:val="0"/>
            <w:vAlign w:val="top"/>
          </w:tcPr>
          <w:p w14:paraId="259BCBBE">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556" w:type="dxa"/>
            <w:noWrap w:val="0"/>
            <w:vAlign w:val="top"/>
          </w:tcPr>
          <w:p w14:paraId="4187221B">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255" w:type="dxa"/>
            <w:noWrap w:val="0"/>
            <w:vAlign w:val="top"/>
          </w:tcPr>
          <w:p w14:paraId="57A97EE1">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689" w:type="dxa"/>
            <w:noWrap w:val="0"/>
            <w:vAlign w:val="top"/>
          </w:tcPr>
          <w:p w14:paraId="39E07891">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345" w:type="dxa"/>
            <w:noWrap w:val="0"/>
            <w:vAlign w:val="top"/>
          </w:tcPr>
          <w:p w14:paraId="73D8FD32">
            <w:pPr>
              <w:pStyle w:val="14"/>
              <w:spacing w:line="240" w:lineRule="atLeast"/>
              <w:ind w:left="1080" w:leftChars="257" w:hanging="540"/>
              <w:outlineLvl w:val="9"/>
              <w:rPr>
                <w:rFonts w:hint="default" w:ascii="Times New Roman" w:hAnsi="Times New Roman" w:eastAsia="宋体" w:cs="Times New Roman"/>
                <w:sz w:val="24"/>
                <w:lang w:val="en-US" w:eastAsia="zh-CN"/>
              </w:rPr>
            </w:pPr>
          </w:p>
        </w:tc>
        <w:tc>
          <w:tcPr>
            <w:tcW w:w="1023" w:type="dxa"/>
            <w:noWrap w:val="0"/>
            <w:vAlign w:val="top"/>
          </w:tcPr>
          <w:p w14:paraId="7552AEF0">
            <w:pPr>
              <w:pStyle w:val="14"/>
              <w:spacing w:line="240" w:lineRule="atLeast"/>
              <w:ind w:left="1080" w:leftChars="257" w:hanging="540"/>
              <w:outlineLvl w:val="9"/>
              <w:rPr>
                <w:rFonts w:hint="default" w:ascii="Times New Roman" w:hAnsi="Times New Roman" w:eastAsia="宋体" w:cs="Times New Roman"/>
                <w:sz w:val="24"/>
                <w:lang w:val="en-US" w:eastAsia="zh-CN"/>
              </w:rPr>
            </w:pPr>
          </w:p>
        </w:tc>
      </w:tr>
    </w:tbl>
    <w:p w14:paraId="62C2DEAA">
      <w:pPr>
        <w:pStyle w:val="14"/>
        <w:spacing w:line="240" w:lineRule="atLeast"/>
        <w:outlineLvl w:val="9"/>
        <w:rPr>
          <w:rFonts w:hint="default" w:ascii="Times New Roman" w:hAnsi="Times New Roman" w:eastAsia="宋体" w:cs="Times New Roman"/>
          <w:b/>
          <w:bCs/>
          <w:sz w:val="24"/>
          <w:szCs w:val="20"/>
        </w:rPr>
      </w:pPr>
    </w:p>
    <w:p w14:paraId="16CFF163">
      <w:pPr>
        <w:pStyle w:val="14"/>
        <w:tabs>
          <w:tab w:val="left" w:pos="5370"/>
        </w:tabs>
        <w:spacing w:line="240" w:lineRule="atLeast"/>
        <w:ind w:left="1080" w:leftChars="257" w:hanging="540"/>
        <w:jc w:val="right"/>
        <w:outlineLvl w:val="9"/>
        <w:rPr>
          <w:rFonts w:hint="eastAsia" w:hAnsi="宋体" w:cs="宋体"/>
          <w:sz w:val="24"/>
          <w:lang w:val="en-US" w:eastAsia="zh-CN"/>
        </w:rPr>
      </w:pPr>
      <w:r>
        <w:rPr>
          <w:rFonts w:hint="eastAsia" w:hAnsi="宋体" w:cs="宋体"/>
          <w:sz w:val="24"/>
          <w:lang w:val="en-US" w:eastAsia="zh-CN"/>
        </w:rPr>
        <w:t xml:space="preserve">  </w:t>
      </w:r>
    </w:p>
    <w:p w14:paraId="206ABC42">
      <w:pPr>
        <w:pStyle w:val="14"/>
        <w:tabs>
          <w:tab w:val="left" w:pos="5370"/>
        </w:tabs>
        <w:spacing w:line="240" w:lineRule="atLeast"/>
        <w:ind w:left="1080" w:leftChars="257" w:hanging="540"/>
        <w:jc w:val="right"/>
        <w:outlineLvl w:val="9"/>
        <w:rPr>
          <w:rFonts w:hint="eastAsia" w:hAnsi="宋体" w:cs="宋体"/>
          <w:sz w:val="24"/>
          <w:lang w:val="en-US" w:eastAsia="zh-CN"/>
        </w:rPr>
      </w:pPr>
    </w:p>
    <w:p w14:paraId="3D2D21AF">
      <w:pPr>
        <w:pStyle w:val="14"/>
        <w:tabs>
          <w:tab w:val="left" w:pos="5370"/>
        </w:tabs>
        <w:spacing w:line="240" w:lineRule="atLeast"/>
        <w:jc w:val="both"/>
        <w:outlineLvl w:val="9"/>
        <w:rPr>
          <w:rFonts w:hint="eastAsia" w:hAnsi="宋体" w:cs="宋体"/>
          <w:sz w:val="24"/>
          <w:lang w:val="en-US" w:eastAsia="zh-CN"/>
        </w:rPr>
      </w:pPr>
    </w:p>
    <w:p w14:paraId="6FC5CA2E">
      <w:pPr>
        <w:pStyle w:val="14"/>
        <w:tabs>
          <w:tab w:val="left" w:pos="5370"/>
        </w:tabs>
        <w:spacing w:line="240" w:lineRule="atLeast"/>
        <w:ind w:left="1080" w:leftChars="257" w:hanging="540"/>
        <w:jc w:val="right"/>
        <w:outlineLvl w:val="9"/>
        <w:rPr>
          <w:rFonts w:hint="eastAsia" w:hAnsi="宋体" w:cs="宋体"/>
          <w:sz w:val="24"/>
          <w:lang w:val="en-US" w:eastAsia="zh-CN"/>
        </w:rPr>
      </w:pPr>
    </w:p>
    <w:p w14:paraId="7745FA8B">
      <w:pPr>
        <w:pStyle w:val="14"/>
        <w:tabs>
          <w:tab w:val="left" w:pos="5370"/>
        </w:tabs>
        <w:spacing w:line="240" w:lineRule="atLeast"/>
        <w:ind w:left="1080" w:leftChars="257" w:hanging="540"/>
        <w:jc w:val="right"/>
        <w:outlineLvl w:val="9"/>
        <w:rPr>
          <w:rFonts w:hAnsi="宋体" w:cs="宋体"/>
          <w:sz w:val="24"/>
          <w:u w:val="single"/>
        </w:rPr>
      </w:pPr>
      <w:r>
        <w:rPr>
          <w:rFonts w:hint="eastAsia" w:hAnsi="宋体" w:cs="宋体"/>
          <w:sz w:val="24"/>
          <w:lang w:val="en-US" w:eastAsia="zh-CN"/>
        </w:rPr>
        <w:t>供应商</w:t>
      </w:r>
      <w:r>
        <w:rPr>
          <w:rFonts w:hint="eastAsia" w:hAnsi="宋体" w:cs="宋体"/>
          <w:sz w:val="24"/>
        </w:rPr>
        <w:t>(盖单位章):</w:t>
      </w:r>
      <w:r>
        <w:rPr>
          <w:rFonts w:hint="eastAsia" w:hAnsi="宋体" w:cs="宋体"/>
          <w:sz w:val="24"/>
          <w:u w:val="single"/>
        </w:rPr>
        <w:tab/>
      </w:r>
    </w:p>
    <w:p w14:paraId="7FB22998">
      <w:pPr>
        <w:jc w:val="right"/>
        <w:outlineLvl w:val="9"/>
        <w:rPr>
          <w:rFonts w:hint="eastAsia"/>
          <w:sz w:val="24"/>
          <w:szCs w:val="32"/>
        </w:rPr>
      </w:pPr>
    </w:p>
    <w:p w14:paraId="5D60F325">
      <w:pPr>
        <w:pStyle w:val="14"/>
        <w:spacing w:line="240" w:lineRule="atLeast"/>
        <w:ind w:left="1080" w:leftChars="257" w:hanging="540"/>
        <w:jc w:val="center"/>
        <w:outlineLvl w:val="9"/>
        <w:rPr>
          <w:rFonts w:hint="eastAsia" w:hAnsi="宋体" w:cs="宋体"/>
          <w:sz w:val="24"/>
          <w:lang w:val="en-US" w:eastAsia="zh-CN"/>
        </w:rPr>
      </w:pPr>
      <w:r>
        <w:rPr>
          <w:rFonts w:hint="eastAsia" w:hAnsi="宋体" w:cs="宋体"/>
          <w:sz w:val="24"/>
          <w:lang w:val="en-US" w:eastAsia="zh-CN"/>
        </w:rPr>
        <w:t xml:space="preserve"> </w:t>
      </w:r>
    </w:p>
    <w:p w14:paraId="2E5E31DC">
      <w:pPr>
        <w:pStyle w:val="14"/>
        <w:spacing w:line="240" w:lineRule="atLeast"/>
        <w:ind w:left="1080" w:leftChars="257" w:hanging="540"/>
        <w:jc w:val="center"/>
        <w:outlineLvl w:val="9"/>
        <w:rPr>
          <w:rFonts w:hint="eastAsia" w:hAnsi="宋体" w:cs="宋体"/>
          <w:sz w:val="24"/>
        </w:rPr>
      </w:pPr>
    </w:p>
    <w:p w14:paraId="63007BA0">
      <w:pPr>
        <w:pStyle w:val="14"/>
        <w:spacing w:line="240" w:lineRule="atLeast"/>
        <w:ind w:left="1080" w:leftChars="257" w:hanging="540"/>
        <w:jc w:val="center"/>
        <w:outlineLvl w:val="9"/>
        <w:rPr>
          <w:rFonts w:hint="eastAsia" w:hAnsi="宋体" w:cs="宋体"/>
          <w:sz w:val="24"/>
          <w:u w:val="single"/>
        </w:rPr>
      </w:pPr>
      <w:r>
        <w:rPr>
          <w:rFonts w:hint="eastAsia" w:hAnsi="宋体" w:cs="宋体"/>
          <w:sz w:val="24"/>
        </w:rPr>
        <w:t>法定代表人或其委托代理人</w:t>
      </w:r>
      <w:r>
        <w:rPr>
          <w:rFonts w:hint="eastAsia" w:hAnsi="宋体" w:cs="宋体"/>
          <w:sz w:val="24"/>
          <w:lang w:eastAsia="zh-CN"/>
        </w:rPr>
        <w:t>（</w:t>
      </w:r>
      <w:r>
        <w:rPr>
          <w:rFonts w:hint="eastAsia" w:hAnsi="宋体" w:cs="宋体"/>
          <w:sz w:val="24"/>
        </w:rPr>
        <w:t>签字</w:t>
      </w:r>
      <w:r>
        <w:rPr>
          <w:rFonts w:hint="eastAsia" w:hAnsi="宋体" w:cs="宋体"/>
          <w:sz w:val="24"/>
          <w:lang w:val="en-US" w:eastAsia="zh-CN"/>
        </w:rPr>
        <w:t>或盖章）</w:t>
      </w:r>
      <w:r>
        <w:rPr>
          <w:rFonts w:hint="eastAsia" w:hAnsi="宋体" w:cs="宋体"/>
          <w:sz w:val="24"/>
        </w:rPr>
        <w:t>:</w:t>
      </w:r>
      <w:r>
        <w:rPr>
          <w:rFonts w:hint="eastAsia" w:hAnsi="宋体" w:cs="宋体"/>
          <w:sz w:val="24"/>
          <w:u w:val="single"/>
        </w:rPr>
        <w:t xml:space="preserve"> </w:t>
      </w:r>
      <w:r>
        <w:rPr>
          <w:rFonts w:hint="eastAsia" w:hAnsi="宋体" w:cs="宋体"/>
          <w:sz w:val="24"/>
          <w:u w:val="single"/>
        </w:rPr>
        <w:tab/>
      </w:r>
      <w:r>
        <w:rPr>
          <w:rFonts w:hint="eastAsia" w:hAnsi="宋体" w:cs="宋体"/>
          <w:sz w:val="24"/>
          <w:u w:val="single"/>
        </w:rPr>
        <w:t xml:space="preserve">                 </w:t>
      </w:r>
    </w:p>
    <w:p w14:paraId="5BAD6333">
      <w:pPr>
        <w:bidi w:val="0"/>
        <w:outlineLvl w:val="9"/>
        <w:rPr>
          <w:rFonts w:hint="eastAsia"/>
        </w:rPr>
      </w:pPr>
    </w:p>
    <w:p w14:paraId="313C6733">
      <w:pPr>
        <w:bidi w:val="0"/>
        <w:outlineLvl w:val="9"/>
        <w:rPr>
          <w:rFonts w:hint="eastAsia"/>
          <w:lang w:val="en-US" w:eastAsia="zh-CN"/>
        </w:rPr>
      </w:pPr>
      <w:r>
        <w:rPr>
          <w:rFonts w:hint="eastAsia"/>
          <w:lang w:val="en-US" w:eastAsia="zh-CN"/>
        </w:rPr>
        <w:t xml:space="preserve">                                       </w:t>
      </w:r>
    </w:p>
    <w:p w14:paraId="6B67F814">
      <w:pPr>
        <w:bidi w:val="0"/>
        <w:ind w:firstLine="4410" w:firstLineChars="2100"/>
        <w:outlineLvl w:val="9"/>
        <w:rPr>
          <w:rFonts w:hint="eastAsia"/>
          <w:lang w:val="en-US" w:eastAsia="zh-CN"/>
        </w:rPr>
      </w:pPr>
    </w:p>
    <w:p w14:paraId="72C66B8E">
      <w:pPr>
        <w:bidi w:val="0"/>
        <w:ind w:firstLine="4410" w:firstLineChars="2100"/>
        <w:outlineLvl w:val="9"/>
        <w:rPr>
          <w:rFonts w:hint="eastAsia"/>
          <w:lang w:val="en-US" w:eastAsia="zh-CN"/>
        </w:rPr>
      </w:pPr>
    </w:p>
    <w:p w14:paraId="32DF1331">
      <w:pPr>
        <w:bidi w:val="0"/>
        <w:ind w:firstLine="4410" w:firstLineChars="2100"/>
        <w:outlineLvl w:val="9"/>
        <w:rPr>
          <w:rFonts w:hint="default" w:eastAsia="宋体"/>
          <w:lang w:val="en-US" w:eastAsia="zh-CN"/>
        </w:rPr>
      </w:pPr>
      <w:r>
        <w:rPr>
          <w:rFonts w:hint="eastAsia"/>
          <w:lang w:val="en-US" w:eastAsia="zh-CN"/>
        </w:rPr>
        <w:t xml:space="preserve">  年     月    日 </w:t>
      </w:r>
    </w:p>
    <w:p w14:paraId="08EBE711">
      <w:pPr>
        <w:bidi w:val="0"/>
        <w:outlineLvl w:val="9"/>
        <w:rPr>
          <w:rFonts w:hint="eastAsia" w:ascii="Times New Roman" w:hAnsi="Times New Roman" w:eastAsia="宋体" w:cs="Times New Roman"/>
          <w:kern w:val="2"/>
          <w:sz w:val="24"/>
          <w:szCs w:val="20"/>
          <w:lang w:val="en-US" w:eastAsia="zh-CN" w:bidi="ar-SA"/>
        </w:rPr>
      </w:pPr>
    </w:p>
    <w:p w14:paraId="09403D43">
      <w:pPr>
        <w:bidi w:val="0"/>
        <w:outlineLvl w:val="9"/>
        <w:rPr>
          <w:rFonts w:hint="eastAsia" w:ascii="Times New Roman" w:hAnsi="Times New Roman" w:eastAsia="宋体" w:cs="Times New Roman"/>
          <w:kern w:val="2"/>
          <w:sz w:val="24"/>
          <w:szCs w:val="20"/>
          <w:lang w:val="en-US" w:eastAsia="zh-CN" w:bidi="ar-SA"/>
        </w:rPr>
      </w:pPr>
    </w:p>
    <w:bookmarkEnd w:id="426"/>
    <w:bookmarkEnd w:id="427"/>
    <w:bookmarkEnd w:id="428"/>
    <w:p w14:paraId="35FC78FB">
      <w:pPr>
        <w:spacing w:before="0" w:line="240" w:lineRule="atLeast"/>
        <w:jc w:val="both"/>
        <w:outlineLvl w:val="9"/>
        <w:rPr>
          <w:rFonts w:hint="eastAsia" w:ascii="宋体" w:hAnsi="宋体" w:eastAsia="宋体" w:cs="宋体"/>
          <w:b w:val="0"/>
          <w:bCs/>
          <w:sz w:val="30"/>
          <w:szCs w:val="30"/>
          <w:highlight w:val="none"/>
          <w:u w:val="none"/>
          <w:lang w:val="en-US" w:eastAsia="zh-CN"/>
        </w:rPr>
      </w:pPr>
      <w:bookmarkStart w:id="431" w:name="_Hlt520274393"/>
      <w:bookmarkEnd w:id="431"/>
      <w:bookmarkStart w:id="432" w:name="_Hlt520273711"/>
      <w:bookmarkEnd w:id="432"/>
      <w:bookmarkStart w:id="433" w:name="_Hlt520274911"/>
      <w:bookmarkEnd w:id="433"/>
      <w:bookmarkStart w:id="434" w:name="_Hlt520343000"/>
      <w:bookmarkEnd w:id="434"/>
      <w:bookmarkStart w:id="435" w:name="_Hlt520271212"/>
      <w:bookmarkEnd w:id="435"/>
      <w:bookmarkStart w:id="436" w:name="_Hlt520274407"/>
      <w:bookmarkEnd w:id="436"/>
      <w:bookmarkStart w:id="437" w:name="_Hlt520274065"/>
      <w:bookmarkEnd w:id="437"/>
      <w:bookmarkStart w:id="438" w:name="_Hlt520343392"/>
      <w:bookmarkEnd w:id="438"/>
      <w:bookmarkStart w:id="439" w:name="_Hlt520273973"/>
      <w:bookmarkEnd w:id="439"/>
      <w:bookmarkStart w:id="440" w:name="_Hlt520350957"/>
      <w:bookmarkEnd w:id="440"/>
      <w:bookmarkStart w:id="441" w:name="_Hlt520350918"/>
      <w:bookmarkEnd w:id="441"/>
    </w:p>
    <w:p w14:paraId="5E37BDD3">
      <w:pPr>
        <w:outlineLvl w:val="9"/>
        <w:rPr>
          <w:rFonts w:hint="eastAsia"/>
          <w:lang w:val="en-US" w:eastAsia="zh-CN"/>
        </w:rPr>
      </w:pPr>
    </w:p>
    <w:p w14:paraId="0011987F">
      <w:pPr>
        <w:outlineLvl w:val="9"/>
        <w:rPr>
          <w:rFonts w:hint="eastAsia"/>
          <w:lang w:val="en-US" w:eastAsia="zh-CN"/>
        </w:rPr>
      </w:pPr>
    </w:p>
    <w:p w14:paraId="32710D00">
      <w:pPr>
        <w:outlineLvl w:val="9"/>
        <w:rPr>
          <w:rFonts w:hint="eastAsia"/>
          <w:lang w:val="en-US" w:eastAsia="zh-CN"/>
        </w:rPr>
      </w:pPr>
    </w:p>
    <w:p w14:paraId="70508C95">
      <w:pPr>
        <w:spacing w:before="0" w:line="240" w:lineRule="atLeast"/>
        <w:ind w:left="1080" w:leftChars="257" w:hanging="540"/>
        <w:jc w:val="center"/>
        <w:outlineLvl w:val="2"/>
        <w:rPr>
          <w:rFonts w:hint="eastAsia" w:ascii="宋体" w:hAnsi="宋体" w:eastAsia="宋体" w:cs="宋体"/>
          <w:sz w:val="24"/>
          <w:szCs w:val="24"/>
          <w:highlight w:val="none"/>
        </w:rPr>
      </w:pPr>
      <w:bookmarkStart w:id="442" w:name="_Toc21478"/>
      <w:bookmarkStart w:id="443" w:name="_Toc32198"/>
      <w:r>
        <w:rPr>
          <w:rFonts w:hint="eastAsia" w:ascii="宋体" w:hAnsi="宋体" w:eastAsia="宋体" w:cs="宋体"/>
          <w:b w:val="0"/>
          <w:bCs/>
          <w:sz w:val="30"/>
          <w:szCs w:val="30"/>
          <w:highlight w:val="none"/>
          <w:u w:val="none"/>
          <w:lang w:val="en-US" w:eastAsia="zh-CN"/>
        </w:rPr>
        <w:t>4、采购需求</w:t>
      </w:r>
      <w:r>
        <w:rPr>
          <w:rFonts w:hint="eastAsia" w:ascii="宋体" w:hAnsi="宋体" w:eastAsia="宋体" w:cs="宋体"/>
          <w:b w:val="0"/>
          <w:bCs/>
          <w:sz w:val="30"/>
          <w:szCs w:val="30"/>
          <w:highlight w:val="none"/>
          <w:u w:val="none"/>
        </w:rPr>
        <w:t>偏离表</w:t>
      </w:r>
      <w:bookmarkEnd w:id="442"/>
      <w:bookmarkEnd w:id="443"/>
    </w:p>
    <w:p w14:paraId="0B11E570">
      <w:pPr>
        <w:pStyle w:val="14"/>
        <w:spacing w:line="240" w:lineRule="atLeast"/>
        <w:ind w:left="1080" w:leftChars="257" w:hanging="540"/>
        <w:outlineLvl w:val="9"/>
        <w:rPr>
          <w:rFonts w:hint="eastAsia" w:ascii="宋体" w:hAnsi="宋体" w:eastAsia="宋体" w:cs="宋体"/>
          <w:sz w:val="24"/>
          <w:szCs w:val="24"/>
          <w:highlight w:val="none"/>
        </w:rPr>
      </w:pPr>
    </w:p>
    <w:p w14:paraId="3E71680B">
      <w:pPr>
        <w:pStyle w:val="14"/>
        <w:spacing w:line="240" w:lineRule="atLeast"/>
        <w:ind w:firstLine="720" w:firstLineChars="3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lang w:val="en-US" w:eastAsia="zh-CN"/>
        </w:rPr>
        <w:t xml:space="preserve">     项目</w:t>
      </w:r>
      <w:r>
        <w:rPr>
          <w:rFonts w:hint="eastAsia" w:ascii="宋体" w:hAnsi="宋体" w:eastAsia="宋体" w:cs="宋体"/>
          <w:sz w:val="24"/>
          <w:szCs w:val="24"/>
          <w:highlight w:val="none"/>
        </w:rPr>
        <w:t xml:space="preserve">编号:    </w:t>
      </w:r>
    </w:p>
    <w:p w14:paraId="453ADEE4">
      <w:pPr>
        <w:pStyle w:val="14"/>
        <w:spacing w:line="240" w:lineRule="atLeast"/>
        <w:ind w:firstLine="720" w:firstLineChars="300"/>
        <w:outlineLvl w:val="9"/>
        <w:rPr>
          <w:rFonts w:hint="eastAsia" w:hAnsi="宋体" w:cs="宋体"/>
          <w:sz w:val="24"/>
          <w:szCs w:val="24"/>
          <w:highlight w:val="none"/>
          <w:lang w:val="en-US" w:eastAsia="zh-CN"/>
        </w:rPr>
      </w:pPr>
    </w:p>
    <w:p w14:paraId="10ABAA91">
      <w:pPr>
        <w:pStyle w:val="14"/>
        <w:spacing w:line="240" w:lineRule="atLeast"/>
        <w:ind w:firstLine="720" w:firstLineChars="300"/>
        <w:outlineLvl w:val="9"/>
        <w:rPr>
          <w:rFonts w:hint="eastAsia" w:ascii="宋体" w:hAnsi="宋体" w:eastAsia="宋体" w:cs="宋体"/>
          <w:sz w:val="24"/>
          <w:szCs w:val="24"/>
          <w:highlight w:val="none"/>
        </w:rPr>
      </w:pPr>
      <w:r>
        <w:rPr>
          <w:rFonts w:hint="eastAsia" w:hAnsi="宋体" w:cs="宋体"/>
          <w:sz w:val="24"/>
          <w:szCs w:val="24"/>
          <w:highlight w:val="none"/>
          <w:lang w:val="en-US" w:eastAsia="zh-CN"/>
        </w:rPr>
        <w:t>标项号：</w:t>
      </w:r>
      <w:r>
        <w:rPr>
          <w:rFonts w:hint="eastAsia" w:ascii="宋体" w:hAnsi="宋体" w:eastAsia="宋体" w:cs="宋体"/>
          <w:sz w:val="24"/>
          <w:szCs w:val="24"/>
          <w:highlight w:val="none"/>
        </w:rPr>
        <w:t xml:space="preserve">          </w:t>
      </w:r>
    </w:p>
    <w:tbl>
      <w:tblPr>
        <w:tblStyle w:val="26"/>
        <w:tblpPr w:leftFromText="180" w:rightFromText="180" w:vertAnchor="text" w:horzAnchor="page" w:tblpX="1622" w:tblpY="298"/>
        <w:tblOverlap w:val="never"/>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44"/>
        <w:gridCol w:w="1875"/>
        <w:gridCol w:w="1775"/>
        <w:gridCol w:w="1500"/>
        <w:gridCol w:w="1262"/>
      </w:tblGrid>
      <w:tr w14:paraId="258A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14:paraId="39A3CAA5">
            <w:pPr>
              <w:pStyle w:val="14"/>
              <w:spacing w:line="240" w:lineRule="atLeast"/>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944" w:type="dxa"/>
            <w:noWrap w:val="0"/>
            <w:vAlign w:val="center"/>
          </w:tcPr>
          <w:p w14:paraId="528E472A">
            <w:pPr>
              <w:pStyle w:val="14"/>
              <w:spacing w:line="240" w:lineRule="atLeast"/>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w:t>
            </w:r>
          </w:p>
        </w:tc>
        <w:tc>
          <w:tcPr>
            <w:tcW w:w="1875" w:type="dxa"/>
            <w:noWrap w:val="0"/>
            <w:vAlign w:val="center"/>
          </w:tcPr>
          <w:p w14:paraId="6BE31E0C">
            <w:pPr>
              <w:pStyle w:val="14"/>
              <w:spacing w:line="240" w:lineRule="atLeast"/>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w:t>
            </w:r>
            <w:r>
              <w:rPr>
                <w:rFonts w:hint="eastAsia" w:hAnsi="宋体" w:eastAsia="宋体" w:cs="宋体"/>
                <w:sz w:val="24"/>
                <w:szCs w:val="24"/>
                <w:highlight w:val="none"/>
                <w:lang w:val="en-US" w:eastAsia="zh-CN"/>
              </w:rPr>
              <w:t>文件规定的条款</w:t>
            </w:r>
          </w:p>
        </w:tc>
        <w:tc>
          <w:tcPr>
            <w:tcW w:w="1775" w:type="dxa"/>
            <w:noWrap w:val="0"/>
            <w:vAlign w:val="center"/>
          </w:tcPr>
          <w:p w14:paraId="00430A23">
            <w:pPr>
              <w:pStyle w:val="14"/>
              <w:spacing w:line="240" w:lineRule="atLeast"/>
              <w:jc w:val="center"/>
              <w:outlineLvl w:val="9"/>
              <w:rPr>
                <w:rFonts w:hint="default" w:ascii="宋体" w:hAnsi="宋体" w:eastAsia="宋体" w:cs="宋体"/>
                <w:sz w:val="24"/>
                <w:szCs w:val="24"/>
                <w:highlight w:val="none"/>
                <w:lang w:val="en-US" w:eastAsia="zh-CN"/>
              </w:rPr>
            </w:pPr>
            <w:r>
              <w:rPr>
                <w:rFonts w:hint="eastAsia" w:hAnsi="宋体" w:eastAsia="宋体" w:cs="宋体"/>
                <w:sz w:val="24"/>
                <w:szCs w:val="24"/>
                <w:highlight w:val="none"/>
                <w:lang w:val="en-US" w:eastAsia="zh-CN"/>
              </w:rPr>
              <w:t>投标文件的条款</w:t>
            </w:r>
          </w:p>
        </w:tc>
        <w:tc>
          <w:tcPr>
            <w:tcW w:w="1500" w:type="dxa"/>
            <w:noWrap w:val="0"/>
            <w:vAlign w:val="center"/>
          </w:tcPr>
          <w:p w14:paraId="4A0410B2">
            <w:pPr>
              <w:pStyle w:val="14"/>
              <w:spacing w:line="240" w:lineRule="atLeast"/>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偏离</w:t>
            </w:r>
          </w:p>
        </w:tc>
        <w:tc>
          <w:tcPr>
            <w:tcW w:w="1262" w:type="dxa"/>
            <w:noWrap w:val="0"/>
            <w:vAlign w:val="center"/>
          </w:tcPr>
          <w:p w14:paraId="2A2119B3">
            <w:pPr>
              <w:pStyle w:val="14"/>
              <w:spacing w:line="240" w:lineRule="atLeast"/>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w:t>
            </w:r>
          </w:p>
        </w:tc>
      </w:tr>
      <w:tr w14:paraId="53D6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7912D573">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2E92D60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059617CC">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4DD191E7">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51A9547C">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58886FE0">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1F1A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390A4FB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0754632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31CE8FC4">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7A27515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5E34B29F">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4C583153">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08B7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3D7886B0">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6153182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5DF58646">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780FD752">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6D759AB4">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79857572">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28BC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76080C95">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73673CEB">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6BDDFF9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5C84DEE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41F575A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0C4F4103">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4A0F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1369AD5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46DFCC61">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4674A027">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0359EE44">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7488E179">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10C99783">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4A0A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6896C1FC">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47A8905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6497160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46546636">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1EE7025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32D0919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49BF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6088EED1">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75A29D17">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04755641">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16F14BE0">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181FA29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3C03DBE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659C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3D51CE96">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73EB591F">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4CC76779">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08F92AB3">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1C52C81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0DD6D54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1795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0331DF9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3D22D985">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41F7990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78703657">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6A92FDA6">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588ADAB3">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40E4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0E87EAA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3B3486F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37B6F31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6067767C">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44EFD165">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2AC42DD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74DF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16C8236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3ABF0C97">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67B1267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2264E5D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6A96D46F">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7F68005C">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2DEC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1324C144">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2F36BA54">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07A735EB">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5EE9053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02ECA73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72FBDCD8">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572D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top"/>
          </w:tcPr>
          <w:p w14:paraId="4CAEB7D2">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221E523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52BBB85A">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2A29C144">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27FD662D">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412A47C1">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r w14:paraId="2C0C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top"/>
          </w:tcPr>
          <w:p w14:paraId="0D84797E">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944" w:type="dxa"/>
            <w:noWrap w:val="0"/>
            <w:vAlign w:val="top"/>
          </w:tcPr>
          <w:p w14:paraId="1CF162F1">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875" w:type="dxa"/>
            <w:noWrap w:val="0"/>
            <w:vAlign w:val="top"/>
          </w:tcPr>
          <w:p w14:paraId="706AED9C">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775" w:type="dxa"/>
            <w:noWrap w:val="0"/>
            <w:vAlign w:val="top"/>
          </w:tcPr>
          <w:p w14:paraId="7CA240F2">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500" w:type="dxa"/>
            <w:noWrap w:val="0"/>
            <w:vAlign w:val="top"/>
          </w:tcPr>
          <w:p w14:paraId="713F70D9">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c>
          <w:tcPr>
            <w:tcW w:w="1262" w:type="dxa"/>
            <w:noWrap w:val="0"/>
            <w:vAlign w:val="top"/>
          </w:tcPr>
          <w:p w14:paraId="36D3E601">
            <w:pPr>
              <w:pStyle w:val="14"/>
              <w:spacing w:line="240" w:lineRule="atLeast"/>
              <w:ind w:left="1080" w:leftChars="257" w:hanging="540"/>
              <w:outlineLvl w:val="9"/>
              <w:rPr>
                <w:rFonts w:hint="eastAsia" w:ascii="宋体" w:hAnsi="宋体" w:eastAsia="宋体" w:cs="宋体"/>
                <w:sz w:val="24"/>
                <w:szCs w:val="24"/>
                <w:highlight w:val="none"/>
                <w:lang w:val="en-US" w:eastAsia="zh-CN"/>
              </w:rPr>
            </w:pPr>
          </w:p>
        </w:tc>
      </w:tr>
    </w:tbl>
    <w:p w14:paraId="0E1728EC">
      <w:pPr>
        <w:pStyle w:val="14"/>
        <w:spacing w:line="240" w:lineRule="atLeast"/>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注:</w:t>
      </w:r>
    </w:p>
    <w:p w14:paraId="317663F9">
      <w:pPr>
        <w:pStyle w:val="14"/>
        <w:spacing w:line="240" w:lineRule="atLeas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1.此表仅提供了表格形式，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可根据项目实际</w:t>
      </w:r>
      <w:r>
        <w:rPr>
          <w:rFonts w:hint="eastAsia" w:ascii="宋体" w:hAnsi="宋体" w:eastAsia="宋体" w:cs="宋体"/>
          <w:sz w:val="24"/>
          <w:szCs w:val="24"/>
          <w:highlight w:val="none"/>
          <w:lang w:eastAsia="zh-CN"/>
        </w:rPr>
        <w:t>供求</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eastAsia="zh-CN"/>
        </w:rPr>
        <w:t>适当</w:t>
      </w:r>
      <w:r>
        <w:rPr>
          <w:rFonts w:hint="eastAsia" w:ascii="宋体" w:hAnsi="宋体" w:eastAsia="宋体" w:cs="宋体"/>
          <w:sz w:val="24"/>
          <w:szCs w:val="24"/>
          <w:highlight w:val="none"/>
        </w:rPr>
        <w:t>调整</w:t>
      </w:r>
      <w:r>
        <w:rPr>
          <w:rFonts w:hint="eastAsia" w:ascii="宋体" w:hAnsi="宋体" w:eastAsia="宋体" w:cs="宋体"/>
          <w:sz w:val="24"/>
          <w:szCs w:val="24"/>
          <w:highlight w:val="none"/>
          <w:lang w:eastAsia="zh-CN"/>
        </w:rPr>
        <w:t>。</w:t>
      </w:r>
    </w:p>
    <w:p w14:paraId="01EAF77C">
      <w:pPr>
        <w:pStyle w:val="14"/>
        <w:spacing w:line="240" w:lineRule="atLeas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2.供应商将投标文件与招标文件在</w:t>
      </w:r>
      <w:r>
        <w:rPr>
          <w:rFonts w:hint="eastAsia" w:hAnsi="宋体" w:eastAsia="宋体" w:cs="宋体"/>
          <w:sz w:val="24"/>
          <w:szCs w:val="24"/>
          <w:highlight w:val="none"/>
          <w:lang w:val="en-US" w:eastAsia="zh-CN"/>
        </w:rPr>
        <w:t>采购需求</w:t>
      </w:r>
      <w:r>
        <w:rPr>
          <w:rFonts w:hint="eastAsia" w:ascii="宋体" w:hAnsi="宋体" w:eastAsia="宋体" w:cs="宋体"/>
          <w:sz w:val="24"/>
          <w:szCs w:val="24"/>
          <w:highlight w:val="none"/>
          <w:lang w:val="en-US" w:eastAsia="zh-CN"/>
        </w:rPr>
        <w:t>部分的差异之处汇集成此表。</w:t>
      </w:r>
    </w:p>
    <w:p w14:paraId="11271C63">
      <w:pPr>
        <w:pStyle w:val="14"/>
        <w:spacing w:line="240" w:lineRule="atLeast"/>
        <w:outlineLvl w:val="9"/>
        <w:rPr>
          <w:rFonts w:hint="eastAsia" w:ascii="宋体" w:hAnsi="宋体" w:eastAsia="宋体" w:cs="宋体"/>
          <w:sz w:val="24"/>
          <w:szCs w:val="24"/>
          <w:highlight w:val="none"/>
          <w:lang w:val="en-US" w:eastAsia="zh-CN"/>
        </w:rPr>
      </w:pPr>
    </w:p>
    <w:p w14:paraId="077D3C40">
      <w:pPr>
        <w:pStyle w:val="14"/>
        <w:spacing w:line="240" w:lineRule="atLeast"/>
        <w:ind w:left="1080" w:leftChars="257" w:hanging="540"/>
        <w:outlineLvl w:val="9"/>
        <w:rPr>
          <w:rFonts w:hint="eastAsia" w:ascii="宋体" w:hAnsi="宋体" w:eastAsia="宋体" w:cs="宋体"/>
          <w:sz w:val="24"/>
          <w:szCs w:val="24"/>
          <w:highlight w:val="none"/>
        </w:rPr>
      </w:pPr>
    </w:p>
    <w:p w14:paraId="6CA38438">
      <w:pPr>
        <w:pStyle w:val="14"/>
        <w:tabs>
          <w:tab w:val="left" w:pos="5370"/>
        </w:tabs>
        <w:spacing w:line="240" w:lineRule="atLeast"/>
        <w:ind w:left="1080" w:leftChars="257" w:hanging="540"/>
        <w:jc w:val="righ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供应商(盖单位章):</w:t>
      </w:r>
      <w:r>
        <w:rPr>
          <w:rFonts w:hint="eastAsia" w:ascii="宋体" w:hAnsi="宋体" w:eastAsia="宋体" w:cs="宋体"/>
          <w:sz w:val="24"/>
          <w:szCs w:val="24"/>
          <w:highlight w:val="none"/>
          <w:u w:val="single"/>
        </w:rPr>
        <w:tab/>
      </w:r>
    </w:p>
    <w:p w14:paraId="5B78ED87">
      <w:pPr>
        <w:pStyle w:val="14"/>
        <w:spacing w:line="240" w:lineRule="atLeast"/>
        <w:ind w:left="1258" w:leftChars="599" w:firstLine="103" w:firstLineChars="43"/>
        <w:jc w:val="cente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7E784D13">
      <w:pPr>
        <w:pStyle w:val="14"/>
        <w:spacing w:line="240" w:lineRule="atLeast"/>
        <w:ind w:left="1258" w:leftChars="599" w:firstLine="103" w:firstLineChars="43"/>
        <w:jc w:val="center"/>
        <w:outlineLvl w:val="9"/>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年  月  日</w:t>
      </w:r>
    </w:p>
    <w:p w14:paraId="1F11D476">
      <w:pPr>
        <w:widowControl/>
        <w:spacing w:before="100" w:beforeAutospacing="1" w:after="100" w:afterAutospacing="1" w:line="330" w:lineRule="atLeast"/>
        <w:jc w:val="center"/>
        <w:outlineLvl w:val="2"/>
        <w:rPr>
          <w:rFonts w:hint="eastAsia" w:ascii="宋体" w:hAnsi="宋体" w:cs="宋体"/>
          <w:sz w:val="30"/>
          <w:szCs w:val="30"/>
          <w:highlight w:val="none"/>
          <w:u w:val="none"/>
          <w:lang w:val="en-US" w:eastAsia="zh-CN"/>
        </w:rPr>
      </w:pPr>
      <w:r>
        <w:rPr>
          <w:rFonts w:hint="eastAsia" w:ascii="宋体" w:hAnsi="宋体" w:eastAsia="宋体" w:cs="宋体"/>
          <w:sz w:val="24"/>
          <w:szCs w:val="24"/>
          <w:highlight w:val="none"/>
          <w:u w:val="single"/>
        </w:rPr>
        <w:br w:type="page"/>
      </w:r>
      <w:bookmarkStart w:id="444" w:name="_Toc27241"/>
      <w:bookmarkStart w:id="445" w:name="_Toc6680"/>
      <w:r>
        <w:rPr>
          <w:rFonts w:hint="eastAsia" w:ascii="宋体" w:hAnsi="宋体" w:eastAsia="宋体" w:cs="宋体"/>
          <w:sz w:val="30"/>
          <w:szCs w:val="30"/>
          <w:highlight w:val="none"/>
          <w:u w:val="none"/>
          <w:lang w:val="en-US" w:eastAsia="zh-CN"/>
        </w:rPr>
        <w:t>5-1 中小企业声明函</w:t>
      </w:r>
      <w:bookmarkEnd w:id="444"/>
      <w:bookmarkEnd w:id="445"/>
      <w:r>
        <w:rPr>
          <w:rFonts w:hint="eastAsia" w:hAnsi="宋体" w:cs="宋体"/>
          <w:color w:val="auto"/>
          <w:kern w:val="0"/>
          <w:sz w:val="30"/>
          <w:szCs w:val="30"/>
          <w:highlight w:val="none"/>
          <w:lang w:val="en-US" w:eastAsia="zh-CN" w:bidi="ar-SA"/>
        </w:rPr>
        <w:t>（可选）</w:t>
      </w:r>
    </w:p>
    <w:p w14:paraId="7BBF988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cs="宋体"/>
          <w:szCs w:val="30"/>
          <w:highlight w:val="none"/>
          <w:u w:val="none"/>
          <w:lang w:val="en-US" w:eastAsia="zh-CN"/>
        </w:rPr>
      </w:pPr>
      <w:bookmarkStart w:id="446" w:name="_Toc28966"/>
      <w:r>
        <w:rPr>
          <w:rFonts w:hint="default"/>
          <w:sz w:val="28"/>
          <w:szCs w:val="36"/>
          <w:lang w:val="en-US" w:eastAsia="zh-CN"/>
        </w:rPr>
        <w:t>中小企业声明函（货物）</w:t>
      </w:r>
      <w:bookmarkEnd w:id="446"/>
    </w:p>
    <w:p w14:paraId="5AF40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本公司（联合体）郑重声明，根据《政府采购促进中小企业发展管理办法》（财库 ﹝2020﹞46 号）的规定，本公司（联合体）参加</w:t>
      </w:r>
      <w:r>
        <w:rPr>
          <w:rFonts w:hint="eastAsia" w:ascii="宋体" w:hAnsi="宋体" w:eastAsia="宋体" w:cs="宋体"/>
          <w:sz w:val="24"/>
          <w:szCs w:val="32"/>
          <w:u w:val="single"/>
          <w:lang w:val="en-US" w:eastAsia="zh-CN"/>
        </w:rPr>
        <w:t xml:space="preserve">   （单位名称）  </w:t>
      </w:r>
      <w:r>
        <w:rPr>
          <w:rFonts w:hint="eastAsia" w:ascii="宋体" w:hAnsi="宋体" w:eastAsia="宋体" w:cs="宋体"/>
          <w:sz w:val="24"/>
          <w:szCs w:val="32"/>
          <w:lang w:val="en-US" w:eastAsia="zh-CN"/>
        </w:rPr>
        <w:t>的</w:t>
      </w:r>
      <w:r>
        <w:rPr>
          <w:rFonts w:hint="eastAsia" w:ascii="宋体" w:hAnsi="宋体" w:eastAsia="宋体" w:cs="宋体"/>
          <w:sz w:val="24"/>
          <w:szCs w:val="32"/>
          <w:u w:val="single"/>
          <w:lang w:val="en-US" w:eastAsia="zh-CN"/>
        </w:rPr>
        <w:t xml:space="preserve">   （项目名称）  </w:t>
      </w:r>
      <w:r>
        <w:rPr>
          <w:rFonts w:hint="eastAsia" w:ascii="宋体" w:hAnsi="宋体" w:eastAsia="宋体" w:cs="宋体"/>
          <w:sz w:val="24"/>
          <w:szCs w:val="32"/>
          <w:lang w:val="en-US" w:eastAsia="zh-CN"/>
        </w:rPr>
        <w:t>采购活动，提供的货物全部由符合政策要求的中小企业制造。相关企业（含联合体中的中小企业、签订分包意向协议的中小企业）的具体情况如下：</w:t>
      </w:r>
    </w:p>
    <w:p w14:paraId="64E9E3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u w:val="single"/>
          <w:lang w:val="en-US" w:eastAsia="zh-CN"/>
        </w:rPr>
        <w:t>（标的名称）</w:t>
      </w:r>
      <w:r>
        <w:rPr>
          <w:rFonts w:hint="eastAsia" w:ascii="宋体" w:hAnsi="宋体" w:eastAsia="宋体" w:cs="宋体"/>
          <w:sz w:val="24"/>
          <w:szCs w:val="32"/>
          <w:lang w:val="en-US" w:eastAsia="zh-CN"/>
        </w:rPr>
        <w:t>，属于</w:t>
      </w:r>
      <w:r>
        <w:rPr>
          <w:rFonts w:hint="eastAsia" w:ascii="宋体" w:hAnsi="宋体" w:eastAsia="宋体" w:cs="宋体"/>
          <w:sz w:val="24"/>
          <w:szCs w:val="32"/>
          <w:u w:val="single"/>
          <w:lang w:val="en-US" w:eastAsia="zh-CN"/>
        </w:rPr>
        <w:t>（采购文件中明确的所属行业）</w:t>
      </w:r>
      <w:r>
        <w:rPr>
          <w:rFonts w:hint="eastAsia" w:ascii="宋体" w:hAnsi="宋体" w:eastAsia="宋体" w:cs="宋体"/>
          <w:sz w:val="24"/>
          <w:szCs w:val="32"/>
          <w:lang w:val="en-US" w:eastAsia="zh-CN"/>
        </w:rPr>
        <w:t>；制造商为</w:t>
      </w:r>
      <w:r>
        <w:rPr>
          <w:rFonts w:hint="eastAsia" w:ascii="宋体" w:hAnsi="宋体" w:eastAsia="宋体" w:cs="宋体"/>
          <w:sz w:val="24"/>
          <w:szCs w:val="32"/>
          <w:u w:val="single"/>
          <w:lang w:val="en-US" w:eastAsia="zh-CN"/>
        </w:rPr>
        <w:t xml:space="preserve"> （企业名称）  </w:t>
      </w:r>
      <w:r>
        <w:rPr>
          <w:rFonts w:hint="eastAsia" w:ascii="宋体" w:hAnsi="宋体" w:eastAsia="宋体" w:cs="宋体"/>
          <w:sz w:val="24"/>
          <w:szCs w:val="32"/>
          <w:lang w:val="en-US" w:eastAsia="zh-CN"/>
        </w:rPr>
        <w:t>，从业人员</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人，营业收入为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万元，资产总额为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万元，属于</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（中型企业、小型企业、微型企业）；</w:t>
      </w:r>
    </w:p>
    <w:p w14:paraId="6825CB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32"/>
          <w:lang w:val="en-US" w:eastAsia="zh-CN"/>
        </w:rPr>
      </w:pPr>
    </w:p>
    <w:p w14:paraId="06452E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u w:val="single"/>
          <w:lang w:val="en-US" w:eastAsia="zh-CN"/>
        </w:rPr>
        <w:t>（标的名称）</w:t>
      </w:r>
      <w:r>
        <w:rPr>
          <w:rFonts w:hint="eastAsia" w:ascii="宋体" w:hAnsi="宋体" w:eastAsia="宋体" w:cs="宋体"/>
          <w:sz w:val="24"/>
          <w:szCs w:val="32"/>
          <w:lang w:val="en-US" w:eastAsia="zh-CN"/>
        </w:rPr>
        <w:t>，属于</w:t>
      </w:r>
      <w:r>
        <w:rPr>
          <w:rFonts w:hint="eastAsia" w:ascii="宋体" w:hAnsi="宋体" w:eastAsia="宋体" w:cs="宋体"/>
          <w:sz w:val="24"/>
          <w:szCs w:val="32"/>
          <w:u w:val="single"/>
          <w:lang w:val="en-US" w:eastAsia="zh-CN"/>
        </w:rPr>
        <w:t>（采购文件中明确的所属行业）</w:t>
      </w:r>
      <w:r>
        <w:rPr>
          <w:rFonts w:hint="eastAsia" w:ascii="宋体" w:hAnsi="宋体" w:eastAsia="宋体" w:cs="宋体"/>
          <w:sz w:val="24"/>
          <w:szCs w:val="32"/>
          <w:lang w:val="en-US" w:eastAsia="zh-CN"/>
        </w:rPr>
        <w:t>；制造商为</w:t>
      </w:r>
      <w:r>
        <w:rPr>
          <w:rFonts w:hint="eastAsia" w:ascii="宋体" w:hAnsi="宋体" w:eastAsia="宋体" w:cs="宋体"/>
          <w:sz w:val="24"/>
          <w:szCs w:val="32"/>
          <w:u w:val="single"/>
          <w:lang w:val="en-US" w:eastAsia="zh-CN"/>
        </w:rPr>
        <w:t xml:space="preserve"> （企业名称）  </w:t>
      </w:r>
      <w:r>
        <w:rPr>
          <w:rFonts w:hint="eastAsia" w:ascii="宋体" w:hAnsi="宋体" w:eastAsia="宋体" w:cs="宋体"/>
          <w:sz w:val="24"/>
          <w:szCs w:val="32"/>
          <w:lang w:val="en-US" w:eastAsia="zh-CN"/>
        </w:rPr>
        <w:t>，从业人员</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人，营业收入为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万元，资产总额为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万元，属于</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（中型企业、小型企业、微型企业）；</w:t>
      </w:r>
    </w:p>
    <w:p w14:paraId="315E5CB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32"/>
          <w:lang w:val="en-US" w:eastAsia="zh-CN"/>
        </w:rPr>
      </w:pPr>
    </w:p>
    <w:p w14:paraId="208AD8E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w:t>
      </w:r>
    </w:p>
    <w:p w14:paraId="209D2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以上企业，不属于大企业的分支机构，不存在控股股东为大企业的情形，也不存在与大企业的负责人为同一人的情形。</w:t>
      </w:r>
    </w:p>
    <w:p w14:paraId="771691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本企业对上述声明内容的真实性负责。如有虚假，将依法承担相应责任。</w:t>
      </w:r>
    </w:p>
    <w:p w14:paraId="5A5579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32"/>
          <w:lang w:val="en-US" w:eastAsia="zh-CN"/>
        </w:rPr>
      </w:pPr>
    </w:p>
    <w:p w14:paraId="6FDF348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企业名称（盖章）： </w:t>
      </w:r>
    </w:p>
    <w:p w14:paraId="2C685507">
      <w:pPr>
        <w:pStyle w:val="25"/>
        <w:outlineLvl w:val="9"/>
        <w:rPr>
          <w:rFonts w:hint="default"/>
          <w:lang w:val="en-US" w:eastAsia="zh-CN"/>
        </w:rPr>
      </w:pPr>
      <w:r>
        <w:rPr>
          <w:rFonts w:hint="eastAsia" w:ascii="宋体" w:hAnsi="宋体" w:eastAsia="宋体" w:cs="宋体"/>
          <w:sz w:val="24"/>
          <w:szCs w:val="32"/>
          <w:lang w:val="en-US" w:eastAsia="zh-CN"/>
        </w:rPr>
        <w:t xml:space="preserve"> </w:t>
      </w:r>
    </w:p>
    <w:p w14:paraId="7B3FD079">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outlineLvl w:val="9"/>
        <w:rPr>
          <w:rFonts w:hint="eastAsia"/>
        </w:rPr>
      </w:pPr>
      <w:r>
        <w:rPr>
          <w:rFonts w:hint="eastAsia" w:ascii="宋体" w:hAnsi="宋体" w:eastAsia="宋体" w:cs="宋体"/>
          <w:sz w:val="24"/>
          <w:szCs w:val="32"/>
          <w:lang w:val="en-US" w:eastAsia="zh-CN"/>
        </w:rPr>
        <w:t xml:space="preserve">日期：    </w:t>
      </w:r>
    </w:p>
    <w:p w14:paraId="092F90FE">
      <w:pPr>
        <w:widowControl/>
        <w:spacing w:before="100" w:beforeAutospacing="1" w:after="100" w:afterAutospacing="1" w:line="330" w:lineRule="atLeast"/>
        <w:jc w:val="both"/>
        <w:outlineLvl w:val="9"/>
        <w:rPr>
          <w:rFonts w:hint="default" w:ascii="宋体" w:hAnsi="宋体" w:eastAsia="宋体" w:cs="宋体"/>
          <w:kern w:val="0"/>
          <w:sz w:val="24"/>
          <w:szCs w:val="32"/>
          <w:highlight w:val="none"/>
          <w:lang w:val="en-US" w:eastAsia="zh-CN"/>
        </w:rPr>
      </w:pPr>
      <w:r>
        <w:rPr>
          <w:rFonts w:hint="default" w:ascii="宋体" w:hAnsi="宋体" w:eastAsia="宋体" w:cs="宋体"/>
          <w:kern w:val="0"/>
          <w:sz w:val="24"/>
          <w:szCs w:val="32"/>
          <w:highlight w:val="none"/>
          <w:lang w:val="en-US" w:eastAsia="zh-CN"/>
        </w:rPr>
        <w:t>注：从业人员、营业收入、资产总额填报上一年度数据，无上一年度数据的新成立企业可不填报。</w:t>
      </w:r>
    </w:p>
    <w:p w14:paraId="0DB8A106">
      <w:pPr>
        <w:widowControl/>
        <w:spacing w:before="100" w:beforeAutospacing="1" w:after="100" w:afterAutospacing="1" w:line="330" w:lineRule="atLeast"/>
        <w:jc w:val="center"/>
        <w:outlineLvl w:val="9"/>
        <w:rPr>
          <w:rFonts w:hint="eastAsia" w:ascii="宋体" w:hAnsi="宋体" w:eastAsia="宋体" w:cs="宋体"/>
          <w:kern w:val="0"/>
          <w:sz w:val="32"/>
          <w:szCs w:val="40"/>
          <w:highlight w:val="none"/>
        </w:rPr>
      </w:pPr>
    </w:p>
    <w:p w14:paraId="01E676ED">
      <w:pPr>
        <w:numPr>
          <w:ilvl w:val="3"/>
          <w:numId w:val="0"/>
        </w:numPr>
        <w:spacing w:before="0" w:line="240" w:lineRule="atLeast"/>
        <w:jc w:val="both"/>
        <w:outlineLvl w:val="9"/>
        <w:rPr>
          <w:rFonts w:hint="eastAsia" w:ascii="宋体" w:hAnsi="宋体" w:eastAsia="宋体" w:cs="宋体"/>
          <w:b w:val="0"/>
          <w:bCs w:val="0"/>
          <w:color w:val="000000"/>
          <w:kern w:val="0"/>
          <w:sz w:val="28"/>
          <w:szCs w:val="28"/>
        </w:rPr>
      </w:pPr>
    </w:p>
    <w:p w14:paraId="5A6D8E96">
      <w:pPr>
        <w:outlineLvl w:val="9"/>
        <w:rPr>
          <w:rFonts w:hint="eastAsia" w:ascii="宋体" w:hAnsi="宋体" w:eastAsia="宋体" w:cs="宋体"/>
          <w:b w:val="0"/>
          <w:bCs w:val="0"/>
          <w:color w:val="000000"/>
          <w:kern w:val="0"/>
          <w:sz w:val="28"/>
          <w:szCs w:val="28"/>
        </w:rPr>
      </w:pPr>
    </w:p>
    <w:p w14:paraId="0E5DAADA">
      <w:pPr>
        <w:jc w:val="left"/>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附：</w:t>
      </w:r>
    </w:p>
    <w:p w14:paraId="62DA732C">
      <w:pPr>
        <w:jc w:val="center"/>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中小微企业划型标准</w:t>
      </w:r>
    </w:p>
    <w:p w14:paraId="7FAE83DC">
      <w:pPr>
        <w:pStyle w:val="9"/>
        <w:tabs>
          <w:tab w:val="left" w:pos="567"/>
        </w:tabs>
        <w:outlineLvl w:val="9"/>
        <w:rPr>
          <w:rFonts w:hint="eastAsia"/>
        </w:rPr>
      </w:pPr>
    </w:p>
    <w:tbl>
      <w:tblPr>
        <w:tblStyle w:val="26"/>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0D9EDD4">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0C826A60">
            <w:pPr>
              <w:widowControl/>
              <w:snapToGrid w:val="0"/>
              <w:contextualSpacing/>
              <w:jc w:val="center"/>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16D3D8B3">
            <w:pPr>
              <w:widowControl/>
              <w:snapToGrid w:val="0"/>
              <w:contextualSpacing/>
              <w:jc w:val="center"/>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2693FE26">
            <w:pPr>
              <w:widowControl/>
              <w:snapToGrid w:val="0"/>
              <w:contextualSpacing/>
              <w:jc w:val="center"/>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76D90F30">
            <w:pPr>
              <w:widowControl/>
              <w:snapToGrid w:val="0"/>
              <w:contextualSpacing/>
              <w:jc w:val="center"/>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7DD57C8D">
            <w:pPr>
              <w:widowControl/>
              <w:snapToGrid w:val="0"/>
              <w:contextualSpacing/>
              <w:jc w:val="center"/>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1BD01CA4">
            <w:pPr>
              <w:widowControl/>
              <w:snapToGrid w:val="0"/>
              <w:contextualSpacing/>
              <w:jc w:val="center"/>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微型</w:t>
            </w:r>
          </w:p>
        </w:tc>
      </w:tr>
      <w:tr w14:paraId="25715BC8">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CB7A1EA">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ABFE5A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53E2A5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54FC33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B94984C">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5A22056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w:t>
            </w:r>
          </w:p>
        </w:tc>
      </w:tr>
      <w:tr w14:paraId="71674A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7FBD1CA">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5DB185C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A3B921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6E8B1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21A24B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04DB56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520C274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8D558F2">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A6CA215">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D0D879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F43133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53572ED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01EE746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73D7416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921D3A">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1FB4C43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40BA45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323420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B18A2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A71906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5FD9E53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60318EB">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A2CBC02">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7321CC8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BFC396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4CC5558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53A80A2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Z＜300</w:t>
            </w:r>
          </w:p>
        </w:tc>
      </w:tr>
      <w:tr w14:paraId="1323E0D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039485">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6E3DD12F">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C1979C">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8ECCCF">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812BAA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1A6576D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X＜5</w:t>
            </w:r>
          </w:p>
        </w:tc>
      </w:tr>
      <w:tr w14:paraId="18F4E3C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6CC262">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8EDAE0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386F5D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B921A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8397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650EDFE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w:t>
            </w:r>
          </w:p>
        </w:tc>
      </w:tr>
      <w:tr w14:paraId="61A4776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A1C5B24">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1ABAC7A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F41B9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3DF85C1">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75E32F5">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7CA8DF4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462ED5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192047">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876232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70605F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29B382">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8E8EEC5">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0373B0F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70B022F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CE613E7">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1B02368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49CFA8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9602CB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5B5172E">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FAD942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7E5A0D5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4094AAC">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F505782">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F600F1">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CABD5D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0611AF5">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DB0E292">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w:t>
            </w:r>
          </w:p>
        </w:tc>
      </w:tr>
      <w:tr w14:paraId="5D8F8F5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22ADC0E">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2425CD8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8B1FBA5">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2BFB05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244932E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55BEEBE2">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11A5314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0CF2858">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3B671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5F3B98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D6CEA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5082BD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6AD593D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49DE1E6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5876D14">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9E3E0C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8784BA2">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FB7354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500C6D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AA03BA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50CE200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B904C9">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CC3B4E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6FFF9F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292E82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2EBC8F3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379189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1A28FDE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550F75D">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6DC632D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01456E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FE59985">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E039F9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A6CA28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25E86BD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4A11D1A">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C8432A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294AC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279A16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E230EC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2CAFD0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44C2C43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67EE40C">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07E3CB1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A387B3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D8833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B3A366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C66B1">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1D2B6CB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8B33427">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58BD1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463EB11">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A34416E">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D3484C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C97E54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026523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3AA1C1A">
            <w:pPr>
              <w:widowControl/>
              <w:snapToGrid w:val="0"/>
              <w:contextualSpacing/>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318F5DDC">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C75AFC">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AAB8F24">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1FB4A81F">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28CCD38">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5A67DF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A6B8EE6">
            <w:pPr>
              <w:widowControl/>
              <w:snapToGrid w:val="0"/>
              <w:contextualSpacing/>
              <w:jc w:val="center"/>
              <w:outlineLvl w:val="9"/>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33F1A0">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6E87CF6">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AD49726">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6490FA96">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3CD03A80">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06C6A2DF">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19BA1BB">
            <w:pPr>
              <w:widowControl/>
              <w:snapToGrid w:val="0"/>
              <w:contextualSpacing/>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5F09F99">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36924CA">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F127557">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9741132">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E6159CD">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2F39FDDB">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E0A8B78">
            <w:pPr>
              <w:widowControl/>
              <w:snapToGrid w:val="0"/>
              <w:contextualSpacing/>
              <w:jc w:val="center"/>
              <w:outlineLvl w:val="9"/>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CCAD4C">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E426880">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BB67332">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751A3397">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463E2D98">
            <w:pPr>
              <w:widowControl/>
              <w:snapToGrid w:val="0"/>
              <w:contextualSpacing/>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7DAF211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D0928AF">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DBA67D5">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D9C425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A44B790">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0E292BF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6E5ED0E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18D0BF5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882A0E6">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7E0C1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0E728D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8181E3F">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585A423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14AF0C2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Y＜2000</w:t>
            </w:r>
          </w:p>
        </w:tc>
      </w:tr>
      <w:tr w14:paraId="6561A9D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D9175B">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559158A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F4A109">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3F83212">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C2D0A4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1DFD130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258C1AAA">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751BB5">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B9311D1">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BC091A">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4F1E241">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3D50597C">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72F6A37B">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Y＜500</w:t>
            </w:r>
          </w:p>
        </w:tc>
      </w:tr>
      <w:tr w14:paraId="2B85C8AA">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F23E157">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7D1D847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706A6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FFEFB34">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5E1CDF">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E15A425">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050C787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631FDF8">
            <w:pPr>
              <w:widowControl/>
              <w:snapToGrid w:val="0"/>
              <w:contextualSpacing/>
              <w:jc w:val="center"/>
              <w:outlineLvl w:val="9"/>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BE976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83393ED">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99469FC">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510B535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BDA986">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63335E6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5B148F1">
            <w:pPr>
              <w:widowControl/>
              <w:snapToGrid w:val="0"/>
              <w:contextualSpacing/>
              <w:jc w:val="center"/>
              <w:outlineLvl w:val="9"/>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091CF69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9125203">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C7B2C58">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6C558F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1338737">
            <w:pPr>
              <w:widowControl/>
              <w:snapToGrid w:val="0"/>
              <w:contextualSpacing/>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bl>
    <w:p w14:paraId="1FEFCEA5">
      <w:pPr>
        <w:spacing w:line="360" w:lineRule="auto"/>
        <w:outlineLvl w:val="9"/>
        <w:rPr>
          <w:rFonts w:hint="eastAsia" w:ascii="宋体" w:hAnsi="宋体" w:eastAsia="宋体" w:cs="宋体"/>
          <w:sz w:val="24"/>
          <w:szCs w:val="24"/>
          <w:highlight w:val="none"/>
        </w:rPr>
      </w:pPr>
    </w:p>
    <w:p w14:paraId="0650E7D8">
      <w:pPr>
        <w:snapToGrid w:val="0"/>
        <w:spacing w:line="336" w:lineRule="auto"/>
        <w:ind w:firstLine="482" w:firstLineChars="200"/>
        <w:contextualSpacing/>
        <w:jc w:val="left"/>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说明：</w:t>
      </w:r>
      <w:r>
        <w:rPr>
          <w:rFonts w:hint="eastAsia" w:ascii="宋体" w:hAnsi="宋体" w:eastAsia="宋体" w:cs="宋体"/>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932A137">
      <w:pPr>
        <w:snapToGrid w:val="0"/>
        <w:spacing w:line="336" w:lineRule="auto"/>
        <w:ind w:firstLine="480" w:firstLineChars="200"/>
        <w:contextualSpacing/>
        <w:jc w:val="left"/>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所称中小企业，是指在中华人民共和国境内依法设立，依据国务院批准的</w:t>
      </w:r>
    </w:p>
    <w:p w14:paraId="0A298C38">
      <w:pPr>
        <w:snapToGrid w:val="0"/>
        <w:spacing w:line="336" w:lineRule="auto"/>
        <w:ind w:firstLine="480" w:firstLineChars="200"/>
        <w:contextualSpacing/>
        <w:jc w:val="left"/>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w:t>
      </w:r>
    </w:p>
    <w:p w14:paraId="06BFB0D8">
      <w:pPr>
        <w:snapToGrid w:val="0"/>
        <w:spacing w:line="336" w:lineRule="auto"/>
        <w:ind w:firstLine="480" w:firstLineChars="200"/>
        <w:contextualSpacing/>
        <w:jc w:val="left"/>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29966F97">
      <w:pPr>
        <w:snapToGrid w:val="0"/>
        <w:spacing w:line="336" w:lineRule="auto"/>
        <w:ind w:firstLine="480" w:firstLineChars="200"/>
        <w:contextualSpacing/>
        <w:jc w:val="left"/>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（2）在工程采购项目中，工程由中小企业承建，即工程施工单位为中小企业，不对其中涉及的货物的制造商和服务的承接商作出要求；</w:t>
      </w:r>
    </w:p>
    <w:p w14:paraId="4D870F5B">
      <w:pPr>
        <w:snapToGrid w:val="0"/>
        <w:spacing w:line="336" w:lineRule="auto"/>
        <w:ind w:firstLine="480" w:firstLineChars="200"/>
        <w:contextualSpacing/>
        <w:jc w:val="left"/>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C769DC4">
      <w:pPr>
        <w:snapToGrid w:val="0"/>
        <w:spacing w:line="336" w:lineRule="auto"/>
        <w:ind w:firstLine="480" w:firstLineChars="200"/>
        <w:contextualSpacing/>
        <w:jc w:val="left"/>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06F44814">
      <w:pPr>
        <w:snapToGrid w:val="0"/>
        <w:spacing w:line="336" w:lineRule="auto"/>
        <w:ind w:firstLine="480" w:firstLineChars="200"/>
        <w:contextualSpacing/>
        <w:jc w:val="left"/>
        <w:textAlignment w:val="center"/>
        <w:outlineLvl w:val="9"/>
        <w:rPr>
          <w:rFonts w:hint="eastAsia" w:ascii="宋体" w:hAnsi="宋体" w:eastAsia="宋体" w:cs="宋体"/>
          <w:sz w:val="24"/>
          <w:szCs w:val="24"/>
          <w:highlight w:val="none"/>
        </w:rPr>
      </w:pPr>
      <w:bookmarkStart w:id="447" w:name="_Toc23855"/>
      <w:r>
        <w:rPr>
          <w:rFonts w:hint="eastAsia" w:ascii="宋体" w:hAnsi="宋体" w:eastAsia="宋体" w:cs="宋体"/>
          <w:sz w:val="24"/>
          <w:szCs w:val="24"/>
          <w:highlight w:val="none"/>
        </w:rPr>
        <w:t>依据本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规定享受扶持政策获得政府采购合同的，小微企业不得将合同分包给大中型企业，中型企业不得将合同分包给大型企业</w:t>
      </w:r>
      <w:bookmarkEnd w:id="447"/>
    </w:p>
    <w:p w14:paraId="0B28B52C">
      <w:pPr>
        <w:widowControl/>
        <w:spacing w:before="100" w:beforeAutospacing="1" w:after="100" w:afterAutospacing="1" w:line="330" w:lineRule="atLeast"/>
        <w:jc w:val="center"/>
        <w:outlineLvl w:val="9"/>
        <w:rPr>
          <w:rFonts w:hint="eastAsia" w:ascii="宋体" w:hAnsi="宋体" w:eastAsia="宋体" w:cs="宋体"/>
          <w:sz w:val="24"/>
          <w:szCs w:val="24"/>
          <w:highlight w:val="none"/>
        </w:rPr>
      </w:pPr>
    </w:p>
    <w:p w14:paraId="298623A1">
      <w:pPr>
        <w:widowControl/>
        <w:spacing w:before="100" w:beforeAutospacing="1" w:after="100" w:afterAutospacing="1" w:line="330" w:lineRule="atLeast"/>
        <w:jc w:val="center"/>
        <w:outlineLvl w:val="9"/>
        <w:rPr>
          <w:rFonts w:hint="eastAsia" w:ascii="宋体" w:hAnsi="宋体" w:eastAsia="宋体" w:cs="宋体"/>
          <w:sz w:val="24"/>
          <w:szCs w:val="24"/>
          <w:highlight w:val="none"/>
        </w:rPr>
      </w:pPr>
    </w:p>
    <w:p w14:paraId="40311344">
      <w:pPr>
        <w:widowControl/>
        <w:spacing w:before="100" w:beforeAutospacing="1" w:after="100" w:afterAutospacing="1" w:line="330" w:lineRule="atLeast"/>
        <w:jc w:val="center"/>
        <w:outlineLvl w:val="9"/>
        <w:rPr>
          <w:rFonts w:hint="eastAsia" w:ascii="宋体" w:hAnsi="宋体" w:eastAsia="宋体" w:cs="宋体"/>
          <w:sz w:val="24"/>
          <w:szCs w:val="24"/>
          <w:highlight w:val="none"/>
        </w:rPr>
      </w:pPr>
    </w:p>
    <w:p w14:paraId="42EB4A52">
      <w:pPr>
        <w:widowControl/>
        <w:spacing w:before="100" w:beforeAutospacing="1" w:after="100" w:afterAutospacing="1" w:line="330" w:lineRule="atLeast"/>
        <w:jc w:val="center"/>
        <w:outlineLvl w:val="9"/>
        <w:rPr>
          <w:rFonts w:hint="eastAsia" w:ascii="宋体" w:hAnsi="宋体" w:eastAsia="宋体" w:cs="宋体"/>
          <w:sz w:val="24"/>
          <w:szCs w:val="24"/>
          <w:highlight w:val="none"/>
        </w:rPr>
      </w:pPr>
    </w:p>
    <w:p w14:paraId="1B284A32">
      <w:pPr>
        <w:widowControl/>
        <w:spacing w:before="100" w:beforeAutospacing="1" w:after="100" w:afterAutospacing="1" w:line="330" w:lineRule="atLeast"/>
        <w:jc w:val="center"/>
        <w:outlineLvl w:val="2"/>
        <w:rPr>
          <w:rFonts w:hint="eastAsia" w:ascii="宋体" w:hAnsi="宋体" w:eastAsia="宋体" w:cs="宋体"/>
          <w:kern w:val="0"/>
          <w:sz w:val="32"/>
          <w:szCs w:val="40"/>
          <w:highlight w:val="none"/>
          <w:lang w:val="en-US" w:eastAsia="zh-CN"/>
        </w:rPr>
      </w:pPr>
      <w:bookmarkStart w:id="448" w:name="_Toc14958"/>
      <w:bookmarkStart w:id="449" w:name="_Toc14577"/>
      <w:r>
        <w:rPr>
          <w:rFonts w:hint="eastAsia" w:ascii="宋体" w:hAnsi="宋体" w:eastAsia="宋体" w:cs="宋体"/>
          <w:kern w:val="0"/>
          <w:sz w:val="30"/>
          <w:szCs w:val="30"/>
          <w:highlight w:val="none"/>
          <w:lang w:val="en-US" w:eastAsia="zh-CN"/>
        </w:rPr>
        <w:t>5</w:t>
      </w:r>
      <w:r>
        <w:rPr>
          <w:rFonts w:hint="eastAsia" w:ascii="宋体" w:hAnsi="宋体" w:eastAsia="宋体" w:cs="宋体"/>
          <w:kern w:val="0"/>
          <w:sz w:val="30"/>
          <w:szCs w:val="30"/>
          <w:highlight w:val="none"/>
        </w:rPr>
        <w:t>-2 残疾人福利性单位声明函</w:t>
      </w:r>
      <w:r>
        <w:rPr>
          <w:rFonts w:hint="eastAsia" w:ascii="宋体" w:hAnsi="宋体" w:eastAsia="宋体" w:cs="宋体"/>
          <w:kern w:val="0"/>
          <w:sz w:val="30"/>
          <w:szCs w:val="30"/>
          <w:highlight w:val="none"/>
          <w:lang w:eastAsia="zh-CN"/>
        </w:rPr>
        <w:t>（</w:t>
      </w:r>
      <w:r>
        <w:rPr>
          <w:rFonts w:hint="eastAsia" w:ascii="宋体" w:hAnsi="宋体" w:eastAsia="宋体" w:cs="宋体"/>
          <w:kern w:val="0"/>
          <w:sz w:val="30"/>
          <w:szCs w:val="30"/>
          <w:highlight w:val="none"/>
          <w:lang w:val="en-US" w:eastAsia="zh-CN"/>
        </w:rPr>
        <w:t>可选</w:t>
      </w:r>
      <w:r>
        <w:rPr>
          <w:rFonts w:hint="eastAsia" w:ascii="宋体" w:hAnsi="宋体" w:eastAsia="宋体" w:cs="宋体"/>
          <w:kern w:val="0"/>
          <w:sz w:val="30"/>
          <w:szCs w:val="30"/>
          <w:highlight w:val="none"/>
          <w:lang w:eastAsia="zh-CN"/>
        </w:rPr>
        <w:t>）</w:t>
      </w:r>
      <w:bookmarkEnd w:id="448"/>
      <w:bookmarkEnd w:id="449"/>
    </w:p>
    <w:p w14:paraId="704DBEB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outlineLvl w:val="9"/>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32"/>
          <w:highlight w:val="none"/>
          <w:u w:val="single"/>
          <w:lang w:val="en-US" w:eastAsia="zh-CN"/>
        </w:rPr>
        <w:t xml:space="preserve">    （采购人名称）   </w:t>
      </w:r>
      <w:r>
        <w:rPr>
          <w:rFonts w:hint="eastAsia" w:ascii="宋体" w:hAnsi="宋体" w:eastAsia="宋体" w:cs="宋体"/>
          <w:kern w:val="0"/>
          <w:sz w:val="24"/>
          <w:szCs w:val="32"/>
          <w:highlight w:val="none"/>
        </w:rPr>
        <w:t>单位的</w:t>
      </w:r>
      <w:r>
        <w:rPr>
          <w:rFonts w:hint="eastAsia" w:ascii="宋体" w:hAnsi="宋体" w:eastAsia="宋体" w:cs="宋体"/>
          <w:kern w:val="0"/>
          <w:sz w:val="24"/>
          <w:szCs w:val="32"/>
          <w:highlight w:val="none"/>
          <w:u w:val="single"/>
          <w:lang w:val="en-US" w:eastAsia="zh-CN"/>
        </w:rPr>
        <w:t xml:space="preserve">   （项目名称）  </w:t>
      </w:r>
      <w:r>
        <w:rPr>
          <w:rFonts w:hint="eastAsia" w:ascii="宋体" w:hAnsi="宋体" w:eastAsia="宋体" w:cs="宋体"/>
          <w:kern w:val="0"/>
          <w:sz w:val="24"/>
          <w:szCs w:val="32"/>
          <w:highlight w:val="none"/>
          <w:lang w:val="en-US" w:eastAsia="zh-CN"/>
        </w:rPr>
        <w:t xml:space="preserve"> </w:t>
      </w:r>
      <w:r>
        <w:rPr>
          <w:rFonts w:hint="eastAsia" w:ascii="宋体" w:hAnsi="宋体" w:eastAsia="宋体" w:cs="宋体"/>
          <w:kern w:val="0"/>
          <w:sz w:val="24"/>
          <w:szCs w:val="32"/>
          <w:highlight w:val="none"/>
        </w:rPr>
        <w:t>项目</w:t>
      </w:r>
      <w:r>
        <w:rPr>
          <w:rFonts w:hint="eastAsia" w:ascii="宋体" w:hAnsi="宋体" w:eastAsia="宋体" w:cs="宋体"/>
          <w:color w:val="auto"/>
          <w:spacing w:val="6"/>
          <w:sz w:val="24"/>
          <w:szCs w:val="24"/>
          <w:highlight w:val="none"/>
        </w:rPr>
        <w:t>采购活动</w:t>
      </w:r>
      <w:r>
        <w:rPr>
          <w:rFonts w:hint="eastAsia" w:ascii="宋体" w:hAnsi="宋体" w:eastAsia="宋体" w:cs="宋体"/>
          <w:color w:val="auto"/>
          <w:spacing w:val="6"/>
          <w:sz w:val="24"/>
          <w:szCs w:val="24"/>
          <w:highlight w:val="none"/>
          <w:lang w:val="en-US" w:eastAsia="zh-CN"/>
        </w:rPr>
        <w:t>提供本单位制造的货物</w:t>
      </w:r>
      <w:r>
        <w:rPr>
          <w:rFonts w:hint="eastAsia" w:ascii="宋体" w:hAnsi="宋体" w:eastAsia="宋体" w:cs="宋体"/>
          <w:color w:val="auto"/>
          <w:spacing w:val="6"/>
          <w:sz w:val="24"/>
          <w:szCs w:val="24"/>
          <w:highlight w:val="none"/>
        </w:rPr>
        <w:t>。</w:t>
      </w:r>
    </w:p>
    <w:p w14:paraId="7C45798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720" w:firstLineChars="300"/>
        <w:jc w:val="both"/>
        <w:textAlignment w:val="auto"/>
        <w:outlineLvl w:val="9"/>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本单位对上述声明的真实性负责。如有虚假，将依法承担相应责任。</w:t>
      </w:r>
    </w:p>
    <w:p w14:paraId="761F4626">
      <w:pPr>
        <w:widowControl/>
        <w:spacing w:before="100" w:beforeAutospacing="1" w:after="100" w:afterAutospacing="1" w:line="330" w:lineRule="atLeast"/>
        <w:ind w:firstLine="3120" w:firstLineChars="1300"/>
        <w:jc w:val="center"/>
        <w:outlineLvl w:val="9"/>
        <w:rPr>
          <w:rFonts w:hint="eastAsia" w:ascii="宋体" w:hAnsi="宋体" w:eastAsia="宋体" w:cs="宋体"/>
          <w:kern w:val="0"/>
          <w:sz w:val="24"/>
          <w:szCs w:val="32"/>
          <w:highlight w:val="none"/>
        </w:rPr>
      </w:pPr>
    </w:p>
    <w:p w14:paraId="48F7715C">
      <w:pPr>
        <w:widowControl/>
        <w:spacing w:before="100" w:beforeAutospacing="1" w:after="100" w:afterAutospacing="1" w:line="330" w:lineRule="atLeast"/>
        <w:ind w:firstLine="3120" w:firstLineChars="1300"/>
        <w:jc w:val="center"/>
        <w:outlineLvl w:val="9"/>
        <w:rPr>
          <w:rFonts w:hint="eastAsia" w:ascii="宋体" w:hAnsi="宋体" w:eastAsia="宋体" w:cs="宋体"/>
          <w:kern w:val="0"/>
          <w:sz w:val="24"/>
          <w:szCs w:val="32"/>
          <w:highlight w:val="none"/>
        </w:rPr>
      </w:pPr>
    </w:p>
    <w:p w14:paraId="5D5DCF15">
      <w:pPr>
        <w:widowControl/>
        <w:spacing w:before="100" w:beforeAutospacing="1" w:after="100" w:afterAutospacing="1" w:line="330" w:lineRule="atLeast"/>
        <w:ind w:firstLine="2640" w:firstLineChars="1100"/>
        <w:jc w:val="both"/>
        <w:outlineLvl w:val="9"/>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残疾人福利性单位名称（盖单位章</w:t>
      </w:r>
      <w:r>
        <w:rPr>
          <w:rFonts w:hint="eastAsia" w:ascii="宋体" w:hAnsi="宋体" w:eastAsia="宋体" w:cs="宋体"/>
          <w:kern w:val="0"/>
          <w:sz w:val="24"/>
          <w:szCs w:val="32"/>
          <w:highlight w:val="none"/>
          <w:lang w:eastAsia="zh-CN"/>
        </w:rPr>
        <w:t>）：</w:t>
      </w:r>
      <w:r>
        <w:rPr>
          <w:rFonts w:hint="eastAsia" w:ascii="宋体" w:hAnsi="宋体" w:eastAsia="宋体" w:cs="宋体"/>
          <w:kern w:val="0"/>
          <w:sz w:val="24"/>
          <w:szCs w:val="32"/>
          <w:highlight w:val="none"/>
        </w:rPr>
        <w:t>______________</w:t>
      </w:r>
    </w:p>
    <w:p w14:paraId="12A50310">
      <w:pPr>
        <w:widowControl/>
        <w:spacing w:before="100" w:beforeAutospacing="1" w:after="100" w:afterAutospacing="1" w:line="330" w:lineRule="atLeast"/>
        <w:ind w:firstLine="3120" w:firstLineChars="1300"/>
        <w:jc w:val="center"/>
        <w:outlineLvl w:val="9"/>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 xml:space="preserve">                 </w:t>
      </w:r>
    </w:p>
    <w:p w14:paraId="04C6D31B">
      <w:pPr>
        <w:widowControl/>
        <w:spacing w:before="100" w:beforeAutospacing="1" w:after="100" w:afterAutospacing="1" w:line="330" w:lineRule="atLeast"/>
        <w:ind w:firstLine="3120" w:firstLineChars="1300"/>
        <w:jc w:val="center"/>
        <w:outlineLvl w:val="9"/>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lang w:val="en-US" w:eastAsia="zh-CN"/>
        </w:rPr>
        <w:t xml:space="preserve">                  </w:t>
      </w:r>
      <w:r>
        <w:rPr>
          <w:rFonts w:hint="eastAsia" w:ascii="宋体" w:hAnsi="宋体" w:eastAsia="宋体" w:cs="宋体"/>
          <w:kern w:val="0"/>
          <w:sz w:val="24"/>
          <w:szCs w:val="32"/>
          <w:highlight w:val="none"/>
        </w:rPr>
        <w:t xml:space="preserve">日  期：__________________                   </w:t>
      </w:r>
    </w:p>
    <w:p w14:paraId="2B82E7F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02217D8">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1664B968">
      <w:pPr>
        <w:spacing w:line="360" w:lineRule="auto"/>
        <w:outlineLvl w:val="9"/>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3EAFFA2B">
      <w:pPr>
        <w:widowControl/>
        <w:spacing w:before="100" w:beforeAutospacing="1" w:after="100" w:afterAutospacing="1" w:line="330" w:lineRule="atLeast"/>
        <w:ind w:firstLine="420"/>
        <w:jc w:val="left"/>
        <w:outlineLvl w:val="9"/>
        <w:rPr>
          <w:rFonts w:hint="eastAsia" w:ascii="宋体" w:hAnsi="宋体" w:eastAsia="宋体" w:cs="宋体"/>
          <w:kern w:val="0"/>
          <w:highlight w:val="none"/>
        </w:rPr>
      </w:pPr>
    </w:p>
    <w:p w14:paraId="337AC1FC">
      <w:pPr>
        <w:spacing w:line="240" w:lineRule="atLeast"/>
        <w:ind w:left="1080" w:leftChars="257" w:hanging="540"/>
        <w:jc w:val="center"/>
        <w:outlineLvl w:val="9"/>
        <w:rPr>
          <w:rFonts w:hint="eastAsia" w:ascii="宋体" w:hAnsi="宋体" w:eastAsia="宋体" w:cs="宋体"/>
          <w:b/>
          <w:kern w:val="0"/>
          <w:szCs w:val="20"/>
          <w:highlight w:val="none"/>
        </w:rPr>
      </w:pPr>
      <w:r>
        <w:rPr>
          <w:rFonts w:hint="eastAsia" w:ascii="宋体" w:hAnsi="宋体" w:eastAsia="宋体" w:cs="宋体"/>
          <w:b/>
          <w:kern w:val="0"/>
          <w:szCs w:val="20"/>
          <w:highlight w:val="none"/>
        </w:rPr>
        <w:t>　</w:t>
      </w:r>
    </w:p>
    <w:p w14:paraId="4CAF6198">
      <w:pPr>
        <w:pStyle w:val="33"/>
        <w:outlineLvl w:val="9"/>
        <w:rPr>
          <w:rFonts w:hint="eastAsia" w:ascii="宋体" w:hAnsi="宋体" w:eastAsia="宋体" w:cs="宋体"/>
          <w:b/>
          <w:szCs w:val="20"/>
          <w:highlight w:val="none"/>
        </w:rPr>
      </w:pPr>
      <w:r>
        <w:rPr>
          <w:rFonts w:hint="eastAsia" w:ascii="宋体" w:hAnsi="宋体" w:eastAsia="宋体" w:cs="宋体"/>
          <w:b w:val="0"/>
          <w:highlight w:val="none"/>
        </w:rPr>
        <w:br w:type="page"/>
      </w:r>
    </w:p>
    <w:p w14:paraId="0187DB7F">
      <w:pPr>
        <w:pStyle w:val="33"/>
        <w:ind w:firstLine="2400" w:firstLineChars="800"/>
        <w:outlineLvl w:val="2"/>
        <w:rPr>
          <w:rFonts w:hint="eastAsia" w:ascii="宋体" w:hAnsi="宋体" w:eastAsia="宋体" w:cs="宋体"/>
          <w:color w:val="auto"/>
          <w:kern w:val="0"/>
          <w:sz w:val="32"/>
          <w:szCs w:val="40"/>
          <w:highlight w:val="none"/>
          <w:lang w:val="en-US" w:eastAsia="zh-CN" w:bidi="ar-SA"/>
        </w:rPr>
      </w:pPr>
      <w:bookmarkStart w:id="450" w:name="_Toc10480"/>
      <w:bookmarkStart w:id="451" w:name="_Toc10484"/>
      <w:r>
        <w:rPr>
          <w:rFonts w:hint="eastAsia" w:hAnsi="宋体" w:cs="宋体"/>
          <w:color w:val="auto"/>
          <w:kern w:val="0"/>
          <w:sz w:val="30"/>
          <w:szCs w:val="30"/>
          <w:highlight w:val="none"/>
          <w:lang w:val="en-US" w:eastAsia="zh-CN" w:bidi="ar-SA"/>
        </w:rPr>
        <w:t>5</w:t>
      </w:r>
      <w:r>
        <w:rPr>
          <w:rFonts w:hint="eastAsia" w:ascii="宋体" w:hAnsi="宋体" w:eastAsia="宋体" w:cs="宋体"/>
          <w:color w:val="auto"/>
          <w:kern w:val="0"/>
          <w:sz w:val="30"/>
          <w:szCs w:val="30"/>
          <w:highlight w:val="none"/>
          <w:lang w:val="en-US" w:eastAsia="zh-CN" w:bidi="ar-SA"/>
        </w:rPr>
        <w:t>-3 监狱企业证明</w:t>
      </w:r>
      <w:r>
        <w:rPr>
          <w:rFonts w:hint="eastAsia" w:hAnsi="宋体" w:cs="宋体"/>
          <w:color w:val="auto"/>
          <w:kern w:val="0"/>
          <w:sz w:val="30"/>
          <w:szCs w:val="30"/>
          <w:highlight w:val="none"/>
          <w:lang w:val="en-US" w:eastAsia="zh-CN" w:bidi="ar-SA"/>
        </w:rPr>
        <w:t>（可选）</w:t>
      </w:r>
      <w:bookmarkEnd w:id="450"/>
      <w:bookmarkEnd w:id="451"/>
      <w:r>
        <w:rPr>
          <w:rFonts w:hint="eastAsia" w:hAnsi="宋体" w:cs="宋体"/>
          <w:color w:val="auto"/>
          <w:kern w:val="0"/>
          <w:sz w:val="32"/>
          <w:szCs w:val="40"/>
          <w:highlight w:val="none"/>
          <w:lang w:val="en-US" w:eastAsia="zh-CN" w:bidi="ar-SA"/>
        </w:rPr>
        <w:t xml:space="preserve"> </w:t>
      </w:r>
    </w:p>
    <w:p w14:paraId="64956953">
      <w:pPr>
        <w:pStyle w:val="33"/>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val="0"/>
          <w:bCs/>
          <w:szCs w:val="20"/>
          <w:highlight w:val="none"/>
        </w:rPr>
      </w:pPr>
      <w:r>
        <w:rPr>
          <w:rFonts w:hint="eastAsia" w:ascii="宋体" w:hAnsi="宋体" w:eastAsia="宋体" w:cs="宋体"/>
          <w:b w:val="0"/>
          <w:bCs/>
          <w:szCs w:val="20"/>
          <w:highlight w:val="none"/>
        </w:rPr>
        <w:t>注：</w:t>
      </w:r>
    </w:p>
    <w:p w14:paraId="7661F102">
      <w:pPr>
        <w:pStyle w:val="33"/>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val="0"/>
          <w:bCs/>
          <w:szCs w:val="20"/>
          <w:highlight w:val="none"/>
        </w:rPr>
      </w:pPr>
      <w:r>
        <w:rPr>
          <w:rFonts w:hint="eastAsia" w:ascii="宋体" w:hAnsi="宋体" w:eastAsia="宋体" w:cs="宋体"/>
          <w:b w:val="0"/>
          <w:bCs/>
          <w:szCs w:val="20"/>
          <w:highlight w:val="none"/>
        </w:rPr>
        <w:t>1.监狱企业参加政府采购活动时，应当提供由省级以上监狱管理局、戒毒管理局（含新疆生产建设兵团）出具的属于监狱企业的证明文件，并加盖单位公章。</w:t>
      </w:r>
    </w:p>
    <w:p w14:paraId="060371E9">
      <w:pPr>
        <w:pStyle w:val="33"/>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cs="宋体"/>
          <w:b w:val="0"/>
          <w:bCs/>
          <w:szCs w:val="20"/>
          <w:highlight w:val="none"/>
        </w:rPr>
      </w:pPr>
      <w:r>
        <w:rPr>
          <w:rFonts w:hint="eastAsia" w:ascii="宋体" w:hAnsi="宋体" w:eastAsia="宋体" w:cs="宋体"/>
          <w:b w:val="0"/>
          <w:bCs/>
          <w:szCs w:val="20"/>
          <w:highlight w:val="none"/>
        </w:rPr>
        <w:t>2.监狱企业视同小型、微型企业，享受预留份额、评审中价格扣除等政府采购促进中小企业发展的政府采购政策。监狱企业属于小型、微型企业的，不重复享受政策。</w:t>
      </w:r>
    </w:p>
    <w:p w14:paraId="32ED1B9E">
      <w:pPr>
        <w:bidi w:val="0"/>
        <w:outlineLvl w:val="9"/>
        <w:rPr>
          <w:rFonts w:hint="eastAsia"/>
        </w:rPr>
      </w:pPr>
    </w:p>
    <w:p w14:paraId="3AB7E625">
      <w:pPr>
        <w:pStyle w:val="29"/>
        <w:outlineLvl w:val="9"/>
        <w:rPr>
          <w:rFonts w:hint="eastAsia"/>
        </w:rPr>
      </w:pPr>
    </w:p>
    <w:p w14:paraId="75EC4F99">
      <w:pPr>
        <w:pStyle w:val="29"/>
        <w:outlineLvl w:val="9"/>
        <w:rPr>
          <w:rFonts w:hint="eastAsia"/>
        </w:rPr>
      </w:pPr>
    </w:p>
    <w:p w14:paraId="5FBC243A">
      <w:pPr>
        <w:pStyle w:val="29"/>
        <w:outlineLvl w:val="9"/>
        <w:rPr>
          <w:rFonts w:hint="eastAsia"/>
        </w:rPr>
      </w:pPr>
    </w:p>
    <w:p w14:paraId="243556E4">
      <w:pPr>
        <w:pStyle w:val="29"/>
        <w:outlineLvl w:val="9"/>
        <w:rPr>
          <w:rFonts w:hint="eastAsia"/>
        </w:rPr>
      </w:pPr>
    </w:p>
    <w:p w14:paraId="519F508C">
      <w:pPr>
        <w:pStyle w:val="29"/>
        <w:outlineLvl w:val="9"/>
        <w:rPr>
          <w:rFonts w:hint="eastAsia"/>
        </w:rPr>
      </w:pPr>
    </w:p>
    <w:p w14:paraId="18C34811">
      <w:pPr>
        <w:pStyle w:val="29"/>
        <w:outlineLvl w:val="9"/>
        <w:rPr>
          <w:rFonts w:hint="eastAsia"/>
        </w:rPr>
      </w:pPr>
    </w:p>
    <w:p w14:paraId="1D296963">
      <w:pPr>
        <w:pStyle w:val="29"/>
        <w:outlineLvl w:val="9"/>
        <w:rPr>
          <w:rFonts w:hint="eastAsia"/>
        </w:rPr>
      </w:pPr>
    </w:p>
    <w:p w14:paraId="08F75554">
      <w:pPr>
        <w:pStyle w:val="29"/>
        <w:outlineLvl w:val="9"/>
        <w:rPr>
          <w:rFonts w:hint="eastAsia"/>
        </w:rPr>
      </w:pPr>
    </w:p>
    <w:p w14:paraId="3D246534">
      <w:pPr>
        <w:pStyle w:val="29"/>
        <w:outlineLvl w:val="9"/>
        <w:rPr>
          <w:rFonts w:hint="eastAsia"/>
        </w:rPr>
      </w:pPr>
    </w:p>
    <w:p w14:paraId="1F106862">
      <w:pPr>
        <w:pStyle w:val="29"/>
        <w:outlineLvl w:val="9"/>
        <w:rPr>
          <w:rFonts w:hint="eastAsia"/>
        </w:rPr>
      </w:pPr>
    </w:p>
    <w:p w14:paraId="7302598A">
      <w:pPr>
        <w:pStyle w:val="29"/>
        <w:outlineLvl w:val="9"/>
        <w:rPr>
          <w:rFonts w:hint="eastAsia"/>
        </w:rPr>
      </w:pPr>
    </w:p>
    <w:p w14:paraId="1177A55D">
      <w:pPr>
        <w:pStyle w:val="29"/>
        <w:outlineLvl w:val="9"/>
        <w:rPr>
          <w:rFonts w:hint="eastAsia"/>
        </w:rPr>
      </w:pPr>
    </w:p>
    <w:p w14:paraId="45EE1F7C">
      <w:pPr>
        <w:pStyle w:val="29"/>
        <w:outlineLvl w:val="9"/>
        <w:rPr>
          <w:rFonts w:hint="eastAsia"/>
        </w:rPr>
      </w:pPr>
    </w:p>
    <w:p w14:paraId="598701C1">
      <w:pPr>
        <w:pStyle w:val="29"/>
        <w:outlineLvl w:val="9"/>
        <w:rPr>
          <w:rFonts w:hint="eastAsia"/>
        </w:rPr>
      </w:pPr>
    </w:p>
    <w:p w14:paraId="217C9890">
      <w:pPr>
        <w:pStyle w:val="29"/>
        <w:outlineLvl w:val="9"/>
        <w:rPr>
          <w:rFonts w:hint="eastAsia"/>
        </w:rPr>
      </w:pPr>
    </w:p>
    <w:p w14:paraId="63D7292A">
      <w:pPr>
        <w:pStyle w:val="29"/>
        <w:outlineLvl w:val="9"/>
        <w:rPr>
          <w:rFonts w:hint="eastAsia"/>
        </w:rPr>
      </w:pPr>
    </w:p>
    <w:p w14:paraId="6F327A17">
      <w:pPr>
        <w:pStyle w:val="29"/>
        <w:outlineLvl w:val="9"/>
        <w:rPr>
          <w:rFonts w:hint="eastAsia"/>
        </w:rPr>
      </w:pPr>
    </w:p>
    <w:p w14:paraId="1F6125C0">
      <w:pPr>
        <w:pStyle w:val="29"/>
        <w:outlineLvl w:val="9"/>
        <w:rPr>
          <w:rFonts w:hint="eastAsia"/>
        </w:rPr>
      </w:pPr>
    </w:p>
    <w:p w14:paraId="52676255">
      <w:pPr>
        <w:pStyle w:val="29"/>
        <w:outlineLvl w:val="9"/>
        <w:rPr>
          <w:rFonts w:hint="eastAsia"/>
        </w:rPr>
      </w:pPr>
    </w:p>
    <w:p w14:paraId="2E69644C">
      <w:pPr>
        <w:pStyle w:val="29"/>
        <w:outlineLvl w:val="9"/>
        <w:rPr>
          <w:rFonts w:hint="eastAsia"/>
        </w:rPr>
      </w:pPr>
    </w:p>
    <w:p w14:paraId="7EA7F6D3">
      <w:pPr>
        <w:pStyle w:val="29"/>
        <w:outlineLvl w:val="9"/>
        <w:rPr>
          <w:rFonts w:hint="eastAsia"/>
        </w:rPr>
      </w:pPr>
    </w:p>
    <w:p w14:paraId="128DBA6C">
      <w:pPr>
        <w:pStyle w:val="29"/>
        <w:outlineLvl w:val="9"/>
        <w:rPr>
          <w:rFonts w:hint="eastAsia"/>
        </w:rPr>
      </w:pPr>
    </w:p>
    <w:p w14:paraId="3DE44C9F">
      <w:pPr>
        <w:pStyle w:val="29"/>
        <w:outlineLvl w:val="9"/>
        <w:rPr>
          <w:rFonts w:hint="eastAsia"/>
        </w:rPr>
      </w:pPr>
    </w:p>
    <w:p w14:paraId="1949BE21">
      <w:pPr>
        <w:pStyle w:val="29"/>
        <w:outlineLvl w:val="9"/>
        <w:rPr>
          <w:rFonts w:hint="eastAsia"/>
        </w:rPr>
      </w:pPr>
    </w:p>
    <w:p w14:paraId="284853F0">
      <w:pPr>
        <w:pStyle w:val="29"/>
        <w:outlineLvl w:val="9"/>
        <w:rPr>
          <w:rFonts w:hint="eastAsia"/>
        </w:rPr>
      </w:pPr>
    </w:p>
    <w:p w14:paraId="4E2F6C65">
      <w:pPr>
        <w:pStyle w:val="29"/>
        <w:outlineLvl w:val="9"/>
        <w:rPr>
          <w:rFonts w:hint="eastAsia"/>
        </w:rPr>
      </w:pPr>
    </w:p>
    <w:p w14:paraId="3262C659">
      <w:pPr>
        <w:pStyle w:val="29"/>
        <w:outlineLvl w:val="9"/>
        <w:rPr>
          <w:rFonts w:hint="eastAsia"/>
        </w:rPr>
      </w:pPr>
    </w:p>
    <w:p w14:paraId="449F6A27">
      <w:pPr>
        <w:pStyle w:val="29"/>
        <w:outlineLvl w:val="9"/>
        <w:rPr>
          <w:rFonts w:hint="eastAsia"/>
        </w:rPr>
      </w:pPr>
    </w:p>
    <w:p w14:paraId="797B6B76">
      <w:pPr>
        <w:pStyle w:val="29"/>
        <w:outlineLvl w:val="9"/>
        <w:rPr>
          <w:rFonts w:hint="eastAsia"/>
        </w:rPr>
      </w:pPr>
    </w:p>
    <w:p w14:paraId="7B966101">
      <w:pPr>
        <w:pStyle w:val="29"/>
        <w:outlineLvl w:val="9"/>
        <w:rPr>
          <w:rFonts w:hint="eastAsia"/>
        </w:rPr>
      </w:pPr>
    </w:p>
    <w:p w14:paraId="2A3D5B96">
      <w:pPr>
        <w:pStyle w:val="29"/>
        <w:outlineLvl w:val="9"/>
        <w:rPr>
          <w:rFonts w:hint="eastAsia"/>
        </w:rPr>
      </w:pPr>
    </w:p>
    <w:p w14:paraId="0C1B9942">
      <w:pPr>
        <w:pStyle w:val="29"/>
        <w:outlineLvl w:val="9"/>
        <w:rPr>
          <w:rFonts w:hint="eastAsia"/>
        </w:rPr>
      </w:pPr>
    </w:p>
    <w:p w14:paraId="51A2EB33">
      <w:pPr>
        <w:pStyle w:val="29"/>
        <w:outlineLvl w:val="9"/>
        <w:rPr>
          <w:rFonts w:hint="eastAsia"/>
        </w:rPr>
      </w:pPr>
    </w:p>
    <w:p w14:paraId="30E3B245">
      <w:pPr>
        <w:pStyle w:val="29"/>
        <w:outlineLvl w:val="9"/>
        <w:rPr>
          <w:rFonts w:hint="eastAsia"/>
        </w:rPr>
      </w:pPr>
    </w:p>
    <w:p w14:paraId="26ACB206">
      <w:pPr>
        <w:pStyle w:val="29"/>
        <w:outlineLvl w:val="9"/>
        <w:rPr>
          <w:rFonts w:hint="eastAsia"/>
        </w:rPr>
      </w:pPr>
    </w:p>
    <w:p w14:paraId="154915FF">
      <w:pPr>
        <w:pStyle w:val="29"/>
        <w:outlineLvl w:val="9"/>
        <w:rPr>
          <w:rFonts w:hint="eastAsia"/>
        </w:rPr>
      </w:pPr>
    </w:p>
    <w:p w14:paraId="0855E3A5">
      <w:pPr>
        <w:pStyle w:val="29"/>
        <w:outlineLvl w:val="9"/>
        <w:rPr>
          <w:rFonts w:hint="eastAsia"/>
        </w:rPr>
      </w:pPr>
    </w:p>
    <w:p w14:paraId="00B54B77">
      <w:pPr>
        <w:pStyle w:val="29"/>
        <w:outlineLvl w:val="9"/>
        <w:rPr>
          <w:rFonts w:hint="eastAsia"/>
        </w:rPr>
      </w:pPr>
    </w:p>
    <w:p w14:paraId="3B01F5F3">
      <w:pPr>
        <w:pStyle w:val="29"/>
        <w:outlineLvl w:val="9"/>
        <w:rPr>
          <w:rFonts w:hint="eastAsia"/>
        </w:rPr>
      </w:pPr>
    </w:p>
    <w:p w14:paraId="5778035A">
      <w:pPr>
        <w:pStyle w:val="2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sz w:val="30"/>
          <w:szCs w:val="30"/>
          <w:lang w:val="en-US" w:eastAsia="zh-CN"/>
        </w:rPr>
      </w:pPr>
    </w:p>
    <w:p w14:paraId="1258F7EA">
      <w:pPr>
        <w:pStyle w:val="21"/>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2"/>
        <w:rPr>
          <w:rFonts w:hint="default" w:ascii="宋体" w:hAnsi="宋体" w:eastAsia="宋体" w:cs="宋体"/>
          <w:sz w:val="30"/>
          <w:szCs w:val="30"/>
          <w:highlight w:val="none"/>
          <w:u w:val="none"/>
          <w:lang w:val="en-US" w:eastAsia="zh-CN"/>
        </w:rPr>
      </w:pPr>
      <w:bookmarkStart w:id="452" w:name="_Toc15177"/>
      <w:bookmarkStart w:id="453" w:name="_Toc7498"/>
      <w:r>
        <w:rPr>
          <w:rFonts w:hint="eastAsia" w:ascii="宋体" w:hAnsi="宋体" w:eastAsia="宋体" w:cs="宋体"/>
          <w:sz w:val="30"/>
          <w:szCs w:val="30"/>
          <w:lang w:val="en-US" w:eastAsia="zh-CN"/>
        </w:rPr>
        <w:t>6</w:t>
      </w:r>
      <w:r>
        <w:rPr>
          <w:rFonts w:ascii="宋体" w:hAnsi="宋体" w:eastAsia="宋体" w:cs="宋体"/>
          <w:sz w:val="30"/>
          <w:szCs w:val="30"/>
        </w:rPr>
        <w:t>、</w:t>
      </w:r>
      <w:r>
        <w:rPr>
          <w:rFonts w:hint="eastAsia" w:ascii="宋体" w:hAnsi="宋体" w:eastAsia="宋体" w:cs="宋体"/>
          <w:sz w:val="30"/>
          <w:szCs w:val="30"/>
        </w:rPr>
        <w:t>投标人关联单位的说明</w:t>
      </w:r>
      <w:r>
        <w:rPr>
          <w:rFonts w:hint="eastAsia" w:ascii="宋体" w:hAnsi="宋体" w:eastAsia="宋体" w:cs="宋体"/>
          <w:sz w:val="30"/>
          <w:szCs w:val="30"/>
          <w:lang w:val="en-US" w:eastAsia="zh-CN"/>
        </w:rPr>
        <w:t>(格式自拟)</w:t>
      </w:r>
      <w:bookmarkEnd w:id="452"/>
      <w:bookmarkEnd w:id="453"/>
    </w:p>
    <w:p w14:paraId="0AFFC3E7">
      <w:pPr>
        <w:pStyle w:val="14"/>
        <w:tabs>
          <w:tab w:val="left" w:pos="5580"/>
        </w:tabs>
        <w:spacing w:line="240" w:lineRule="atLeast"/>
        <w:ind w:left="1080" w:leftChars="257" w:hanging="540"/>
        <w:outlineLvl w:val="9"/>
        <w:rPr>
          <w:rFonts w:hint="default" w:ascii="Times New Roman" w:hAnsi="Times New Roman" w:eastAsia="宋体" w:cs="Times New Roman"/>
          <w:sz w:val="24"/>
          <w:u w:val="single"/>
        </w:rPr>
      </w:pPr>
    </w:p>
    <w:p w14:paraId="4D12DF27">
      <w:pPr>
        <w:pStyle w:val="14"/>
        <w:tabs>
          <w:tab w:val="left" w:pos="5580"/>
        </w:tabs>
        <w:spacing w:line="240" w:lineRule="atLeast"/>
        <w:ind w:left="1080" w:leftChars="257" w:hanging="540"/>
        <w:outlineLvl w:val="9"/>
        <w:rPr>
          <w:rFonts w:hint="default" w:ascii="Times New Roman" w:hAnsi="Times New Roman" w:eastAsia="宋体" w:cs="Times New Roman"/>
          <w:sz w:val="24"/>
          <w:u w:val="single"/>
        </w:rPr>
      </w:pPr>
    </w:p>
    <w:p w14:paraId="521CC75F">
      <w:pPr>
        <w:bidi w:val="0"/>
        <w:outlineLvl w:val="9"/>
        <w:rPr>
          <w:rFonts w:hint="eastAsia" w:ascii="宋体" w:hAnsi="宋体" w:eastAsia="宋体" w:cs="宋体"/>
          <w:sz w:val="24"/>
          <w:szCs w:val="32"/>
          <w:lang w:val="en-US" w:eastAsia="zh-CN"/>
        </w:rPr>
      </w:pPr>
      <w:bookmarkStart w:id="454" w:name="_Toc27745"/>
      <w:bookmarkStart w:id="455" w:name="_Toc30445"/>
      <w:bookmarkStart w:id="456" w:name="_Toc18109"/>
      <w:bookmarkStart w:id="457" w:name="_Toc23020"/>
    </w:p>
    <w:p w14:paraId="73825102">
      <w:pPr>
        <w:bidi w:val="0"/>
        <w:outlineLvl w:val="9"/>
        <w:rPr>
          <w:rFonts w:hint="eastAsia" w:ascii="宋体" w:hAnsi="宋体" w:eastAsia="宋体" w:cs="宋体"/>
          <w:sz w:val="24"/>
          <w:szCs w:val="32"/>
          <w:lang w:val="en-US" w:eastAsia="zh-CN"/>
        </w:rPr>
      </w:pPr>
    </w:p>
    <w:p w14:paraId="42D334C1">
      <w:pPr>
        <w:bidi w:val="0"/>
        <w:outlineLvl w:val="9"/>
        <w:rPr>
          <w:rFonts w:hint="eastAsia" w:ascii="宋体" w:hAnsi="宋体" w:eastAsia="宋体" w:cs="宋体"/>
          <w:kern w:val="2"/>
          <w:sz w:val="32"/>
          <w:szCs w:val="32"/>
          <w:lang w:val="en-US" w:eastAsia="zh-CN" w:bidi="ar-SA"/>
        </w:rPr>
      </w:pPr>
    </w:p>
    <w:p w14:paraId="3F6E258F">
      <w:pPr>
        <w:bidi w:val="0"/>
        <w:outlineLvl w:val="9"/>
        <w:rPr>
          <w:rFonts w:hint="eastAsia" w:ascii="宋体" w:hAnsi="宋体" w:eastAsia="宋体" w:cs="宋体"/>
          <w:kern w:val="2"/>
          <w:sz w:val="32"/>
          <w:szCs w:val="32"/>
          <w:lang w:val="en-US" w:eastAsia="zh-CN" w:bidi="ar-SA"/>
        </w:rPr>
      </w:pPr>
    </w:p>
    <w:p w14:paraId="006D1987">
      <w:pPr>
        <w:bidi w:val="0"/>
        <w:outlineLvl w:val="9"/>
        <w:rPr>
          <w:rFonts w:hint="eastAsia" w:ascii="宋体" w:hAnsi="宋体" w:eastAsia="宋体" w:cs="宋体"/>
          <w:kern w:val="2"/>
          <w:sz w:val="32"/>
          <w:szCs w:val="32"/>
          <w:lang w:val="en-US" w:eastAsia="zh-CN" w:bidi="ar-SA"/>
        </w:rPr>
      </w:pPr>
    </w:p>
    <w:p w14:paraId="03AF58C0">
      <w:pPr>
        <w:bidi w:val="0"/>
        <w:outlineLvl w:val="9"/>
        <w:rPr>
          <w:rFonts w:hint="eastAsia" w:ascii="宋体" w:hAnsi="宋体" w:eastAsia="宋体" w:cs="宋体"/>
          <w:kern w:val="2"/>
          <w:sz w:val="32"/>
          <w:szCs w:val="32"/>
          <w:lang w:val="en-US" w:eastAsia="zh-CN" w:bidi="ar-SA"/>
        </w:rPr>
      </w:pPr>
    </w:p>
    <w:p w14:paraId="3071A76C">
      <w:pPr>
        <w:bidi w:val="0"/>
        <w:outlineLvl w:val="9"/>
        <w:rPr>
          <w:rFonts w:hint="eastAsia" w:ascii="宋体" w:hAnsi="宋体" w:eastAsia="宋体" w:cs="宋体"/>
          <w:kern w:val="2"/>
          <w:sz w:val="32"/>
          <w:szCs w:val="32"/>
          <w:lang w:val="en-US" w:eastAsia="zh-CN" w:bidi="ar-SA"/>
        </w:rPr>
      </w:pPr>
    </w:p>
    <w:p w14:paraId="335A4429">
      <w:pPr>
        <w:bidi w:val="0"/>
        <w:outlineLvl w:val="9"/>
        <w:rPr>
          <w:rFonts w:hint="eastAsia" w:ascii="宋体" w:hAnsi="宋体" w:eastAsia="宋体" w:cs="宋体"/>
          <w:kern w:val="2"/>
          <w:sz w:val="32"/>
          <w:szCs w:val="32"/>
          <w:lang w:val="en-US" w:eastAsia="zh-CN" w:bidi="ar-SA"/>
        </w:rPr>
      </w:pPr>
    </w:p>
    <w:p w14:paraId="66015D5A">
      <w:pPr>
        <w:bidi w:val="0"/>
        <w:outlineLvl w:val="9"/>
        <w:rPr>
          <w:rFonts w:hint="eastAsia" w:ascii="宋体" w:hAnsi="宋体" w:eastAsia="宋体" w:cs="宋体"/>
          <w:kern w:val="2"/>
          <w:sz w:val="32"/>
          <w:szCs w:val="32"/>
          <w:lang w:val="en-US" w:eastAsia="zh-CN" w:bidi="ar-SA"/>
        </w:rPr>
      </w:pPr>
    </w:p>
    <w:p w14:paraId="02D832B0">
      <w:pPr>
        <w:bidi w:val="0"/>
        <w:outlineLvl w:val="9"/>
        <w:rPr>
          <w:rFonts w:hint="eastAsia" w:ascii="宋体" w:hAnsi="宋体" w:eastAsia="宋体" w:cs="宋体"/>
          <w:kern w:val="2"/>
          <w:sz w:val="32"/>
          <w:szCs w:val="32"/>
          <w:lang w:val="en-US" w:eastAsia="zh-CN" w:bidi="ar-SA"/>
        </w:rPr>
      </w:pPr>
    </w:p>
    <w:p w14:paraId="08D314B8">
      <w:pPr>
        <w:bidi w:val="0"/>
        <w:outlineLvl w:val="9"/>
        <w:rPr>
          <w:rFonts w:hint="eastAsia" w:ascii="宋体" w:hAnsi="宋体" w:eastAsia="宋体" w:cs="宋体"/>
          <w:kern w:val="2"/>
          <w:sz w:val="32"/>
          <w:szCs w:val="32"/>
          <w:lang w:val="en-US" w:eastAsia="zh-CN" w:bidi="ar-SA"/>
        </w:rPr>
      </w:pPr>
    </w:p>
    <w:p w14:paraId="50C31EE9">
      <w:pPr>
        <w:bidi w:val="0"/>
        <w:outlineLvl w:val="9"/>
        <w:rPr>
          <w:rFonts w:hint="eastAsia" w:ascii="宋体" w:hAnsi="宋体" w:eastAsia="宋体" w:cs="宋体"/>
          <w:kern w:val="2"/>
          <w:sz w:val="32"/>
          <w:szCs w:val="32"/>
          <w:lang w:val="en-US" w:eastAsia="zh-CN" w:bidi="ar-SA"/>
        </w:rPr>
      </w:pPr>
    </w:p>
    <w:p w14:paraId="44CDE487">
      <w:pPr>
        <w:bidi w:val="0"/>
        <w:outlineLvl w:val="9"/>
        <w:rPr>
          <w:rFonts w:hint="eastAsia" w:ascii="宋体" w:hAnsi="宋体" w:eastAsia="宋体" w:cs="宋体"/>
          <w:kern w:val="2"/>
          <w:sz w:val="32"/>
          <w:szCs w:val="32"/>
          <w:lang w:val="en-US" w:eastAsia="zh-CN" w:bidi="ar-SA"/>
        </w:rPr>
      </w:pPr>
    </w:p>
    <w:p w14:paraId="41E19488">
      <w:pPr>
        <w:bidi w:val="0"/>
        <w:outlineLvl w:val="9"/>
        <w:rPr>
          <w:rFonts w:hint="eastAsia" w:ascii="宋体" w:hAnsi="宋体" w:eastAsia="宋体" w:cs="宋体"/>
          <w:kern w:val="2"/>
          <w:sz w:val="32"/>
          <w:szCs w:val="32"/>
          <w:lang w:val="en-US" w:eastAsia="zh-CN" w:bidi="ar-SA"/>
        </w:rPr>
      </w:pPr>
    </w:p>
    <w:p w14:paraId="0773CF90">
      <w:pPr>
        <w:pStyle w:val="29"/>
        <w:outlineLvl w:val="9"/>
        <w:rPr>
          <w:rFonts w:hint="eastAsia" w:ascii="宋体" w:hAnsi="宋体" w:eastAsia="宋体" w:cs="宋体"/>
          <w:kern w:val="2"/>
          <w:sz w:val="32"/>
          <w:szCs w:val="32"/>
          <w:lang w:val="en-US" w:eastAsia="zh-CN" w:bidi="ar-SA"/>
        </w:rPr>
      </w:pPr>
    </w:p>
    <w:p w14:paraId="406F8BD6">
      <w:pPr>
        <w:pStyle w:val="29"/>
        <w:outlineLvl w:val="9"/>
        <w:rPr>
          <w:rFonts w:hint="eastAsia" w:ascii="宋体" w:hAnsi="宋体" w:eastAsia="宋体" w:cs="宋体"/>
          <w:kern w:val="2"/>
          <w:sz w:val="32"/>
          <w:szCs w:val="32"/>
          <w:lang w:val="en-US" w:eastAsia="zh-CN" w:bidi="ar-SA"/>
        </w:rPr>
      </w:pPr>
    </w:p>
    <w:p w14:paraId="401B9D03">
      <w:pPr>
        <w:pStyle w:val="29"/>
        <w:outlineLvl w:val="9"/>
        <w:rPr>
          <w:rFonts w:hint="eastAsia" w:ascii="宋体" w:hAnsi="宋体" w:eastAsia="宋体" w:cs="宋体"/>
          <w:kern w:val="2"/>
          <w:sz w:val="32"/>
          <w:szCs w:val="32"/>
          <w:lang w:val="en-US" w:eastAsia="zh-CN" w:bidi="ar-SA"/>
        </w:rPr>
      </w:pPr>
    </w:p>
    <w:p w14:paraId="1EB25A00">
      <w:pPr>
        <w:pStyle w:val="29"/>
        <w:outlineLvl w:val="9"/>
        <w:rPr>
          <w:rFonts w:hint="eastAsia" w:ascii="宋体" w:hAnsi="宋体" w:eastAsia="宋体" w:cs="宋体"/>
          <w:kern w:val="2"/>
          <w:sz w:val="32"/>
          <w:szCs w:val="32"/>
          <w:lang w:val="en-US" w:eastAsia="zh-CN" w:bidi="ar-SA"/>
        </w:rPr>
      </w:pPr>
    </w:p>
    <w:p w14:paraId="240EF420">
      <w:pPr>
        <w:pStyle w:val="29"/>
        <w:outlineLvl w:val="9"/>
        <w:rPr>
          <w:rFonts w:hint="eastAsia" w:ascii="宋体" w:hAnsi="宋体" w:eastAsia="宋体" w:cs="宋体"/>
          <w:kern w:val="2"/>
          <w:sz w:val="32"/>
          <w:szCs w:val="32"/>
          <w:lang w:val="en-US" w:eastAsia="zh-CN" w:bidi="ar-SA"/>
        </w:rPr>
      </w:pPr>
    </w:p>
    <w:p w14:paraId="7280BECF">
      <w:pPr>
        <w:pStyle w:val="29"/>
        <w:outlineLvl w:val="9"/>
        <w:rPr>
          <w:rFonts w:hint="eastAsia" w:ascii="宋体" w:hAnsi="宋体" w:eastAsia="宋体" w:cs="宋体"/>
          <w:kern w:val="2"/>
          <w:sz w:val="32"/>
          <w:szCs w:val="32"/>
          <w:lang w:val="en-US" w:eastAsia="zh-CN" w:bidi="ar-SA"/>
        </w:rPr>
      </w:pPr>
    </w:p>
    <w:p w14:paraId="5796C345">
      <w:pPr>
        <w:pStyle w:val="29"/>
        <w:outlineLvl w:val="9"/>
        <w:rPr>
          <w:rFonts w:hint="eastAsia" w:ascii="宋体" w:hAnsi="宋体" w:eastAsia="宋体" w:cs="宋体"/>
          <w:kern w:val="2"/>
          <w:sz w:val="32"/>
          <w:szCs w:val="32"/>
          <w:lang w:val="en-US" w:eastAsia="zh-CN" w:bidi="ar-SA"/>
        </w:rPr>
      </w:pPr>
    </w:p>
    <w:p w14:paraId="0117FD8E">
      <w:pPr>
        <w:bidi w:val="0"/>
        <w:outlineLvl w:val="9"/>
        <w:rPr>
          <w:rFonts w:hint="eastAsia" w:ascii="宋体" w:hAnsi="宋体" w:eastAsia="宋体" w:cs="宋体"/>
          <w:kern w:val="2"/>
          <w:sz w:val="32"/>
          <w:szCs w:val="32"/>
          <w:lang w:val="en-US" w:eastAsia="zh-CN" w:bidi="ar-SA"/>
        </w:rPr>
      </w:pPr>
    </w:p>
    <w:p w14:paraId="592C9623">
      <w:pPr>
        <w:bidi w:val="0"/>
        <w:outlineLvl w:val="9"/>
        <w:rPr>
          <w:rFonts w:hint="eastAsia" w:ascii="宋体" w:hAnsi="宋体" w:eastAsia="宋体" w:cs="宋体"/>
          <w:kern w:val="2"/>
          <w:sz w:val="32"/>
          <w:szCs w:val="32"/>
          <w:lang w:val="en-US" w:eastAsia="zh-CN" w:bidi="ar-SA"/>
        </w:rPr>
      </w:pPr>
    </w:p>
    <w:p w14:paraId="11A426F7">
      <w:pPr>
        <w:bidi w:val="0"/>
        <w:outlineLvl w:val="9"/>
        <w:rPr>
          <w:rFonts w:hint="eastAsia" w:ascii="宋体" w:hAnsi="宋体" w:eastAsia="宋体" w:cs="宋体"/>
          <w:kern w:val="2"/>
          <w:sz w:val="32"/>
          <w:szCs w:val="32"/>
          <w:lang w:val="en-US" w:eastAsia="zh-CN" w:bidi="ar-SA"/>
        </w:rPr>
      </w:pPr>
    </w:p>
    <w:p w14:paraId="0C63749D">
      <w:pPr>
        <w:bidi w:val="0"/>
        <w:outlineLvl w:val="9"/>
        <w:rPr>
          <w:rFonts w:hint="eastAsia" w:ascii="宋体" w:hAnsi="宋体" w:eastAsia="宋体" w:cs="宋体"/>
          <w:kern w:val="2"/>
          <w:sz w:val="32"/>
          <w:szCs w:val="32"/>
          <w:lang w:val="en-US" w:eastAsia="zh-CN" w:bidi="ar-SA"/>
        </w:rPr>
      </w:pPr>
    </w:p>
    <w:p w14:paraId="10AFDC80">
      <w:pPr>
        <w:bidi w:val="0"/>
        <w:outlineLvl w:val="9"/>
        <w:rPr>
          <w:rFonts w:hint="eastAsia" w:ascii="宋体" w:hAnsi="宋体" w:eastAsia="宋体" w:cs="宋体"/>
          <w:kern w:val="2"/>
          <w:sz w:val="32"/>
          <w:szCs w:val="32"/>
          <w:lang w:val="en-US" w:eastAsia="zh-CN" w:bidi="ar-SA"/>
        </w:rPr>
      </w:pPr>
    </w:p>
    <w:p w14:paraId="552C0EC3">
      <w:pPr>
        <w:bidi w:val="0"/>
        <w:outlineLvl w:val="9"/>
        <w:rPr>
          <w:rFonts w:hint="eastAsia" w:ascii="宋体" w:hAnsi="宋体" w:eastAsia="宋体" w:cs="宋体"/>
          <w:kern w:val="2"/>
          <w:sz w:val="32"/>
          <w:szCs w:val="32"/>
          <w:lang w:val="en-US" w:eastAsia="zh-CN" w:bidi="ar-SA"/>
        </w:rPr>
      </w:pPr>
    </w:p>
    <w:p w14:paraId="404028D0">
      <w:pPr>
        <w:bidi w:val="0"/>
        <w:outlineLvl w:val="9"/>
        <w:rPr>
          <w:rFonts w:hint="eastAsia" w:ascii="宋体" w:hAnsi="宋体" w:eastAsia="宋体" w:cs="宋体"/>
          <w:kern w:val="2"/>
          <w:sz w:val="32"/>
          <w:szCs w:val="32"/>
          <w:lang w:val="en-US" w:eastAsia="zh-CN" w:bidi="ar-SA"/>
        </w:rPr>
      </w:pPr>
    </w:p>
    <w:p w14:paraId="5CCC749F">
      <w:pPr>
        <w:bidi w:val="0"/>
        <w:outlineLvl w:val="9"/>
        <w:rPr>
          <w:rFonts w:hint="eastAsia" w:ascii="宋体" w:hAnsi="宋体" w:eastAsia="宋体" w:cs="宋体"/>
          <w:kern w:val="2"/>
          <w:sz w:val="32"/>
          <w:szCs w:val="32"/>
          <w:lang w:val="en-US" w:eastAsia="zh-CN" w:bidi="ar-SA"/>
        </w:rPr>
      </w:pPr>
    </w:p>
    <w:p w14:paraId="25B20F75">
      <w:pPr>
        <w:bidi w:val="0"/>
        <w:outlineLvl w:val="9"/>
        <w:rPr>
          <w:rFonts w:hint="eastAsia" w:ascii="宋体" w:hAnsi="宋体" w:eastAsia="宋体" w:cs="宋体"/>
          <w:kern w:val="2"/>
          <w:sz w:val="32"/>
          <w:szCs w:val="32"/>
          <w:lang w:val="en-US" w:eastAsia="zh-CN" w:bidi="ar-SA"/>
        </w:rPr>
      </w:pPr>
    </w:p>
    <w:p w14:paraId="7A077BC4">
      <w:pPr>
        <w:snapToGrid w:val="0"/>
        <w:spacing w:before="0" w:line="400" w:lineRule="exact"/>
        <w:jc w:val="center"/>
        <w:textAlignment w:val="baseline"/>
        <w:outlineLvl w:val="9"/>
        <w:rPr>
          <w:rFonts w:hint="eastAsia" w:ascii="宋体" w:hAnsi="宋体" w:eastAsia="宋体" w:cs="宋体"/>
          <w:b w:val="0"/>
          <w:kern w:val="2"/>
          <w:sz w:val="30"/>
          <w:szCs w:val="30"/>
          <w:lang w:val="en-US" w:eastAsia="zh-CN" w:bidi="ar-SA"/>
        </w:rPr>
      </w:pPr>
      <w:bookmarkStart w:id="458" w:name="_Toc25549"/>
    </w:p>
    <w:p w14:paraId="008F078C">
      <w:pPr>
        <w:snapToGrid w:val="0"/>
        <w:spacing w:before="0" w:line="400" w:lineRule="exact"/>
        <w:jc w:val="center"/>
        <w:textAlignment w:val="baseline"/>
        <w:outlineLvl w:val="2"/>
        <w:rPr>
          <w:rFonts w:hint="eastAsia" w:ascii="仿宋" w:hAnsi="仿宋" w:eastAsia="仿宋" w:cs="仿宋"/>
          <w:spacing w:val="8"/>
          <w:sz w:val="24"/>
          <w:szCs w:val="24"/>
          <w:u w:val="single" w:color="auto"/>
        </w:rPr>
      </w:pPr>
      <w:bookmarkStart w:id="459" w:name="_Toc15778"/>
      <w:r>
        <w:rPr>
          <w:rFonts w:hint="eastAsia" w:ascii="宋体" w:hAnsi="宋体" w:eastAsia="宋体" w:cs="宋体"/>
          <w:b w:val="0"/>
          <w:kern w:val="2"/>
          <w:sz w:val="30"/>
          <w:szCs w:val="30"/>
          <w:lang w:val="en-US" w:eastAsia="zh-CN" w:bidi="ar-SA"/>
        </w:rPr>
        <w:t>7、</w:t>
      </w:r>
      <w:bookmarkEnd w:id="454"/>
      <w:bookmarkEnd w:id="455"/>
      <w:bookmarkEnd w:id="456"/>
      <w:bookmarkEnd w:id="457"/>
      <w:r>
        <w:rPr>
          <w:rFonts w:hint="eastAsia" w:ascii="宋体" w:hAnsi="宋体" w:eastAsia="宋体" w:cs="宋体"/>
          <w:b w:val="0"/>
          <w:kern w:val="2"/>
          <w:sz w:val="30"/>
          <w:szCs w:val="30"/>
          <w:lang w:val="en-US" w:eastAsia="zh-CN" w:bidi="ar-SA"/>
        </w:rPr>
        <w:t>政府采购诚信投标承诺书</w:t>
      </w:r>
      <w:bookmarkEnd w:id="458"/>
      <w:bookmarkEnd w:id="459"/>
    </w:p>
    <w:p w14:paraId="47E5F49A">
      <w:pPr>
        <w:spacing w:before="161" w:line="222" w:lineRule="auto"/>
        <w:outlineLvl w:val="9"/>
        <w:rPr>
          <w:rFonts w:hint="eastAsia" w:ascii="宋体" w:hAnsi="宋体" w:eastAsia="宋体" w:cs="宋体"/>
          <w:sz w:val="24"/>
          <w:szCs w:val="24"/>
        </w:rPr>
      </w:pPr>
      <w:r>
        <w:rPr>
          <w:rFonts w:hint="eastAsia" w:ascii="宋体" w:hAnsi="宋体" w:eastAsia="宋体" w:cs="宋体"/>
          <w:spacing w:val="8"/>
          <w:sz w:val="24"/>
          <w:szCs w:val="24"/>
          <w:u w:val="single" w:color="auto"/>
        </w:rPr>
        <w:t>(采购人)</w:t>
      </w:r>
      <w:r>
        <w:rPr>
          <w:rFonts w:hint="eastAsia" w:ascii="宋体" w:hAnsi="宋体" w:eastAsia="宋体" w:cs="宋体"/>
          <w:sz w:val="24"/>
          <w:szCs w:val="24"/>
          <w:u w:val="single" w:color="auto"/>
        </w:rPr>
        <w:t xml:space="preserve">  </w:t>
      </w:r>
    </w:p>
    <w:p w14:paraId="4464D082">
      <w:pPr>
        <w:spacing w:before="116" w:line="311" w:lineRule="auto"/>
        <w:ind w:left="139" w:right="81" w:firstLine="370"/>
        <w:outlineLvl w:val="9"/>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pacing w:val="5"/>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z w:val="24"/>
          <w:szCs w:val="24"/>
        </w:rPr>
        <w:t>(投标人名称)已详细阅读了</w:t>
      </w:r>
      <w:r>
        <w:rPr>
          <w:rFonts w:hint="eastAsia" w:ascii="宋体" w:hAnsi="宋体" w:eastAsia="宋体" w:cs="宋体"/>
          <w:spacing w:val="2"/>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z w:val="24"/>
          <w:szCs w:val="24"/>
        </w:rPr>
        <w:t xml:space="preserve">项目 </w:t>
      </w:r>
      <w:r>
        <w:rPr>
          <w:rFonts w:hint="eastAsia" w:ascii="宋体" w:hAnsi="宋体" w:eastAsia="宋体" w:cs="宋体"/>
          <w:spacing w:val="-16"/>
          <w:sz w:val="24"/>
          <w:szCs w:val="24"/>
        </w:rPr>
        <w:t>(项目编号：</w:t>
      </w:r>
      <w:r>
        <w:rPr>
          <w:rFonts w:hint="eastAsia" w:ascii="宋体" w:hAnsi="宋体" w:eastAsia="宋体" w:cs="宋体"/>
          <w:spacing w:val="30"/>
          <w:sz w:val="24"/>
          <w:szCs w:val="24"/>
        </w:rPr>
        <w:t xml:space="preserve"> </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16"/>
          <w:sz w:val="24"/>
          <w:szCs w:val="24"/>
        </w:rPr>
        <w:t>)招标文件，</w:t>
      </w:r>
      <w:r>
        <w:rPr>
          <w:rFonts w:hint="eastAsia" w:ascii="宋体" w:hAnsi="宋体" w:eastAsia="宋体" w:cs="宋体"/>
          <w:spacing w:val="15"/>
          <w:sz w:val="24"/>
          <w:szCs w:val="24"/>
        </w:rPr>
        <w:t xml:space="preserve"> </w:t>
      </w:r>
      <w:r>
        <w:rPr>
          <w:rFonts w:hint="eastAsia" w:ascii="宋体" w:hAnsi="宋体" w:eastAsia="宋体" w:cs="宋体"/>
          <w:spacing w:val="-16"/>
          <w:sz w:val="24"/>
          <w:szCs w:val="24"/>
        </w:rPr>
        <w:t>自愿参加本次投标，现就有关事项郑重</w:t>
      </w:r>
    </w:p>
    <w:p w14:paraId="47B61C5D">
      <w:pPr>
        <w:spacing w:line="222" w:lineRule="auto"/>
        <w:outlineLvl w:val="9"/>
        <w:rPr>
          <w:rFonts w:hint="eastAsia" w:ascii="宋体" w:hAnsi="宋体" w:eastAsia="宋体" w:cs="宋体"/>
          <w:sz w:val="24"/>
          <w:szCs w:val="24"/>
        </w:rPr>
      </w:pPr>
      <w:r>
        <w:rPr>
          <w:rFonts w:hint="eastAsia" w:ascii="宋体" w:hAnsi="宋体" w:eastAsia="宋体" w:cs="宋体"/>
          <w:spacing w:val="-12"/>
          <w:sz w:val="24"/>
          <w:szCs w:val="24"/>
        </w:rPr>
        <w:t>承诺如下：</w:t>
      </w:r>
    </w:p>
    <w:p w14:paraId="5693D26D">
      <w:pPr>
        <w:spacing w:before="114" w:line="311" w:lineRule="auto"/>
        <w:ind w:right="129" w:firstLine="510"/>
        <w:jc w:val="both"/>
        <w:outlineLvl w:val="9"/>
        <w:rPr>
          <w:rFonts w:hint="eastAsia" w:ascii="宋体" w:hAnsi="宋体" w:eastAsia="宋体" w:cs="宋体"/>
          <w:sz w:val="24"/>
          <w:szCs w:val="24"/>
        </w:rPr>
      </w:pPr>
      <w:r>
        <w:rPr>
          <w:rFonts w:hint="eastAsia" w:ascii="宋体" w:hAnsi="宋体" w:eastAsia="宋体" w:cs="宋体"/>
          <w:spacing w:val="-9"/>
          <w:sz w:val="24"/>
          <w:szCs w:val="24"/>
        </w:rPr>
        <w:t>一、诚信投标，材料真实。我公司保证所提供的全部材料</w:t>
      </w:r>
      <w:r>
        <w:rPr>
          <w:rFonts w:hint="eastAsia" w:ascii="宋体" w:hAnsi="宋体" w:eastAsia="宋体" w:cs="宋体"/>
          <w:spacing w:val="-10"/>
          <w:sz w:val="24"/>
          <w:szCs w:val="24"/>
        </w:rPr>
        <w:t>、投标内容均真</w:t>
      </w:r>
      <w:r>
        <w:rPr>
          <w:rFonts w:hint="eastAsia" w:ascii="宋体" w:hAnsi="宋体" w:eastAsia="宋体" w:cs="宋体"/>
          <w:spacing w:val="-9"/>
          <w:sz w:val="24"/>
          <w:szCs w:val="24"/>
        </w:rPr>
        <w:t>实、合法、有效，保证不出借或者借用其他企业</w:t>
      </w:r>
      <w:r>
        <w:rPr>
          <w:rFonts w:hint="eastAsia" w:ascii="宋体" w:hAnsi="宋体" w:eastAsia="宋体" w:cs="宋体"/>
          <w:spacing w:val="-10"/>
          <w:sz w:val="24"/>
          <w:szCs w:val="24"/>
        </w:rPr>
        <w:t>资质，不以他人名义投标，不</w:t>
      </w:r>
      <w:r>
        <w:rPr>
          <w:rFonts w:hint="eastAsia" w:ascii="宋体" w:hAnsi="宋体" w:eastAsia="宋体" w:cs="宋体"/>
          <w:spacing w:val="-9"/>
          <w:sz w:val="24"/>
          <w:szCs w:val="24"/>
        </w:rPr>
        <w:t>弄虚作假；未列入失信被执行人、重大税收违法案件当事</w:t>
      </w:r>
      <w:r>
        <w:rPr>
          <w:rFonts w:hint="eastAsia" w:ascii="宋体" w:hAnsi="宋体" w:eastAsia="宋体" w:cs="宋体"/>
          <w:spacing w:val="-10"/>
          <w:sz w:val="24"/>
          <w:szCs w:val="24"/>
        </w:rPr>
        <w:t>人名单、政府采购严</w:t>
      </w:r>
      <w:r>
        <w:rPr>
          <w:rFonts w:hint="eastAsia" w:ascii="宋体" w:hAnsi="宋体" w:eastAsia="宋体" w:cs="宋体"/>
          <w:spacing w:val="-9"/>
          <w:sz w:val="24"/>
          <w:szCs w:val="24"/>
        </w:rPr>
        <w:t>重违法失信行为记录名单及其他不符合《中华人民共和国政府采</w:t>
      </w:r>
      <w:r>
        <w:rPr>
          <w:rFonts w:hint="eastAsia" w:ascii="宋体" w:hAnsi="宋体" w:eastAsia="宋体" w:cs="宋体"/>
          <w:spacing w:val="-10"/>
          <w:sz w:val="24"/>
          <w:szCs w:val="24"/>
        </w:rPr>
        <w:t>购法》第二十</w:t>
      </w:r>
      <w:r>
        <w:rPr>
          <w:rFonts w:hint="eastAsia" w:ascii="宋体" w:hAnsi="宋体" w:eastAsia="宋体" w:cs="宋体"/>
          <w:spacing w:val="-15"/>
          <w:sz w:val="24"/>
          <w:szCs w:val="24"/>
        </w:rPr>
        <w:t>二条规定条件。</w:t>
      </w:r>
    </w:p>
    <w:p w14:paraId="08159049">
      <w:pPr>
        <w:spacing w:before="114" w:line="311" w:lineRule="auto"/>
        <w:ind w:right="164" w:firstLine="510"/>
        <w:jc w:val="both"/>
        <w:outlineLvl w:val="9"/>
        <w:rPr>
          <w:rFonts w:hint="eastAsia" w:ascii="宋体" w:hAnsi="宋体" w:eastAsia="宋体" w:cs="宋体"/>
          <w:sz w:val="24"/>
          <w:szCs w:val="24"/>
        </w:rPr>
      </w:pPr>
      <w:r>
        <w:rPr>
          <w:rFonts w:hint="eastAsia" w:ascii="宋体" w:hAnsi="宋体" w:eastAsia="宋体" w:cs="宋体"/>
          <w:spacing w:val="-11"/>
          <w:sz w:val="24"/>
          <w:szCs w:val="24"/>
        </w:rPr>
        <w:t>二、遵纪守法，公平竞争。不与其他投标人相互串通、哄抬价格，不排挤</w:t>
      </w:r>
      <w:r>
        <w:rPr>
          <w:rFonts w:hint="eastAsia" w:ascii="宋体" w:hAnsi="宋体" w:eastAsia="宋体" w:cs="宋体"/>
          <w:spacing w:val="-9"/>
          <w:sz w:val="24"/>
          <w:szCs w:val="24"/>
        </w:rPr>
        <w:t>其他投标人，不损害招标人的合法权益；不向</w:t>
      </w:r>
      <w:r>
        <w:rPr>
          <w:rFonts w:hint="eastAsia" w:ascii="宋体" w:hAnsi="宋体" w:eastAsia="宋体" w:cs="宋体"/>
          <w:spacing w:val="-10"/>
          <w:sz w:val="24"/>
          <w:szCs w:val="24"/>
        </w:rPr>
        <w:t>招标人、招标代理机构、评标委</w:t>
      </w:r>
      <w:r>
        <w:rPr>
          <w:rFonts w:hint="eastAsia" w:ascii="宋体" w:hAnsi="宋体" w:eastAsia="宋体" w:cs="宋体"/>
          <w:spacing w:val="-11"/>
          <w:sz w:val="24"/>
          <w:szCs w:val="24"/>
        </w:rPr>
        <w:t>员会成员等及其他参与招标活动的人员行贿或采用其他不正当手段谋取中标。</w:t>
      </w:r>
    </w:p>
    <w:p w14:paraId="6239950E">
      <w:pPr>
        <w:spacing w:before="124" w:line="310" w:lineRule="auto"/>
        <w:ind w:right="123" w:firstLine="510"/>
        <w:jc w:val="both"/>
        <w:outlineLvl w:val="9"/>
        <w:rPr>
          <w:rFonts w:hint="eastAsia" w:ascii="宋体" w:hAnsi="宋体" w:eastAsia="宋体" w:cs="宋体"/>
          <w:sz w:val="24"/>
          <w:szCs w:val="24"/>
        </w:rPr>
      </w:pPr>
      <w:r>
        <w:rPr>
          <w:rFonts w:hint="eastAsia" w:ascii="宋体" w:hAnsi="宋体" w:eastAsia="宋体" w:cs="宋体"/>
          <w:spacing w:val="-11"/>
          <w:sz w:val="24"/>
          <w:szCs w:val="24"/>
        </w:rPr>
        <w:t>三、</w:t>
      </w:r>
      <w:r>
        <w:rPr>
          <w:rFonts w:hint="eastAsia" w:ascii="宋体" w:hAnsi="宋体" w:eastAsia="宋体" w:cs="宋体"/>
          <w:spacing w:val="-63"/>
          <w:sz w:val="24"/>
          <w:szCs w:val="24"/>
        </w:rPr>
        <w:t xml:space="preserve"> </w:t>
      </w:r>
      <w:r>
        <w:rPr>
          <w:rFonts w:hint="eastAsia" w:ascii="宋体" w:hAnsi="宋体" w:eastAsia="宋体" w:cs="宋体"/>
          <w:spacing w:val="-11"/>
          <w:sz w:val="24"/>
          <w:szCs w:val="24"/>
        </w:rPr>
        <w:t>不捏造事实或借用他人名义进行虚假、恶意质疑和投诉，不以质疑或</w:t>
      </w:r>
      <w:r>
        <w:rPr>
          <w:rFonts w:hint="eastAsia" w:ascii="宋体" w:hAnsi="宋体" w:eastAsia="宋体" w:cs="宋体"/>
          <w:sz w:val="24"/>
          <w:szCs w:val="24"/>
        </w:rPr>
        <w:t xml:space="preserve"> </w:t>
      </w:r>
      <w:r>
        <w:rPr>
          <w:rFonts w:hint="eastAsia" w:ascii="宋体" w:hAnsi="宋体" w:eastAsia="宋体" w:cs="宋体"/>
          <w:spacing w:val="-10"/>
          <w:sz w:val="24"/>
          <w:szCs w:val="24"/>
        </w:rPr>
        <w:t>投诉为名排挤竞争对手，干扰政府采购秩序。如在投标过程和公示期间需要投</w:t>
      </w:r>
      <w:r>
        <w:rPr>
          <w:rFonts w:hint="eastAsia" w:ascii="宋体" w:hAnsi="宋体" w:eastAsia="宋体" w:cs="宋体"/>
          <w:spacing w:val="15"/>
          <w:sz w:val="24"/>
          <w:szCs w:val="24"/>
        </w:rPr>
        <w:t xml:space="preserve"> </w:t>
      </w:r>
      <w:r>
        <w:rPr>
          <w:rFonts w:hint="eastAsia" w:ascii="宋体" w:hAnsi="宋体" w:eastAsia="宋体" w:cs="宋体"/>
          <w:spacing w:val="-10"/>
          <w:sz w:val="24"/>
          <w:szCs w:val="24"/>
        </w:rPr>
        <w:t>诉，则保证按照《中华人民共和国招标投标法》的要求进行。投诉的内容和程</w:t>
      </w:r>
      <w:r>
        <w:rPr>
          <w:rFonts w:hint="eastAsia" w:ascii="宋体" w:hAnsi="宋体" w:eastAsia="宋体" w:cs="宋体"/>
          <w:spacing w:val="16"/>
          <w:sz w:val="24"/>
          <w:szCs w:val="24"/>
        </w:rPr>
        <w:t xml:space="preserve"> </w:t>
      </w:r>
      <w:r>
        <w:rPr>
          <w:rFonts w:hint="eastAsia" w:ascii="宋体" w:hAnsi="宋体" w:eastAsia="宋体" w:cs="宋体"/>
          <w:spacing w:val="-10"/>
          <w:sz w:val="24"/>
          <w:szCs w:val="24"/>
        </w:rPr>
        <w:t>序符合法律法规的规定，投诉材料加盖企业公章或由法定代表人或授权委托人</w:t>
      </w:r>
      <w:r>
        <w:rPr>
          <w:rFonts w:hint="eastAsia" w:ascii="宋体" w:hAnsi="宋体" w:eastAsia="宋体" w:cs="宋体"/>
          <w:spacing w:val="-16"/>
          <w:sz w:val="24"/>
          <w:szCs w:val="24"/>
        </w:rPr>
        <w:t>签字，并附有相关身份证明复印件；遵守《中华人</w:t>
      </w:r>
      <w:r>
        <w:rPr>
          <w:rFonts w:hint="eastAsia" w:ascii="宋体" w:hAnsi="宋体" w:eastAsia="宋体" w:cs="宋体"/>
          <w:spacing w:val="-17"/>
          <w:sz w:val="24"/>
          <w:szCs w:val="24"/>
        </w:rPr>
        <w:t>民共和国政府采购法》、《政</w:t>
      </w:r>
      <w:r>
        <w:rPr>
          <w:rFonts w:hint="eastAsia" w:ascii="宋体" w:hAnsi="宋体" w:eastAsia="宋体" w:cs="宋体"/>
          <w:spacing w:val="-8"/>
          <w:sz w:val="24"/>
          <w:szCs w:val="24"/>
        </w:rPr>
        <w:t>府采购货物和服务招标投标管理办法》(财政部87号令</w:t>
      </w:r>
      <w:r>
        <w:rPr>
          <w:rFonts w:hint="eastAsia" w:ascii="宋体" w:hAnsi="宋体" w:eastAsia="宋体" w:cs="宋体"/>
          <w:spacing w:val="-9"/>
          <w:sz w:val="24"/>
          <w:szCs w:val="24"/>
        </w:rPr>
        <w:t>)、《财政部关于加强</w:t>
      </w:r>
      <w:r>
        <w:rPr>
          <w:rFonts w:hint="eastAsia" w:ascii="宋体" w:hAnsi="宋体" w:eastAsia="宋体" w:cs="宋体"/>
          <w:spacing w:val="-5"/>
          <w:sz w:val="24"/>
          <w:szCs w:val="24"/>
        </w:rPr>
        <w:t>政府采购货物和服务项目价格评审管理的通知》(财库【2007】</w:t>
      </w:r>
      <w:r>
        <w:rPr>
          <w:rFonts w:hint="eastAsia" w:ascii="宋体" w:hAnsi="宋体" w:eastAsia="宋体" w:cs="宋体"/>
          <w:spacing w:val="-6"/>
          <w:sz w:val="24"/>
          <w:szCs w:val="24"/>
        </w:rPr>
        <w:t>2号文)和《政</w:t>
      </w:r>
      <w:r>
        <w:rPr>
          <w:rFonts w:hint="eastAsia" w:ascii="宋体" w:hAnsi="宋体" w:eastAsia="宋体" w:cs="宋体"/>
          <w:spacing w:val="-5"/>
          <w:sz w:val="24"/>
          <w:szCs w:val="24"/>
        </w:rPr>
        <w:t>府采购非招标采购方式管理办法》(财政部74号令</w:t>
      </w:r>
      <w:r>
        <w:rPr>
          <w:rFonts w:hint="eastAsia" w:ascii="宋体" w:hAnsi="宋体" w:eastAsia="宋体" w:cs="宋体"/>
          <w:spacing w:val="-6"/>
          <w:sz w:val="24"/>
          <w:szCs w:val="24"/>
        </w:rPr>
        <w:t>)的规定。</w:t>
      </w:r>
    </w:p>
    <w:p w14:paraId="3F04B301">
      <w:pPr>
        <w:spacing w:before="117" w:line="311" w:lineRule="auto"/>
        <w:ind w:right="129" w:firstLine="510"/>
        <w:jc w:val="both"/>
        <w:outlineLvl w:val="9"/>
        <w:rPr>
          <w:rFonts w:hint="eastAsia" w:ascii="宋体" w:hAnsi="宋体" w:eastAsia="宋体" w:cs="宋体"/>
          <w:sz w:val="24"/>
          <w:szCs w:val="24"/>
        </w:rPr>
      </w:pPr>
      <w:r>
        <w:rPr>
          <w:rFonts w:hint="eastAsia" w:ascii="宋体" w:hAnsi="宋体" w:eastAsia="宋体" w:cs="宋体"/>
          <w:spacing w:val="-9"/>
          <w:sz w:val="24"/>
          <w:szCs w:val="24"/>
        </w:rPr>
        <w:t>四、若中标后，将按照规定及时与招标人签订政府采购合</w:t>
      </w:r>
      <w:r>
        <w:rPr>
          <w:rFonts w:hint="eastAsia" w:ascii="宋体" w:hAnsi="宋体" w:eastAsia="宋体" w:cs="宋体"/>
          <w:spacing w:val="-10"/>
          <w:sz w:val="24"/>
          <w:szCs w:val="24"/>
        </w:rPr>
        <w:t>同，不与招标人订立有悖于招标结果的合同或协议；严格履行政府采购合同，不降低合同约定</w:t>
      </w:r>
      <w:r>
        <w:rPr>
          <w:rFonts w:hint="eastAsia" w:ascii="宋体" w:hAnsi="宋体" w:eastAsia="宋体" w:cs="宋体"/>
          <w:spacing w:val="-9"/>
          <w:sz w:val="24"/>
          <w:szCs w:val="24"/>
        </w:rPr>
        <w:t>的产品质量及相关服务，不擅自变更、中止、终止合同，或者</w:t>
      </w:r>
      <w:r>
        <w:rPr>
          <w:rFonts w:hint="eastAsia" w:ascii="宋体" w:hAnsi="宋体" w:eastAsia="宋体" w:cs="宋体"/>
          <w:spacing w:val="-10"/>
          <w:sz w:val="24"/>
          <w:szCs w:val="24"/>
        </w:rPr>
        <w:t>拒绝履行合同义</w:t>
      </w:r>
      <w:r>
        <w:rPr>
          <w:rFonts w:hint="eastAsia" w:ascii="宋体" w:hAnsi="宋体" w:eastAsia="宋体" w:cs="宋体"/>
          <w:spacing w:val="-2"/>
          <w:sz w:val="24"/>
          <w:szCs w:val="24"/>
        </w:rPr>
        <w:t>务。</w:t>
      </w:r>
    </w:p>
    <w:p w14:paraId="0704A49B">
      <w:pPr>
        <w:spacing w:before="125" w:line="283" w:lineRule="auto"/>
        <w:ind w:right="121" w:firstLine="510"/>
        <w:jc w:val="both"/>
        <w:outlineLvl w:val="9"/>
        <w:rPr>
          <w:rFonts w:hint="eastAsia" w:ascii="宋体" w:hAnsi="宋体" w:eastAsia="宋体" w:cs="宋体"/>
          <w:spacing w:val="-7"/>
          <w:sz w:val="24"/>
          <w:szCs w:val="24"/>
        </w:rPr>
      </w:pPr>
      <w:r>
        <w:rPr>
          <w:rFonts w:hint="eastAsia" w:ascii="宋体" w:hAnsi="宋体" w:eastAsia="宋体" w:cs="宋体"/>
          <w:spacing w:val="-9"/>
          <w:sz w:val="24"/>
          <w:szCs w:val="24"/>
        </w:rPr>
        <w:t>若有违反以上承诺内容的行为，我公司自愿接受取消投标资格、记入信用档案、没收投标保证金、媒体通报、1～3年内禁止参与新疆维吾尔</w:t>
      </w:r>
      <w:r>
        <w:rPr>
          <w:rFonts w:hint="eastAsia" w:ascii="宋体" w:hAnsi="宋体" w:eastAsia="宋体" w:cs="宋体"/>
          <w:spacing w:val="-10"/>
          <w:sz w:val="24"/>
          <w:szCs w:val="24"/>
        </w:rPr>
        <w:t>自治区政府采购活动等处罚；如已中标的，自动放弃中标资格，并承担全部法律责任；给</w:t>
      </w:r>
      <w:r>
        <w:rPr>
          <w:rFonts w:hint="eastAsia" w:ascii="宋体" w:hAnsi="宋体" w:eastAsia="宋体" w:cs="宋体"/>
          <w:spacing w:val="-11"/>
          <w:sz w:val="24"/>
          <w:szCs w:val="24"/>
        </w:rPr>
        <w:t>招标人造成损失的，依法承担赔偿责任。</w:t>
      </w:r>
    </w:p>
    <w:p w14:paraId="2A713304">
      <w:pPr>
        <w:spacing w:before="117" w:line="221" w:lineRule="auto"/>
        <w:ind w:left="4019"/>
        <w:outlineLvl w:val="9"/>
        <w:rPr>
          <w:rFonts w:hint="eastAsia" w:ascii="宋体" w:hAnsi="宋体" w:eastAsia="宋体" w:cs="宋体"/>
          <w:sz w:val="24"/>
          <w:szCs w:val="24"/>
        </w:rPr>
      </w:pPr>
      <w:r>
        <w:rPr>
          <w:rFonts w:hint="eastAsia" w:ascii="宋体" w:hAnsi="宋体" w:eastAsia="宋体" w:cs="宋体"/>
          <w:spacing w:val="-7"/>
          <w:sz w:val="24"/>
          <w:szCs w:val="24"/>
        </w:rPr>
        <w:t>投标人名称(公章):</w:t>
      </w:r>
    </w:p>
    <w:p w14:paraId="0E36032F">
      <w:pPr>
        <w:spacing w:before="123" w:line="222" w:lineRule="auto"/>
        <w:ind w:left="4019"/>
        <w:outlineLvl w:val="9"/>
        <w:rPr>
          <w:rFonts w:hint="eastAsia" w:ascii="宋体" w:hAnsi="宋体" w:eastAsia="宋体" w:cs="宋体"/>
          <w:sz w:val="24"/>
          <w:szCs w:val="24"/>
        </w:rPr>
      </w:pPr>
      <w:r>
        <w:rPr>
          <w:rFonts w:hint="eastAsia" w:ascii="宋体" w:hAnsi="宋体" w:eastAsia="宋体" w:cs="宋体"/>
          <w:spacing w:val="9"/>
          <w:sz w:val="24"/>
          <w:szCs w:val="24"/>
        </w:rPr>
        <w:t>法定代表人(签字盖章):</w:t>
      </w:r>
    </w:p>
    <w:p w14:paraId="2FBAF693">
      <w:pPr>
        <w:spacing w:before="139" w:line="222" w:lineRule="auto"/>
        <w:ind w:left="4140"/>
        <w:outlineLvl w:val="9"/>
        <w:rPr>
          <w:rFonts w:hint="eastAsia" w:ascii="宋体" w:hAnsi="宋体" w:eastAsia="宋体" w:cs="宋体"/>
        </w:rPr>
      </w:pPr>
      <w:r>
        <w:rPr>
          <w:rFonts w:hint="eastAsia" w:ascii="宋体" w:hAnsi="宋体" w:eastAsia="宋体" w:cs="宋体"/>
          <w:spacing w:val="-34"/>
          <w:sz w:val="24"/>
          <w:szCs w:val="24"/>
        </w:rPr>
        <w:t>日</w:t>
      </w:r>
      <w:r>
        <w:rPr>
          <w:rFonts w:hint="eastAsia" w:ascii="宋体" w:hAnsi="宋体" w:eastAsia="宋体" w:cs="宋体"/>
          <w:spacing w:val="-34"/>
          <w:sz w:val="24"/>
          <w:szCs w:val="24"/>
          <w:lang w:val="en-US" w:eastAsia="zh-CN"/>
        </w:rPr>
        <w:t xml:space="preserve"> </w:t>
      </w:r>
      <w:r>
        <w:rPr>
          <w:rFonts w:hint="eastAsia" w:ascii="宋体" w:hAnsi="宋体" w:eastAsia="宋体" w:cs="宋体"/>
          <w:spacing w:val="-34"/>
          <w:sz w:val="24"/>
          <w:szCs w:val="24"/>
        </w:rPr>
        <w:t>期</w:t>
      </w:r>
      <w:r>
        <w:rPr>
          <w:rFonts w:hint="eastAsia" w:ascii="宋体" w:hAnsi="宋体" w:eastAsia="宋体" w:cs="宋体"/>
          <w:spacing w:val="-34"/>
          <w:sz w:val="24"/>
          <w:szCs w:val="24"/>
          <w:lang w:val="en-US" w:eastAsia="zh-CN"/>
        </w:rPr>
        <w:t xml:space="preserve"> </w:t>
      </w:r>
      <w:r>
        <w:rPr>
          <w:rFonts w:hint="eastAsia" w:ascii="宋体" w:hAnsi="宋体" w:eastAsia="宋体" w:cs="宋体"/>
          <w:spacing w:val="-34"/>
          <w:sz w:val="24"/>
          <w:szCs w:val="24"/>
        </w:rPr>
        <w:t>：</w:t>
      </w:r>
      <w:r>
        <w:rPr>
          <w:rFonts w:hint="eastAsia" w:ascii="宋体" w:hAnsi="宋体" w:eastAsia="宋体" w:cs="宋体"/>
          <w:spacing w:val="98"/>
          <w:sz w:val="24"/>
          <w:szCs w:val="24"/>
        </w:rPr>
        <w:t xml:space="preserve"> </w:t>
      </w:r>
      <w:r>
        <w:rPr>
          <w:rFonts w:hint="eastAsia" w:ascii="宋体" w:hAnsi="宋体" w:eastAsia="宋体" w:cs="宋体"/>
          <w:spacing w:val="-34"/>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34"/>
          <w:sz w:val="24"/>
          <w:szCs w:val="24"/>
        </w:rPr>
        <w:t>月</w:t>
      </w:r>
      <w:r>
        <w:rPr>
          <w:rFonts w:hint="eastAsia" w:ascii="宋体" w:hAnsi="宋体" w:eastAsia="宋体" w:cs="宋体"/>
          <w:spacing w:val="5"/>
          <w:sz w:val="24"/>
          <w:szCs w:val="24"/>
        </w:rPr>
        <w:t xml:space="preserve">   </w:t>
      </w:r>
      <w:r>
        <w:rPr>
          <w:rFonts w:hint="eastAsia" w:ascii="宋体" w:hAnsi="宋体" w:eastAsia="宋体" w:cs="宋体"/>
          <w:spacing w:val="-34"/>
          <w:sz w:val="24"/>
          <w:szCs w:val="24"/>
        </w:rPr>
        <w:t>日</w:t>
      </w:r>
    </w:p>
    <w:p w14:paraId="6DBD7ACE">
      <w:pPr>
        <w:bidi w:val="0"/>
        <w:outlineLvl w:val="9"/>
        <w:rPr>
          <w:rFonts w:hint="eastAsia" w:ascii="宋体" w:hAnsi="宋体" w:eastAsia="宋体" w:cs="宋体"/>
          <w:kern w:val="2"/>
          <w:sz w:val="30"/>
          <w:szCs w:val="30"/>
          <w:lang w:val="en-US" w:eastAsia="zh-CN" w:bidi="ar-SA"/>
        </w:rPr>
      </w:pPr>
    </w:p>
    <w:p w14:paraId="47E87274">
      <w:pPr>
        <w:bidi w:val="0"/>
        <w:outlineLvl w:val="9"/>
        <w:rPr>
          <w:rFonts w:hint="eastAsia" w:ascii="宋体" w:hAnsi="宋体" w:eastAsia="宋体" w:cs="宋体"/>
          <w:kern w:val="2"/>
          <w:sz w:val="30"/>
          <w:szCs w:val="30"/>
          <w:lang w:val="en-US" w:eastAsia="zh-CN" w:bidi="ar-SA"/>
        </w:rPr>
      </w:pPr>
    </w:p>
    <w:p w14:paraId="396DA2F0">
      <w:pPr>
        <w:bidi w:val="0"/>
        <w:outlineLvl w:val="9"/>
        <w:rPr>
          <w:rFonts w:hint="eastAsia" w:ascii="宋体" w:hAnsi="宋体" w:eastAsia="宋体" w:cs="宋体"/>
          <w:kern w:val="2"/>
          <w:sz w:val="30"/>
          <w:szCs w:val="30"/>
          <w:lang w:val="en-US" w:eastAsia="zh-CN" w:bidi="ar-SA"/>
        </w:rPr>
      </w:pPr>
    </w:p>
    <w:p w14:paraId="5AD70E89">
      <w:pPr>
        <w:numPr>
          <w:ilvl w:val="0"/>
          <w:numId w:val="13"/>
        </w:numPr>
        <w:ind w:left="0" w:leftChars="0" w:firstLine="0" w:firstLineChars="0"/>
        <w:jc w:val="center"/>
        <w:outlineLvl w:val="2"/>
        <w:rPr>
          <w:rFonts w:hint="eastAsia" w:ascii="宋体" w:hAnsi="宋体" w:cs="宋体"/>
          <w:kern w:val="2"/>
          <w:sz w:val="30"/>
          <w:szCs w:val="30"/>
          <w:lang w:val="en-US" w:eastAsia="zh-CN" w:bidi="ar-SA"/>
        </w:rPr>
      </w:pPr>
      <w:bookmarkStart w:id="460" w:name="_Toc10557"/>
      <w:bookmarkStart w:id="461" w:name="_Toc15356"/>
      <w:r>
        <w:rPr>
          <w:rFonts w:hint="eastAsia" w:ascii="宋体" w:hAnsi="宋体" w:cs="宋体"/>
          <w:kern w:val="2"/>
          <w:sz w:val="30"/>
          <w:szCs w:val="30"/>
          <w:lang w:val="en-US" w:eastAsia="zh-CN" w:bidi="ar-SA"/>
        </w:rPr>
        <w:t>项目主要人员一览表</w:t>
      </w:r>
      <w:bookmarkEnd w:id="460"/>
    </w:p>
    <w:tbl>
      <w:tblPr>
        <w:tblStyle w:val="26"/>
        <w:tblpPr w:leftFromText="180" w:rightFromText="180" w:vertAnchor="text" w:horzAnchor="page" w:tblpX="1167" w:tblpY="270"/>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7"/>
        <w:gridCol w:w="1656"/>
        <w:gridCol w:w="1367"/>
        <w:gridCol w:w="1611"/>
        <w:gridCol w:w="1296"/>
        <w:gridCol w:w="1343"/>
      </w:tblGrid>
      <w:tr w14:paraId="0BBF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5" w:type="dxa"/>
            <w:noWrap w:val="0"/>
            <w:vAlign w:val="center"/>
          </w:tcPr>
          <w:p w14:paraId="580F0D27">
            <w:pPr>
              <w:spacing w:line="440" w:lineRule="exact"/>
              <w:jc w:val="center"/>
              <w:outlineLvl w:val="9"/>
              <w:rPr>
                <w:rFonts w:hint="eastAsia" w:ascii="宋体" w:hAnsi="宋体" w:eastAsia="宋体"/>
                <w:color w:val="000000"/>
                <w:szCs w:val="21"/>
                <w:lang w:eastAsia="zh-CN"/>
              </w:rPr>
            </w:pPr>
            <w:r>
              <w:rPr>
                <w:rFonts w:hint="eastAsia" w:ascii="宋体" w:hAnsi="宋体" w:eastAsia="宋体"/>
                <w:color w:val="000000"/>
                <w:szCs w:val="21"/>
                <w:lang w:val="en-US" w:eastAsia="zh-CN"/>
              </w:rPr>
              <w:t>序号</w:t>
            </w:r>
          </w:p>
        </w:tc>
        <w:tc>
          <w:tcPr>
            <w:tcW w:w="1377" w:type="dxa"/>
            <w:noWrap w:val="0"/>
            <w:vAlign w:val="center"/>
          </w:tcPr>
          <w:p w14:paraId="4BFF9D5E">
            <w:pPr>
              <w:spacing w:line="440" w:lineRule="exact"/>
              <w:jc w:val="center"/>
              <w:outlineLvl w:val="9"/>
              <w:rPr>
                <w:rFonts w:ascii="宋体" w:hAnsi="宋体"/>
                <w:color w:val="000000"/>
                <w:szCs w:val="21"/>
              </w:rPr>
            </w:pPr>
            <w:r>
              <w:rPr>
                <w:rFonts w:ascii="宋体" w:hAnsi="宋体"/>
                <w:color w:val="000000"/>
                <w:szCs w:val="21"/>
              </w:rPr>
              <w:t>姓名</w:t>
            </w:r>
          </w:p>
        </w:tc>
        <w:tc>
          <w:tcPr>
            <w:tcW w:w="1656" w:type="dxa"/>
            <w:noWrap w:val="0"/>
            <w:vAlign w:val="center"/>
          </w:tcPr>
          <w:p w14:paraId="6A21E51B">
            <w:pPr>
              <w:spacing w:line="440" w:lineRule="exact"/>
              <w:jc w:val="center"/>
              <w:outlineLvl w:val="9"/>
              <w:rPr>
                <w:rFonts w:hint="default" w:ascii="宋体" w:hAnsi="宋体" w:eastAsia="宋体"/>
                <w:color w:val="000000"/>
                <w:szCs w:val="21"/>
                <w:lang w:val="en-US" w:eastAsia="zh-CN"/>
              </w:rPr>
            </w:pPr>
            <w:r>
              <w:rPr>
                <w:rFonts w:hint="eastAsia" w:ascii="宋体" w:hAnsi="宋体" w:eastAsia="宋体"/>
                <w:color w:val="000000"/>
                <w:szCs w:val="21"/>
                <w:lang w:val="en-US" w:eastAsia="zh-CN"/>
              </w:rPr>
              <w:t>职务</w:t>
            </w:r>
          </w:p>
        </w:tc>
        <w:tc>
          <w:tcPr>
            <w:tcW w:w="1367" w:type="dxa"/>
            <w:noWrap w:val="0"/>
            <w:vAlign w:val="center"/>
          </w:tcPr>
          <w:p w14:paraId="61769198">
            <w:pPr>
              <w:spacing w:line="440" w:lineRule="exact"/>
              <w:jc w:val="center"/>
              <w:outlineLvl w:val="9"/>
              <w:rPr>
                <w:rFonts w:hint="default" w:ascii="宋体" w:hAnsi="宋体" w:eastAsia="宋体"/>
                <w:color w:val="000000"/>
                <w:szCs w:val="21"/>
                <w:lang w:val="en-US" w:eastAsia="zh-CN"/>
              </w:rPr>
            </w:pPr>
            <w:r>
              <w:rPr>
                <w:rFonts w:hint="eastAsia" w:ascii="宋体" w:hAnsi="宋体" w:eastAsia="宋体"/>
                <w:color w:val="000000"/>
                <w:szCs w:val="21"/>
                <w:lang w:val="en-US" w:eastAsia="zh-CN"/>
              </w:rPr>
              <w:t>性别</w:t>
            </w:r>
          </w:p>
        </w:tc>
        <w:tc>
          <w:tcPr>
            <w:tcW w:w="1611" w:type="dxa"/>
            <w:noWrap w:val="0"/>
            <w:vAlign w:val="center"/>
          </w:tcPr>
          <w:p w14:paraId="24872832">
            <w:pPr>
              <w:spacing w:line="440" w:lineRule="exact"/>
              <w:jc w:val="center"/>
              <w:outlineLvl w:val="9"/>
              <w:rPr>
                <w:rFonts w:hint="default" w:ascii="宋体" w:hAnsi="宋体" w:eastAsia="宋体"/>
                <w:color w:val="000000"/>
                <w:szCs w:val="21"/>
                <w:lang w:val="en-US" w:eastAsia="zh-CN"/>
              </w:rPr>
            </w:pPr>
            <w:r>
              <w:rPr>
                <w:rFonts w:hint="eastAsia" w:ascii="宋体" w:hAnsi="宋体" w:eastAsia="宋体"/>
                <w:color w:val="000000"/>
                <w:szCs w:val="21"/>
                <w:lang w:val="en-US" w:eastAsia="zh-CN"/>
              </w:rPr>
              <w:t>资格证书</w:t>
            </w:r>
          </w:p>
        </w:tc>
        <w:tc>
          <w:tcPr>
            <w:tcW w:w="1296" w:type="dxa"/>
            <w:noWrap w:val="0"/>
            <w:vAlign w:val="center"/>
          </w:tcPr>
          <w:p w14:paraId="3FD16992">
            <w:pPr>
              <w:spacing w:line="440" w:lineRule="exact"/>
              <w:jc w:val="center"/>
              <w:outlineLvl w:val="9"/>
              <w:rPr>
                <w:rFonts w:hint="default" w:ascii="宋体" w:hAnsi="宋体" w:eastAsia="宋体"/>
                <w:color w:val="000000"/>
                <w:szCs w:val="21"/>
                <w:lang w:val="en-US" w:eastAsia="zh-CN"/>
              </w:rPr>
            </w:pPr>
            <w:r>
              <w:rPr>
                <w:rFonts w:hint="eastAsia" w:ascii="宋体" w:hAnsi="宋体" w:eastAsia="宋体"/>
                <w:color w:val="000000"/>
                <w:szCs w:val="21"/>
                <w:lang w:val="en-US" w:eastAsia="zh-CN"/>
              </w:rPr>
              <w:t>工作年限</w:t>
            </w:r>
          </w:p>
        </w:tc>
        <w:tc>
          <w:tcPr>
            <w:tcW w:w="1343" w:type="dxa"/>
            <w:noWrap w:val="0"/>
            <w:vAlign w:val="center"/>
          </w:tcPr>
          <w:p w14:paraId="51B28EB6">
            <w:pPr>
              <w:spacing w:line="440" w:lineRule="exact"/>
              <w:jc w:val="center"/>
              <w:outlineLvl w:val="9"/>
              <w:rPr>
                <w:rFonts w:ascii="宋体" w:hAnsi="宋体"/>
                <w:color w:val="000000"/>
                <w:szCs w:val="21"/>
              </w:rPr>
            </w:pPr>
            <w:r>
              <w:rPr>
                <w:rFonts w:ascii="宋体" w:hAnsi="宋体"/>
                <w:color w:val="000000"/>
                <w:szCs w:val="21"/>
              </w:rPr>
              <w:t>备注</w:t>
            </w:r>
          </w:p>
        </w:tc>
      </w:tr>
      <w:tr w14:paraId="71C9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noWrap w:val="0"/>
            <w:vAlign w:val="center"/>
          </w:tcPr>
          <w:p w14:paraId="37F2D782">
            <w:pPr>
              <w:spacing w:line="440" w:lineRule="exact"/>
              <w:jc w:val="center"/>
              <w:outlineLvl w:val="9"/>
              <w:rPr>
                <w:rFonts w:hint="eastAsia" w:ascii="宋体" w:hAnsi="宋体"/>
                <w:color w:val="000000"/>
                <w:szCs w:val="21"/>
              </w:rPr>
            </w:pPr>
          </w:p>
        </w:tc>
        <w:tc>
          <w:tcPr>
            <w:tcW w:w="1377" w:type="dxa"/>
            <w:noWrap w:val="0"/>
            <w:vAlign w:val="center"/>
          </w:tcPr>
          <w:p w14:paraId="3BC57340">
            <w:pPr>
              <w:spacing w:line="440" w:lineRule="exact"/>
              <w:jc w:val="center"/>
              <w:outlineLvl w:val="9"/>
              <w:rPr>
                <w:rFonts w:ascii="宋体" w:hAnsi="宋体"/>
                <w:color w:val="000000"/>
                <w:szCs w:val="21"/>
              </w:rPr>
            </w:pPr>
          </w:p>
        </w:tc>
        <w:tc>
          <w:tcPr>
            <w:tcW w:w="1656" w:type="dxa"/>
            <w:noWrap w:val="0"/>
            <w:vAlign w:val="center"/>
          </w:tcPr>
          <w:p w14:paraId="567DD7BE">
            <w:pPr>
              <w:spacing w:line="440" w:lineRule="exact"/>
              <w:jc w:val="center"/>
              <w:outlineLvl w:val="9"/>
              <w:rPr>
                <w:rFonts w:ascii="宋体" w:hAnsi="宋体"/>
                <w:color w:val="000000"/>
                <w:szCs w:val="21"/>
              </w:rPr>
            </w:pPr>
          </w:p>
        </w:tc>
        <w:tc>
          <w:tcPr>
            <w:tcW w:w="1367" w:type="dxa"/>
            <w:noWrap w:val="0"/>
            <w:vAlign w:val="center"/>
          </w:tcPr>
          <w:p w14:paraId="26FA27A6">
            <w:pPr>
              <w:spacing w:line="440" w:lineRule="exact"/>
              <w:jc w:val="center"/>
              <w:outlineLvl w:val="9"/>
              <w:rPr>
                <w:rFonts w:ascii="宋体" w:hAnsi="宋体"/>
                <w:color w:val="000000"/>
                <w:szCs w:val="21"/>
              </w:rPr>
            </w:pPr>
          </w:p>
        </w:tc>
        <w:tc>
          <w:tcPr>
            <w:tcW w:w="1611" w:type="dxa"/>
            <w:noWrap w:val="0"/>
            <w:vAlign w:val="center"/>
          </w:tcPr>
          <w:p w14:paraId="1820AECC">
            <w:pPr>
              <w:spacing w:line="440" w:lineRule="exact"/>
              <w:jc w:val="center"/>
              <w:outlineLvl w:val="9"/>
              <w:rPr>
                <w:rFonts w:ascii="宋体" w:hAnsi="宋体"/>
                <w:color w:val="000000"/>
                <w:szCs w:val="21"/>
              </w:rPr>
            </w:pPr>
          </w:p>
        </w:tc>
        <w:tc>
          <w:tcPr>
            <w:tcW w:w="1296" w:type="dxa"/>
            <w:noWrap w:val="0"/>
            <w:vAlign w:val="center"/>
          </w:tcPr>
          <w:p w14:paraId="5657491D">
            <w:pPr>
              <w:spacing w:line="440" w:lineRule="exact"/>
              <w:jc w:val="center"/>
              <w:outlineLvl w:val="9"/>
              <w:rPr>
                <w:rFonts w:ascii="宋体" w:hAnsi="宋体"/>
                <w:color w:val="000000"/>
                <w:szCs w:val="21"/>
              </w:rPr>
            </w:pPr>
          </w:p>
        </w:tc>
        <w:tc>
          <w:tcPr>
            <w:tcW w:w="1343" w:type="dxa"/>
            <w:noWrap w:val="0"/>
            <w:vAlign w:val="center"/>
          </w:tcPr>
          <w:p w14:paraId="0A47DA88">
            <w:pPr>
              <w:spacing w:line="440" w:lineRule="exact"/>
              <w:jc w:val="center"/>
              <w:outlineLvl w:val="9"/>
              <w:rPr>
                <w:rFonts w:ascii="宋体" w:hAnsi="宋体"/>
                <w:color w:val="000000"/>
                <w:szCs w:val="21"/>
              </w:rPr>
            </w:pPr>
          </w:p>
        </w:tc>
      </w:tr>
      <w:tr w14:paraId="08FB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noWrap w:val="0"/>
            <w:vAlign w:val="center"/>
          </w:tcPr>
          <w:p w14:paraId="7D752E00">
            <w:pPr>
              <w:jc w:val="center"/>
              <w:outlineLvl w:val="9"/>
              <w:rPr>
                <w:rFonts w:hint="eastAsia" w:ascii="宋体" w:hAnsi="宋体"/>
                <w:bCs/>
                <w:color w:val="000000"/>
                <w:szCs w:val="21"/>
              </w:rPr>
            </w:pPr>
          </w:p>
        </w:tc>
        <w:tc>
          <w:tcPr>
            <w:tcW w:w="1377" w:type="dxa"/>
            <w:noWrap w:val="0"/>
            <w:vAlign w:val="top"/>
          </w:tcPr>
          <w:p w14:paraId="1F52EE00">
            <w:pPr>
              <w:spacing w:line="440" w:lineRule="exact"/>
              <w:jc w:val="center"/>
              <w:outlineLvl w:val="9"/>
              <w:rPr>
                <w:rFonts w:hint="eastAsia" w:ascii="宋体" w:hAnsi="宋体"/>
                <w:color w:val="000000"/>
                <w:szCs w:val="21"/>
              </w:rPr>
            </w:pPr>
          </w:p>
        </w:tc>
        <w:tc>
          <w:tcPr>
            <w:tcW w:w="1656" w:type="dxa"/>
            <w:noWrap w:val="0"/>
            <w:vAlign w:val="top"/>
          </w:tcPr>
          <w:p w14:paraId="7E709B1C">
            <w:pPr>
              <w:spacing w:line="440" w:lineRule="exact"/>
              <w:jc w:val="center"/>
              <w:outlineLvl w:val="9"/>
              <w:rPr>
                <w:rFonts w:ascii="宋体" w:hAnsi="宋体"/>
                <w:color w:val="000000"/>
                <w:szCs w:val="21"/>
              </w:rPr>
            </w:pPr>
          </w:p>
        </w:tc>
        <w:tc>
          <w:tcPr>
            <w:tcW w:w="1367" w:type="dxa"/>
            <w:noWrap w:val="0"/>
            <w:vAlign w:val="top"/>
          </w:tcPr>
          <w:p w14:paraId="3AE5C23B">
            <w:pPr>
              <w:spacing w:line="440" w:lineRule="exact"/>
              <w:jc w:val="center"/>
              <w:outlineLvl w:val="9"/>
              <w:rPr>
                <w:rFonts w:ascii="宋体" w:hAnsi="宋体"/>
                <w:color w:val="000000"/>
                <w:szCs w:val="21"/>
              </w:rPr>
            </w:pPr>
          </w:p>
        </w:tc>
        <w:tc>
          <w:tcPr>
            <w:tcW w:w="1611" w:type="dxa"/>
            <w:noWrap w:val="0"/>
            <w:vAlign w:val="top"/>
          </w:tcPr>
          <w:p w14:paraId="3E51A3DD">
            <w:pPr>
              <w:spacing w:line="440" w:lineRule="exact"/>
              <w:jc w:val="center"/>
              <w:outlineLvl w:val="9"/>
              <w:rPr>
                <w:rFonts w:ascii="宋体" w:hAnsi="宋体"/>
                <w:color w:val="000000"/>
                <w:szCs w:val="21"/>
              </w:rPr>
            </w:pPr>
          </w:p>
        </w:tc>
        <w:tc>
          <w:tcPr>
            <w:tcW w:w="1296" w:type="dxa"/>
            <w:noWrap w:val="0"/>
            <w:vAlign w:val="top"/>
          </w:tcPr>
          <w:p w14:paraId="5267B9C5">
            <w:pPr>
              <w:spacing w:line="440" w:lineRule="exact"/>
              <w:jc w:val="center"/>
              <w:outlineLvl w:val="9"/>
              <w:rPr>
                <w:rFonts w:ascii="宋体" w:hAnsi="宋体"/>
                <w:color w:val="000000"/>
                <w:szCs w:val="21"/>
              </w:rPr>
            </w:pPr>
          </w:p>
        </w:tc>
        <w:tc>
          <w:tcPr>
            <w:tcW w:w="1343" w:type="dxa"/>
            <w:noWrap w:val="0"/>
            <w:vAlign w:val="top"/>
          </w:tcPr>
          <w:p w14:paraId="3BA2EF0F">
            <w:pPr>
              <w:spacing w:line="440" w:lineRule="exact"/>
              <w:jc w:val="center"/>
              <w:outlineLvl w:val="9"/>
              <w:rPr>
                <w:rFonts w:ascii="宋体" w:hAnsi="宋体"/>
                <w:color w:val="000000"/>
                <w:szCs w:val="21"/>
              </w:rPr>
            </w:pPr>
          </w:p>
        </w:tc>
      </w:tr>
      <w:tr w14:paraId="6482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noWrap w:val="0"/>
            <w:vAlign w:val="center"/>
          </w:tcPr>
          <w:p w14:paraId="53230BF3">
            <w:pPr>
              <w:jc w:val="center"/>
              <w:outlineLvl w:val="9"/>
              <w:rPr>
                <w:rFonts w:hint="eastAsia" w:ascii="宋体" w:hAnsi="宋体"/>
                <w:bCs/>
                <w:color w:val="000000"/>
                <w:szCs w:val="21"/>
              </w:rPr>
            </w:pPr>
          </w:p>
        </w:tc>
        <w:tc>
          <w:tcPr>
            <w:tcW w:w="1377" w:type="dxa"/>
            <w:noWrap w:val="0"/>
            <w:vAlign w:val="top"/>
          </w:tcPr>
          <w:p w14:paraId="5DF7944B">
            <w:pPr>
              <w:spacing w:line="440" w:lineRule="exact"/>
              <w:jc w:val="center"/>
              <w:outlineLvl w:val="9"/>
              <w:rPr>
                <w:rFonts w:ascii="宋体" w:hAnsi="宋体"/>
                <w:color w:val="000000"/>
                <w:szCs w:val="21"/>
              </w:rPr>
            </w:pPr>
          </w:p>
        </w:tc>
        <w:tc>
          <w:tcPr>
            <w:tcW w:w="1656" w:type="dxa"/>
            <w:noWrap w:val="0"/>
            <w:vAlign w:val="top"/>
          </w:tcPr>
          <w:p w14:paraId="1B3E8128">
            <w:pPr>
              <w:spacing w:line="440" w:lineRule="exact"/>
              <w:jc w:val="center"/>
              <w:outlineLvl w:val="9"/>
              <w:rPr>
                <w:rFonts w:ascii="宋体" w:hAnsi="宋体"/>
                <w:color w:val="000000"/>
                <w:szCs w:val="21"/>
              </w:rPr>
            </w:pPr>
          </w:p>
        </w:tc>
        <w:tc>
          <w:tcPr>
            <w:tcW w:w="1367" w:type="dxa"/>
            <w:noWrap w:val="0"/>
            <w:vAlign w:val="top"/>
          </w:tcPr>
          <w:p w14:paraId="1070D817">
            <w:pPr>
              <w:spacing w:line="440" w:lineRule="exact"/>
              <w:jc w:val="center"/>
              <w:outlineLvl w:val="9"/>
              <w:rPr>
                <w:rFonts w:ascii="宋体" w:hAnsi="宋体"/>
                <w:color w:val="000000"/>
                <w:szCs w:val="21"/>
              </w:rPr>
            </w:pPr>
          </w:p>
        </w:tc>
        <w:tc>
          <w:tcPr>
            <w:tcW w:w="1611" w:type="dxa"/>
            <w:noWrap w:val="0"/>
            <w:vAlign w:val="top"/>
          </w:tcPr>
          <w:p w14:paraId="6F88811F">
            <w:pPr>
              <w:spacing w:line="440" w:lineRule="exact"/>
              <w:jc w:val="center"/>
              <w:outlineLvl w:val="9"/>
              <w:rPr>
                <w:rFonts w:ascii="宋体" w:hAnsi="宋体"/>
                <w:color w:val="000000"/>
                <w:szCs w:val="21"/>
              </w:rPr>
            </w:pPr>
          </w:p>
        </w:tc>
        <w:tc>
          <w:tcPr>
            <w:tcW w:w="1296" w:type="dxa"/>
            <w:noWrap w:val="0"/>
            <w:vAlign w:val="top"/>
          </w:tcPr>
          <w:p w14:paraId="4290F02B">
            <w:pPr>
              <w:spacing w:line="440" w:lineRule="exact"/>
              <w:jc w:val="center"/>
              <w:outlineLvl w:val="9"/>
              <w:rPr>
                <w:rFonts w:ascii="宋体" w:hAnsi="宋体"/>
                <w:color w:val="000000"/>
                <w:szCs w:val="21"/>
              </w:rPr>
            </w:pPr>
          </w:p>
        </w:tc>
        <w:tc>
          <w:tcPr>
            <w:tcW w:w="1343" w:type="dxa"/>
            <w:noWrap w:val="0"/>
            <w:vAlign w:val="top"/>
          </w:tcPr>
          <w:p w14:paraId="26F3FE93">
            <w:pPr>
              <w:spacing w:line="440" w:lineRule="exact"/>
              <w:jc w:val="center"/>
              <w:outlineLvl w:val="9"/>
              <w:rPr>
                <w:rFonts w:ascii="宋体" w:hAnsi="宋体"/>
                <w:color w:val="000000"/>
                <w:szCs w:val="21"/>
              </w:rPr>
            </w:pPr>
          </w:p>
        </w:tc>
      </w:tr>
      <w:tr w14:paraId="3807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noWrap w:val="0"/>
            <w:vAlign w:val="center"/>
          </w:tcPr>
          <w:p w14:paraId="553D5CCE">
            <w:pPr>
              <w:jc w:val="center"/>
              <w:outlineLvl w:val="9"/>
              <w:rPr>
                <w:rFonts w:hint="eastAsia" w:ascii="宋体" w:hAnsi="宋体"/>
                <w:bCs/>
                <w:color w:val="000000"/>
                <w:szCs w:val="21"/>
              </w:rPr>
            </w:pPr>
          </w:p>
        </w:tc>
        <w:tc>
          <w:tcPr>
            <w:tcW w:w="1377" w:type="dxa"/>
            <w:noWrap w:val="0"/>
            <w:vAlign w:val="top"/>
          </w:tcPr>
          <w:p w14:paraId="233CA683">
            <w:pPr>
              <w:spacing w:line="440" w:lineRule="exact"/>
              <w:jc w:val="center"/>
              <w:outlineLvl w:val="9"/>
              <w:rPr>
                <w:rFonts w:ascii="宋体" w:hAnsi="宋体"/>
                <w:color w:val="000000"/>
                <w:szCs w:val="21"/>
              </w:rPr>
            </w:pPr>
          </w:p>
        </w:tc>
        <w:tc>
          <w:tcPr>
            <w:tcW w:w="1656" w:type="dxa"/>
            <w:noWrap w:val="0"/>
            <w:vAlign w:val="top"/>
          </w:tcPr>
          <w:p w14:paraId="0189FEF2">
            <w:pPr>
              <w:spacing w:line="440" w:lineRule="exact"/>
              <w:jc w:val="center"/>
              <w:outlineLvl w:val="9"/>
              <w:rPr>
                <w:rFonts w:ascii="宋体" w:hAnsi="宋体"/>
                <w:color w:val="000000"/>
                <w:szCs w:val="21"/>
              </w:rPr>
            </w:pPr>
          </w:p>
        </w:tc>
        <w:tc>
          <w:tcPr>
            <w:tcW w:w="1367" w:type="dxa"/>
            <w:noWrap w:val="0"/>
            <w:vAlign w:val="top"/>
          </w:tcPr>
          <w:p w14:paraId="318EBC03">
            <w:pPr>
              <w:spacing w:line="440" w:lineRule="exact"/>
              <w:jc w:val="center"/>
              <w:outlineLvl w:val="9"/>
              <w:rPr>
                <w:rFonts w:ascii="宋体" w:hAnsi="宋体"/>
                <w:color w:val="000000"/>
                <w:szCs w:val="21"/>
              </w:rPr>
            </w:pPr>
          </w:p>
        </w:tc>
        <w:tc>
          <w:tcPr>
            <w:tcW w:w="1611" w:type="dxa"/>
            <w:noWrap w:val="0"/>
            <w:vAlign w:val="top"/>
          </w:tcPr>
          <w:p w14:paraId="21B98006">
            <w:pPr>
              <w:spacing w:line="440" w:lineRule="exact"/>
              <w:jc w:val="center"/>
              <w:outlineLvl w:val="9"/>
              <w:rPr>
                <w:rFonts w:ascii="宋体" w:hAnsi="宋体"/>
                <w:color w:val="000000"/>
                <w:szCs w:val="21"/>
              </w:rPr>
            </w:pPr>
          </w:p>
        </w:tc>
        <w:tc>
          <w:tcPr>
            <w:tcW w:w="1296" w:type="dxa"/>
            <w:noWrap w:val="0"/>
            <w:vAlign w:val="top"/>
          </w:tcPr>
          <w:p w14:paraId="6014EDF0">
            <w:pPr>
              <w:spacing w:line="440" w:lineRule="exact"/>
              <w:jc w:val="center"/>
              <w:outlineLvl w:val="9"/>
              <w:rPr>
                <w:rFonts w:ascii="宋体" w:hAnsi="宋体"/>
                <w:color w:val="000000"/>
                <w:szCs w:val="21"/>
              </w:rPr>
            </w:pPr>
          </w:p>
        </w:tc>
        <w:tc>
          <w:tcPr>
            <w:tcW w:w="1343" w:type="dxa"/>
            <w:noWrap w:val="0"/>
            <w:vAlign w:val="top"/>
          </w:tcPr>
          <w:p w14:paraId="71AAA3D1">
            <w:pPr>
              <w:spacing w:line="440" w:lineRule="exact"/>
              <w:jc w:val="center"/>
              <w:outlineLvl w:val="9"/>
              <w:rPr>
                <w:rFonts w:ascii="宋体" w:hAnsi="宋体"/>
                <w:color w:val="000000"/>
                <w:szCs w:val="21"/>
              </w:rPr>
            </w:pPr>
          </w:p>
        </w:tc>
      </w:tr>
      <w:tr w14:paraId="0FCF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noWrap w:val="0"/>
            <w:vAlign w:val="center"/>
          </w:tcPr>
          <w:p w14:paraId="62AD9AF6">
            <w:pPr>
              <w:jc w:val="center"/>
              <w:outlineLvl w:val="9"/>
              <w:rPr>
                <w:rFonts w:hint="eastAsia" w:ascii="宋体" w:hAnsi="宋体" w:eastAsia="宋体"/>
                <w:bCs/>
                <w:color w:val="000000"/>
                <w:szCs w:val="21"/>
                <w:lang w:val="en-US" w:eastAsia="zh-CN"/>
              </w:rPr>
            </w:pPr>
          </w:p>
        </w:tc>
        <w:tc>
          <w:tcPr>
            <w:tcW w:w="1377" w:type="dxa"/>
            <w:noWrap w:val="0"/>
            <w:vAlign w:val="top"/>
          </w:tcPr>
          <w:p w14:paraId="1812EBB1">
            <w:pPr>
              <w:spacing w:line="440" w:lineRule="exact"/>
              <w:jc w:val="center"/>
              <w:outlineLvl w:val="9"/>
              <w:rPr>
                <w:rFonts w:ascii="宋体" w:hAnsi="宋体"/>
                <w:color w:val="000000"/>
                <w:szCs w:val="21"/>
              </w:rPr>
            </w:pPr>
          </w:p>
        </w:tc>
        <w:tc>
          <w:tcPr>
            <w:tcW w:w="1656" w:type="dxa"/>
            <w:noWrap w:val="0"/>
            <w:vAlign w:val="top"/>
          </w:tcPr>
          <w:p w14:paraId="06754C24">
            <w:pPr>
              <w:spacing w:line="440" w:lineRule="exact"/>
              <w:jc w:val="center"/>
              <w:outlineLvl w:val="9"/>
              <w:rPr>
                <w:rFonts w:ascii="宋体" w:hAnsi="宋体"/>
                <w:color w:val="000000"/>
                <w:szCs w:val="21"/>
              </w:rPr>
            </w:pPr>
          </w:p>
        </w:tc>
        <w:tc>
          <w:tcPr>
            <w:tcW w:w="1367" w:type="dxa"/>
            <w:noWrap w:val="0"/>
            <w:vAlign w:val="top"/>
          </w:tcPr>
          <w:p w14:paraId="0D774D52">
            <w:pPr>
              <w:spacing w:line="440" w:lineRule="exact"/>
              <w:jc w:val="center"/>
              <w:outlineLvl w:val="9"/>
              <w:rPr>
                <w:rFonts w:ascii="宋体" w:hAnsi="宋体"/>
                <w:color w:val="000000"/>
                <w:szCs w:val="21"/>
              </w:rPr>
            </w:pPr>
          </w:p>
        </w:tc>
        <w:tc>
          <w:tcPr>
            <w:tcW w:w="1611" w:type="dxa"/>
            <w:noWrap w:val="0"/>
            <w:vAlign w:val="top"/>
          </w:tcPr>
          <w:p w14:paraId="546F2FFB">
            <w:pPr>
              <w:spacing w:line="440" w:lineRule="exact"/>
              <w:jc w:val="center"/>
              <w:outlineLvl w:val="9"/>
              <w:rPr>
                <w:rFonts w:ascii="宋体" w:hAnsi="宋体"/>
                <w:color w:val="000000"/>
                <w:szCs w:val="21"/>
              </w:rPr>
            </w:pPr>
          </w:p>
        </w:tc>
        <w:tc>
          <w:tcPr>
            <w:tcW w:w="1296" w:type="dxa"/>
            <w:noWrap w:val="0"/>
            <w:vAlign w:val="top"/>
          </w:tcPr>
          <w:p w14:paraId="559C9F4F">
            <w:pPr>
              <w:spacing w:line="440" w:lineRule="exact"/>
              <w:jc w:val="center"/>
              <w:outlineLvl w:val="9"/>
              <w:rPr>
                <w:rFonts w:ascii="宋体" w:hAnsi="宋体"/>
                <w:color w:val="000000"/>
                <w:szCs w:val="21"/>
              </w:rPr>
            </w:pPr>
          </w:p>
        </w:tc>
        <w:tc>
          <w:tcPr>
            <w:tcW w:w="1343" w:type="dxa"/>
            <w:noWrap w:val="0"/>
            <w:vAlign w:val="top"/>
          </w:tcPr>
          <w:p w14:paraId="582975CF">
            <w:pPr>
              <w:spacing w:line="440" w:lineRule="exact"/>
              <w:jc w:val="center"/>
              <w:outlineLvl w:val="9"/>
              <w:rPr>
                <w:rFonts w:ascii="宋体" w:hAnsi="宋体"/>
                <w:color w:val="000000"/>
                <w:szCs w:val="21"/>
              </w:rPr>
            </w:pPr>
          </w:p>
        </w:tc>
      </w:tr>
      <w:tr w14:paraId="13D3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noWrap w:val="0"/>
            <w:vAlign w:val="top"/>
          </w:tcPr>
          <w:p w14:paraId="3AB7FED8">
            <w:pPr>
              <w:spacing w:line="440" w:lineRule="exact"/>
              <w:jc w:val="center"/>
              <w:outlineLvl w:val="9"/>
              <w:rPr>
                <w:rFonts w:ascii="宋体" w:hAnsi="宋体"/>
                <w:color w:val="000000"/>
                <w:szCs w:val="21"/>
              </w:rPr>
            </w:pPr>
          </w:p>
        </w:tc>
        <w:tc>
          <w:tcPr>
            <w:tcW w:w="1377" w:type="dxa"/>
            <w:noWrap w:val="0"/>
            <w:vAlign w:val="top"/>
          </w:tcPr>
          <w:p w14:paraId="1F0C58D7">
            <w:pPr>
              <w:spacing w:line="440" w:lineRule="exact"/>
              <w:jc w:val="center"/>
              <w:outlineLvl w:val="9"/>
              <w:rPr>
                <w:rFonts w:ascii="宋体" w:hAnsi="宋体"/>
                <w:color w:val="000000"/>
                <w:szCs w:val="21"/>
              </w:rPr>
            </w:pPr>
          </w:p>
        </w:tc>
        <w:tc>
          <w:tcPr>
            <w:tcW w:w="1656" w:type="dxa"/>
            <w:noWrap w:val="0"/>
            <w:vAlign w:val="top"/>
          </w:tcPr>
          <w:p w14:paraId="5CD444FC">
            <w:pPr>
              <w:spacing w:line="440" w:lineRule="exact"/>
              <w:jc w:val="center"/>
              <w:outlineLvl w:val="9"/>
              <w:rPr>
                <w:rFonts w:ascii="宋体" w:hAnsi="宋体"/>
                <w:color w:val="000000"/>
                <w:szCs w:val="21"/>
              </w:rPr>
            </w:pPr>
          </w:p>
        </w:tc>
        <w:tc>
          <w:tcPr>
            <w:tcW w:w="1367" w:type="dxa"/>
            <w:noWrap w:val="0"/>
            <w:vAlign w:val="top"/>
          </w:tcPr>
          <w:p w14:paraId="7712014E">
            <w:pPr>
              <w:spacing w:line="440" w:lineRule="exact"/>
              <w:jc w:val="center"/>
              <w:outlineLvl w:val="9"/>
              <w:rPr>
                <w:rFonts w:ascii="宋体" w:hAnsi="宋体"/>
                <w:color w:val="000000"/>
                <w:szCs w:val="21"/>
              </w:rPr>
            </w:pPr>
          </w:p>
        </w:tc>
        <w:tc>
          <w:tcPr>
            <w:tcW w:w="1611" w:type="dxa"/>
            <w:noWrap w:val="0"/>
            <w:vAlign w:val="top"/>
          </w:tcPr>
          <w:p w14:paraId="4DF0B69C">
            <w:pPr>
              <w:spacing w:line="440" w:lineRule="exact"/>
              <w:jc w:val="center"/>
              <w:outlineLvl w:val="9"/>
              <w:rPr>
                <w:rFonts w:ascii="宋体" w:hAnsi="宋体"/>
                <w:color w:val="000000"/>
                <w:szCs w:val="21"/>
              </w:rPr>
            </w:pPr>
          </w:p>
        </w:tc>
        <w:tc>
          <w:tcPr>
            <w:tcW w:w="1296" w:type="dxa"/>
            <w:noWrap w:val="0"/>
            <w:vAlign w:val="top"/>
          </w:tcPr>
          <w:p w14:paraId="47FB0FE1">
            <w:pPr>
              <w:spacing w:line="440" w:lineRule="exact"/>
              <w:jc w:val="center"/>
              <w:outlineLvl w:val="9"/>
              <w:rPr>
                <w:rFonts w:ascii="宋体" w:hAnsi="宋体"/>
                <w:color w:val="000000"/>
                <w:szCs w:val="21"/>
              </w:rPr>
            </w:pPr>
          </w:p>
        </w:tc>
        <w:tc>
          <w:tcPr>
            <w:tcW w:w="1343" w:type="dxa"/>
            <w:noWrap w:val="0"/>
            <w:vAlign w:val="top"/>
          </w:tcPr>
          <w:p w14:paraId="3978EC1B">
            <w:pPr>
              <w:spacing w:line="440" w:lineRule="exact"/>
              <w:jc w:val="center"/>
              <w:outlineLvl w:val="9"/>
              <w:rPr>
                <w:rFonts w:ascii="宋体" w:hAnsi="宋体"/>
                <w:color w:val="000000"/>
                <w:szCs w:val="21"/>
              </w:rPr>
            </w:pPr>
          </w:p>
        </w:tc>
      </w:tr>
      <w:tr w14:paraId="46CE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noWrap w:val="0"/>
            <w:vAlign w:val="top"/>
          </w:tcPr>
          <w:p w14:paraId="71312041">
            <w:pPr>
              <w:spacing w:line="440" w:lineRule="exact"/>
              <w:jc w:val="center"/>
              <w:outlineLvl w:val="9"/>
              <w:rPr>
                <w:rFonts w:hint="eastAsia" w:ascii="宋体" w:hAnsi="宋体" w:eastAsia="宋体"/>
                <w:bCs/>
                <w:color w:val="000000"/>
                <w:szCs w:val="21"/>
                <w:lang w:val="en-US" w:eastAsia="zh-CN"/>
              </w:rPr>
            </w:pPr>
          </w:p>
        </w:tc>
        <w:tc>
          <w:tcPr>
            <w:tcW w:w="1377" w:type="dxa"/>
            <w:noWrap w:val="0"/>
            <w:vAlign w:val="top"/>
          </w:tcPr>
          <w:p w14:paraId="3E1C7245">
            <w:pPr>
              <w:spacing w:line="440" w:lineRule="exact"/>
              <w:jc w:val="center"/>
              <w:outlineLvl w:val="9"/>
              <w:rPr>
                <w:rFonts w:ascii="宋体" w:hAnsi="宋体"/>
                <w:color w:val="000000"/>
                <w:szCs w:val="21"/>
              </w:rPr>
            </w:pPr>
          </w:p>
        </w:tc>
        <w:tc>
          <w:tcPr>
            <w:tcW w:w="1656" w:type="dxa"/>
            <w:noWrap w:val="0"/>
            <w:vAlign w:val="top"/>
          </w:tcPr>
          <w:p w14:paraId="4E0CA51E">
            <w:pPr>
              <w:spacing w:line="440" w:lineRule="exact"/>
              <w:jc w:val="center"/>
              <w:outlineLvl w:val="9"/>
              <w:rPr>
                <w:rFonts w:ascii="宋体" w:hAnsi="宋体"/>
                <w:color w:val="000000"/>
                <w:szCs w:val="21"/>
              </w:rPr>
            </w:pPr>
          </w:p>
        </w:tc>
        <w:tc>
          <w:tcPr>
            <w:tcW w:w="1367" w:type="dxa"/>
            <w:noWrap w:val="0"/>
            <w:vAlign w:val="top"/>
          </w:tcPr>
          <w:p w14:paraId="4A8FD34F">
            <w:pPr>
              <w:spacing w:line="440" w:lineRule="exact"/>
              <w:jc w:val="center"/>
              <w:outlineLvl w:val="9"/>
              <w:rPr>
                <w:rFonts w:ascii="宋体" w:hAnsi="宋体"/>
                <w:color w:val="000000"/>
                <w:szCs w:val="21"/>
              </w:rPr>
            </w:pPr>
          </w:p>
        </w:tc>
        <w:tc>
          <w:tcPr>
            <w:tcW w:w="1611" w:type="dxa"/>
            <w:noWrap w:val="0"/>
            <w:vAlign w:val="top"/>
          </w:tcPr>
          <w:p w14:paraId="5F13C179">
            <w:pPr>
              <w:spacing w:line="440" w:lineRule="exact"/>
              <w:jc w:val="center"/>
              <w:outlineLvl w:val="9"/>
              <w:rPr>
                <w:rFonts w:ascii="宋体" w:hAnsi="宋体"/>
                <w:color w:val="000000"/>
                <w:szCs w:val="21"/>
              </w:rPr>
            </w:pPr>
          </w:p>
        </w:tc>
        <w:tc>
          <w:tcPr>
            <w:tcW w:w="1296" w:type="dxa"/>
            <w:noWrap w:val="0"/>
            <w:vAlign w:val="top"/>
          </w:tcPr>
          <w:p w14:paraId="4B3F1106">
            <w:pPr>
              <w:spacing w:line="440" w:lineRule="exact"/>
              <w:jc w:val="center"/>
              <w:outlineLvl w:val="9"/>
              <w:rPr>
                <w:rFonts w:ascii="宋体" w:hAnsi="宋体"/>
                <w:color w:val="000000"/>
                <w:szCs w:val="21"/>
              </w:rPr>
            </w:pPr>
          </w:p>
        </w:tc>
        <w:tc>
          <w:tcPr>
            <w:tcW w:w="1343" w:type="dxa"/>
            <w:noWrap w:val="0"/>
            <w:vAlign w:val="top"/>
          </w:tcPr>
          <w:p w14:paraId="4F5E094A">
            <w:pPr>
              <w:spacing w:line="440" w:lineRule="exact"/>
              <w:jc w:val="center"/>
              <w:outlineLvl w:val="9"/>
              <w:rPr>
                <w:rFonts w:ascii="宋体" w:hAnsi="宋体"/>
                <w:color w:val="000000"/>
                <w:szCs w:val="21"/>
              </w:rPr>
            </w:pPr>
          </w:p>
        </w:tc>
      </w:tr>
      <w:tr w14:paraId="161C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noWrap w:val="0"/>
            <w:vAlign w:val="top"/>
          </w:tcPr>
          <w:p w14:paraId="59B0522A">
            <w:pPr>
              <w:spacing w:line="440" w:lineRule="exact"/>
              <w:jc w:val="center"/>
              <w:outlineLvl w:val="9"/>
              <w:rPr>
                <w:rFonts w:ascii="宋体" w:hAnsi="宋体"/>
                <w:color w:val="000000"/>
                <w:szCs w:val="21"/>
              </w:rPr>
            </w:pPr>
          </w:p>
        </w:tc>
        <w:tc>
          <w:tcPr>
            <w:tcW w:w="1377" w:type="dxa"/>
            <w:noWrap w:val="0"/>
            <w:vAlign w:val="top"/>
          </w:tcPr>
          <w:p w14:paraId="76A5BA6C">
            <w:pPr>
              <w:spacing w:line="440" w:lineRule="exact"/>
              <w:jc w:val="center"/>
              <w:outlineLvl w:val="9"/>
              <w:rPr>
                <w:rFonts w:ascii="宋体" w:hAnsi="宋体"/>
                <w:color w:val="000000"/>
                <w:szCs w:val="21"/>
              </w:rPr>
            </w:pPr>
          </w:p>
        </w:tc>
        <w:tc>
          <w:tcPr>
            <w:tcW w:w="1656" w:type="dxa"/>
            <w:noWrap w:val="0"/>
            <w:vAlign w:val="top"/>
          </w:tcPr>
          <w:p w14:paraId="22BED35B">
            <w:pPr>
              <w:spacing w:line="440" w:lineRule="exact"/>
              <w:jc w:val="center"/>
              <w:outlineLvl w:val="9"/>
              <w:rPr>
                <w:rFonts w:ascii="宋体" w:hAnsi="宋体"/>
                <w:color w:val="000000"/>
                <w:szCs w:val="21"/>
              </w:rPr>
            </w:pPr>
          </w:p>
        </w:tc>
        <w:tc>
          <w:tcPr>
            <w:tcW w:w="1367" w:type="dxa"/>
            <w:noWrap w:val="0"/>
            <w:vAlign w:val="top"/>
          </w:tcPr>
          <w:p w14:paraId="6FC4E37F">
            <w:pPr>
              <w:spacing w:line="440" w:lineRule="exact"/>
              <w:jc w:val="center"/>
              <w:outlineLvl w:val="9"/>
              <w:rPr>
                <w:rFonts w:ascii="宋体" w:hAnsi="宋体"/>
                <w:color w:val="000000"/>
                <w:szCs w:val="21"/>
              </w:rPr>
            </w:pPr>
          </w:p>
        </w:tc>
        <w:tc>
          <w:tcPr>
            <w:tcW w:w="1611" w:type="dxa"/>
            <w:noWrap w:val="0"/>
            <w:vAlign w:val="top"/>
          </w:tcPr>
          <w:p w14:paraId="1135C4FD">
            <w:pPr>
              <w:spacing w:line="440" w:lineRule="exact"/>
              <w:jc w:val="center"/>
              <w:outlineLvl w:val="9"/>
              <w:rPr>
                <w:rFonts w:ascii="宋体" w:hAnsi="宋体"/>
                <w:color w:val="000000"/>
                <w:szCs w:val="21"/>
              </w:rPr>
            </w:pPr>
          </w:p>
        </w:tc>
        <w:tc>
          <w:tcPr>
            <w:tcW w:w="1296" w:type="dxa"/>
            <w:noWrap w:val="0"/>
            <w:vAlign w:val="top"/>
          </w:tcPr>
          <w:p w14:paraId="55D489D2">
            <w:pPr>
              <w:spacing w:line="440" w:lineRule="exact"/>
              <w:jc w:val="center"/>
              <w:outlineLvl w:val="9"/>
              <w:rPr>
                <w:rFonts w:ascii="宋体" w:hAnsi="宋体"/>
                <w:color w:val="000000"/>
                <w:szCs w:val="21"/>
              </w:rPr>
            </w:pPr>
          </w:p>
        </w:tc>
        <w:tc>
          <w:tcPr>
            <w:tcW w:w="1343" w:type="dxa"/>
            <w:noWrap w:val="0"/>
            <w:vAlign w:val="top"/>
          </w:tcPr>
          <w:p w14:paraId="53EC86C1">
            <w:pPr>
              <w:spacing w:line="440" w:lineRule="exact"/>
              <w:jc w:val="center"/>
              <w:outlineLvl w:val="9"/>
              <w:rPr>
                <w:rFonts w:ascii="宋体" w:hAnsi="宋体"/>
                <w:color w:val="000000"/>
                <w:szCs w:val="21"/>
              </w:rPr>
            </w:pPr>
          </w:p>
        </w:tc>
      </w:tr>
      <w:tr w14:paraId="0142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noWrap w:val="0"/>
            <w:vAlign w:val="top"/>
          </w:tcPr>
          <w:p w14:paraId="415AD620">
            <w:pPr>
              <w:spacing w:line="440" w:lineRule="exact"/>
              <w:jc w:val="center"/>
              <w:outlineLvl w:val="9"/>
              <w:rPr>
                <w:rFonts w:ascii="宋体" w:hAnsi="宋体"/>
                <w:color w:val="000000"/>
                <w:szCs w:val="21"/>
              </w:rPr>
            </w:pPr>
          </w:p>
        </w:tc>
        <w:tc>
          <w:tcPr>
            <w:tcW w:w="1377" w:type="dxa"/>
            <w:noWrap w:val="0"/>
            <w:vAlign w:val="top"/>
          </w:tcPr>
          <w:p w14:paraId="611B5A71">
            <w:pPr>
              <w:spacing w:line="440" w:lineRule="exact"/>
              <w:jc w:val="center"/>
              <w:outlineLvl w:val="9"/>
              <w:rPr>
                <w:rFonts w:ascii="宋体" w:hAnsi="宋体"/>
                <w:color w:val="000000"/>
                <w:szCs w:val="21"/>
              </w:rPr>
            </w:pPr>
          </w:p>
        </w:tc>
        <w:tc>
          <w:tcPr>
            <w:tcW w:w="1656" w:type="dxa"/>
            <w:noWrap w:val="0"/>
            <w:vAlign w:val="top"/>
          </w:tcPr>
          <w:p w14:paraId="1D7D5127">
            <w:pPr>
              <w:spacing w:line="440" w:lineRule="exact"/>
              <w:jc w:val="center"/>
              <w:outlineLvl w:val="9"/>
              <w:rPr>
                <w:rFonts w:ascii="宋体" w:hAnsi="宋体"/>
                <w:color w:val="000000"/>
                <w:szCs w:val="21"/>
              </w:rPr>
            </w:pPr>
          </w:p>
        </w:tc>
        <w:tc>
          <w:tcPr>
            <w:tcW w:w="1367" w:type="dxa"/>
            <w:noWrap w:val="0"/>
            <w:vAlign w:val="top"/>
          </w:tcPr>
          <w:p w14:paraId="22B9BAF7">
            <w:pPr>
              <w:spacing w:line="440" w:lineRule="exact"/>
              <w:jc w:val="center"/>
              <w:outlineLvl w:val="9"/>
              <w:rPr>
                <w:rFonts w:ascii="宋体" w:hAnsi="宋体"/>
                <w:color w:val="000000"/>
                <w:szCs w:val="21"/>
              </w:rPr>
            </w:pPr>
          </w:p>
        </w:tc>
        <w:tc>
          <w:tcPr>
            <w:tcW w:w="1611" w:type="dxa"/>
            <w:noWrap w:val="0"/>
            <w:vAlign w:val="top"/>
          </w:tcPr>
          <w:p w14:paraId="77582C9C">
            <w:pPr>
              <w:spacing w:line="440" w:lineRule="exact"/>
              <w:jc w:val="center"/>
              <w:outlineLvl w:val="9"/>
              <w:rPr>
                <w:rFonts w:ascii="宋体" w:hAnsi="宋体"/>
                <w:color w:val="000000"/>
                <w:szCs w:val="21"/>
              </w:rPr>
            </w:pPr>
          </w:p>
        </w:tc>
        <w:tc>
          <w:tcPr>
            <w:tcW w:w="1296" w:type="dxa"/>
            <w:noWrap w:val="0"/>
            <w:vAlign w:val="top"/>
          </w:tcPr>
          <w:p w14:paraId="0D107F40">
            <w:pPr>
              <w:spacing w:line="440" w:lineRule="exact"/>
              <w:jc w:val="center"/>
              <w:outlineLvl w:val="9"/>
              <w:rPr>
                <w:rFonts w:ascii="宋体" w:hAnsi="宋体"/>
                <w:color w:val="000000"/>
                <w:szCs w:val="21"/>
              </w:rPr>
            </w:pPr>
          </w:p>
        </w:tc>
        <w:tc>
          <w:tcPr>
            <w:tcW w:w="1343" w:type="dxa"/>
            <w:noWrap w:val="0"/>
            <w:vAlign w:val="top"/>
          </w:tcPr>
          <w:p w14:paraId="3D23E917">
            <w:pPr>
              <w:spacing w:line="440" w:lineRule="exact"/>
              <w:jc w:val="center"/>
              <w:outlineLvl w:val="9"/>
              <w:rPr>
                <w:rFonts w:ascii="宋体" w:hAnsi="宋体"/>
                <w:color w:val="000000"/>
                <w:szCs w:val="21"/>
              </w:rPr>
            </w:pPr>
          </w:p>
        </w:tc>
      </w:tr>
    </w:tbl>
    <w:p w14:paraId="1CBCD6A2">
      <w:pPr>
        <w:numPr>
          <w:ilvl w:val="0"/>
          <w:numId w:val="0"/>
        </w:numPr>
        <w:ind w:leftChars="0"/>
        <w:jc w:val="both"/>
        <w:outlineLvl w:val="9"/>
        <w:rPr>
          <w:rFonts w:hint="eastAsia" w:ascii="宋体" w:hAnsi="宋体" w:cs="宋体"/>
          <w:kern w:val="2"/>
          <w:sz w:val="24"/>
          <w:szCs w:val="24"/>
          <w:lang w:val="en-US" w:eastAsia="zh-CN" w:bidi="ar-SA"/>
        </w:rPr>
      </w:pPr>
    </w:p>
    <w:p w14:paraId="2F2CBAC4">
      <w:pPr>
        <w:numPr>
          <w:ilvl w:val="0"/>
          <w:numId w:val="0"/>
        </w:numPr>
        <w:ind w:leftChars="0"/>
        <w:jc w:val="both"/>
        <w:outlineLvl w:val="9"/>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后附相关人员身份证、资格证书（如有）、健康证、社保证明、劳务合同</w:t>
      </w:r>
    </w:p>
    <w:p w14:paraId="085EA3C5">
      <w:pPr>
        <w:outlineLvl w:val="9"/>
        <w:rPr>
          <w:rFonts w:hint="eastAsia" w:ascii="宋体" w:hAnsi="宋体" w:cs="宋体"/>
          <w:kern w:val="2"/>
          <w:sz w:val="30"/>
          <w:szCs w:val="30"/>
          <w:lang w:val="en-US" w:eastAsia="zh-CN" w:bidi="ar-SA"/>
        </w:rPr>
      </w:pPr>
    </w:p>
    <w:p w14:paraId="7E61FEFB">
      <w:pPr>
        <w:outlineLvl w:val="9"/>
        <w:rPr>
          <w:rFonts w:hint="eastAsia" w:ascii="宋体" w:hAnsi="宋体" w:cs="宋体"/>
          <w:kern w:val="2"/>
          <w:sz w:val="30"/>
          <w:szCs w:val="30"/>
          <w:lang w:val="en-US" w:eastAsia="zh-CN" w:bidi="ar-SA"/>
        </w:rPr>
      </w:pPr>
    </w:p>
    <w:p w14:paraId="5BCBAE7A">
      <w:pPr>
        <w:outlineLvl w:val="9"/>
        <w:rPr>
          <w:rFonts w:hint="eastAsia" w:ascii="宋体" w:hAnsi="宋体" w:cs="宋体"/>
          <w:kern w:val="2"/>
          <w:sz w:val="30"/>
          <w:szCs w:val="30"/>
          <w:lang w:val="en-US" w:eastAsia="zh-CN" w:bidi="ar-SA"/>
        </w:rPr>
      </w:pPr>
    </w:p>
    <w:p w14:paraId="054A3629">
      <w:pPr>
        <w:outlineLvl w:val="9"/>
        <w:rPr>
          <w:rFonts w:hint="eastAsia" w:ascii="宋体" w:hAnsi="宋体" w:cs="宋体"/>
          <w:kern w:val="2"/>
          <w:sz w:val="30"/>
          <w:szCs w:val="30"/>
          <w:lang w:val="en-US" w:eastAsia="zh-CN" w:bidi="ar-SA"/>
        </w:rPr>
      </w:pPr>
    </w:p>
    <w:p w14:paraId="0A2085B3">
      <w:pPr>
        <w:outlineLvl w:val="9"/>
        <w:rPr>
          <w:rFonts w:hint="eastAsia" w:ascii="宋体" w:hAnsi="宋体" w:cs="宋体"/>
          <w:kern w:val="2"/>
          <w:sz w:val="30"/>
          <w:szCs w:val="30"/>
          <w:lang w:val="en-US" w:eastAsia="zh-CN" w:bidi="ar-SA"/>
        </w:rPr>
      </w:pPr>
    </w:p>
    <w:p w14:paraId="45084FD9">
      <w:pPr>
        <w:outlineLvl w:val="9"/>
        <w:rPr>
          <w:rFonts w:hint="eastAsia" w:ascii="宋体" w:hAnsi="宋体" w:cs="宋体"/>
          <w:kern w:val="2"/>
          <w:sz w:val="30"/>
          <w:szCs w:val="30"/>
          <w:lang w:val="en-US" w:eastAsia="zh-CN" w:bidi="ar-SA"/>
        </w:rPr>
      </w:pPr>
    </w:p>
    <w:p w14:paraId="6E0FB7DE">
      <w:pPr>
        <w:outlineLvl w:val="9"/>
        <w:rPr>
          <w:rFonts w:hint="eastAsia" w:ascii="宋体" w:hAnsi="宋体" w:cs="宋体"/>
          <w:kern w:val="2"/>
          <w:sz w:val="30"/>
          <w:szCs w:val="30"/>
          <w:lang w:val="en-US" w:eastAsia="zh-CN" w:bidi="ar-SA"/>
        </w:rPr>
      </w:pPr>
    </w:p>
    <w:p w14:paraId="4534EC65">
      <w:pPr>
        <w:outlineLvl w:val="9"/>
        <w:rPr>
          <w:rFonts w:hint="eastAsia" w:ascii="宋体" w:hAnsi="宋体" w:cs="宋体"/>
          <w:kern w:val="2"/>
          <w:sz w:val="30"/>
          <w:szCs w:val="30"/>
          <w:lang w:val="en-US" w:eastAsia="zh-CN" w:bidi="ar-SA"/>
        </w:rPr>
      </w:pPr>
    </w:p>
    <w:p w14:paraId="6E37990D">
      <w:pPr>
        <w:outlineLvl w:val="9"/>
        <w:rPr>
          <w:rFonts w:hint="eastAsia" w:ascii="宋体" w:hAnsi="宋体" w:cs="宋体"/>
          <w:kern w:val="2"/>
          <w:sz w:val="30"/>
          <w:szCs w:val="30"/>
          <w:lang w:val="en-US" w:eastAsia="zh-CN" w:bidi="ar-SA"/>
        </w:rPr>
      </w:pPr>
    </w:p>
    <w:p w14:paraId="742C62E1">
      <w:pPr>
        <w:outlineLvl w:val="9"/>
        <w:rPr>
          <w:rFonts w:hint="eastAsia" w:ascii="宋体" w:hAnsi="宋体" w:cs="宋体"/>
          <w:kern w:val="2"/>
          <w:sz w:val="30"/>
          <w:szCs w:val="30"/>
          <w:lang w:val="en-US" w:eastAsia="zh-CN" w:bidi="ar-SA"/>
        </w:rPr>
      </w:pPr>
    </w:p>
    <w:p w14:paraId="32F923AB">
      <w:pPr>
        <w:outlineLvl w:val="9"/>
        <w:rPr>
          <w:rFonts w:hint="eastAsia" w:ascii="宋体" w:hAnsi="宋体" w:cs="宋体"/>
          <w:kern w:val="2"/>
          <w:sz w:val="30"/>
          <w:szCs w:val="30"/>
          <w:lang w:val="en-US" w:eastAsia="zh-CN" w:bidi="ar-SA"/>
        </w:rPr>
      </w:pPr>
    </w:p>
    <w:p w14:paraId="5D80402C">
      <w:pPr>
        <w:outlineLvl w:val="9"/>
        <w:rPr>
          <w:rFonts w:hint="eastAsia" w:ascii="宋体" w:hAnsi="宋体" w:cs="宋体"/>
          <w:kern w:val="2"/>
          <w:sz w:val="30"/>
          <w:szCs w:val="30"/>
          <w:lang w:val="en-US" w:eastAsia="zh-CN" w:bidi="ar-SA"/>
        </w:rPr>
      </w:pPr>
    </w:p>
    <w:p w14:paraId="1C135FFF">
      <w:pPr>
        <w:outlineLvl w:val="2"/>
        <w:rPr>
          <w:rFonts w:hint="eastAsia" w:ascii="宋体" w:hAnsi="宋体" w:cs="宋体"/>
          <w:kern w:val="2"/>
          <w:sz w:val="30"/>
          <w:szCs w:val="30"/>
          <w:lang w:val="en-US" w:eastAsia="zh-CN" w:bidi="ar-SA"/>
        </w:rPr>
      </w:pPr>
      <w:bookmarkStart w:id="462" w:name="_Toc29283"/>
      <w:r>
        <w:rPr>
          <w:rFonts w:hint="eastAsia" w:ascii="宋体" w:hAnsi="宋体" w:cs="宋体"/>
          <w:kern w:val="2"/>
          <w:sz w:val="30"/>
          <w:szCs w:val="30"/>
          <w:lang w:val="en-US" w:eastAsia="zh-CN" w:bidi="ar-SA"/>
        </w:rPr>
        <w:t>9、技术方案</w:t>
      </w:r>
      <w:bookmarkEnd w:id="462"/>
    </w:p>
    <w:p w14:paraId="47B420BB">
      <w:pPr>
        <w:outlineLvl w:val="9"/>
        <w:rPr>
          <w:rFonts w:hint="eastAsia" w:ascii="宋体" w:hAnsi="宋体" w:cs="宋体"/>
          <w:kern w:val="2"/>
          <w:sz w:val="30"/>
          <w:szCs w:val="30"/>
          <w:lang w:val="en-US" w:eastAsia="zh-CN" w:bidi="ar-SA"/>
        </w:rPr>
      </w:pPr>
    </w:p>
    <w:p w14:paraId="2CFFCC17">
      <w:pPr>
        <w:outlineLvl w:val="9"/>
        <w:rPr>
          <w:rFonts w:hint="eastAsia" w:ascii="宋体" w:hAnsi="宋体" w:cs="宋体"/>
          <w:kern w:val="2"/>
          <w:sz w:val="30"/>
          <w:szCs w:val="30"/>
          <w:lang w:val="en-US" w:eastAsia="zh-CN" w:bidi="ar-SA"/>
        </w:rPr>
      </w:pPr>
    </w:p>
    <w:p w14:paraId="3278AD10">
      <w:pPr>
        <w:outlineLvl w:val="9"/>
        <w:rPr>
          <w:rFonts w:hint="eastAsia" w:ascii="宋体" w:hAnsi="宋体" w:cs="宋体"/>
          <w:kern w:val="2"/>
          <w:sz w:val="30"/>
          <w:szCs w:val="30"/>
          <w:lang w:val="en-US" w:eastAsia="zh-CN" w:bidi="ar-SA"/>
        </w:rPr>
      </w:pPr>
    </w:p>
    <w:p w14:paraId="7E9F7DB4">
      <w:pPr>
        <w:outlineLvl w:val="9"/>
        <w:rPr>
          <w:rFonts w:hint="eastAsia" w:ascii="宋体" w:hAnsi="宋体" w:cs="宋体"/>
          <w:kern w:val="2"/>
          <w:sz w:val="30"/>
          <w:szCs w:val="30"/>
          <w:lang w:val="en-US" w:eastAsia="zh-CN" w:bidi="ar-SA"/>
        </w:rPr>
      </w:pPr>
    </w:p>
    <w:p w14:paraId="42C05754">
      <w:pPr>
        <w:outlineLvl w:val="9"/>
        <w:rPr>
          <w:rFonts w:hint="eastAsia" w:ascii="宋体" w:hAnsi="宋体" w:cs="宋体"/>
          <w:kern w:val="2"/>
          <w:sz w:val="30"/>
          <w:szCs w:val="30"/>
          <w:lang w:val="en-US" w:eastAsia="zh-CN" w:bidi="ar-SA"/>
        </w:rPr>
      </w:pPr>
    </w:p>
    <w:p w14:paraId="608D7C61">
      <w:pPr>
        <w:outlineLvl w:val="9"/>
        <w:rPr>
          <w:rFonts w:hint="eastAsia" w:ascii="宋体" w:hAnsi="宋体" w:cs="宋体"/>
          <w:kern w:val="2"/>
          <w:sz w:val="30"/>
          <w:szCs w:val="30"/>
          <w:lang w:val="en-US" w:eastAsia="zh-CN" w:bidi="ar-SA"/>
        </w:rPr>
      </w:pPr>
    </w:p>
    <w:p w14:paraId="0496A73D">
      <w:pPr>
        <w:outlineLvl w:val="9"/>
        <w:rPr>
          <w:rFonts w:hint="eastAsia" w:ascii="宋体" w:hAnsi="宋体" w:cs="宋体"/>
          <w:kern w:val="2"/>
          <w:sz w:val="30"/>
          <w:szCs w:val="30"/>
          <w:lang w:val="en-US" w:eastAsia="zh-CN" w:bidi="ar-SA"/>
        </w:rPr>
      </w:pPr>
    </w:p>
    <w:p w14:paraId="7B30E92E">
      <w:pPr>
        <w:outlineLvl w:val="9"/>
        <w:rPr>
          <w:rFonts w:hint="eastAsia" w:ascii="宋体" w:hAnsi="宋体" w:cs="宋体"/>
          <w:kern w:val="2"/>
          <w:sz w:val="30"/>
          <w:szCs w:val="30"/>
          <w:lang w:val="en-US" w:eastAsia="zh-CN" w:bidi="ar-SA"/>
        </w:rPr>
      </w:pPr>
    </w:p>
    <w:p w14:paraId="34F292A4">
      <w:pPr>
        <w:outlineLvl w:val="9"/>
        <w:rPr>
          <w:rFonts w:hint="eastAsia" w:ascii="宋体" w:hAnsi="宋体" w:cs="宋体"/>
          <w:kern w:val="2"/>
          <w:sz w:val="30"/>
          <w:szCs w:val="30"/>
          <w:lang w:val="en-US" w:eastAsia="zh-CN" w:bidi="ar-SA"/>
        </w:rPr>
      </w:pPr>
    </w:p>
    <w:p w14:paraId="44616D01">
      <w:pPr>
        <w:outlineLvl w:val="9"/>
        <w:rPr>
          <w:rFonts w:hint="eastAsia" w:ascii="宋体" w:hAnsi="宋体" w:cs="宋体"/>
          <w:kern w:val="2"/>
          <w:sz w:val="30"/>
          <w:szCs w:val="30"/>
          <w:lang w:val="en-US" w:eastAsia="zh-CN" w:bidi="ar-SA"/>
        </w:rPr>
      </w:pPr>
    </w:p>
    <w:p w14:paraId="46792D50">
      <w:pPr>
        <w:outlineLvl w:val="9"/>
        <w:rPr>
          <w:rFonts w:hint="eastAsia" w:ascii="宋体" w:hAnsi="宋体" w:cs="宋体"/>
          <w:kern w:val="2"/>
          <w:sz w:val="30"/>
          <w:szCs w:val="30"/>
          <w:lang w:val="en-US" w:eastAsia="zh-CN" w:bidi="ar-SA"/>
        </w:rPr>
      </w:pPr>
    </w:p>
    <w:p w14:paraId="068D1A90">
      <w:pPr>
        <w:outlineLvl w:val="9"/>
        <w:rPr>
          <w:rFonts w:hint="eastAsia" w:ascii="宋体" w:hAnsi="宋体" w:cs="宋体"/>
          <w:kern w:val="2"/>
          <w:sz w:val="30"/>
          <w:szCs w:val="30"/>
          <w:lang w:val="en-US" w:eastAsia="zh-CN" w:bidi="ar-SA"/>
        </w:rPr>
      </w:pPr>
    </w:p>
    <w:p w14:paraId="7420BC69">
      <w:pPr>
        <w:outlineLvl w:val="9"/>
        <w:rPr>
          <w:rFonts w:hint="eastAsia" w:ascii="宋体" w:hAnsi="宋体" w:cs="宋体"/>
          <w:kern w:val="2"/>
          <w:sz w:val="30"/>
          <w:szCs w:val="30"/>
          <w:lang w:val="en-US" w:eastAsia="zh-CN" w:bidi="ar-SA"/>
        </w:rPr>
      </w:pPr>
    </w:p>
    <w:p w14:paraId="180EC001">
      <w:pPr>
        <w:outlineLvl w:val="9"/>
        <w:rPr>
          <w:rFonts w:hint="eastAsia" w:ascii="宋体" w:hAnsi="宋体" w:cs="宋体"/>
          <w:kern w:val="2"/>
          <w:sz w:val="30"/>
          <w:szCs w:val="30"/>
          <w:lang w:val="en-US" w:eastAsia="zh-CN" w:bidi="ar-SA"/>
        </w:rPr>
      </w:pPr>
    </w:p>
    <w:p w14:paraId="2DA5EC4B">
      <w:pPr>
        <w:outlineLvl w:val="9"/>
        <w:rPr>
          <w:rFonts w:hint="eastAsia" w:ascii="宋体" w:hAnsi="宋体" w:cs="宋体"/>
          <w:kern w:val="2"/>
          <w:sz w:val="30"/>
          <w:szCs w:val="30"/>
          <w:lang w:val="en-US" w:eastAsia="zh-CN" w:bidi="ar-SA"/>
        </w:rPr>
      </w:pPr>
    </w:p>
    <w:p w14:paraId="5E3E3980">
      <w:pPr>
        <w:outlineLvl w:val="9"/>
        <w:rPr>
          <w:rFonts w:hint="eastAsia" w:ascii="宋体" w:hAnsi="宋体" w:cs="宋体"/>
          <w:kern w:val="2"/>
          <w:sz w:val="30"/>
          <w:szCs w:val="30"/>
          <w:lang w:val="en-US" w:eastAsia="zh-CN" w:bidi="ar-SA"/>
        </w:rPr>
      </w:pPr>
    </w:p>
    <w:p w14:paraId="5329423D">
      <w:pPr>
        <w:outlineLvl w:val="9"/>
        <w:rPr>
          <w:rFonts w:hint="eastAsia" w:ascii="宋体" w:hAnsi="宋体" w:cs="宋体"/>
          <w:kern w:val="2"/>
          <w:sz w:val="30"/>
          <w:szCs w:val="30"/>
          <w:lang w:val="en-US" w:eastAsia="zh-CN" w:bidi="ar-SA"/>
        </w:rPr>
      </w:pPr>
    </w:p>
    <w:p w14:paraId="241F8628">
      <w:pPr>
        <w:outlineLvl w:val="9"/>
        <w:rPr>
          <w:rFonts w:hint="eastAsia" w:ascii="宋体" w:hAnsi="宋体" w:cs="宋体"/>
          <w:kern w:val="2"/>
          <w:sz w:val="30"/>
          <w:szCs w:val="30"/>
          <w:lang w:val="en-US" w:eastAsia="zh-CN" w:bidi="ar-SA"/>
        </w:rPr>
      </w:pPr>
    </w:p>
    <w:p w14:paraId="247E8CBE">
      <w:pPr>
        <w:outlineLvl w:val="9"/>
        <w:rPr>
          <w:rFonts w:hint="eastAsia" w:ascii="宋体" w:hAnsi="宋体" w:cs="宋体"/>
          <w:kern w:val="2"/>
          <w:sz w:val="30"/>
          <w:szCs w:val="30"/>
          <w:lang w:val="en-US" w:eastAsia="zh-CN" w:bidi="ar-SA"/>
        </w:rPr>
      </w:pPr>
    </w:p>
    <w:p w14:paraId="40FD9DC8">
      <w:pPr>
        <w:outlineLvl w:val="9"/>
        <w:rPr>
          <w:rFonts w:hint="eastAsia" w:ascii="宋体" w:hAnsi="宋体" w:cs="宋体"/>
          <w:kern w:val="2"/>
          <w:sz w:val="30"/>
          <w:szCs w:val="30"/>
          <w:lang w:val="en-US" w:eastAsia="zh-CN" w:bidi="ar-SA"/>
        </w:rPr>
      </w:pPr>
    </w:p>
    <w:p w14:paraId="44A47338">
      <w:pPr>
        <w:outlineLvl w:val="9"/>
        <w:rPr>
          <w:rFonts w:hint="eastAsia" w:ascii="宋体" w:hAnsi="宋体" w:cs="宋体"/>
          <w:kern w:val="2"/>
          <w:sz w:val="30"/>
          <w:szCs w:val="30"/>
          <w:lang w:val="en-US" w:eastAsia="zh-CN" w:bidi="ar-SA"/>
        </w:rPr>
      </w:pPr>
    </w:p>
    <w:p w14:paraId="35C44B89">
      <w:pPr>
        <w:outlineLvl w:val="9"/>
        <w:rPr>
          <w:rFonts w:hint="eastAsia" w:ascii="宋体" w:hAnsi="宋体" w:cs="宋体"/>
          <w:kern w:val="2"/>
          <w:sz w:val="30"/>
          <w:szCs w:val="30"/>
          <w:lang w:val="en-US" w:eastAsia="zh-CN" w:bidi="ar-SA"/>
        </w:rPr>
      </w:pPr>
    </w:p>
    <w:p w14:paraId="3A7AA759">
      <w:pPr>
        <w:outlineLvl w:val="9"/>
        <w:rPr>
          <w:rFonts w:hint="eastAsia" w:ascii="宋体" w:hAnsi="宋体" w:cs="宋体"/>
          <w:kern w:val="2"/>
          <w:sz w:val="30"/>
          <w:szCs w:val="30"/>
          <w:lang w:val="en-US" w:eastAsia="zh-CN" w:bidi="ar-SA"/>
        </w:rPr>
      </w:pPr>
    </w:p>
    <w:p w14:paraId="2BFA8EE7">
      <w:pPr>
        <w:outlineLvl w:val="9"/>
        <w:rPr>
          <w:rFonts w:hint="eastAsia" w:ascii="宋体" w:hAnsi="宋体" w:cs="宋体"/>
          <w:kern w:val="2"/>
          <w:sz w:val="30"/>
          <w:szCs w:val="30"/>
          <w:lang w:val="en-US" w:eastAsia="zh-CN" w:bidi="ar-SA"/>
        </w:rPr>
      </w:pPr>
    </w:p>
    <w:p w14:paraId="6B6E00AE">
      <w:pPr>
        <w:outlineLvl w:val="9"/>
        <w:rPr>
          <w:rFonts w:hint="eastAsia" w:ascii="宋体" w:hAnsi="宋体" w:cs="宋体"/>
          <w:kern w:val="2"/>
          <w:sz w:val="30"/>
          <w:szCs w:val="30"/>
          <w:lang w:val="en-US" w:eastAsia="zh-CN" w:bidi="ar-SA"/>
        </w:rPr>
      </w:pPr>
    </w:p>
    <w:p w14:paraId="62A51FB5">
      <w:pPr>
        <w:outlineLvl w:val="9"/>
        <w:rPr>
          <w:rFonts w:hint="eastAsia" w:ascii="宋体" w:hAnsi="宋体" w:cs="宋体"/>
          <w:kern w:val="2"/>
          <w:sz w:val="30"/>
          <w:szCs w:val="30"/>
          <w:lang w:val="en-US" w:eastAsia="zh-CN" w:bidi="ar-SA"/>
        </w:rPr>
      </w:pPr>
    </w:p>
    <w:p w14:paraId="3B6652B7">
      <w:pPr>
        <w:outlineLvl w:val="9"/>
        <w:rPr>
          <w:rFonts w:hint="eastAsia" w:ascii="宋体" w:hAnsi="宋体" w:cs="宋体"/>
          <w:kern w:val="2"/>
          <w:sz w:val="30"/>
          <w:szCs w:val="30"/>
          <w:lang w:val="en-US" w:eastAsia="zh-CN" w:bidi="ar-SA"/>
        </w:rPr>
      </w:pPr>
    </w:p>
    <w:p w14:paraId="2FA7325A">
      <w:pPr>
        <w:outlineLvl w:val="9"/>
        <w:rPr>
          <w:rFonts w:hint="eastAsia" w:ascii="宋体" w:hAnsi="宋体" w:cs="宋体"/>
          <w:kern w:val="2"/>
          <w:sz w:val="30"/>
          <w:szCs w:val="30"/>
          <w:lang w:val="en-US" w:eastAsia="zh-CN" w:bidi="ar-SA"/>
        </w:rPr>
      </w:pPr>
    </w:p>
    <w:p w14:paraId="0FEF462C">
      <w:pPr>
        <w:outlineLvl w:val="9"/>
        <w:rPr>
          <w:rFonts w:hint="eastAsia" w:ascii="宋体" w:hAnsi="宋体" w:cs="宋体"/>
          <w:kern w:val="2"/>
          <w:sz w:val="30"/>
          <w:szCs w:val="30"/>
          <w:lang w:val="en-US" w:eastAsia="zh-CN" w:bidi="ar-SA"/>
        </w:rPr>
      </w:pPr>
    </w:p>
    <w:p w14:paraId="43656DDA">
      <w:pPr>
        <w:outlineLvl w:val="9"/>
        <w:rPr>
          <w:rFonts w:hint="eastAsia" w:ascii="宋体" w:hAnsi="宋体" w:cs="宋体"/>
          <w:kern w:val="2"/>
          <w:sz w:val="30"/>
          <w:szCs w:val="30"/>
          <w:lang w:val="en-US" w:eastAsia="zh-CN" w:bidi="ar-SA"/>
        </w:rPr>
      </w:pPr>
    </w:p>
    <w:p w14:paraId="48348D87">
      <w:pPr>
        <w:outlineLvl w:val="9"/>
        <w:rPr>
          <w:rFonts w:hint="eastAsia" w:ascii="宋体" w:hAnsi="宋体" w:cs="宋体"/>
          <w:kern w:val="2"/>
          <w:sz w:val="30"/>
          <w:szCs w:val="30"/>
          <w:lang w:val="en-US" w:eastAsia="zh-CN" w:bidi="ar-SA"/>
        </w:rPr>
      </w:pPr>
    </w:p>
    <w:p w14:paraId="21484212">
      <w:pPr>
        <w:outlineLvl w:val="9"/>
        <w:rPr>
          <w:rFonts w:hint="eastAsia" w:ascii="宋体" w:hAnsi="宋体" w:cs="宋体"/>
          <w:kern w:val="2"/>
          <w:sz w:val="30"/>
          <w:szCs w:val="30"/>
          <w:lang w:val="en-US" w:eastAsia="zh-CN" w:bidi="ar-SA"/>
        </w:rPr>
      </w:pPr>
    </w:p>
    <w:p w14:paraId="7C4ECD92">
      <w:pPr>
        <w:outlineLvl w:val="9"/>
        <w:rPr>
          <w:rFonts w:hint="eastAsia" w:ascii="宋体" w:hAnsi="宋体" w:cs="宋体"/>
          <w:kern w:val="2"/>
          <w:sz w:val="30"/>
          <w:szCs w:val="30"/>
          <w:lang w:val="en-US" w:eastAsia="zh-CN" w:bidi="ar-SA"/>
        </w:rPr>
      </w:pPr>
    </w:p>
    <w:p w14:paraId="309CC2FE">
      <w:pPr>
        <w:outlineLvl w:val="9"/>
        <w:rPr>
          <w:rFonts w:hint="eastAsia" w:ascii="宋体" w:hAnsi="宋体" w:cs="宋体"/>
          <w:kern w:val="2"/>
          <w:sz w:val="30"/>
          <w:szCs w:val="30"/>
          <w:lang w:val="en-US" w:eastAsia="zh-CN" w:bidi="ar-SA"/>
        </w:rPr>
      </w:pPr>
    </w:p>
    <w:p w14:paraId="5B144CB5">
      <w:pPr>
        <w:outlineLvl w:val="2"/>
        <w:rPr>
          <w:rFonts w:hint="eastAsia" w:ascii="宋体" w:hAnsi="宋体" w:cs="宋体"/>
          <w:kern w:val="2"/>
          <w:sz w:val="30"/>
          <w:szCs w:val="30"/>
          <w:lang w:val="en-US" w:eastAsia="zh-CN" w:bidi="ar-SA"/>
        </w:rPr>
      </w:pPr>
      <w:bookmarkStart w:id="463" w:name="_Toc1852"/>
      <w:r>
        <w:rPr>
          <w:rFonts w:hint="eastAsia" w:ascii="宋体" w:hAnsi="宋体" w:cs="宋体"/>
          <w:kern w:val="2"/>
          <w:sz w:val="30"/>
          <w:szCs w:val="30"/>
          <w:lang w:val="en-US" w:eastAsia="zh-CN" w:bidi="ar-SA"/>
        </w:rPr>
        <w:t>10、投标人认为有利于投标的其他证明材料</w:t>
      </w:r>
      <w:bookmarkEnd w:id="461"/>
      <w:bookmarkEnd w:id="463"/>
    </w:p>
    <w:p w14:paraId="4B9D953D">
      <w:pPr>
        <w:rPr>
          <w:rFonts w:hint="eastAsia" w:ascii="宋体" w:hAnsi="宋体" w:cs="宋体"/>
          <w:kern w:val="2"/>
          <w:sz w:val="30"/>
          <w:szCs w:val="30"/>
          <w:lang w:val="en-US" w:eastAsia="zh-CN" w:bidi="ar-SA"/>
        </w:rPr>
      </w:pPr>
    </w:p>
    <w:p w14:paraId="51DEA353">
      <w:pPr>
        <w:rPr>
          <w:rFonts w:hint="eastAsia" w:ascii="宋体" w:hAnsi="宋体" w:cs="宋体"/>
          <w:kern w:val="2"/>
          <w:sz w:val="30"/>
          <w:szCs w:val="30"/>
          <w:lang w:val="en-US" w:eastAsia="zh-CN" w:bidi="ar-SA"/>
        </w:rPr>
      </w:pPr>
    </w:p>
    <w:p w14:paraId="69917D89">
      <w:pPr>
        <w:rPr>
          <w:rFonts w:hint="eastAsia" w:ascii="宋体" w:hAnsi="宋体" w:cs="宋体"/>
          <w:kern w:val="2"/>
          <w:sz w:val="30"/>
          <w:szCs w:val="30"/>
          <w:lang w:val="en-US" w:eastAsia="zh-CN" w:bidi="ar-SA"/>
        </w:rPr>
      </w:pPr>
    </w:p>
    <w:p w14:paraId="4E4314E8">
      <w:pPr>
        <w:rPr>
          <w:rFonts w:hint="eastAsia" w:ascii="宋体" w:hAnsi="宋体" w:cs="宋体"/>
          <w:kern w:val="2"/>
          <w:sz w:val="30"/>
          <w:szCs w:val="30"/>
          <w:lang w:val="en-US" w:eastAsia="zh-CN" w:bidi="ar-SA"/>
        </w:rPr>
      </w:pPr>
    </w:p>
    <w:p w14:paraId="37F5A443">
      <w:pPr>
        <w:rPr>
          <w:rFonts w:hint="eastAsia" w:ascii="宋体" w:hAnsi="宋体" w:cs="宋体"/>
          <w:kern w:val="2"/>
          <w:sz w:val="30"/>
          <w:szCs w:val="30"/>
          <w:lang w:val="en-US" w:eastAsia="zh-CN" w:bidi="ar-SA"/>
        </w:rPr>
      </w:pPr>
    </w:p>
    <w:p w14:paraId="09E7AB19">
      <w:pPr>
        <w:rPr>
          <w:rFonts w:hint="eastAsia" w:ascii="宋体" w:hAnsi="宋体" w:cs="宋体"/>
          <w:kern w:val="2"/>
          <w:sz w:val="30"/>
          <w:szCs w:val="30"/>
          <w:lang w:val="en-US" w:eastAsia="zh-CN" w:bidi="ar-SA"/>
        </w:rPr>
      </w:pPr>
    </w:p>
    <w:p w14:paraId="40942847">
      <w:pPr>
        <w:rPr>
          <w:rFonts w:hint="eastAsia" w:ascii="宋体" w:hAnsi="宋体" w:cs="宋体"/>
          <w:kern w:val="2"/>
          <w:sz w:val="30"/>
          <w:szCs w:val="30"/>
          <w:lang w:val="en-US" w:eastAsia="zh-CN" w:bidi="ar-SA"/>
        </w:rPr>
      </w:pPr>
    </w:p>
    <w:p w14:paraId="313648D1">
      <w:pPr>
        <w:rPr>
          <w:rFonts w:hint="eastAsia" w:ascii="宋体" w:hAnsi="宋体" w:cs="宋体"/>
          <w:kern w:val="2"/>
          <w:sz w:val="30"/>
          <w:szCs w:val="30"/>
          <w:lang w:val="en-US" w:eastAsia="zh-CN" w:bidi="ar-SA"/>
        </w:rPr>
      </w:pPr>
    </w:p>
    <w:p w14:paraId="1A6C2351">
      <w:pPr>
        <w:rPr>
          <w:rFonts w:hint="eastAsia" w:ascii="宋体" w:hAnsi="宋体" w:cs="宋体"/>
          <w:kern w:val="2"/>
          <w:sz w:val="30"/>
          <w:szCs w:val="30"/>
          <w:lang w:val="en-US" w:eastAsia="zh-CN" w:bidi="ar-SA"/>
        </w:rPr>
      </w:pPr>
    </w:p>
    <w:p w14:paraId="7F88895F">
      <w:pPr>
        <w:rPr>
          <w:rFonts w:hint="eastAsia" w:ascii="宋体" w:hAnsi="宋体" w:cs="宋体"/>
          <w:kern w:val="2"/>
          <w:sz w:val="30"/>
          <w:szCs w:val="30"/>
          <w:lang w:val="en-US" w:eastAsia="zh-CN" w:bidi="ar-SA"/>
        </w:rPr>
      </w:pPr>
    </w:p>
    <w:p w14:paraId="1459DD35">
      <w:pPr>
        <w:rPr>
          <w:rFonts w:hint="eastAsia" w:ascii="宋体" w:hAnsi="宋体" w:cs="宋体"/>
          <w:kern w:val="2"/>
          <w:sz w:val="30"/>
          <w:szCs w:val="30"/>
          <w:lang w:val="en-US" w:eastAsia="zh-CN" w:bidi="ar-SA"/>
        </w:rPr>
      </w:pPr>
    </w:p>
    <w:p w14:paraId="620081D1">
      <w:pPr>
        <w:rPr>
          <w:rFonts w:hint="eastAsia" w:ascii="宋体" w:hAnsi="宋体" w:cs="宋体"/>
          <w:kern w:val="2"/>
          <w:sz w:val="30"/>
          <w:szCs w:val="30"/>
          <w:lang w:val="en-US" w:eastAsia="zh-CN" w:bidi="ar-SA"/>
        </w:rPr>
      </w:pPr>
    </w:p>
    <w:p w14:paraId="30354898">
      <w:pPr>
        <w:rPr>
          <w:rFonts w:hint="eastAsia" w:ascii="宋体" w:hAnsi="宋体" w:cs="宋体"/>
          <w:kern w:val="2"/>
          <w:sz w:val="30"/>
          <w:szCs w:val="30"/>
          <w:lang w:val="en-US" w:eastAsia="zh-CN" w:bidi="ar-SA"/>
        </w:rPr>
      </w:pPr>
    </w:p>
    <w:tbl>
      <w:tblPr>
        <w:tblStyle w:val="26"/>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3700BE0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2CA72BB3">
            <w:pPr>
              <w:pStyle w:val="9"/>
              <w:tabs>
                <w:tab w:val="left" w:pos="567"/>
              </w:tabs>
              <w:rPr>
                <w:rFonts w:hint="eastAsia" w:cs="宋体"/>
                <w:b/>
                <w:bCs/>
                <w:color w:val="000000"/>
                <w:sz w:val="28"/>
                <w:szCs w:val="28"/>
                <w:lang w:val="en-US" w:eastAsia="zh-CN"/>
              </w:rPr>
            </w:pPr>
          </w:p>
          <w:p w14:paraId="710B261D">
            <w:pPr>
              <w:pStyle w:val="9"/>
              <w:tabs>
                <w:tab w:val="left" w:pos="567"/>
              </w:tabs>
              <w:rPr>
                <w:rFonts w:hint="eastAsia" w:cs="宋体"/>
                <w:b/>
                <w:bCs/>
                <w:color w:val="000000"/>
                <w:sz w:val="28"/>
                <w:szCs w:val="28"/>
                <w:lang w:val="en-US" w:eastAsia="zh-CN"/>
              </w:rPr>
            </w:pPr>
          </w:p>
          <w:p w14:paraId="23F14D44">
            <w:pPr>
              <w:pStyle w:val="9"/>
              <w:tabs>
                <w:tab w:val="left" w:pos="567"/>
              </w:tabs>
              <w:ind w:firstLine="2530" w:firstLineChars="900"/>
              <w:rPr>
                <w:rFonts w:hint="eastAsia" w:ascii="仿宋" w:hAnsi="仿宋" w:eastAsia="仿宋"/>
                <w:b/>
                <w:bCs/>
                <w:color w:val="000000"/>
                <w:sz w:val="28"/>
                <w:szCs w:val="28"/>
                <w:lang w:val="en-US" w:eastAsia="zh-CN"/>
              </w:rPr>
            </w:pPr>
            <w:r>
              <w:rPr>
                <w:rFonts w:hint="eastAsia" w:ascii="仿宋" w:hAnsi="仿宋" w:eastAsia="仿宋" w:cs="宋体"/>
                <w:b/>
                <w:bCs/>
                <w:color w:val="000000"/>
                <w:sz w:val="28"/>
                <w:szCs w:val="28"/>
                <w:lang w:val="en-US" w:eastAsia="zh-CN"/>
              </w:rPr>
              <w:t>***** *** *** *** ***   项目</w:t>
            </w:r>
          </w:p>
          <w:p w14:paraId="49BC17EE">
            <w:pPr>
              <w:pStyle w:val="9"/>
              <w:tabs>
                <w:tab w:val="left" w:pos="567"/>
              </w:tabs>
              <w:jc w:val="center"/>
              <w:rPr>
                <w:rFonts w:hint="eastAsia" w:ascii="仿宋" w:hAnsi="仿宋" w:eastAsia="仿宋"/>
                <w:b/>
                <w:bCs/>
                <w:color w:val="000000"/>
                <w:sz w:val="21"/>
                <w:szCs w:val="21"/>
                <w:lang w:val="en-US" w:eastAsia="zh-CN"/>
              </w:rPr>
            </w:pPr>
          </w:p>
          <w:p w14:paraId="4CCF612B">
            <w:pPr>
              <w:pStyle w:val="9"/>
              <w:tabs>
                <w:tab w:val="left" w:pos="567"/>
              </w:tabs>
              <w:ind w:firstLine="3162" w:firstLineChars="1500"/>
              <w:rPr>
                <w:rFonts w:ascii="仿宋" w:hAnsi="仿宋" w:eastAsia="仿宋"/>
                <w:b/>
                <w:bCs/>
                <w:color w:val="000000"/>
                <w:sz w:val="21"/>
                <w:szCs w:val="21"/>
                <w:lang w:val="en-US" w:eastAsia="zh-CN"/>
              </w:rPr>
            </w:pPr>
            <w:r>
              <w:rPr>
                <w:rFonts w:hint="eastAsia" w:ascii="仿宋" w:hAnsi="仿宋" w:eastAsia="仿宋"/>
                <w:b/>
                <w:bCs/>
                <w:color w:val="000000"/>
                <w:sz w:val="21"/>
                <w:szCs w:val="21"/>
                <w:lang w:val="en-US" w:eastAsia="zh-CN"/>
              </w:rPr>
              <w:t xml:space="preserve">编号 </w:t>
            </w:r>
            <w:r>
              <w:rPr>
                <w:rFonts w:hint="eastAsia" w:ascii="仿宋" w:hAnsi="仿宋" w:eastAsia="仿宋" w:cs="宋体"/>
                <w:b/>
                <w:bCs/>
                <w:color w:val="000000"/>
                <w:sz w:val="21"/>
                <w:szCs w:val="21"/>
                <w:lang w:val="en-US" w:eastAsia="zh-CN"/>
              </w:rPr>
              <w:t>＊＊＊      包号：</w:t>
            </w:r>
          </w:p>
          <w:p w14:paraId="7B330F64">
            <w:pPr>
              <w:pStyle w:val="9"/>
              <w:tabs>
                <w:tab w:val="left" w:pos="567"/>
              </w:tabs>
              <w:jc w:val="center"/>
              <w:rPr>
                <w:rFonts w:hint="eastAsia" w:ascii="仿宋" w:hAnsi="仿宋" w:eastAsia="仿宋"/>
                <w:b/>
                <w:bCs/>
                <w:color w:val="000000"/>
                <w:sz w:val="48"/>
                <w:lang w:val="en-US" w:eastAsia="zh-CN"/>
              </w:rPr>
            </w:pPr>
          </w:p>
          <w:p w14:paraId="791593FD">
            <w:pPr>
              <w:pStyle w:val="9"/>
              <w:tabs>
                <w:tab w:val="left" w:pos="567"/>
              </w:tabs>
              <w:jc w:val="center"/>
              <w:rPr>
                <w:rFonts w:hint="eastAsia" w:ascii="仿宋" w:hAnsi="仿宋" w:eastAsia="仿宋"/>
                <w:b/>
                <w:bCs/>
                <w:color w:val="000000"/>
                <w:sz w:val="48"/>
                <w:lang w:val="en-US" w:eastAsia="zh-CN"/>
              </w:rPr>
            </w:pPr>
            <w:r>
              <w:rPr>
                <w:rFonts w:hint="eastAsia" w:ascii="仿宋" w:hAnsi="仿宋" w:eastAsia="仿宋"/>
                <w:b/>
                <w:bCs/>
                <w:color w:val="000000"/>
                <w:sz w:val="48"/>
                <w:lang w:val="en-US" w:eastAsia="zh-CN"/>
              </w:rPr>
              <w:t>投  标 文 件</w:t>
            </w:r>
          </w:p>
          <w:p w14:paraId="69EB8D18">
            <w:pPr>
              <w:rPr>
                <w:rFonts w:hint="eastAsia"/>
                <w:color w:val="000000"/>
              </w:rPr>
            </w:pPr>
          </w:p>
          <w:p w14:paraId="1294C52E">
            <w:pPr>
              <w:jc w:val="center"/>
              <w:rPr>
                <w:rFonts w:ascii="仿宋" w:hAnsi="仿宋" w:eastAsia="仿宋"/>
                <w:b/>
                <w:color w:val="000000"/>
                <w:sz w:val="32"/>
              </w:rPr>
            </w:pPr>
          </w:p>
          <w:p w14:paraId="6A08B462">
            <w:pPr>
              <w:pStyle w:val="6"/>
              <w:ind w:firstLine="0"/>
              <w:rPr>
                <w:rFonts w:ascii="仿宋" w:hAnsi="仿宋" w:eastAsia="仿宋"/>
                <w:b/>
                <w:color w:val="000000"/>
                <w:sz w:val="32"/>
              </w:rPr>
            </w:pPr>
          </w:p>
          <w:p w14:paraId="1B4AA2EB">
            <w:pPr>
              <w:pStyle w:val="6"/>
              <w:rPr>
                <w:rFonts w:ascii="仿宋" w:hAnsi="仿宋" w:eastAsia="仿宋"/>
                <w:b/>
                <w:color w:val="000000"/>
                <w:sz w:val="32"/>
              </w:rPr>
            </w:pPr>
          </w:p>
          <w:p w14:paraId="7C61BC42">
            <w:pPr>
              <w:spacing w:line="360" w:lineRule="auto"/>
              <w:ind w:left="176" w:leftChars="84" w:firstLine="840" w:firstLineChars="400"/>
              <w:rPr>
                <w:rFonts w:hint="eastAsia" w:ascii="仿宋" w:hAnsi="仿宋" w:eastAsia="仿宋"/>
                <w:color w:val="000000"/>
                <w:szCs w:val="21"/>
              </w:rPr>
            </w:pPr>
            <w:r>
              <w:rPr>
                <w:rFonts w:hint="eastAsia" w:ascii="仿宋" w:hAnsi="仿宋" w:eastAsia="仿宋"/>
                <w:color w:val="000000"/>
                <w:szCs w:val="21"/>
                <w:lang w:val="en-US" w:eastAsia="zh-CN"/>
              </w:rPr>
              <w:t>供应商名称</w:t>
            </w:r>
            <w:r>
              <w:rPr>
                <w:rFonts w:ascii="仿宋" w:hAnsi="仿宋" w:eastAsia="仿宋"/>
                <w:color w:val="000000"/>
                <w:szCs w:val="21"/>
              </w:rPr>
              <w:t>：</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r>
              <w:rPr>
                <w:rFonts w:hint="eastAsia" w:ascii="仿宋" w:hAnsi="仿宋" w:eastAsia="仿宋"/>
                <w:color w:val="000000"/>
                <w:szCs w:val="21"/>
              </w:rPr>
              <w:t>（公章）</w:t>
            </w:r>
          </w:p>
          <w:p w14:paraId="54133C9A">
            <w:pPr>
              <w:spacing w:line="360" w:lineRule="auto"/>
              <w:ind w:left="176" w:leftChars="84" w:firstLine="840" w:firstLineChars="400"/>
              <w:rPr>
                <w:rFonts w:hint="eastAsia" w:ascii="仿宋" w:hAnsi="仿宋" w:eastAsia="仿宋"/>
                <w:color w:val="000000"/>
                <w:szCs w:val="21"/>
                <w:u w:val="single"/>
              </w:rPr>
            </w:pPr>
            <w:r>
              <w:rPr>
                <w:rFonts w:ascii="仿宋" w:hAnsi="仿宋" w:eastAsia="仿宋"/>
                <w:color w:val="000000"/>
                <w:szCs w:val="21"/>
              </w:rPr>
              <w:t>项目名称：</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p>
          <w:p w14:paraId="5B4DEB93">
            <w:pPr>
              <w:spacing w:line="360" w:lineRule="auto"/>
              <w:ind w:left="176" w:leftChars="84" w:firstLine="840" w:firstLineChars="400"/>
              <w:rPr>
                <w:rFonts w:hint="eastAsia" w:ascii="仿宋" w:hAnsi="仿宋" w:eastAsia="仿宋"/>
                <w:color w:val="000000"/>
                <w:szCs w:val="21"/>
                <w:u w:val="single"/>
              </w:rPr>
            </w:pPr>
            <w:r>
              <w:rPr>
                <w:rFonts w:ascii="仿宋" w:hAnsi="仿宋" w:eastAsia="仿宋"/>
                <w:color w:val="000000"/>
                <w:szCs w:val="21"/>
              </w:rPr>
              <w:t>项目编号：</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p>
          <w:p w14:paraId="34534103">
            <w:pPr>
              <w:spacing w:line="360" w:lineRule="auto"/>
              <w:ind w:left="176" w:leftChars="84" w:firstLine="840" w:firstLineChars="400"/>
              <w:rPr>
                <w:rFonts w:hint="eastAsia" w:ascii="仿宋" w:hAnsi="仿宋" w:eastAsia="仿宋"/>
                <w:color w:val="000000"/>
                <w:szCs w:val="21"/>
                <w:u w:val="single"/>
              </w:rPr>
            </w:pPr>
            <w:r>
              <w:rPr>
                <w:rFonts w:hint="eastAsia" w:ascii="仿宋" w:hAnsi="仿宋" w:eastAsia="仿宋"/>
                <w:color w:val="000000"/>
                <w:szCs w:val="21"/>
              </w:rPr>
              <w:t>联 系 人：</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r>
              <w:rPr>
                <w:rFonts w:hint="eastAsia" w:ascii="仿宋" w:hAnsi="仿宋" w:eastAsia="仿宋"/>
                <w:color w:val="000000"/>
                <w:szCs w:val="21"/>
              </w:rPr>
              <w:t>（</w:t>
            </w:r>
            <w:r>
              <w:rPr>
                <w:rFonts w:hint="eastAsia" w:ascii="仿宋" w:hAnsi="仿宋" w:eastAsia="仿宋"/>
                <w:color w:val="000000"/>
                <w:szCs w:val="21"/>
                <w:lang w:val="en-US" w:eastAsia="zh-CN"/>
              </w:rPr>
              <w:t>法人</w:t>
            </w:r>
            <w:r>
              <w:rPr>
                <w:rFonts w:hint="eastAsia" w:ascii="仿宋" w:hAnsi="仿宋" w:eastAsia="仿宋"/>
                <w:color w:val="000000"/>
                <w:szCs w:val="21"/>
              </w:rPr>
              <w:t>签字</w:t>
            </w:r>
            <w:r>
              <w:rPr>
                <w:rFonts w:hint="eastAsia" w:ascii="仿宋" w:hAnsi="仿宋" w:eastAsia="仿宋"/>
                <w:color w:val="000000"/>
                <w:szCs w:val="21"/>
                <w:lang w:val="en-US" w:eastAsia="zh-CN"/>
              </w:rPr>
              <w:t>或盖章</w:t>
            </w:r>
            <w:r>
              <w:rPr>
                <w:rFonts w:hint="eastAsia" w:ascii="仿宋" w:hAnsi="仿宋" w:eastAsia="仿宋"/>
                <w:color w:val="000000"/>
                <w:szCs w:val="21"/>
              </w:rPr>
              <w:t>）</w:t>
            </w:r>
          </w:p>
          <w:p w14:paraId="74B01F02">
            <w:pPr>
              <w:spacing w:line="360" w:lineRule="auto"/>
              <w:ind w:left="176" w:leftChars="84" w:firstLine="840" w:firstLineChars="400"/>
              <w:rPr>
                <w:rFonts w:hint="eastAsia" w:ascii="仿宋" w:hAnsi="仿宋" w:eastAsia="仿宋"/>
                <w:color w:val="000000"/>
                <w:szCs w:val="21"/>
              </w:rPr>
            </w:pPr>
            <w:r>
              <w:rPr>
                <w:rFonts w:hint="eastAsia" w:ascii="仿宋" w:hAnsi="仿宋" w:eastAsia="仿宋"/>
                <w:color w:val="000000"/>
                <w:szCs w:val="21"/>
              </w:rPr>
              <w:t>电    话：</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p>
          <w:p w14:paraId="18270A59">
            <w:pPr>
              <w:spacing w:line="360" w:lineRule="auto"/>
              <w:ind w:left="176" w:leftChars="84" w:firstLine="840" w:firstLineChars="400"/>
              <w:rPr>
                <w:rFonts w:hint="default" w:ascii="仿宋" w:hAnsi="仿宋" w:eastAsia="仿宋"/>
                <w:color w:val="000000"/>
                <w:szCs w:val="21"/>
                <w:u w:val="single"/>
                <w:lang w:val="en-US" w:eastAsia="zh-CN"/>
              </w:rPr>
            </w:pPr>
            <w:r>
              <w:rPr>
                <w:rFonts w:hint="eastAsia" w:ascii="仿宋" w:hAnsi="仿宋" w:eastAsia="仿宋"/>
                <w:color w:val="000000"/>
                <w:szCs w:val="21"/>
              </w:rPr>
              <w:t>地    址</w:t>
            </w:r>
            <w:r>
              <w:rPr>
                <w:rFonts w:hint="eastAsia" w:ascii="仿宋" w:hAnsi="仿宋" w:eastAsia="仿宋"/>
                <w:color w:val="000000"/>
                <w:szCs w:val="21"/>
                <w:lang w:eastAsia="zh-CN"/>
              </w:rPr>
              <w:t>；</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p>
          <w:p w14:paraId="35DEC351">
            <w:pPr>
              <w:jc w:val="both"/>
              <w:rPr>
                <w:rFonts w:hint="eastAsia" w:ascii="仿宋" w:hAnsi="仿宋" w:eastAsia="仿宋"/>
                <w:b/>
                <w:bCs/>
                <w:color w:val="000000"/>
              </w:rPr>
            </w:pPr>
          </w:p>
          <w:p w14:paraId="0F5FDBEA">
            <w:pPr>
              <w:jc w:val="both"/>
              <w:rPr>
                <w:rFonts w:hint="eastAsia" w:ascii="宋体" w:hAnsi="宋体"/>
                <w:b/>
                <w:bCs/>
                <w:color w:val="000000"/>
              </w:rPr>
            </w:pPr>
          </w:p>
        </w:tc>
      </w:tr>
    </w:tbl>
    <w:p w14:paraId="29E16295">
      <w:pPr>
        <w:numPr>
          <w:ilvl w:val="0"/>
          <w:numId w:val="0"/>
        </w:numPr>
        <w:outlineLvl w:val="2"/>
        <w:rPr>
          <w:rFonts w:hint="default" w:ascii="宋体" w:hAnsi="宋体" w:cs="宋体"/>
          <w:kern w:val="2"/>
          <w:sz w:val="30"/>
          <w:szCs w:val="30"/>
          <w:lang w:val="en-US" w:eastAsia="zh-CN" w:bidi="ar-SA"/>
        </w:rPr>
      </w:pPr>
      <w:bookmarkStart w:id="464" w:name="_Toc31556"/>
      <w:r>
        <w:rPr>
          <w:rFonts w:hint="eastAsia" w:ascii="宋体" w:hAnsi="宋体" w:cs="宋体"/>
          <w:kern w:val="2"/>
          <w:sz w:val="30"/>
          <w:szCs w:val="30"/>
          <w:lang w:val="en-US" w:eastAsia="zh-CN" w:bidi="ar-SA"/>
        </w:rPr>
        <w:t>11、投标文件封皮</w:t>
      </w:r>
      <w:bookmarkEnd w:id="464"/>
    </w:p>
    <w:p w14:paraId="23154512">
      <w:pPr>
        <w:numPr>
          <w:ilvl w:val="0"/>
          <w:numId w:val="0"/>
        </w:numPr>
        <w:kinsoku w:val="0"/>
        <w:autoSpaceDE w:val="0"/>
        <w:autoSpaceDN w:val="0"/>
        <w:adjustRightInd w:val="0"/>
        <w:snapToGrid w:val="0"/>
        <w:spacing w:line="240" w:lineRule="auto"/>
        <w:jc w:val="left"/>
        <w:textAlignment w:val="baseline"/>
        <w:rPr>
          <w:rFonts w:hint="eastAsia" w:ascii="宋体" w:hAnsi="宋体" w:cs="宋体"/>
          <w:kern w:val="2"/>
          <w:sz w:val="30"/>
          <w:szCs w:val="30"/>
          <w:lang w:val="en-US" w:eastAsia="zh-CN" w:bidi="ar-SA"/>
        </w:rPr>
      </w:pPr>
    </w:p>
    <w:p w14:paraId="61C538F6">
      <w:pPr>
        <w:numPr>
          <w:ilvl w:val="0"/>
          <w:numId w:val="0"/>
        </w:numPr>
        <w:kinsoku w:val="0"/>
        <w:autoSpaceDE w:val="0"/>
        <w:autoSpaceDN w:val="0"/>
        <w:adjustRightInd w:val="0"/>
        <w:snapToGrid w:val="0"/>
        <w:spacing w:line="240" w:lineRule="auto"/>
        <w:jc w:val="left"/>
        <w:textAlignment w:val="baseline"/>
        <w:rPr>
          <w:rFonts w:hint="eastAsia" w:ascii="宋体" w:hAnsi="宋体" w:cs="宋体"/>
          <w:kern w:val="2"/>
          <w:sz w:val="30"/>
          <w:szCs w:val="30"/>
          <w:lang w:val="en-US" w:eastAsia="zh-CN" w:bidi="ar-SA"/>
        </w:rPr>
      </w:pPr>
    </w:p>
    <w:p w14:paraId="73A0AB25">
      <w:pPr>
        <w:numPr>
          <w:ilvl w:val="0"/>
          <w:numId w:val="0"/>
        </w:numPr>
        <w:kinsoku w:val="0"/>
        <w:autoSpaceDE w:val="0"/>
        <w:autoSpaceDN w:val="0"/>
        <w:adjustRightInd w:val="0"/>
        <w:snapToGrid w:val="0"/>
        <w:spacing w:line="240" w:lineRule="auto"/>
        <w:jc w:val="left"/>
        <w:textAlignment w:val="baseline"/>
        <w:rPr>
          <w:rFonts w:hint="eastAsia" w:ascii="宋体" w:hAnsi="宋体" w:cs="宋体"/>
          <w:kern w:val="2"/>
          <w:sz w:val="30"/>
          <w:szCs w:val="30"/>
          <w:lang w:val="en-US" w:eastAsia="zh-CN" w:bidi="ar-SA"/>
        </w:rPr>
      </w:pPr>
    </w:p>
    <w:p w14:paraId="24B127E6">
      <w:pPr>
        <w:numPr>
          <w:ilvl w:val="0"/>
          <w:numId w:val="0"/>
        </w:numPr>
        <w:kinsoku w:val="0"/>
        <w:autoSpaceDE w:val="0"/>
        <w:autoSpaceDN w:val="0"/>
        <w:adjustRightInd w:val="0"/>
        <w:snapToGrid w:val="0"/>
        <w:spacing w:line="240" w:lineRule="auto"/>
        <w:jc w:val="left"/>
        <w:textAlignment w:val="baseline"/>
        <w:rPr>
          <w:rFonts w:hint="eastAsia" w:ascii="宋体" w:hAnsi="宋体" w:cs="宋体"/>
          <w:kern w:val="2"/>
          <w:sz w:val="30"/>
          <w:szCs w:val="30"/>
          <w:lang w:val="en-US" w:eastAsia="zh-CN" w:bidi="ar-SA"/>
        </w:rPr>
      </w:pPr>
    </w:p>
    <w:p w14:paraId="3B0CA38E">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077B77BD">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6977FCA">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49FD3411">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40152FFF">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B23D556">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3D1D3BE">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01472650">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C20B169">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6C3D9897">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0FAD5033">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68296644">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7BF1676">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ADD90E3">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4503B14">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Style w:val="30"/>
          <w:rFonts w:hint="eastAsia"/>
          <w:sz w:val="36"/>
          <w:szCs w:val="21"/>
          <w:lang w:val="en-US" w:eastAsia="zh-CN"/>
        </w:rPr>
      </w:pPr>
      <w:bookmarkStart w:id="465" w:name="_Toc15653"/>
      <w:r>
        <w:rPr>
          <w:rStyle w:val="30"/>
          <w:rFonts w:hint="eastAsia"/>
          <w:sz w:val="48"/>
          <w:szCs w:val="28"/>
          <w:lang w:val="en-US" w:eastAsia="zh-CN"/>
        </w:rPr>
        <w:t>第二册</w:t>
      </w:r>
      <w:bookmarkEnd w:id="465"/>
    </w:p>
    <w:p w14:paraId="405DBBCA">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4B010768">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0787E626">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6B84E13F">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EC7F521">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FFE88CC">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73F4B397">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2ACCAE5D">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2C558A2">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3947022">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4903056B">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7387D9DF">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2F568440">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FBCB73E">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2CE23744">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1DFF330">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6A3A946">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0B73A181">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4A3CAE34">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83FD2BD">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00FE7414">
      <w:pPr>
        <w:pStyle w:val="20"/>
        <w:numPr>
          <w:ilvl w:val="0"/>
          <w:numId w:val="14"/>
        </w:numPr>
        <w:jc w:val="center"/>
        <w:outlineLvl w:val="1"/>
        <w:rPr>
          <w:rFonts w:hint="eastAsia" w:ascii="宋体" w:hAnsi="宋体" w:eastAsia="宋体" w:cs="宋体"/>
          <w:sz w:val="32"/>
          <w:szCs w:val="32"/>
          <w:lang w:val="en-US" w:eastAsia="zh-CN"/>
        </w:rPr>
      </w:pPr>
      <w:bookmarkStart w:id="466" w:name="_Toc15817"/>
      <w:r>
        <w:rPr>
          <w:rFonts w:hint="eastAsia" w:ascii="宋体" w:hAnsi="宋体" w:eastAsia="宋体" w:cs="宋体"/>
          <w:sz w:val="32"/>
          <w:szCs w:val="32"/>
          <w:lang w:val="en-US" w:eastAsia="zh-CN"/>
        </w:rPr>
        <w:t xml:space="preserve"> </w:t>
      </w:r>
      <w:bookmarkStart w:id="467" w:name="_Toc15491"/>
      <w:r>
        <w:rPr>
          <w:rFonts w:hint="eastAsia" w:ascii="宋体" w:hAnsi="宋体" w:eastAsia="宋体" w:cs="宋体"/>
          <w:sz w:val="32"/>
          <w:szCs w:val="32"/>
          <w:lang w:val="en-US" w:eastAsia="zh-CN"/>
        </w:rPr>
        <w:t>招标公告</w:t>
      </w:r>
      <w:bookmarkEnd w:id="466"/>
      <w:bookmarkEnd w:id="467"/>
    </w:p>
    <w:p w14:paraId="5B6BCD04">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val="0"/>
          <w:bCs w:val="0"/>
          <w:spacing w:val="4"/>
          <w:sz w:val="24"/>
          <w:szCs w:val="24"/>
          <w:lang w:val="en-US" w:eastAsia="zh-CN"/>
        </w:rPr>
      </w:pPr>
    </w:p>
    <w:p w14:paraId="5B35182D">
      <w:pPr>
        <w:keepNext w:val="0"/>
        <w:keepLines w:val="0"/>
        <w:pageBreakBefore w:val="0"/>
        <w:widowControl/>
        <w:kinsoku w:val="0"/>
        <w:wordWrap/>
        <w:overflowPunct/>
        <w:topLinePunct w:val="0"/>
        <w:autoSpaceDE w:val="0"/>
        <w:autoSpaceDN w:val="0"/>
        <w:bidi w:val="0"/>
        <w:adjustRightInd w:val="0"/>
        <w:snapToGrid w:val="0"/>
        <w:spacing w:line="360" w:lineRule="exact"/>
        <w:ind w:firstLine="248" w:firstLineChars="1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喀什地区维吾尔医医院中药（维吾尔药）饮片采购项目二次公开招标公告</w:t>
      </w:r>
    </w:p>
    <w:p w14:paraId="0BA45B7A">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-312420</wp:posOffset>
                </wp:positionH>
                <wp:positionV relativeFrom="paragraph">
                  <wp:posOffset>71755</wp:posOffset>
                </wp:positionV>
                <wp:extent cx="5815965" cy="921385"/>
                <wp:effectExtent l="5080" t="5080" r="8255" b="13335"/>
                <wp:wrapNone/>
                <wp:docPr id="2" name="文本框 2"/>
                <wp:cNvGraphicFramePr/>
                <a:graphic xmlns:a="http://schemas.openxmlformats.org/drawingml/2006/main">
                  <a:graphicData uri="http://schemas.microsoft.com/office/word/2010/wordprocessingShape">
                    <wps:wsp>
                      <wps:cNvSpPr txBox="1"/>
                      <wps:spPr>
                        <a:xfrm>
                          <a:off x="633730" y="1287145"/>
                          <a:ext cx="5815965" cy="921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207030">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3F5DEA95">
                            <w:pPr>
                              <w:keepNext w:val="0"/>
                              <w:keepLines w:val="0"/>
                              <w:pageBreakBefore w:val="0"/>
                              <w:widowControl/>
                              <w:kinsoku w:val="0"/>
                              <w:wordWrap/>
                              <w:overflowPunct/>
                              <w:topLinePunct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喀什地区维吾尔医医院中药（维吾尔药）饮片采购项目二次的潜在供应商应在线上获取采购文件，并于202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11：00</w:t>
                            </w:r>
                            <w:r>
                              <w:rPr>
                                <w:rFonts w:hint="eastAsia" w:ascii="宋体" w:hAnsi="宋体" w:eastAsia="宋体" w:cs="宋体"/>
                                <w:sz w:val="24"/>
                                <w:szCs w:val="24"/>
                              </w:rPr>
                              <w:t>时（北京时间）前提交响应文件。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pt;margin-top:5.65pt;height:72.55pt;width:457.95pt;z-index:251666432;mso-width-relative:page;mso-height-relative:page;" fillcolor="#FFFFFF [3201]" filled="t" stroked="t" coordsize="21600,21600" o:gfxdata="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rNra9cAAAAKAQAADwAAAAAAAAABACAAAAAiAAAAZHJzL2Rvd25yZXYueG1sUEsBAhQA&#10;FAAAAAgAh07iQJN7hshlAgAAwgQAAA4AAAAAAAAAAQAgAAAAJgEAAGRycy9lMm9Eb2MueG1sUEsF&#10;BgAAAAAGAAYAWQEAAP0FAAAAAA==&#10;">
                <v:fill on="t" focussize="0,0"/>
                <v:stroke weight="0.5pt" color="#000000 [3204]" joinstyle="round"/>
                <v:imagedata o:title=""/>
                <o:lock v:ext="edit" aspectratio="f"/>
                <v:textbox>
                  <w:txbxContent>
                    <w:p w14:paraId="31207030">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3F5DEA95">
                      <w:pPr>
                        <w:keepNext w:val="0"/>
                        <w:keepLines w:val="0"/>
                        <w:pageBreakBefore w:val="0"/>
                        <w:widowControl/>
                        <w:kinsoku w:val="0"/>
                        <w:wordWrap/>
                        <w:overflowPunct/>
                        <w:topLinePunct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喀什地区维吾尔医医院中药（维吾尔药）饮片采购项目二次的潜在供应商应在线上获取采购文件，并于202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11：00</w:t>
                      </w:r>
                      <w:r>
                        <w:rPr>
                          <w:rFonts w:hint="eastAsia" w:ascii="宋体" w:hAnsi="宋体" w:eastAsia="宋体" w:cs="宋体"/>
                          <w:sz w:val="24"/>
                          <w:szCs w:val="24"/>
                        </w:rPr>
                        <w:t>时（北京时间）前提交响应文件。</w:t>
                      </w:r>
                    </w:p>
                  </w:txbxContent>
                </v:textbox>
              </v:shape>
            </w:pict>
          </mc:Fallback>
        </mc:AlternateContent>
      </w:r>
    </w:p>
    <w:p w14:paraId="36FA657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val="0"/>
          <w:bCs w:val="0"/>
          <w:spacing w:val="4"/>
          <w:sz w:val="21"/>
          <w:szCs w:val="21"/>
          <w:highlight w:val="none"/>
          <w:lang w:val="en-US" w:eastAsia="zh-CN"/>
        </w:rPr>
      </w:pPr>
    </w:p>
    <w:p w14:paraId="751590B1">
      <w:pPr>
        <w:pStyle w:val="2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spacing w:val="4"/>
          <w:sz w:val="21"/>
          <w:szCs w:val="21"/>
          <w:highlight w:val="none"/>
          <w:lang w:val="en-US" w:eastAsia="zh-CN"/>
        </w:rPr>
      </w:pPr>
    </w:p>
    <w:p w14:paraId="29A4CBD4">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default" w:ascii="宋体" w:hAnsi="宋体" w:eastAsia="宋体" w:cs="宋体"/>
          <w:b w:val="0"/>
          <w:bCs w:val="0"/>
          <w:spacing w:val="4"/>
          <w:sz w:val="21"/>
          <w:szCs w:val="21"/>
          <w:highlight w:val="none"/>
          <w:lang w:val="en-US" w:eastAsia="zh-CN"/>
        </w:rPr>
        <w:br w:type="textWrapping"/>
      </w:r>
    </w:p>
    <w:p w14:paraId="62AC1B23">
      <w:pPr>
        <w:pStyle w:val="2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napToGrid w:val="0"/>
          <w:color w:val="000000"/>
          <w:spacing w:val="4"/>
          <w:kern w:val="0"/>
          <w:sz w:val="21"/>
          <w:szCs w:val="21"/>
          <w:highlight w:val="none"/>
          <w:lang w:val="en-US" w:eastAsia="zh-CN" w:bidi="ar-SA"/>
        </w:rPr>
        <w:t>一、</w:t>
      </w:r>
      <w:r>
        <w:rPr>
          <w:rFonts w:hint="eastAsia" w:ascii="宋体" w:hAnsi="宋体" w:eastAsia="宋体" w:cs="宋体"/>
          <w:b w:val="0"/>
          <w:bCs w:val="0"/>
          <w:spacing w:val="4"/>
          <w:sz w:val="21"/>
          <w:szCs w:val="21"/>
          <w:highlight w:val="none"/>
          <w:lang w:val="en-US" w:eastAsia="zh-CN"/>
        </w:rPr>
        <w:t>项目基本情况</w:t>
      </w:r>
    </w:p>
    <w:p w14:paraId="451A44A4">
      <w:pPr>
        <w:pStyle w:val="2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项目编号：XJZHKSGK-2025-03-01 </w:t>
      </w:r>
    </w:p>
    <w:p w14:paraId="3DD3627A">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项目名称：喀什地区维吾尔医医院中药（维吾尔药）饮片采购项目二次 </w:t>
      </w:r>
    </w:p>
    <w:p w14:paraId="19531A9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采购方式：公开招标</w:t>
      </w:r>
    </w:p>
    <w:p w14:paraId="6603969D">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预算金额（元）：9000000 </w:t>
      </w:r>
    </w:p>
    <w:p w14:paraId="2DCD49C8">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最高限价（元）：3138568，3011997，2733129，116306</w:t>
      </w:r>
    </w:p>
    <w:p w14:paraId="1BC61900">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采购需求：</w:t>
      </w:r>
    </w:p>
    <w:p w14:paraId="1546D936">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标项一</w:t>
      </w:r>
    </w:p>
    <w:p w14:paraId="04D9EF8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52"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标项名称:喀什地区维吾尔医医院中药（维吾尔药）饮片采购项目（第一包）二次</w:t>
      </w:r>
    </w:p>
    <w:p w14:paraId="2CB1BC54">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52"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数量:1</w:t>
      </w:r>
    </w:p>
    <w:p w14:paraId="14F31BE1">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预算金额（元）:3138568</w:t>
      </w:r>
    </w:p>
    <w:p w14:paraId="7F333A31">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简要规格描述或项目基本概况介绍、用途：采购中药饮片一批（详见采购清单）</w:t>
      </w:r>
    </w:p>
    <w:p w14:paraId="2F86DA2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备注：无</w:t>
      </w:r>
    </w:p>
    <w:p w14:paraId="76402885">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标项二</w:t>
      </w:r>
    </w:p>
    <w:p w14:paraId="487F403B">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标项名称:喀什地区维吾尔医医院中药（维吾尔药）饮片采购项目（第二包）二次</w:t>
      </w:r>
    </w:p>
    <w:p w14:paraId="1851A9F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数量:1</w:t>
      </w:r>
    </w:p>
    <w:p w14:paraId="346B65A1">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预算金额（元）:3011997</w:t>
      </w:r>
    </w:p>
    <w:p w14:paraId="3B0F3E98">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简要规格描述或项目基本概况介绍、用途：采购中药饮片一批（详见采购清单）</w:t>
      </w:r>
    </w:p>
    <w:p w14:paraId="18F05C9A">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备注：无</w:t>
      </w:r>
    </w:p>
    <w:p w14:paraId="03EEAFA1">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标项三</w:t>
      </w:r>
    </w:p>
    <w:p w14:paraId="5D1FEF62">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标项名称:喀什地区维吾尔医医院中药（维吾尔药）饮片采购项目（第三包）二次</w:t>
      </w:r>
    </w:p>
    <w:p w14:paraId="4222B126">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数量:1</w:t>
      </w:r>
    </w:p>
    <w:p w14:paraId="643D91E1">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预算金额（元）:2733129</w:t>
      </w:r>
    </w:p>
    <w:p w14:paraId="2E6A1DD9">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435" w:leftChars="207"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简要规格描述或项目基本概况介绍、用途：采购中药饮片一批（详见采购清单）</w:t>
      </w:r>
    </w:p>
    <w:p w14:paraId="39E40E49">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备注：无</w:t>
      </w:r>
    </w:p>
    <w:p w14:paraId="067EF8B4">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标项四</w:t>
      </w:r>
    </w:p>
    <w:p w14:paraId="00E67501">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标项名称:喀什地区维吾尔医医院中药（维吾尔药）饮片采购项目（第五包）二次</w:t>
      </w:r>
    </w:p>
    <w:p w14:paraId="18CB84BA">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数量:1</w:t>
      </w:r>
    </w:p>
    <w:p w14:paraId="0935F1E8">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预算金额（元）:116306</w:t>
      </w:r>
    </w:p>
    <w:p w14:paraId="66A2634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简要规格描述或项目基本概况介绍、用途：采购辅料一批（详见采购清单）</w:t>
      </w:r>
    </w:p>
    <w:p w14:paraId="6B25DC1B">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备注：无</w:t>
      </w:r>
    </w:p>
    <w:p w14:paraId="0B6D5F16">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合同履约期限：标项1、2、3、4：合同期限三年，一年一签，考核合格签订下一年度合同。如考核不合格，后续不再签订合同，造成甲方损失的由乙方承担。</w:t>
      </w:r>
    </w:p>
    <w:p w14:paraId="0F635320">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本项目（否）接受联合体投标。</w:t>
      </w:r>
    </w:p>
    <w:p w14:paraId="252214D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二、申请人的资格要求：</w:t>
      </w:r>
    </w:p>
    <w:p w14:paraId="23C36419">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1.满足《中华人民共和国政府采购法》第二十二条规定；</w:t>
      </w:r>
    </w:p>
    <w:p w14:paraId="061418D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2.落实政府采购政策需满足的资格要求：标项1、2、3、4：无</w:t>
      </w:r>
    </w:p>
    <w:p w14:paraId="23BD88BA">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3.本项目的特定资格要求：</w:t>
      </w:r>
    </w:p>
    <w:p w14:paraId="00AA1F9C">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标项1、2、3、4：投标人是生产企业的须具备《药品生产许可证》（中药饮片）；投标人为经营企业或代理公司的须具备《药品经营许可证》（中药饮片)；</w:t>
      </w:r>
    </w:p>
    <w:p w14:paraId="73DE884C">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三、获取招标文件</w:t>
      </w:r>
    </w:p>
    <w:p w14:paraId="5F29D6C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时间：2025年7月2日至2025年7月22日，每天上午00:00至14:00，下午14:00至23:59（北京时间，法定节假日除外）</w:t>
      </w:r>
    </w:p>
    <w:p w14:paraId="3DBB323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地点：政采云平台（https://login.zcygov.cn/user-login/#/login）</w:t>
      </w:r>
    </w:p>
    <w:p w14:paraId="5031E45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27CEC61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售价（元）：0</w:t>
      </w:r>
    </w:p>
    <w:p w14:paraId="3B5DBFB2">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四、提交投标文件截止时间、开标时间和地点</w:t>
      </w:r>
    </w:p>
    <w:p w14:paraId="58AF81B8">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提交投标文件截止时间：2025年7月23日11：00（北京时间）</w:t>
      </w:r>
    </w:p>
    <w:p w14:paraId="7B2765CE">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投标地点：政采云平台（https://login.zcygov.cn/user-login/#/login）</w:t>
      </w:r>
    </w:p>
    <w:p w14:paraId="7455D4F6">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开标时间：2025年7月23日11：00（北京时间）</w:t>
      </w:r>
    </w:p>
    <w:p w14:paraId="65B2AD1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开标地点：政采云平台（https://login.zcygov.cn/user-login/#/login）</w:t>
      </w:r>
    </w:p>
    <w:p w14:paraId="3075CB3C">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五、公告期限</w:t>
      </w:r>
    </w:p>
    <w:p w14:paraId="79875D9B">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自本公告发布之日起5个工作日。</w:t>
      </w:r>
    </w:p>
    <w:p w14:paraId="70AF87F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六、其他补充事宜</w:t>
      </w:r>
    </w:p>
    <w:p w14:paraId="0E344A0D">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二楼企业服务专区数字证书窗口，联系电话15001465669）。</w:t>
      </w:r>
    </w:p>
    <w:p w14:paraId="51571292">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2.本项目实行网上投标，采用电子投标文件(供应商须使用CA加密设备通过政采云电子投标客户端制作投标文件)。若供应商参与投标，自行承担投标一切费用。</w:t>
      </w:r>
    </w:p>
    <w:p w14:paraId="0058BECB">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54F6F6D9">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564C89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5.供应商在开标时须使用制作加密电子投标文件所使用的CA锁及电脑，电脑须提前配置好浏览器（建议使用谷歌浏览器），以便开标时解锁。</w:t>
      </w:r>
    </w:p>
    <w:p w14:paraId="665D014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1D70481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CE9E768">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特别提示：</w:t>
      </w:r>
    </w:p>
    <w:p w14:paraId="635DCE36">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1、采购限额标准以上，200万元以下的货物和服务采购项目、400万元以下的工程采购项目，适宜由中小企业提供的，采购人应当专门面向中小企业采购。</w:t>
      </w:r>
    </w:p>
    <w:p w14:paraId="1E13F8C5">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2、超过200万元的货物和服务采购项目，预留该部分采购项目预算总额的30%以上专门面向中小企业采购，其中预留给小微企业的比例不低于60%。</w:t>
      </w:r>
    </w:p>
    <w:p w14:paraId="7F4F64CA">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3、超过400万元的工程采购项目中适宜由中小企业提供的，预留该部分采购项目预算总额的40%以上专门面向中小企业采购，其中预留给小微企业的比例不低于60%。</w:t>
      </w:r>
    </w:p>
    <w:p w14:paraId="31F2DF9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E42D9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87B8702">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七、对本次采购提出询问，请按以下方式联系</w:t>
      </w:r>
    </w:p>
    <w:p w14:paraId="77F88EF5">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1.采购人信息</w:t>
      </w:r>
    </w:p>
    <w:p w14:paraId="1B0B7A7E">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名 称：喀什地区维吾尔医医院</w:t>
      </w:r>
    </w:p>
    <w:p w14:paraId="26D0001B">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 址：喀什市西域大道180号</w:t>
      </w:r>
    </w:p>
    <w:p w14:paraId="2DA3B90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联系方式：18799540174 </w:t>
      </w:r>
    </w:p>
    <w:p w14:paraId="4BED94B5">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2.采购代理机构信息</w:t>
      </w:r>
    </w:p>
    <w:p w14:paraId="4AE35A29">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名 称：新疆正昊建设工程项目管理有限公司</w:t>
      </w:r>
    </w:p>
    <w:p w14:paraId="673636E9">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 址：喀什市托克扎克路103号1栋3单元301室</w:t>
      </w:r>
    </w:p>
    <w:p w14:paraId="269CF55E">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联系方式：15569403261</w:t>
      </w:r>
    </w:p>
    <w:p w14:paraId="73EC412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3.项目联系方式</w:t>
      </w:r>
    </w:p>
    <w:p w14:paraId="1E46E30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项目联系人：张俊</w:t>
      </w:r>
    </w:p>
    <w:p w14:paraId="366740E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电 话：15569403261</w:t>
      </w:r>
    </w:p>
    <w:p w14:paraId="3869B82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p>
    <w:p w14:paraId="0A6E8D59">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40744DF4">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0B65693">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7C66241D">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064C2D5A">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4F4065D7">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35E7024">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055F36A">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6A918391">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4F5AA30F">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1AA3D0C">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4905D8C">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7BB27609">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7C499C55">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747419D">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289E289C">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DA9FC3F">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5F752382">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03EB4DF6">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6E3DC1A">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2343AAB">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32ED592F">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7864AA23">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E154931">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11E4E00D">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2046BFD0">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798D1E42">
      <w:pPr>
        <w:numPr>
          <w:ilvl w:val="0"/>
          <w:numId w:val="0"/>
        </w:numPr>
        <w:kinsoku w:val="0"/>
        <w:autoSpaceDE w:val="0"/>
        <w:autoSpaceDN w:val="0"/>
        <w:adjustRightInd w:val="0"/>
        <w:snapToGrid w:val="0"/>
        <w:spacing w:line="240" w:lineRule="auto"/>
        <w:jc w:val="left"/>
        <w:textAlignment w:val="baseline"/>
        <w:rPr>
          <w:rFonts w:hint="default" w:ascii="宋体" w:hAnsi="宋体" w:cs="宋体"/>
          <w:kern w:val="2"/>
          <w:sz w:val="30"/>
          <w:szCs w:val="30"/>
          <w:lang w:val="en-US" w:eastAsia="zh-CN" w:bidi="ar-SA"/>
        </w:rPr>
      </w:pPr>
    </w:p>
    <w:p w14:paraId="610BFD2E">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360" w:lineRule="auto"/>
        <w:ind w:left="640" w:leftChars="0" w:hanging="640" w:hangingChars="200"/>
        <w:jc w:val="center"/>
        <w:textAlignment w:val="baseline"/>
        <w:outlineLvl w:val="1"/>
        <w:rPr>
          <w:rFonts w:hint="eastAsia" w:ascii="宋体" w:hAnsi="宋体" w:eastAsia="宋体" w:cs="宋体"/>
          <w:sz w:val="32"/>
          <w:szCs w:val="32"/>
        </w:rPr>
      </w:pPr>
      <w:bookmarkStart w:id="468" w:name="_Toc3857"/>
      <w:r>
        <w:rPr>
          <w:rFonts w:hint="eastAsia" w:ascii="宋体" w:hAnsi="宋体" w:eastAsia="宋体" w:cs="宋体"/>
          <w:sz w:val="32"/>
          <w:szCs w:val="32"/>
          <w:lang w:val="en-US" w:eastAsia="zh-CN"/>
        </w:rPr>
        <w:t xml:space="preserve"> </w:t>
      </w:r>
      <w:bookmarkStart w:id="469" w:name="_Toc21147"/>
      <w:r>
        <w:rPr>
          <w:rFonts w:hint="eastAsia" w:ascii="宋体" w:hAnsi="宋体" w:eastAsia="宋体" w:cs="宋体"/>
          <w:sz w:val="32"/>
          <w:szCs w:val="32"/>
        </w:rPr>
        <w:t>投标人须知资料表</w:t>
      </w:r>
      <w:bookmarkEnd w:id="468"/>
      <w:bookmarkEnd w:id="469"/>
    </w:p>
    <w:p w14:paraId="5BFB4A84">
      <w:pPr>
        <w:pStyle w:val="9"/>
        <w:spacing w:before="72" w:line="226" w:lineRule="auto"/>
        <w:ind w:left="52" w:firstLine="439"/>
        <w:rPr>
          <w:rFonts w:hint="eastAsia" w:ascii="宋体" w:hAnsi="宋体" w:eastAsia="宋体" w:cs="宋体"/>
          <w:sz w:val="24"/>
          <w:szCs w:val="24"/>
        </w:rPr>
      </w:pPr>
      <w:r>
        <w:rPr>
          <w:rFonts w:hint="eastAsia" w:ascii="宋体" w:hAnsi="宋体" w:eastAsia="宋体" w:cs="宋体"/>
          <w:spacing w:val="-2"/>
          <w:sz w:val="24"/>
          <w:szCs w:val="24"/>
        </w:rPr>
        <w:t>本表是本招标项目的具体资料，是对投标人须知的具体补充和</w:t>
      </w:r>
      <w:r>
        <w:rPr>
          <w:rFonts w:hint="eastAsia" w:ascii="宋体" w:hAnsi="宋体" w:eastAsia="宋体" w:cs="宋体"/>
          <w:spacing w:val="-3"/>
          <w:sz w:val="24"/>
          <w:szCs w:val="24"/>
        </w:rPr>
        <w:t>修改，如有矛盾，应以</w:t>
      </w:r>
      <w:r>
        <w:rPr>
          <w:rFonts w:hint="eastAsia" w:ascii="宋体" w:hAnsi="宋体" w:eastAsia="宋体" w:cs="宋体"/>
          <w:spacing w:val="-4"/>
          <w:sz w:val="24"/>
          <w:szCs w:val="24"/>
        </w:rPr>
        <w:t>本资料表为准。</w:t>
      </w:r>
    </w:p>
    <w:tbl>
      <w:tblPr>
        <w:tblStyle w:val="31"/>
        <w:tblW w:w="979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8667"/>
      </w:tblGrid>
      <w:tr w14:paraId="53D8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132" w:type="dxa"/>
            <w:tcBorders>
              <w:top w:val="single" w:color="000000" w:sz="10" w:space="0"/>
              <w:left w:val="single" w:color="000000" w:sz="10" w:space="0"/>
            </w:tcBorders>
            <w:vAlign w:val="top"/>
          </w:tcPr>
          <w:p w14:paraId="437E9E7D">
            <w:pPr>
              <w:spacing w:before="115" w:line="227" w:lineRule="auto"/>
              <w:ind w:firstLine="252" w:firstLineChars="100"/>
              <w:rPr>
                <w:rFonts w:hint="eastAsia" w:ascii="宋体" w:hAnsi="宋体" w:eastAsia="宋体" w:cs="宋体"/>
                <w:sz w:val="24"/>
                <w:szCs w:val="24"/>
              </w:rPr>
            </w:pPr>
            <w:r>
              <w:rPr>
                <w:rFonts w:hint="eastAsia" w:ascii="宋体" w:hAnsi="宋体" w:eastAsia="宋体" w:cs="宋体"/>
                <w:spacing w:val="6"/>
                <w:sz w:val="24"/>
                <w:szCs w:val="24"/>
              </w:rPr>
              <w:t>条款号</w:t>
            </w:r>
          </w:p>
        </w:tc>
        <w:tc>
          <w:tcPr>
            <w:tcW w:w="8667" w:type="dxa"/>
            <w:tcBorders>
              <w:top w:val="single" w:color="000000" w:sz="10" w:space="0"/>
              <w:right w:val="single" w:color="000000" w:sz="10" w:space="0"/>
            </w:tcBorders>
            <w:vAlign w:val="top"/>
          </w:tcPr>
          <w:p w14:paraId="4AAB5A55">
            <w:pPr>
              <w:spacing w:before="115" w:line="227" w:lineRule="auto"/>
              <w:ind w:left="592"/>
              <w:jc w:val="center"/>
              <w:rPr>
                <w:rFonts w:hint="eastAsia" w:ascii="宋体" w:hAnsi="宋体" w:eastAsia="宋体" w:cs="宋体"/>
                <w:sz w:val="24"/>
                <w:szCs w:val="24"/>
              </w:rPr>
            </w:pPr>
            <w:r>
              <w:rPr>
                <w:rFonts w:hint="eastAsia" w:ascii="宋体" w:hAnsi="宋体" w:eastAsia="宋体" w:cs="宋体"/>
                <w:b/>
                <w:bCs/>
                <w:spacing w:val="-17"/>
                <w:sz w:val="24"/>
                <w:szCs w:val="24"/>
              </w:rPr>
              <w:t>内</w:t>
            </w:r>
            <w:r>
              <w:rPr>
                <w:rFonts w:hint="eastAsia" w:ascii="宋体" w:hAnsi="宋体" w:eastAsia="宋体" w:cs="宋体"/>
                <w:spacing w:val="7"/>
                <w:sz w:val="24"/>
                <w:szCs w:val="24"/>
              </w:rPr>
              <w:t xml:space="preserve">      </w:t>
            </w:r>
            <w:r>
              <w:rPr>
                <w:rFonts w:hint="eastAsia" w:ascii="宋体" w:hAnsi="宋体" w:eastAsia="宋体" w:cs="宋体"/>
                <w:b/>
                <w:bCs/>
                <w:spacing w:val="-17"/>
                <w:sz w:val="24"/>
                <w:szCs w:val="24"/>
              </w:rPr>
              <w:t>容</w:t>
            </w:r>
          </w:p>
        </w:tc>
      </w:tr>
      <w:tr w14:paraId="5D7DF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32" w:type="dxa"/>
            <w:tcBorders>
              <w:left w:val="single" w:color="000000" w:sz="10" w:space="0"/>
            </w:tcBorders>
            <w:vAlign w:val="top"/>
          </w:tcPr>
          <w:p w14:paraId="7EBD3596">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486336">
            <w:pPr>
              <w:keepNext w:val="0"/>
              <w:keepLines w:val="0"/>
              <w:pageBreakBefore w:val="0"/>
              <w:widowControl/>
              <w:wordWrap/>
              <w:overflowPunct/>
              <w:topLinePunct w:val="0"/>
              <w:bidi w:val="0"/>
              <w:spacing w:before="74" w:line="360" w:lineRule="auto"/>
              <w:ind w:firstLine="400" w:firstLineChars="200"/>
              <w:rPr>
                <w:rFonts w:hint="eastAsia" w:ascii="宋体" w:hAnsi="宋体" w:eastAsia="宋体" w:cs="宋体"/>
                <w:sz w:val="21"/>
                <w:szCs w:val="21"/>
              </w:rPr>
            </w:pPr>
            <w:r>
              <w:rPr>
                <w:rFonts w:hint="eastAsia" w:ascii="宋体" w:hAnsi="宋体" w:eastAsia="宋体" w:cs="宋体"/>
                <w:spacing w:val="-5"/>
                <w:sz w:val="21"/>
                <w:szCs w:val="21"/>
              </w:rPr>
              <w:t>1.1</w:t>
            </w:r>
          </w:p>
        </w:tc>
        <w:tc>
          <w:tcPr>
            <w:tcW w:w="8667" w:type="dxa"/>
            <w:tcBorders>
              <w:right w:val="single" w:color="000000" w:sz="10" w:space="0"/>
            </w:tcBorders>
            <w:vAlign w:val="top"/>
          </w:tcPr>
          <w:p w14:paraId="6F44D9EE">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采 购 人：喀什地区维吾尔医医院</w:t>
            </w:r>
          </w:p>
          <w:p w14:paraId="002B30EB">
            <w:pPr>
              <w:keepNext w:val="0"/>
              <w:keepLines w:val="0"/>
              <w:pageBreakBefore w:val="0"/>
              <w:widowControl/>
              <w:wordWrap/>
              <w:overflowPunct/>
              <w:topLinePunct w:val="0"/>
              <w:bidi w:val="0"/>
              <w:spacing w:before="74" w:line="360" w:lineRule="auto"/>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地    址：喀什市西域大道180号</w:t>
            </w:r>
          </w:p>
          <w:p w14:paraId="56B64B61">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rPr>
            </w:pPr>
            <w:r>
              <w:rPr>
                <w:rFonts w:hint="eastAsia" w:ascii="宋体" w:hAnsi="宋体" w:eastAsia="宋体" w:cs="宋体"/>
                <w:spacing w:val="-5"/>
                <w:sz w:val="21"/>
                <w:szCs w:val="21"/>
                <w:lang w:val="en-US" w:eastAsia="zh-CN"/>
              </w:rPr>
              <w:t xml:space="preserve">联系人：阿力木江      </w:t>
            </w:r>
            <w:r>
              <w:rPr>
                <w:rFonts w:hint="eastAsia" w:ascii="宋体" w:hAnsi="宋体" w:eastAsia="宋体" w:cs="宋体"/>
                <w:spacing w:val="-5"/>
                <w:sz w:val="21"/>
                <w:szCs w:val="21"/>
              </w:rPr>
              <w:t xml:space="preserve">联系方式：18799540174 </w:t>
            </w:r>
          </w:p>
        </w:tc>
      </w:tr>
      <w:tr w14:paraId="3B56F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132" w:type="dxa"/>
            <w:tcBorders>
              <w:left w:val="single" w:color="000000" w:sz="10" w:space="0"/>
            </w:tcBorders>
            <w:vAlign w:val="top"/>
          </w:tcPr>
          <w:p w14:paraId="52ED9A60">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769EBA">
            <w:pPr>
              <w:keepNext w:val="0"/>
              <w:keepLines w:val="0"/>
              <w:pageBreakBefore w:val="0"/>
              <w:widowControl/>
              <w:wordWrap/>
              <w:overflowPunct/>
              <w:topLinePunct w:val="0"/>
              <w:bidi w:val="0"/>
              <w:spacing w:before="75" w:line="360" w:lineRule="auto"/>
              <w:ind w:firstLine="400" w:firstLineChars="200"/>
              <w:rPr>
                <w:rFonts w:hint="eastAsia" w:ascii="宋体" w:hAnsi="宋体" w:eastAsia="宋体" w:cs="宋体"/>
                <w:sz w:val="21"/>
                <w:szCs w:val="21"/>
              </w:rPr>
            </w:pPr>
            <w:r>
              <w:rPr>
                <w:rFonts w:hint="eastAsia" w:ascii="宋体" w:hAnsi="宋体" w:eastAsia="宋体" w:cs="宋体"/>
                <w:spacing w:val="-5"/>
                <w:sz w:val="21"/>
                <w:szCs w:val="21"/>
              </w:rPr>
              <w:t>1.2</w:t>
            </w:r>
          </w:p>
        </w:tc>
        <w:tc>
          <w:tcPr>
            <w:tcW w:w="8667" w:type="dxa"/>
            <w:tcBorders>
              <w:right w:val="single" w:color="000000" w:sz="10" w:space="0"/>
            </w:tcBorders>
            <w:vAlign w:val="top"/>
          </w:tcPr>
          <w:p w14:paraId="74965ECC">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采购代理机构：</w:t>
            </w:r>
            <w:r>
              <w:rPr>
                <w:rFonts w:hint="eastAsia" w:ascii="宋体" w:hAnsi="宋体" w:eastAsia="宋体" w:cs="宋体"/>
                <w:spacing w:val="-5"/>
                <w:sz w:val="21"/>
                <w:szCs w:val="21"/>
                <w:lang w:eastAsia="zh-CN"/>
              </w:rPr>
              <w:t>新疆正昊建设工程项目管理有限公司</w:t>
            </w:r>
          </w:p>
          <w:p w14:paraId="42946E6D">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地址：</w:t>
            </w:r>
            <w:r>
              <w:rPr>
                <w:rFonts w:hint="eastAsia" w:ascii="宋体" w:hAnsi="宋体" w:eastAsia="宋体" w:cs="宋体"/>
                <w:spacing w:val="-5"/>
                <w:sz w:val="21"/>
                <w:szCs w:val="21"/>
                <w:lang w:eastAsia="zh-CN"/>
              </w:rPr>
              <w:t>喀什市托克扎克路103号1号楼3单元301室</w:t>
            </w:r>
          </w:p>
          <w:p w14:paraId="453D835A">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 xml:space="preserve">业务联系人： </w:t>
            </w:r>
            <w:r>
              <w:rPr>
                <w:rFonts w:hint="eastAsia" w:ascii="宋体" w:hAnsi="宋体" w:eastAsia="宋体" w:cs="宋体"/>
                <w:spacing w:val="-5"/>
                <w:sz w:val="21"/>
                <w:szCs w:val="21"/>
                <w:lang w:eastAsia="zh-CN"/>
              </w:rPr>
              <w:t>张俊</w:t>
            </w:r>
            <w:r>
              <w:rPr>
                <w:rFonts w:hint="eastAsia"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hint="eastAsia" w:ascii="宋体" w:hAnsi="宋体" w:eastAsia="宋体" w:cs="宋体"/>
                <w:spacing w:val="-5"/>
                <w:sz w:val="21"/>
                <w:szCs w:val="21"/>
              </w:rPr>
              <w:t>电话：</w:t>
            </w:r>
            <w:r>
              <w:rPr>
                <w:rFonts w:hint="eastAsia" w:ascii="宋体" w:hAnsi="宋体" w:eastAsia="宋体" w:cs="宋体"/>
                <w:spacing w:val="-5"/>
                <w:sz w:val="21"/>
                <w:szCs w:val="21"/>
                <w:lang w:eastAsia="zh-CN"/>
              </w:rPr>
              <w:t>15569403261</w:t>
            </w:r>
          </w:p>
        </w:tc>
      </w:tr>
      <w:tr w14:paraId="04E2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132" w:type="dxa"/>
            <w:tcBorders>
              <w:left w:val="single" w:color="000000" w:sz="10" w:space="0"/>
            </w:tcBorders>
            <w:vAlign w:val="top"/>
          </w:tcPr>
          <w:p w14:paraId="09ECCEB8">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44BA139">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DD35E8">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815E233">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5602DC0">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D37A2CD">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3BFCFCA">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92AD988">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9B97BDC">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321BF098">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DD99FBB">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3699BD93">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71DDFC51">
            <w:pPr>
              <w:keepNext w:val="0"/>
              <w:keepLines w:val="0"/>
              <w:pageBreakBefore w:val="0"/>
              <w:widowControl/>
              <w:wordWrap/>
              <w:overflowPunct/>
              <w:topLinePunct w:val="0"/>
              <w:bidi w:val="0"/>
              <w:spacing w:before="75" w:line="360" w:lineRule="auto"/>
              <w:jc w:val="center"/>
              <w:rPr>
                <w:rFonts w:hint="eastAsia" w:ascii="宋体" w:hAnsi="宋体" w:eastAsia="宋体" w:cs="宋体"/>
                <w:sz w:val="21"/>
                <w:szCs w:val="21"/>
              </w:rPr>
            </w:pPr>
            <w:r>
              <w:rPr>
                <w:rFonts w:hint="eastAsia" w:ascii="宋体" w:hAnsi="宋体" w:eastAsia="宋体" w:cs="宋体"/>
                <w:spacing w:val="-1"/>
                <w:sz w:val="21"/>
                <w:szCs w:val="21"/>
              </w:rPr>
              <w:t>1.3.4</w:t>
            </w:r>
          </w:p>
        </w:tc>
        <w:tc>
          <w:tcPr>
            <w:tcW w:w="8667" w:type="dxa"/>
            <w:tcBorders>
              <w:right w:val="single" w:color="000000" w:sz="10" w:space="0"/>
            </w:tcBorders>
            <w:vAlign w:val="top"/>
          </w:tcPr>
          <w:p w14:paraId="21BBF28F">
            <w:pPr>
              <w:keepNext w:val="0"/>
              <w:keepLines w:val="0"/>
              <w:pageBreakBefore w:val="0"/>
              <w:widowControl/>
              <w:wordWrap/>
              <w:overflowPunct/>
              <w:topLinePunct w:val="0"/>
              <w:bidi w:val="0"/>
              <w:spacing w:before="36" w:line="360" w:lineRule="auto"/>
              <w:ind w:left="24"/>
              <w:rPr>
                <w:rFonts w:hint="eastAsia" w:ascii="宋体" w:hAnsi="宋体" w:eastAsia="宋体" w:cs="宋体"/>
                <w:sz w:val="21"/>
                <w:szCs w:val="21"/>
              </w:rPr>
            </w:pPr>
            <w:r>
              <w:rPr>
                <w:rFonts w:hint="eastAsia" w:ascii="宋体" w:hAnsi="宋体" w:eastAsia="宋体" w:cs="宋体"/>
                <w:spacing w:val="3"/>
                <w:sz w:val="21"/>
                <w:szCs w:val="21"/>
              </w:rPr>
              <w:t>合格投标人的资格要求：</w:t>
            </w:r>
          </w:p>
          <w:p w14:paraId="4FDE38CC">
            <w:pPr>
              <w:keepNext w:val="0"/>
              <w:keepLines w:val="0"/>
              <w:pageBreakBefore w:val="0"/>
              <w:widowControl/>
              <w:wordWrap/>
              <w:overflowPunct/>
              <w:topLinePunct w:val="0"/>
              <w:bidi w:val="0"/>
              <w:spacing w:before="16" w:line="360" w:lineRule="auto"/>
              <w:ind w:left="40"/>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1.满足《中华人民共和国政府采购法》第二十二条规定；</w:t>
            </w:r>
          </w:p>
          <w:p w14:paraId="4F2033DB">
            <w:pPr>
              <w:keepNext w:val="0"/>
              <w:keepLines w:val="0"/>
              <w:pageBreakBefore w:val="0"/>
              <w:widowControl/>
              <w:wordWrap/>
              <w:overflowPunct/>
              <w:topLinePunct w:val="0"/>
              <w:bidi w:val="0"/>
              <w:spacing w:before="29" w:line="360" w:lineRule="auto"/>
              <w:ind w:left="26"/>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2.具备有效的营业执照</w:t>
            </w:r>
            <w:r>
              <w:rPr>
                <w:rFonts w:hint="eastAsia" w:ascii="宋体" w:hAnsi="宋体" w:eastAsia="宋体" w:cs="宋体"/>
                <w:b w:val="0"/>
                <w:bCs w:val="0"/>
                <w:spacing w:val="18"/>
                <w:sz w:val="21"/>
                <w:szCs w:val="21"/>
              </w:rPr>
              <w:t>；</w:t>
            </w:r>
          </w:p>
          <w:p w14:paraId="2AB4868F">
            <w:pPr>
              <w:keepNext w:val="0"/>
              <w:keepLines w:val="0"/>
              <w:pageBreakBefore w:val="0"/>
              <w:widowControl/>
              <w:wordWrap/>
              <w:overflowPunct/>
              <w:topLinePunct w:val="0"/>
              <w:bidi w:val="0"/>
              <w:spacing w:before="26" w:line="360" w:lineRule="auto"/>
              <w:ind w:left="34" w:right="23" w:hanging="6"/>
              <w:rPr>
                <w:rFonts w:hint="eastAsia" w:ascii="宋体" w:hAnsi="宋体" w:eastAsia="宋体" w:cs="宋体"/>
                <w:b w:val="0"/>
                <w:bCs w:val="0"/>
                <w:spacing w:val="8"/>
                <w:sz w:val="21"/>
                <w:szCs w:val="21"/>
              </w:rPr>
            </w:pPr>
            <w:r>
              <w:rPr>
                <w:rFonts w:hint="eastAsia" w:ascii="宋体" w:hAnsi="宋体" w:eastAsia="宋体" w:cs="宋体"/>
                <w:b w:val="0"/>
                <w:bCs w:val="0"/>
                <w:spacing w:val="8"/>
                <w:sz w:val="21"/>
                <w:szCs w:val="21"/>
              </w:rPr>
              <w:t>3.法定代表人身份证明或法定代表人授权委托书及法人身份证；</w:t>
            </w:r>
          </w:p>
          <w:p w14:paraId="2C8C317E">
            <w:pPr>
              <w:keepNext w:val="0"/>
              <w:keepLines w:val="0"/>
              <w:pageBreakBefore w:val="0"/>
              <w:widowControl/>
              <w:wordWrap/>
              <w:overflowPunct/>
              <w:topLinePunct w:val="0"/>
              <w:bidi w:val="0"/>
              <w:spacing w:before="26" w:line="360" w:lineRule="auto"/>
              <w:ind w:left="34" w:right="23" w:hanging="6"/>
              <w:rPr>
                <w:rFonts w:hint="eastAsia" w:ascii="宋体" w:hAnsi="宋体" w:eastAsia="宋体" w:cs="宋体"/>
                <w:b w:val="0"/>
                <w:bCs w:val="0"/>
                <w:spacing w:val="8"/>
                <w:sz w:val="21"/>
                <w:szCs w:val="21"/>
              </w:rPr>
            </w:pPr>
            <w:r>
              <w:rPr>
                <w:rFonts w:hint="eastAsia" w:ascii="宋体" w:hAnsi="宋体" w:eastAsia="宋体" w:cs="宋体"/>
                <w:b w:val="0"/>
                <w:bCs w:val="0"/>
                <w:spacing w:val="8"/>
                <w:sz w:val="21"/>
                <w:szCs w:val="21"/>
              </w:rPr>
              <w:t>4</w:t>
            </w:r>
            <w:r>
              <w:rPr>
                <w:rFonts w:hint="eastAsia" w:ascii="宋体" w:hAnsi="宋体" w:eastAsia="宋体" w:cs="宋体"/>
                <w:b w:val="0"/>
                <w:bCs w:val="0"/>
                <w:spacing w:val="8"/>
                <w:sz w:val="21"/>
                <w:szCs w:val="21"/>
                <w:lang w:eastAsia="zh-CN"/>
              </w:rPr>
              <w:t>.</w:t>
            </w:r>
            <w:r>
              <w:rPr>
                <w:rFonts w:hint="eastAsia" w:ascii="宋体" w:hAnsi="宋体" w:eastAsia="宋体" w:cs="宋体"/>
                <w:b w:val="0"/>
                <w:bCs w:val="0"/>
                <w:spacing w:val="8"/>
                <w:sz w:val="21"/>
                <w:szCs w:val="21"/>
              </w:rPr>
              <w:t>特定的资格要求：</w:t>
            </w:r>
          </w:p>
          <w:p w14:paraId="41DAC4A7">
            <w:pPr>
              <w:keepNext w:val="0"/>
              <w:keepLines w:val="0"/>
              <w:pageBreakBefore w:val="0"/>
              <w:widowControl/>
              <w:wordWrap/>
              <w:overflowPunct/>
              <w:topLinePunct w:val="0"/>
              <w:bidi w:val="0"/>
              <w:spacing w:before="26" w:line="360" w:lineRule="auto"/>
              <w:ind w:left="21" w:right="23" w:firstLine="3"/>
              <w:rPr>
                <w:rFonts w:hint="eastAsia" w:ascii="宋体" w:hAnsi="宋体" w:eastAsia="宋体" w:cs="宋体"/>
                <w:b w:val="0"/>
                <w:bCs w:val="0"/>
                <w:spacing w:val="7"/>
                <w:sz w:val="21"/>
                <w:szCs w:val="21"/>
              </w:rPr>
            </w:pPr>
            <w:r>
              <w:rPr>
                <w:rFonts w:hint="eastAsia" w:ascii="宋体" w:hAnsi="宋体" w:eastAsia="宋体" w:cs="宋体"/>
                <w:b w:val="0"/>
                <w:bCs w:val="0"/>
                <w:spacing w:val="7"/>
                <w:sz w:val="21"/>
                <w:szCs w:val="21"/>
              </w:rPr>
              <w:t>投标人是生产企业的须具备《药品生产许可证》（中药饮片）；投标人为经营企业或代理公司的须具备《药品经营许可证》（中药饮片)；</w:t>
            </w:r>
          </w:p>
          <w:p w14:paraId="576C6EEC">
            <w:pPr>
              <w:keepNext w:val="0"/>
              <w:keepLines w:val="0"/>
              <w:pageBreakBefore w:val="0"/>
              <w:widowControl/>
              <w:wordWrap/>
              <w:overflowPunct/>
              <w:topLinePunct w:val="0"/>
              <w:bidi w:val="0"/>
              <w:spacing w:before="26" w:line="360" w:lineRule="auto"/>
              <w:ind w:left="21" w:right="23" w:firstLine="3"/>
              <w:rPr>
                <w:rFonts w:hint="eastAsia" w:ascii="宋体" w:hAnsi="宋体" w:eastAsia="宋体" w:cs="宋体"/>
                <w:b w:val="0"/>
                <w:bCs w:val="0"/>
                <w:spacing w:val="7"/>
                <w:sz w:val="21"/>
                <w:szCs w:val="21"/>
                <w:lang w:eastAsia="zh-CN"/>
              </w:rPr>
            </w:pPr>
            <w:r>
              <w:rPr>
                <w:rFonts w:hint="eastAsia" w:ascii="宋体" w:hAnsi="宋体" w:eastAsia="宋体" w:cs="宋体"/>
                <w:b w:val="0"/>
                <w:bCs w:val="0"/>
                <w:spacing w:val="7"/>
                <w:sz w:val="21"/>
                <w:szCs w:val="21"/>
              </w:rPr>
              <w:t>5.202</w:t>
            </w:r>
            <w:r>
              <w:rPr>
                <w:rFonts w:hint="eastAsia" w:ascii="宋体" w:hAnsi="宋体" w:eastAsia="宋体" w:cs="宋体"/>
                <w:b w:val="0"/>
                <w:bCs w:val="0"/>
                <w:spacing w:val="7"/>
                <w:sz w:val="21"/>
                <w:szCs w:val="21"/>
                <w:lang w:val="en-US" w:eastAsia="zh-CN"/>
              </w:rPr>
              <w:t>3</w:t>
            </w:r>
            <w:r>
              <w:rPr>
                <w:rFonts w:hint="eastAsia" w:ascii="宋体" w:hAnsi="宋体" w:eastAsia="宋体" w:cs="宋体"/>
                <w:b w:val="0"/>
                <w:bCs w:val="0"/>
                <w:spacing w:val="7"/>
                <w:sz w:val="21"/>
                <w:szCs w:val="21"/>
              </w:rPr>
              <w:t>年或202</w:t>
            </w:r>
            <w:r>
              <w:rPr>
                <w:rFonts w:hint="eastAsia" w:ascii="宋体" w:hAnsi="宋体" w:eastAsia="宋体" w:cs="宋体"/>
                <w:b w:val="0"/>
                <w:bCs w:val="0"/>
                <w:spacing w:val="7"/>
                <w:sz w:val="21"/>
                <w:szCs w:val="21"/>
                <w:lang w:val="en-US" w:eastAsia="zh-CN"/>
              </w:rPr>
              <w:t>4</w:t>
            </w:r>
            <w:r>
              <w:rPr>
                <w:rFonts w:hint="eastAsia" w:ascii="宋体" w:hAnsi="宋体" w:eastAsia="宋体" w:cs="宋体"/>
                <w:b w:val="0"/>
                <w:bCs w:val="0"/>
                <w:spacing w:val="7"/>
                <w:sz w:val="21"/>
                <w:szCs w:val="21"/>
              </w:rPr>
              <w:t>年度任意一年财务审计报告（新成立未满一年的新公司提供近三个月内任意一个月的银行资信证明）</w:t>
            </w:r>
          </w:p>
          <w:p w14:paraId="673C812B">
            <w:pPr>
              <w:keepNext w:val="0"/>
              <w:keepLines w:val="0"/>
              <w:pageBreakBefore w:val="0"/>
              <w:widowControl/>
              <w:wordWrap/>
              <w:overflowPunct/>
              <w:topLinePunct w:val="0"/>
              <w:bidi w:val="0"/>
              <w:spacing w:before="26" w:line="360" w:lineRule="auto"/>
              <w:ind w:left="21" w:right="23" w:firstLine="3"/>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6.依法缴纳近</w:t>
            </w:r>
            <w:r>
              <w:rPr>
                <w:rFonts w:hint="eastAsia" w:ascii="宋体" w:hAnsi="宋体" w:eastAsia="宋体" w:cs="宋体"/>
                <w:b w:val="0"/>
                <w:bCs w:val="0"/>
                <w:spacing w:val="8"/>
                <w:sz w:val="21"/>
                <w:szCs w:val="21"/>
                <w:lang w:val="en-US" w:eastAsia="zh-CN"/>
              </w:rPr>
              <w:t>六</w:t>
            </w:r>
            <w:r>
              <w:rPr>
                <w:rFonts w:hint="eastAsia" w:ascii="宋体" w:hAnsi="宋体" w:eastAsia="宋体" w:cs="宋体"/>
                <w:b w:val="0"/>
                <w:bCs w:val="0"/>
                <w:spacing w:val="8"/>
                <w:sz w:val="21"/>
                <w:szCs w:val="21"/>
              </w:rPr>
              <w:t>个月中任意一个月的社会保险社保</w:t>
            </w:r>
            <w:r>
              <w:rPr>
                <w:rFonts w:hint="eastAsia" w:ascii="宋体" w:hAnsi="宋体" w:eastAsia="宋体" w:cs="宋体"/>
                <w:b w:val="0"/>
                <w:bCs w:val="0"/>
                <w:spacing w:val="7"/>
                <w:sz w:val="21"/>
                <w:szCs w:val="21"/>
              </w:rPr>
              <w:t>缴纳凭证；依法缴纳近</w:t>
            </w:r>
            <w:r>
              <w:rPr>
                <w:rFonts w:hint="eastAsia" w:ascii="宋体" w:hAnsi="宋体" w:eastAsia="宋体" w:cs="宋体"/>
                <w:b w:val="0"/>
                <w:bCs w:val="0"/>
                <w:spacing w:val="7"/>
                <w:sz w:val="21"/>
                <w:szCs w:val="21"/>
                <w:lang w:val="en-US" w:eastAsia="zh-CN"/>
              </w:rPr>
              <w:t>六</w:t>
            </w:r>
            <w:r>
              <w:rPr>
                <w:rFonts w:hint="eastAsia" w:ascii="宋体" w:hAnsi="宋体" w:eastAsia="宋体" w:cs="宋体"/>
                <w:b w:val="0"/>
                <w:bCs w:val="0"/>
                <w:spacing w:val="7"/>
                <w:sz w:val="21"/>
                <w:szCs w:val="21"/>
              </w:rPr>
              <w:t>个月中任意一个月的税收良好记录证明；</w:t>
            </w:r>
          </w:p>
          <w:p w14:paraId="21F6A17B">
            <w:pPr>
              <w:keepNext w:val="0"/>
              <w:keepLines w:val="0"/>
              <w:pageBreakBefore w:val="0"/>
              <w:widowControl/>
              <w:wordWrap/>
              <w:overflowPunct/>
              <w:topLinePunct w:val="0"/>
              <w:bidi w:val="0"/>
              <w:spacing w:before="24" w:line="360" w:lineRule="auto"/>
              <w:ind w:left="22" w:firstLine="6"/>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7.凡拟参加本次招标项目的供应商，如在“信用中国” 网站（www.creditchina.gov.cn） 被列入失信被执行人、重大税收违法案件当事人名单(信用服务-重点领域严重失信主体名单查询-搜索栏输入单位全称)、中国政府采购网（http://www.ccgp.gov.cn/search/cr/）严重违法失信行为记录名单的（尚在处罚期内的），国家企业信用信息公示系统（https://www.gsxt.gov.cn/index.html）被列入经营异常名录、严重违法失信名单将拒绝其参加本次招标活动；（以招标代理机构或采购人查询为准）</w:t>
            </w:r>
            <w:r>
              <w:rPr>
                <w:rFonts w:hint="eastAsia" w:ascii="宋体" w:hAnsi="宋体" w:eastAsia="宋体" w:cs="宋体"/>
                <w:b w:val="0"/>
                <w:bCs w:val="0"/>
                <w:spacing w:val="5"/>
                <w:sz w:val="21"/>
                <w:szCs w:val="21"/>
              </w:rPr>
              <w:t>；</w:t>
            </w:r>
          </w:p>
          <w:p w14:paraId="169E3851">
            <w:pPr>
              <w:keepNext w:val="0"/>
              <w:keepLines w:val="0"/>
              <w:pageBreakBefore w:val="0"/>
              <w:widowControl/>
              <w:wordWrap/>
              <w:overflowPunct/>
              <w:topLinePunct w:val="0"/>
              <w:bidi w:val="0"/>
              <w:spacing w:before="27" w:line="360" w:lineRule="auto"/>
              <w:ind w:left="24"/>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8.提供针对本次项目《反商业贿赂承诺书》；</w:t>
            </w:r>
          </w:p>
          <w:p w14:paraId="5914D1BB">
            <w:pPr>
              <w:keepNext w:val="0"/>
              <w:keepLines w:val="0"/>
              <w:pageBreakBefore w:val="0"/>
              <w:widowControl/>
              <w:wordWrap/>
              <w:overflowPunct/>
              <w:topLinePunct w:val="0"/>
              <w:bidi w:val="0"/>
              <w:spacing w:before="30" w:line="360" w:lineRule="auto"/>
              <w:ind w:left="23" w:right="23"/>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9.提供本单位在参加政府采购活动中前三年内无重大</w:t>
            </w:r>
            <w:r>
              <w:rPr>
                <w:rFonts w:hint="eastAsia" w:ascii="宋体" w:hAnsi="宋体" w:eastAsia="宋体" w:cs="宋体"/>
                <w:b w:val="0"/>
                <w:bCs w:val="0"/>
                <w:spacing w:val="7"/>
                <w:sz w:val="21"/>
                <w:szCs w:val="21"/>
              </w:rPr>
              <w:t>违法记录的承</w:t>
            </w:r>
            <w:r>
              <w:rPr>
                <w:rFonts w:hint="eastAsia" w:ascii="宋体" w:hAnsi="宋体" w:eastAsia="宋体" w:cs="宋体"/>
                <w:b w:val="0"/>
                <w:bCs w:val="0"/>
                <w:spacing w:val="4"/>
                <w:sz w:val="21"/>
                <w:szCs w:val="21"/>
              </w:rPr>
              <w:t>诺声明函；</w:t>
            </w:r>
          </w:p>
          <w:p w14:paraId="445B9A4C">
            <w:pPr>
              <w:keepNext w:val="0"/>
              <w:keepLines w:val="0"/>
              <w:pageBreakBefore w:val="0"/>
              <w:widowControl/>
              <w:wordWrap/>
              <w:overflowPunct/>
              <w:topLinePunct w:val="0"/>
              <w:bidi w:val="0"/>
              <w:spacing w:before="28" w:line="360" w:lineRule="auto"/>
              <w:ind w:left="40"/>
              <w:rPr>
                <w:rFonts w:hint="default" w:eastAsia="宋体"/>
                <w:lang w:val="en-US" w:eastAsia="zh-CN"/>
              </w:rPr>
            </w:pPr>
            <w:r>
              <w:rPr>
                <w:rFonts w:hint="eastAsia" w:ascii="宋体" w:hAnsi="宋体" w:eastAsia="宋体" w:cs="宋体"/>
                <w:b w:val="0"/>
                <w:bCs w:val="0"/>
                <w:spacing w:val="3"/>
                <w:sz w:val="21"/>
                <w:szCs w:val="21"/>
              </w:rPr>
              <w:t>10</w:t>
            </w:r>
            <w:r>
              <w:rPr>
                <w:rFonts w:hint="eastAsia" w:ascii="宋体" w:hAnsi="宋体" w:eastAsia="宋体" w:cs="宋体"/>
                <w:b w:val="0"/>
                <w:bCs w:val="0"/>
                <w:spacing w:val="3"/>
                <w:sz w:val="21"/>
                <w:szCs w:val="21"/>
                <w:lang w:val="en-US" w:eastAsia="zh-CN"/>
              </w:rPr>
              <w:t>.</w:t>
            </w:r>
            <w:r>
              <w:rPr>
                <w:rFonts w:hint="eastAsia" w:ascii="宋体" w:hAnsi="宋体" w:eastAsia="宋体" w:cs="宋体"/>
                <w:b w:val="0"/>
                <w:bCs w:val="0"/>
                <w:spacing w:val="3"/>
                <w:sz w:val="21"/>
                <w:szCs w:val="21"/>
              </w:rPr>
              <w:t>投标保证金缴纳凭证或投标保函；</w:t>
            </w:r>
          </w:p>
        </w:tc>
      </w:tr>
      <w:tr w14:paraId="4914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132" w:type="dxa"/>
            <w:tcBorders>
              <w:left w:val="single" w:color="000000" w:sz="10" w:space="0"/>
            </w:tcBorders>
            <w:vAlign w:val="top"/>
          </w:tcPr>
          <w:p w14:paraId="24767111">
            <w:pPr>
              <w:keepNext w:val="0"/>
              <w:keepLines w:val="0"/>
              <w:pageBreakBefore w:val="0"/>
              <w:widowControl/>
              <w:wordWrap/>
              <w:overflowPunct/>
              <w:topLinePunct w:val="0"/>
              <w:bidi w:val="0"/>
              <w:spacing w:before="147" w:line="360" w:lineRule="auto"/>
              <w:jc w:val="center"/>
              <w:rPr>
                <w:rFonts w:hint="eastAsia" w:ascii="宋体" w:hAnsi="宋体" w:eastAsia="宋体" w:cs="宋体"/>
                <w:sz w:val="21"/>
                <w:szCs w:val="21"/>
              </w:rPr>
            </w:pPr>
            <w:r>
              <w:rPr>
                <w:rFonts w:hint="eastAsia" w:ascii="宋体" w:hAnsi="宋体" w:eastAsia="宋体" w:cs="宋体"/>
                <w:spacing w:val="-1"/>
                <w:sz w:val="21"/>
                <w:szCs w:val="21"/>
              </w:rPr>
              <w:t>1.3.5</w:t>
            </w:r>
          </w:p>
        </w:tc>
        <w:tc>
          <w:tcPr>
            <w:tcW w:w="8667" w:type="dxa"/>
            <w:tcBorders>
              <w:right w:val="single" w:color="000000" w:sz="10" w:space="0"/>
            </w:tcBorders>
            <w:vAlign w:val="top"/>
          </w:tcPr>
          <w:p w14:paraId="69C92B1A">
            <w:pPr>
              <w:keepNext w:val="0"/>
              <w:keepLines w:val="0"/>
              <w:pageBreakBefore w:val="0"/>
              <w:widowControl/>
              <w:wordWrap/>
              <w:overflowPunct/>
              <w:topLinePunct w:val="0"/>
              <w:bidi w:val="0"/>
              <w:spacing w:before="109" w:line="360" w:lineRule="auto"/>
              <w:ind w:left="27"/>
              <w:rPr>
                <w:rFonts w:hint="eastAsia" w:ascii="宋体" w:hAnsi="宋体" w:eastAsia="宋体" w:cs="宋体"/>
                <w:sz w:val="21"/>
                <w:szCs w:val="21"/>
              </w:rPr>
            </w:pPr>
            <w:r>
              <w:rPr>
                <w:rFonts w:hint="eastAsia" w:ascii="宋体" w:hAnsi="宋体" w:eastAsia="宋体" w:cs="宋体"/>
                <w:sz w:val="21"/>
                <w:szCs w:val="21"/>
              </w:rPr>
              <w:t>是否允许采购进口产品：</w:t>
            </w:r>
            <w:r>
              <w:rPr>
                <w:rFonts w:hint="eastAsia" w:ascii="宋体" w:hAnsi="宋体" w:eastAsia="宋体" w:cs="宋体"/>
                <w:sz w:val="21"/>
                <w:szCs w:val="21"/>
                <w:u w:val="single" w:color="auto"/>
              </w:rPr>
              <w:t>否</w:t>
            </w:r>
          </w:p>
        </w:tc>
      </w:tr>
      <w:tr w14:paraId="1C7C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1132" w:type="dxa"/>
            <w:tcBorders>
              <w:left w:val="single" w:color="000000" w:sz="10" w:space="0"/>
            </w:tcBorders>
            <w:vAlign w:val="center"/>
          </w:tcPr>
          <w:p w14:paraId="3A1B1B05">
            <w:pPr>
              <w:keepNext w:val="0"/>
              <w:keepLines w:val="0"/>
              <w:pageBreakBefore w:val="0"/>
              <w:widowControl/>
              <w:wordWrap/>
              <w:overflowPunct/>
              <w:topLinePunct w:val="0"/>
              <w:bidi w:val="0"/>
              <w:spacing w:before="149" w:line="360" w:lineRule="auto"/>
              <w:jc w:val="center"/>
              <w:rPr>
                <w:rFonts w:hint="eastAsia" w:ascii="宋体" w:hAnsi="宋体" w:eastAsia="宋体" w:cs="宋体"/>
                <w:sz w:val="21"/>
                <w:szCs w:val="21"/>
              </w:rPr>
            </w:pPr>
            <w:r>
              <w:rPr>
                <w:rFonts w:hint="eastAsia" w:ascii="宋体" w:hAnsi="宋体" w:eastAsia="宋体" w:cs="宋体"/>
                <w:spacing w:val="-1"/>
                <w:sz w:val="21"/>
                <w:szCs w:val="21"/>
              </w:rPr>
              <w:t>1.3.6</w:t>
            </w:r>
          </w:p>
        </w:tc>
        <w:tc>
          <w:tcPr>
            <w:tcW w:w="8667" w:type="dxa"/>
            <w:tcBorders>
              <w:right w:val="single" w:color="000000" w:sz="10" w:space="0"/>
            </w:tcBorders>
            <w:vAlign w:val="top"/>
          </w:tcPr>
          <w:p w14:paraId="790B6395">
            <w:pPr>
              <w:keepNext w:val="0"/>
              <w:keepLines w:val="0"/>
              <w:pageBreakBefore w:val="0"/>
              <w:widowControl/>
              <w:wordWrap/>
              <w:overflowPunct/>
              <w:topLinePunct w:val="0"/>
              <w:bidi w:val="0"/>
              <w:spacing w:before="109" w:line="360" w:lineRule="auto"/>
              <w:ind w:left="2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是否为专门面向中小企业采购：否，</w:t>
            </w:r>
          </w:p>
          <w:p w14:paraId="2271DA11">
            <w:pPr>
              <w:keepNext w:val="0"/>
              <w:keepLines w:val="0"/>
              <w:pageBreakBefore w:val="0"/>
              <w:widowControl/>
              <w:wordWrap/>
              <w:overflowPunct/>
              <w:topLinePunct w:val="0"/>
              <w:bidi w:val="0"/>
              <w:spacing w:before="109" w:line="360" w:lineRule="auto"/>
              <w:ind w:left="2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符合要求的小型和微型企业扣除比例：对符合规定的小微企业报价给予</w:t>
            </w:r>
            <w:r>
              <w:rPr>
                <w:rFonts w:hint="eastAsia" w:ascii="宋体" w:hAnsi="宋体" w:eastAsia="宋体" w:cs="宋体"/>
                <w:sz w:val="21"/>
                <w:szCs w:val="21"/>
                <w:u w:val="single"/>
                <w:lang w:val="en-US" w:eastAsia="zh-CN"/>
              </w:rPr>
              <w:t>10</w:t>
            </w:r>
            <w:r>
              <w:rPr>
                <w:rFonts w:hint="eastAsia" w:ascii="宋体" w:hAnsi="宋体" w:eastAsia="宋体" w:cs="宋体"/>
                <w:sz w:val="21"/>
                <w:szCs w:val="21"/>
                <w:lang w:val="en-US" w:eastAsia="zh-CN"/>
              </w:rPr>
              <w:t>%的扣除，用扣除后的价格参与评标。</w:t>
            </w:r>
          </w:p>
          <w:p w14:paraId="7342E1B7">
            <w:pPr>
              <w:keepNext w:val="0"/>
              <w:keepLines w:val="0"/>
              <w:pageBreakBefore w:val="0"/>
              <w:widowControl/>
              <w:wordWrap/>
              <w:overflowPunct/>
              <w:topLinePunct w:val="0"/>
              <w:bidi w:val="0"/>
              <w:spacing w:before="109" w:line="360" w:lineRule="auto"/>
              <w:ind w:left="27"/>
              <w:rPr>
                <w:rFonts w:hint="default" w:ascii="宋体" w:hAnsi="宋体" w:eastAsia="宋体" w:cs="宋体"/>
                <w:b/>
                <w:bCs/>
                <w:color w:val="FF0000"/>
                <w:sz w:val="21"/>
                <w:szCs w:val="21"/>
                <w:highlight w:val="none"/>
                <w:u w:val="none"/>
                <w:lang w:val="en-US" w:eastAsia="zh-CN"/>
              </w:rPr>
            </w:pPr>
            <w:r>
              <w:rPr>
                <w:rFonts w:hint="eastAsia" w:ascii="宋体" w:hAnsi="宋体" w:eastAsia="宋体" w:cs="宋体"/>
                <w:sz w:val="21"/>
                <w:szCs w:val="21"/>
                <w:lang w:val="en-US" w:eastAsia="zh-CN"/>
              </w:rPr>
              <w:t>本项目采购标的所属行业：工业</w:t>
            </w:r>
          </w:p>
        </w:tc>
      </w:tr>
      <w:tr w14:paraId="7CA64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1132" w:type="dxa"/>
            <w:tcBorders>
              <w:left w:val="single" w:color="000000" w:sz="10" w:space="0"/>
            </w:tcBorders>
            <w:vAlign w:val="top"/>
          </w:tcPr>
          <w:p w14:paraId="6AD61A09">
            <w:pPr>
              <w:keepNext w:val="0"/>
              <w:keepLines w:val="0"/>
              <w:pageBreakBefore w:val="0"/>
              <w:widowControl/>
              <w:wordWrap/>
              <w:overflowPunct/>
              <w:topLinePunct w:val="0"/>
              <w:bidi w:val="0"/>
              <w:spacing w:before="156" w:line="360" w:lineRule="auto"/>
              <w:jc w:val="center"/>
              <w:rPr>
                <w:rFonts w:hint="eastAsia" w:ascii="宋体" w:hAnsi="宋体" w:eastAsia="宋体" w:cs="宋体"/>
                <w:sz w:val="21"/>
                <w:szCs w:val="21"/>
              </w:rPr>
            </w:pPr>
            <w:r>
              <w:rPr>
                <w:rFonts w:hint="eastAsia" w:ascii="宋体" w:hAnsi="宋体" w:eastAsia="宋体" w:cs="宋体"/>
                <w:spacing w:val="-5"/>
                <w:sz w:val="21"/>
                <w:szCs w:val="21"/>
              </w:rPr>
              <w:t>1.4</w:t>
            </w:r>
          </w:p>
        </w:tc>
        <w:tc>
          <w:tcPr>
            <w:tcW w:w="8667" w:type="dxa"/>
            <w:tcBorders>
              <w:right w:val="single" w:color="000000" w:sz="10" w:space="0"/>
            </w:tcBorders>
            <w:vAlign w:val="top"/>
          </w:tcPr>
          <w:p w14:paraId="034AEDD8">
            <w:pPr>
              <w:keepNext w:val="0"/>
              <w:keepLines w:val="0"/>
              <w:pageBreakBefore w:val="0"/>
              <w:widowControl/>
              <w:wordWrap/>
              <w:overflowPunct/>
              <w:topLinePunct w:val="0"/>
              <w:bidi w:val="0"/>
              <w:spacing w:before="119" w:line="360" w:lineRule="auto"/>
              <w:ind w:left="27"/>
              <w:rPr>
                <w:rFonts w:hint="eastAsia" w:ascii="宋体" w:hAnsi="宋体" w:eastAsia="宋体" w:cs="宋体"/>
                <w:sz w:val="21"/>
                <w:szCs w:val="21"/>
              </w:rPr>
            </w:pPr>
            <w:r>
              <w:rPr>
                <w:rFonts w:hint="eastAsia" w:ascii="宋体" w:hAnsi="宋体" w:eastAsia="宋体" w:cs="宋体"/>
                <w:spacing w:val="-1"/>
                <w:sz w:val="21"/>
                <w:szCs w:val="21"/>
              </w:rPr>
              <w:t>是否允许联合体投标：</w:t>
            </w:r>
            <w:r>
              <w:rPr>
                <w:rFonts w:hint="eastAsia" w:ascii="宋体" w:hAnsi="宋体" w:eastAsia="宋体" w:cs="宋体"/>
                <w:spacing w:val="-1"/>
                <w:sz w:val="21"/>
                <w:szCs w:val="21"/>
                <w:u w:val="single" w:color="auto"/>
              </w:rPr>
              <w:t>否</w:t>
            </w:r>
          </w:p>
        </w:tc>
      </w:tr>
      <w:tr w14:paraId="22841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32" w:type="dxa"/>
            <w:tcBorders>
              <w:left w:val="single" w:color="000000" w:sz="10" w:space="0"/>
              <w:bottom w:val="single" w:color="000000" w:sz="10" w:space="0"/>
            </w:tcBorders>
            <w:vAlign w:val="center"/>
          </w:tcPr>
          <w:p w14:paraId="2BD1784A">
            <w:pPr>
              <w:keepNext w:val="0"/>
              <w:keepLines w:val="0"/>
              <w:pageBreakBefore w:val="0"/>
              <w:widowControl/>
              <w:wordWrap/>
              <w:overflowPunct/>
              <w:topLinePunct w:val="0"/>
              <w:bidi w:val="0"/>
              <w:spacing w:before="260"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8667" w:type="dxa"/>
            <w:tcBorders>
              <w:bottom w:val="single" w:color="000000" w:sz="10" w:space="0"/>
              <w:right w:val="single" w:color="000000" w:sz="10" w:space="0"/>
            </w:tcBorders>
            <w:vAlign w:val="top"/>
          </w:tcPr>
          <w:p w14:paraId="36138BC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最高限价：</w:t>
            </w:r>
          </w:p>
          <w:p w14:paraId="2437495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第一包：3138568元 </w:t>
            </w:r>
          </w:p>
          <w:p w14:paraId="5FA420DB">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第二包：3011997元</w:t>
            </w:r>
          </w:p>
          <w:p w14:paraId="12E5896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第三包：2733129元</w:t>
            </w:r>
          </w:p>
          <w:p w14:paraId="3C5EEC8A">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第五包：116306元</w:t>
            </w:r>
          </w:p>
        </w:tc>
      </w:tr>
      <w:tr w14:paraId="06CF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32" w:type="dxa"/>
            <w:tcBorders>
              <w:top w:val="single" w:color="000000" w:sz="10" w:space="0"/>
              <w:left w:val="single" w:color="000000" w:sz="10" w:space="0"/>
            </w:tcBorders>
            <w:vAlign w:val="center"/>
          </w:tcPr>
          <w:p w14:paraId="2DA15E43">
            <w:pPr>
              <w:keepNext w:val="0"/>
              <w:keepLines w:val="0"/>
              <w:pageBreakBefore w:val="0"/>
              <w:widowControl/>
              <w:wordWrap/>
              <w:overflowPunct/>
              <w:topLinePunct w:val="0"/>
              <w:bidi w:val="0"/>
              <w:spacing w:before="75" w:line="360"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8.1</w:t>
            </w:r>
          </w:p>
        </w:tc>
        <w:tc>
          <w:tcPr>
            <w:tcW w:w="8667" w:type="dxa"/>
            <w:tcBorders>
              <w:top w:val="single" w:color="000000" w:sz="10" w:space="0"/>
              <w:right w:val="single" w:color="000000" w:sz="10" w:space="0"/>
            </w:tcBorders>
            <w:vAlign w:val="top"/>
          </w:tcPr>
          <w:p w14:paraId="70525DA8">
            <w:pPr>
              <w:keepNext w:val="0"/>
              <w:keepLines w:val="0"/>
              <w:pageBreakBefore w:val="0"/>
              <w:widowControl/>
              <w:wordWrap/>
              <w:overflowPunct/>
              <w:topLinePunct w:val="0"/>
              <w:bidi w:val="0"/>
              <w:spacing w:before="30" w:line="360" w:lineRule="auto"/>
              <w:ind w:left="27" w:right="86" w:rightChars="0"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如投标商对多个分包进行投标，</w:t>
            </w:r>
            <w:r>
              <w:rPr>
                <w:rFonts w:hint="eastAsia" w:ascii="宋体" w:hAnsi="宋体" w:eastAsia="宋体" w:cs="宋体"/>
                <w:color w:val="auto"/>
                <w:sz w:val="21"/>
                <w:szCs w:val="21"/>
                <w:highlight w:val="none"/>
                <w:lang w:val="en-US" w:eastAsia="zh-CN"/>
              </w:rPr>
              <w:t>最多</w:t>
            </w:r>
            <w:r>
              <w:rPr>
                <w:rFonts w:hint="eastAsia" w:ascii="宋体" w:hAnsi="宋体" w:eastAsia="宋体" w:cs="宋体"/>
                <w:color w:val="auto"/>
                <w:sz w:val="21"/>
                <w:szCs w:val="21"/>
                <w:highlight w:val="none"/>
                <w:lang w:eastAsia="zh-CN"/>
              </w:rPr>
              <w:t>可以中标</w:t>
            </w:r>
            <w:r>
              <w:rPr>
                <w:rFonts w:hint="eastAsia" w:ascii="宋体" w:hAnsi="宋体" w:eastAsia="宋体" w:cs="宋体"/>
                <w:color w:val="auto"/>
                <w:sz w:val="21"/>
                <w:szCs w:val="21"/>
                <w:highlight w:val="none"/>
                <w:lang w:val="en-US" w:eastAsia="zh-CN"/>
              </w:rPr>
              <w:t>两个</w:t>
            </w:r>
            <w:r>
              <w:rPr>
                <w:rFonts w:hint="eastAsia" w:ascii="宋体" w:hAnsi="宋体" w:eastAsia="宋体" w:cs="宋体"/>
                <w:color w:val="auto"/>
                <w:sz w:val="21"/>
                <w:szCs w:val="21"/>
                <w:highlight w:val="none"/>
                <w:lang w:eastAsia="zh-CN"/>
              </w:rPr>
              <w:t>包</w:t>
            </w:r>
          </w:p>
          <w:p w14:paraId="3E57771B">
            <w:pPr>
              <w:keepNext w:val="0"/>
              <w:keepLines w:val="0"/>
              <w:pageBreakBefore w:val="0"/>
              <w:widowControl/>
              <w:wordWrap/>
              <w:overflowPunct/>
              <w:topLinePunct w:val="0"/>
              <w:bidi w:val="0"/>
              <w:spacing w:before="30" w:line="360" w:lineRule="auto"/>
              <w:ind w:left="27" w:right="86" w:rightChars="0"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每个投标人最多只能被确定为</w:t>
            </w:r>
            <w:r>
              <w:rPr>
                <w:rFonts w:hint="eastAsia" w:ascii="宋体" w:hAnsi="宋体" w:eastAsia="宋体" w:cs="宋体"/>
                <w:color w:val="auto"/>
                <w:sz w:val="21"/>
                <w:szCs w:val="21"/>
                <w:highlight w:val="none"/>
                <w:lang w:val="en-US" w:eastAsia="zh-CN"/>
              </w:rPr>
              <w:t>两个包</w:t>
            </w:r>
            <w:r>
              <w:rPr>
                <w:rFonts w:hint="eastAsia" w:ascii="宋体" w:hAnsi="宋体" w:eastAsia="宋体" w:cs="宋体"/>
                <w:color w:val="auto"/>
                <w:sz w:val="21"/>
                <w:szCs w:val="21"/>
                <w:highlight w:val="none"/>
                <w:lang w:eastAsia="zh-CN"/>
              </w:rPr>
              <w:t>的第一中标候选人。本项目按标项的顺序进行评审，已获得</w:t>
            </w:r>
            <w:r>
              <w:rPr>
                <w:rFonts w:hint="eastAsia" w:ascii="宋体" w:hAnsi="宋体" w:eastAsia="宋体" w:cs="宋体"/>
                <w:color w:val="auto"/>
                <w:sz w:val="21"/>
                <w:szCs w:val="21"/>
                <w:highlight w:val="none"/>
                <w:lang w:val="en-US" w:eastAsia="zh-CN"/>
              </w:rPr>
              <w:t>两个包</w:t>
            </w:r>
            <w:r>
              <w:rPr>
                <w:rFonts w:hint="eastAsia" w:ascii="宋体" w:hAnsi="宋体" w:eastAsia="宋体" w:cs="宋体"/>
                <w:color w:val="auto"/>
                <w:sz w:val="21"/>
                <w:szCs w:val="21"/>
                <w:highlight w:val="none"/>
                <w:lang w:eastAsia="zh-CN"/>
              </w:rPr>
              <w:t>第一中标候选人资格的，将不具有</w:t>
            </w:r>
            <w:r>
              <w:rPr>
                <w:rFonts w:hint="eastAsia" w:ascii="宋体" w:hAnsi="宋体" w:eastAsia="宋体" w:cs="宋体"/>
                <w:color w:val="auto"/>
                <w:sz w:val="21"/>
                <w:szCs w:val="21"/>
                <w:highlight w:val="none"/>
                <w:lang w:val="en-US" w:eastAsia="zh-CN"/>
              </w:rPr>
              <w:t>剩余包号</w:t>
            </w:r>
            <w:r>
              <w:rPr>
                <w:rFonts w:hint="eastAsia" w:ascii="宋体" w:hAnsi="宋体" w:eastAsia="宋体" w:cs="宋体"/>
                <w:color w:val="auto"/>
                <w:sz w:val="21"/>
                <w:szCs w:val="21"/>
                <w:highlight w:val="none"/>
                <w:lang w:eastAsia="zh-CN"/>
              </w:rPr>
              <w:t>的候选人推荐资格；</w:t>
            </w:r>
          </w:p>
        </w:tc>
      </w:tr>
      <w:tr w14:paraId="2073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1132" w:type="dxa"/>
            <w:tcBorders>
              <w:top w:val="single" w:color="000000" w:sz="10" w:space="0"/>
              <w:left w:val="single" w:color="000000" w:sz="10" w:space="0"/>
            </w:tcBorders>
            <w:vAlign w:val="top"/>
          </w:tcPr>
          <w:p w14:paraId="2F083361">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0635C42D">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4072034">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5372C47">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68BA775">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0CAF9B2">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712378C">
            <w:pPr>
              <w:keepNext w:val="0"/>
              <w:keepLines w:val="0"/>
              <w:pageBreakBefore w:val="0"/>
              <w:widowControl/>
              <w:wordWrap/>
              <w:overflowPunct/>
              <w:topLinePunct w:val="0"/>
              <w:bidi w:val="0"/>
              <w:spacing w:before="75" w:line="360" w:lineRule="auto"/>
              <w:jc w:val="center"/>
              <w:rPr>
                <w:rFonts w:hint="eastAsia" w:ascii="宋体" w:hAnsi="宋体" w:eastAsia="宋体" w:cs="宋体"/>
                <w:sz w:val="21"/>
                <w:szCs w:val="21"/>
              </w:rPr>
            </w:pPr>
            <w:r>
              <w:rPr>
                <w:rFonts w:hint="eastAsia" w:ascii="宋体" w:hAnsi="宋体" w:eastAsia="宋体" w:cs="宋体"/>
                <w:spacing w:val="-3"/>
                <w:sz w:val="21"/>
                <w:szCs w:val="21"/>
              </w:rPr>
              <w:t>12.1</w:t>
            </w:r>
          </w:p>
        </w:tc>
        <w:tc>
          <w:tcPr>
            <w:tcW w:w="8667" w:type="dxa"/>
            <w:tcBorders>
              <w:top w:val="single" w:color="000000" w:sz="10" w:space="0"/>
              <w:right w:val="single" w:color="000000" w:sz="10" w:space="0"/>
            </w:tcBorders>
            <w:vAlign w:val="top"/>
          </w:tcPr>
          <w:p w14:paraId="5DA7E0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5"/>
                <w:sz w:val="21"/>
                <w:szCs w:val="21"/>
                <w:lang w:val="en-US" w:eastAsia="zh-CN"/>
              </w:rPr>
              <w:t>投标</w:t>
            </w:r>
            <w:r>
              <w:rPr>
                <w:rFonts w:hint="eastAsia" w:ascii="宋体" w:hAnsi="宋体" w:eastAsia="宋体" w:cs="宋体"/>
                <w:spacing w:val="-5"/>
                <w:sz w:val="21"/>
                <w:szCs w:val="21"/>
              </w:rPr>
              <w:t>保证金形式：</w:t>
            </w:r>
            <w:r>
              <w:rPr>
                <w:rFonts w:hint="eastAsia" w:ascii="宋体" w:hAnsi="宋体" w:eastAsia="宋体" w:cs="宋体"/>
                <w:sz w:val="21"/>
                <w:szCs w:val="21"/>
              </w:rPr>
              <w:t>☑保函 ☑电汇 ☑对公转账</w:t>
            </w:r>
          </w:p>
          <w:p w14:paraId="2F77518A">
            <w:pPr>
              <w:keepNext w:val="0"/>
              <w:keepLines w:val="0"/>
              <w:pageBreakBefore w:val="0"/>
              <w:widowControl/>
              <w:wordWrap/>
              <w:overflowPunct/>
              <w:topLinePunct w:val="0"/>
              <w:bidi w:val="0"/>
              <w:spacing w:line="360" w:lineRule="auto"/>
              <w:ind w:left="24"/>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投标</w:t>
            </w:r>
            <w:r>
              <w:rPr>
                <w:rFonts w:hint="eastAsia" w:ascii="宋体" w:hAnsi="宋体" w:eastAsia="宋体" w:cs="宋体"/>
                <w:spacing w:val="3"/>
                <w:sz w:val="21"/>
                <w:szCs w:val="21"/>
              </w:rPr>
              <w:t>保证金数额：</w:t>
            </w:r>
          </w:p>
          <w:p w14:paraId="08F0A0ED">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b w:val="0"/>
                <w:bCs w:val="0"/>
                <w:spacing w:val="4"/>
                <w:sz w:val="21"/>
                <w:szCs w:val="21"/>
                <w:highlight w:val="none"/>
                <w:lang w:val="en-US" w:eastAsia="zh-CN"/>
              </w:rPr>
              <w:t>第一包</w:t>
            </w:r>
            <w:r>
              <w:rPr>
                <w:rFonts w:hint="eastAsia" w:ascii="宋体" w:hAnsi="宋体" w:eastAsia="宋体" w:cs="宋体"/>
                <w:sz w:val="21"/>
                <w:szCs w:val="21"/>
              </w:rPr>
              <w:t>：</w:t>
            </w:r>
            <w:r>
              <w:rPr>
                <w:rFonts w:hint="eastAsia" w:ascii="宋体" w:hAnsi="宋体" w:eastAsia="宋体" w:cs="宋体"/>
                <w:sz w:val="21"/>
                <w:szCs w:val="21"/>
                <w:lang w:val="en-US" w:eastAsia="zh-CN"/>
              </w:rPr>
              <w:t>60000</w:t>
            </w:r>
            <w:r>
              <w:rPr>
                <w:rFonts w:hint="eastAsia" w:ascii="宋体" w:hAnsi="宋体" w:eastAsia="宋体" w:cs="宋体"/>
                <w:sz w:val="21"/>
                <w:szCs w:val="21"/>
              </w:rPr>
              <w:t>元</w:t>
            </w:r>
          </w:p>
          <w:p w14:paraId="700221E5">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b w:val="0"/>
                <w:bCs w:val="0"/>
                <w:spacing w:val="4"/>
                <w:sz w:val="21"/>
                <w:szCs w:val="21"/>
                <w:highlight w:val="none"/>
                <w:lang w:val="en-US" w:eastAsia="zh-CN"/>
              </w:rPr>
              <w:t>第二包</w:t>
            </w:r>
            <w:r>
              <w:rPr>
                <w:rFonts w:hint="eastAsia" w:ascii="宋体" w:hAnsi="宋体" w:eastAsia="宋体" w:cs="宋体"/>
                <w:sz w:val="21"/>
                <w:szCs w:val="21"/>
              </w:rPr>
              <w:t>：</w:t>
            </w:r>
            <w:r>
              <w:rPr>
                <w:rFonts w:hint="eastAsia" w:ascii="宋体" w:hAnsi="宋体" w:eastAsia="宋体" w:cs="宋体"/>
                <w:sz w:val="21"/>
                <w:szCs w:val="21"/>
                <w:lang w:val="en-US" w:eastAsia="zh-CN"/>
              </w:rPr>
              <w:t>60000</w:t>
            </w:r>
            <w:r>
              <w:rPr>
                <w:rFonts w:hint="eastAsia" w:ascii="宋体" w:hAnsi="宋体" w:eastAsia="宋体" w:cs="宋体"/>
                <w:sz w:val="21"/>
                <w:szCs w:val="21"/>
              </w:rPr>
              <w:t>元</w:t>
            </w:r>
          </w:p>
          <w:p w14:paraId="0C74803D">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lang w:val="en-US" w:eastAsia="zh-CN"/>
              </w:rPr>
              <w:t>第三包</w:t>
            </w:r>
            <w:r>
              <w:rPr>
                <w:rFonts w:hint="eastAsia" w:ascii="宋体" w:hAnsi="宋体" w:eastAsia="宋体" w:cs="宋体"/>
                <w:sz w:val="21"/>
                <w:szCs w:val="21"/>
              </w:rPr>
              <w:t>：</w:t>
            </w:r>
            <w:r>
              <w:rPr>
                <w:rFonts w:hint="eastAsia" w:ascii="宋体" w:hAnsi="宋体" w:eastAsia="宋体" w:cs="宋体"/>
                <w:sz w:val="21"/>
                <w:szCs w:val="21"/>
                <w:lang w:val="en-US" w:eastAsia="zh-CN"/>
              </w:rPr>
              <w:t>50000</w:t>
            </w:r>
            <w:r>
              <w:rPr>
                <w:rFonts w:hint="eastAsia" w:ascii="宋体" w:hAnsi="宋体" w:eastAsia="宋体" w:cs="宋体"/>
                <w:sz w:val="21"/>
                <w:szCs w:val="21"/>
              </w:rPr>
              <w:t>元</w:t>
            </w:r>
          </w:p>
          <w:p w14:paraId="6F57111F">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lang w:val="en-US" w:eastAsia="zh-CN"/>
              </w:rPr>
              <w:t>第五包</w:t>
            </w:r>
            <w:r>
              <w:rPr>
                <w:rFonts w:hint="eastAsia" w:ascii="宋体" w:hAnsi="宋体" w:eastAsia="宋体" w:cs="宋体"/>
                <w:sz w:val="21"/>
                <w:szCs w:val="21"/>
              </w:rPr>
              <w:t>：</w:t>
            </w:r>
            <w:r>
              <w:rPr>
                <w:rFonts w:hint="eastAsia" w:ascii="宋体" w:hAnsi="宋体" w:eastAsia="宋体" w:cs="宋体"/>
                <w:sz w:val="21"/>
                <w:szCs w:val="21"/>
                <w:lang w:val="en-US" w:eastAsia="zh-CN"/>
              </w:rPr>
              <w:t>2000</w:t>
            </w:r>
            <w:r>
              <w:rPr>
                <w:rFonts w:hint="eastAsia" w:ascii="宋体" w:hAnsi="宋体" w:eastAsia="宋体" w:cs="宋体"/>
                <w:sz w:val="21"/>
                <w:szCs w:val="21"/>
              </w:rPr>
              <w:t>元</w:t>
            </w:r>
          </w:p>
          <w:p w14:paraId="50833732">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rPr>
              <w:t>账户名称：新疆正昊建设工程项目管理有限公司喀什市分公司</w:t>
            </w:r>
          </w:p>
          <w:p w14:paraId="7DD3B4C3">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rPr>
              <w:t>帐号：3012341409024534740</w:t>
            </w:r>
          </w:p>
          <w:p w14:paraId="7E66C283">
            <w:pPr>
              <w:keepNext w:val="0"/>
              <w:keepLines w:val="0"/>
              <w:pageBreakBefore w:val="0"/>
              <w:widowControl/>
              <w:tabs>
                <w:tab w:val="left" w:pos="5460"/>
              </w:tabs>
              <w:wordWrap/>
              <w:overflowPunct/>
              <w:topLinePunct w:val="0"/>
              <w:bidi w:val="0"/>
              <w:spacing w:before="30" w:line="360" w:lineRule="auto"/>
              <w:ind w:left="27" w:right="306" w:rightChars="0" w:firstLine="2"/>
              <w:rPr>
                <w:rFonts w:hint="eastAsia" w:ascii="宋体" w:hAnsi="宋体" w:eastAsia="宋体" w:cs="宋体"/>
                <w:sz w:val="21"/>
                <w:szCs w:val="21"/>
              </w:rPr>
            </w:pPr>
            <w:r>
              <w:rPr>
                <w:rFonts w:hint="eastAsia" w:ascii="宋体" w:hAnsi="宋体" w:eastAsia="宋体" w:cs="宋体"/>
                <w:sz w:val="21"/>
                <w:szCs w:val="21"/>
              </w:rPr>
              <w:t>开户银行：中国工商银行股份有限公司喀什托克扎克路支行（电汇时请在汇款备注栏注明项目名称及包号（如有），并注明是</w:t>
            </w:r>
            <w:r>
              <w:rPr>
                <w:rFonts w:hint="eastAsia" w:ascii="宋体" w:hAnsi="宋体" w:eastAsia="宋体" w:cs="宋体"/>
                <w:sz w:val="21"/>
                <w:szCs w:val="21"/>
                <w:lang w:val="en-US" w:eastAsia="zh-CN"/>
              </w:rPr>
              <w:t>投标</w:t>
            </w:r>
            <w:r>
              <w:rPr>
                <w:rFonts w:hint="eastAsia" w:ascii="宋体" w:hAnsi="宋体" w:eastAsia="宋体" w:cs="宋体"/>
                <w:sz w:val="21"/>
                <w:szCs w:val="21"/>
              </w:rPr>
              <w:t>保证金。）</w:t>
            </w:r>
          </w:p>
          <w:p w14:paraId="7F867FF7">
            <w:pPr>
              <w:keepNext w:val="0"/>
              <w:keepLines w:val="0"/>
              <w:pageBreakBefore w:val="0"/>
              <w:widowControl/>
              <w:tabs>
                <w:tab w:val="left" w:pos="5460"/>
              </w:tabs>
              <w:wordWrap/>
              <w:overflowPunct/>
              <w:topLinePunct w:val="0"/>
              <w:bidi w:val="0"/>
              <w:spacing w:before="30" w:line="360" w:lineRule="auto"/>
              <w:ind w:left="27" w:right="306" w:rightChars="0" w:firstLine="2"/>
              <w:rPr>
                <w:rFonts w:hint="eastAsia" w:ascii="宋体" w:hAnsi="宋体" w:eastAsia="宋体" w:cs="宋体"/>
                <w:sz w:val="21"/>
                <w:szCs w:val="21"/>
              </w:rPr>
            </w:pPr>
            <w:r>
              <w:rPr>
                <w:rFonts w:hint="eastAsia" w:ascii="宋体" w:hAnsi="宋体" w:eastAsia="宋体" w:cs="宋体"/>
                <w:sz w:val="21"/>
                <w:szCs w:val="21"/>
              </w:rPr>
              <w:t>缴纳保证金截止时间：递交响应文件截止时间前。</w:t>
            </w:r>
          </w:p>
          <w:p w14:paraId="6C42B60C">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保证金缴纳要求：</w:t>
            </w:r>
          </w:p>
          <w:p w14:paraId="46F58308">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1、电汇或转账时请在汇款备注栏：</w:t>
            </w:r>
            <w:r>
              <w:rPr>
                <w:rFonts w:hint="eastAsia" w:ascii="宋体" w:hAnsi="宋体" w:eastAsia="宋体" w:cs="宋体"/>
                <w:color w:val="auto"/>
                <w:sz w:val="21"/>
                <w:szCs w:val="21"/>
                <w:highlight w:val="none"/>
                <w:lang w:val="en-US" w:eastAsia="zh-CN"/>
              </w:rPr>
              <w:t>项目名称+包号</w:t>
            </w:r>
            <w:r>
              <w:rPr>
                <w:rFonts w:hint="eastAsia" w:ascii="宋体" w:hAnsi="宋体" w:eastAsia="宋体" w:cs="宋体"/>
                <w:color w:val="auto"/>
                <w:sz w:val="21"/>
                <w:szCs w:val="21"/>
                <w:highlight w:val="none"/>
                <w:lang w:eastAsia="zh-CN"/>
              </w:rPr>
              <w:t>+投标保证金；如填写字数有要求可简写</w:t>
            </w:r>
            <w:r>
              <w:rPr>
                <w:rFonts w:hint="eastAsia" w:ascii="宋体" w:hAnsi="宋体" w:eastAsia="宋体" w:cs="宋体"/>
                <w:color w:val="auto"/>
                <w:sz w:val="21"/>
                <w:szCs w:val="21"/>
                <w:highlight w:val="none"/>
                <w:lang w:val="en-US" w:eastAsia="zh-CN"/>
              </w:rPr>
              <w:t>项目名称+包号</w:t>
            </w:r>
            <w:r>
              <w:rPr>
                <w:rFonts w:hint="eastAsia" w:ascii="宋体" w:hAnsi="宋体" w:eastAsia="宋体" w:cs="宋体"/>
                <w:color w:val="auto"/>
                <w:sz w:val="21"/>
                <w:szCs w:val="21"/>
                <w:highlight w:val="none"/>
                <w:lang w:eastAsia="zh-CN"/>
              </w:rPr>
              <w:t>，由于未按要求注明信息而导致的一切后果由投标人自行承担。</w:t>
            </w:r>
          </w:p>
          <w:p w14:paraId="070A89AD">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若采用电汇、转账、支票、汇票、本票等形式，投标保证金须于投标截止前转入以上指定账户（资格审查以指定账户实际收到为准），投标保证金付款凭证（或收据）扫描件制作在投标文件中；若采用政采云电子保函形式：按照政采云电子投标流程制作并将电子保函制作在投标文件中；若采用银行保函或者金融机构、担保机构保函等形式，应将保函扫描件装订在本部分；扫描件上应加盖本单位公章；投标人未按照招标文件要求提交投标保证金的，投标无效。</w:t>
            </w:r>
          </w:p>
          <w:p w14:paraId="596A9BEC">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3.中标人应在与采购人签订合同之日起5个工作日内，保证金收受机构根据中标人提供的打款凭证及时办理投标保证金无息退还手续。</w:t>
            </w:r>
          </w:p>
          <w:p w14:paraId="382D7000">
            <w:pPr>
              <w:keepNext w:val="0"/>
              <w:keepLines w:val="0"/>
              <w:pageBreakBefore w:val="0"/>
              <w:widowControl/>
              <w:wordWrap/>
              <w:overflowPunct/>
              <w:topLinePunct w:val="0"/>
              <w:bidi w:val="0"/>
              <w:spacing w:before="30" w:line="360" w:lineRule="auto"/>
              <w:ind w:left="27" w:right="86" w:rightChars="0" w:firstLine="2"/>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4.未中标投标人的投标保证金将在中标通知书发出之日暨中标结果公告公布之日起5个工作日内退还，保证金收受机构根据未中标人提供的打款凭证及时办理退还投标保证金手续。</w:t>
            </w:r>
          </w:p>
        </w:tc>
      </w:tr>
      <w:tr w14:paraId="16F91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132" w:type="dxa"/>
            <w:tcBorders>
              <w:left w:val="single" w:color="000000" w:sz="10" w:space="0"/>
            </w:tcBorders>
            <w:vAlign w:val="top"/>
          </w:tcPr>
          <w:p w14:paraId="17FA6C03">
            <w:pPr>
              <w:keepNext w:val="0"/>
              <w:keepLines w:val="0"/>
              <w:pageBreakBefore w:val="0"/>
              <w:widowControl/>
              <w:wordWrap/>
              <w:overflowPunct/>
              <w:topLinePunct w:val="0"/>
              <w:bidi w:val="0"/>
              <w:spacing w:before="76" w:line="360" w:lineRule="auto"/>
              <w:jc w:val="center"/>
              <w:rPr>
                <w:rFonts w:hint="eastAsia" w:ascii="宋体" w:hAnsi="宋体" w:eastAsia="宋体" w:cs="宋体"/>
                <w:sz w:val="21"/>
                <w:szCs w:val="21"/>
              </w:rPr>
            </w:pPr>
            <w:r>
              <w:rPr>
                <w:rFonts w:hint="eastAsia" w:ascii="宋体" w:hAnsi="宋体" w:eastAsia="宋体" w:cs="宋体"/>
                <w:spacing w:val="-3"/>
                <w:sz w:val="21"/>
                <w:szCs w:val="21"/>
              </w:rPr>
              <w:t>13.1</w:t>
            </w:r>
          </w:p>
        </w:tc>
        <w:tc>
          <w:tcPr>
            <w:tcW w:w="8667" w:type="dxa"/>
            <w:tcBorders>
              <w:right w:val="single" w:color="000000" w:sz="10" w:space="0"/>
            </w:tcBorders>
            <w:vAlign w:val="top"/>
          </w:tcPr>
          <w:p w14:paraId="6FCF9EB7">
            <w:pPr>
              <w:keepNext w:val="0"/>
              <w:keepLines w:val="0"/>
              <w:pageBreakBefore w:val="0"/>
              <w:widowControl/>
              <w:wordWrap/>
              <w:overflowPunct/>
              <w:topLinePunct w:val="0"/>
              <w:bidi w:val="0"/>
              <w:spacing w:before="39" w:line="360" w:lineRule="auto"/>
              <w:ind w:left="26"/>
              <w:rPr>
                <w:rFonts w:hint="eastAsia" w:ascii="宋体" w:hAnsi="宋体" w:eastAsia="宋体" w:cs="宋体"/>
                <w:sz w:val="21"/>
                <w:szCs w:val="21"/>
              </w:rPr>
            </w:pPr>
            <w:r>
              <w:rPr>
                <w:rFonts w:hint="eastAsia" w:ascii="宋体" w:hAnsi="宋体" w:eastAsia="宋体" w:cs="宋体"/>
                <w:spacing w:val="-2"/>
                <w:sz w:val="21"/>
                <w:szCs w:val="21"/>
              </w:rPr>
              <w:t>投标有效期：</w:t>
            </w:r>
            <w:r>
              <w:rPr>
                <w:rFonts w:hint="eastAsia" w:ascii="宋体" w:hAnsi="宋体" w:eastAsia="宋体" w:cs="宋体"/>
                <w:spacing w:val="-53"/>
                <w:sz w:val="21"/>
                <w:szCs w:val="21"/>
              </w:rPr>
              <w:t xml:space="preserve"> </w:t>
            </w:r>
            <w:r>
              <w:rPr>
                <w:rFonts w:hint="eastAsia" w:ascii="宋体" w:hAnsi="宋体" w:eastAsia="宋体" w:cs="宋体"/>
                <w:spacing w:val="-2"/>
                <w:sz w:val="21"/>
                <w:szCs w:val="21"/>
                <w:u w:val="single" w:color="auto"/>
              </w:rPr>
              <w:t>90</w:t>
            </w:r>
            <w:r>
              <w:rPr>
                <w:rFonts w:hint="eastAsia" w:ascii="宋体" w:hAnsi="宋体" w:eastAsia="宋体" w:cs="宋体"/>
                <w:spacing w:val="-53"/>
                <w:sz w:val="21"/>
                <w:szCs w:val="21"/>
                <w:u w:val="single" w:color="auto"/>
              </w:rPr>
              <w:t xml:space="preserve"> </w:t>
            </w:r>
            <w:r>
              <w:rPr>
                <w:rFonts w:hint="eastAsia" w:ascii="宋体" w:hAnsi="宋体" w:eastAsia="宋体" w:cs="宋体"/>
                <w:spacing w:val="-64"/>
                <w:sz w:val="21"/>
                <w:szCs w:val="21"/>
              </w:rPr>
              <w:t xml:space="preserve"> </w:t>
            </w:r>
            <w:r>
              <w:rPr>
                <w:rFonts w:hint="eastAsia" w:ascii="宋体" w:hAnsi="宋体" w:eastAsia="宋体" w:cs="宋体"/>
                <w:spacing w:val="-2"/>
                <w:sz w:val="21"/>
                <w:szCs w:val="21"/>
              </w:rPr>
              <w:t>日历日</w:t>
            </w:r>
          </w:p>
        </w:tc>
      </w:tr>
      <w:tr w14:paraId="5DA2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32" w:type="dxa"/>
            <w:tcBorders>
              <w:left w:val="single" w:color="000000" w:sz="10" w:space="0"/>
            </w:tcBorders>
            <w:vAlign w:val="top"/>
          </w:tcPr>
          <w:p w14:paraId="7CD2789D">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C81A877">
            <w:pPr>
              <w:keepNext w:val="0"/>
              <w:keepLines w:val="0"/>
              <w:pageBreakBefore w:val="0"/>
              <w:widowControl/>
              <w:wordWrap/>
              <w:overflowPunct/>
              <w:topLinePunct w:val="0"/>
              <w:bidi w:val="0"/>
              <w:spacing w:before="74" w:line="360" w:lineRule="auto"/>
              <w:jc w:val="center"/>
              <w:rPr>
                <w:rFonts w:hint="eastAsia" w:ascii="宋体" w:hAnsi="宋体" w:eastAsia="宋体" w:cs="宋体"/>
                <w:sz w:val="21"/>
                <w:szCs w:val="21"/>
              </w:rPr>
            </w:pPr>
            <w:r>
              <w:rPr>
                <w:rFonts w:hint="eastAsia" w:ascii="宋体" w:hAnsi="宋体" w:eastAsia="宋体" w:cs="宋体"/>
                <w:spacing w:val="-3"/>
                <w:sz w:val="21"/>
                <w:szCs w:val="21"/>
              </w:rPr>
              <w:t>14.1</w:t>
            </w:r>
          </w:p>
        </w:tc>
        <w:tc>
          <w:tcPr>
            <w:tcW w:w="8667" w:type="dxa"/>
            <w:tcBorders>
              <w:right w:val="single" w:color="000000" w:sz="10" w:space="0"/>
            </w:tcBorders>
            <w:vAlign w:val="top"/>
          </w:tcPr>
          <w:p w14:paraId="39F62769">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11"/>
                <w:sz w:val="21"/>
                <w:szCs w:val="21"/>
              </w:rPr>
            </w:pPr>
            <w:r>
              <w:rPr>
                <w:rFonts w:hint="eastAsia" w:ascii="宋体" w:hAnsi="宋体" w:eastAsia="宋体" w:cs="宋体"/>
                <w:spacing w:val="9"/>
                <w:sz w:val="21"/>
                <w:szCs w:val="21"/>
              </w:rPr>
              <w:t>本项目实行全流程电子化“不见面</w:t>
            </w:r>
            <w:r>
              <w:rPr>
                <w:rFonts w:hint="eastAsia" w:ascii="宋体" w:hAnsi="宋体" w:eastAsia="宋体" w:cs="宋体"/>
                <w:spacing w:val="-64"/>
                <w:sz w:val="21"/>
                <w:szCs w:val="21"/>
              </w:rPr>
              <w:t xml:space="preserve"> </w:t>
            </w:r>
            <w:r>
              <w:rPr>
                <w:rFonts w:hint="eastAsia" w:ascii="宋体" w:hAnsi="宋体" w:eastAsia="宋体" w:cs="宋体"/>
                <w:spacing w:val="9"/>
                <w:sz w:val="21"/>
                <w:szCs w:val="21"/>
              </w:rPr>
              <w:t>”网上开标，请各潜在投标人自</w:t>
            </w:r>
            <w:r>
              <w:rPr>
                <w:rFonts w:hint="eastAsia" w:ascii="宋体" w:hAnsi="宋体" w:eastAsia="宋体" w:cs="宋体"/>
                <w:spacing w:val="11"/>
                <w:sz w:val="21"/>
                <w:szCs w:val="21"/>
              </w:rPr>
              <w:t>行下载学习（新疆政府采购网下载专区）</w:t>
            </w:r>
          </w:p>
          <w:p w14:paraId="3933709A">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z w:val="21"/>
                <w:szCs w:val="21"/>
              </w:rPr>
            </w:pPr>
            <w:r>
              <w:rPr>
                <w:rFonts w:hint="eastAsia" w:ascii="宋体" w:hAnsi="宋体" w:eastAsia="宋体" w:cs="宋体"/>
                <w:spacing w:val="11"/>
                <w:sz w:val="21"/>
                <w:szCs w:val="21"/>
              </w:rPr>
              <w:t>注：投</w:t>
            </w:r>
            <w:r>
              <w:rPr>
                <w:rFonts w:hint="eastAsia" w:ascii="宋体" w:hAnsi="宋体" w:eastAsia="宋体" w:cs="宋体"/>
                <w:spacing w:val="10"/>
                <w:sz w:val="21"/>
                <w:szCs w:val="21"/>
              </w:rPr>
              <w:t>标截止时间前按要</w:t>
            </w:r>
            <w:r>
              <w:rPr>
                <w:rFonts w:hint="eastAsia" w:ascii="宋体" w:hAnsi="宋体" w:eastAsia="宋体" w:cs="宋体"/>
                <w:spacing w:val="6"/>
                <w:sz w:val="21"/>
                <w:szCs w:val="21"/>
              </w:rPr>
              <w:t>求在政采云上传电子版投标文件。</w:t>
            </w:r>
          </w:p>
        </w:tc>
      </w:tr>
      <w:tr w14:paraId="5199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132" w:type="dxa"/>
            <w:tcBorders>
              <w:left w:val="single" w:color="000000" w:sz="10" w:space="0"/>
            </w:tcBorders>
            <w:vAlign w:val="top"/>
          </w:tcPr>
          <w:p w14:paraId="3D004531">
            <w:pPr>
              <w:keepNext w:val="0"/>
              <w:keepLines w:val="0"/>
              <w:pageBreakBefore w:val="0"/>
              <w:widowControl/>
              <w:wordWrap/>
              <w:overflowPunct/>
              <w:topLinePunct w:val="0"/>
              <w:bidi w:val="0"/>
              <w:spacing w:before="79" w:line="360" w:lineRule="auto"/>
              <w:jc w:val="center"/>
              <w:rPr>
                <w:rFonts w:hint="eastAsia" w:ascii="宋体" w:hAnsi="宋体" w:eastAsia="宋体" w:cs="宋体"/>
                <w:sz w:val="21"/>
                <w:szCs w:val="21"/>
              </w:rPr>
            </w:pPr>
            <w:r>
              <w:rPr>
                <w:rFonts w:hint="eastAsia" w:ascii="宋体" w:hAnsi="宋体" w:eastAsia="宋体" w:cs="宋体"/>
                <w:spacing w:val="-3"/>
                <w:sz w:val="21"/>
                <w:szCs w:val="21"/>
              </w:rPr>
              <w:t>16.1</w:t>
            </w:r>
          </w:p>
        </w:tc>
        <w:tc>
          <w:tcPr>
            <w:tcW w:w="8667" w:type="dxa"/>
            <w:tcBorders>
              <w:right w:val="single" w:color="000000" w:sz="10" w:space="0"/>
            </w:tcBorders>
            <w:vAlign w:val="top"/>
          </w:tcPr>
          <w:p w14:paraId="7D42DBAB">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rPr>
            </w:pPr>
            <w:r>
              <w:rPr>
                <w:rFonts w:hint="eastAsia" w:ascii="宋体" w:hAnsi="宋体" w:eastAsia="宋体" w:cs="宋体"/>
                <w:spacing w:val="9"/>
                <w:sz w:val="21"/>
                <w:szCs w:val="21"/>
              </w:rPr>
              <w:t>投标截止时间：</w:t>
            </w:r>
            <w:r>
              <w:rPr>
                <w:rFonts w:hint="eastAsia" w:ascii="宋体" w:hAnsi="宋体" w:eastAsia="宋体" w:cs="宋体"/>
                <w:b w:val="0"/>
                <w:bCs w:val="0"/>
                <w:spacing w:val="4"/>
                <w:sz w:val="21"/>
                <w:szCs w:val="21"/>
                <w:highlight w:val="none"/>
                <w:lang w:val="en-US" w:eastAsia="zh-CN"/>
              </w:rPr>
              <w:t>2025年7月23日11：00</w:t>
            </w:r>
            <w:r>
              <w:rPr>
                <w:rFonts w:hint="eastAsia" w:ascii="宋体" w:hAnsi="宋体" w:eastAsia="宋体" w:cs="宋体"/>
                <w:spacing w:val="9"/>
                <w:sz w:val="21"/>
                <w:szCs w:val="21"/>
              </w:rPr>
              <w:t>（北京时间）</w:t>
            </w:r>
          </w:p>
        </w:tc>
      </w:tr>
      <w:tr w14:paraId="07ED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2" w:type="dxa"/>
            <w:tcBorders>
              <w:left w:val="single" w:color="000000" w:sz="10" w:space="0"/>
            </w:tcBorders>
            <w:vAlign w:val="top"/>
          </w:tcPr>
          <w:p w14:paraId="63C030BC">
            <w:pPr>
              <w:keepNext w:val="0"/>
              <w:keepLines w:val="0"/>
              <w:pageBreakBefore w:val="0"/>
              <w:widowControl/>
              <w:wordWrap/>
              <w:overflowPunct/>
              <w:topLinePunct w:val="0"/>
              <w:bidi w:val="0"/>
              <w:spacing w:before="235" w:line="360" w:lineRule="auto"/>
              <w:jc w:val="center"/>
              <w:rPr>
                <w:rFonts w:hint="eastAsia" w:ascii="宋体" w:hAnsi="宋体" w:eastAsia="宋体" w:cs="宋体"/>
                <w:sz w:val="21"/>
                <w:szCs w:val="21"/>
              </w:rPr>
            </w:pPr>
            <w:r>
              <w:rPr>
                <w:rFonts w:hint="eastAsia" w:ascii="宋体" w:hAnsi="宋体" w:eastAsia="宋体" w:cs="宋体"/>
                <w:spacing w:val="-3"/>
                <w:sz w:val="21"/>
                <w:szCs w:val="21"/>
              </w:rPr>
              <w:t>18.1</w:t>
            </w:r>
          </w:p>
        </w:tc>
        <w:tc>
          <w:tcPr>
            <w:tcW w:w="8667" w:type="dxa"/>
            <w:tcBorders>
              <w:right w:val="single" w:color="000000" w:sz="10" w:space="0"/>
            </w:tcBorders>
            <w:vAlign w:val="top"/>
          </w:tcPr>
          <w:p w14:paraId="4B8E714E">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rPr>
            </w:pPr>
            <w:r>
              <w:rPr>
                <w:rFonts w:hint="eastAsia" w:ascii="宋体" w:hAnsi="宋体" w:eastAsia="宋体" w:cs="宋体"/>
                <w:spacing w:val="9"/>
                <w:sz w:val="21"/>
                <w:szCs w:val="21"/>
              </w:rPr>
              <w:t>开标时间：</w:t>
            </w:r>
            <w:r>
              <w:rPr>
                <w:rFonts w:hint="eastAsia" w:ascii="宋体" w:hAnsi="宋体" w:eastAsia="宋体" w:cs="宋体"/>
                <w:b w:val="0"/>
                <w:bCs w:val="0"/>
                <w:spacing w:val="4"/>
                <w:sz w:val="21"/>
                <w:szCs w:val="21"/>
                <w:highlight w:val="none"/>
                <w:lang w:val="en-US" w:eastAsia="zh-CN"/>
              </w:rPr>
              <w:t>2025年7月23日11：00</w:t>
            </w:r>
            <w:r>
              <w:rPr>
                <w:rFonts w:hint="eastAsia" w:ascii="宋体" w:hAnsi="宋体" w:eastAsia="宋体" w:cs="宋体"/>
                <w:spacing w:val="9"/>
                <w:sz w:val="21"/>
                <w:szCs w:val="21"/>
              </w:rPr>
              <w:t>（北京时间）</w:t>
            </w:r>
          </w:p>
          <w:p w14:paraId="1E70BA38">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rPr>
            </w:pPr>
            <w:r>
              <w:rPr>
                <w:rFonts w:hint="eastAsia" w:ascii="宋体" w:hAnsi="宋体" w:eastAsia="宋体" w:cs="宋体"/>
                <w:spacing w:val="9"/>
                <w:sz w:val="21"/>
                <w:szCs w:val="21"/>
              </w:rPr>
              <w:t>开标地点：</w:t>
            </w:r>
            <w:r>
              <w:rPr>
                <w:rFonts w:hint="eastAsia" w:ascii="宋体" w:hAnsi="宋体" w:eastAsia="宋体" w:cs="宋体"/>
                <w:spacing w:val="9"/>
                <w:sz w:val="21"/>
                <w:szCs w:val="21"/>
              </w:rPr>
              <w:fldChar w:fldCharType="begin"/>
            </w:r>
            <w:r>
              <w:rPr>
                <w:rFonts w:hint="eastAsia" w:ascii="宋体" w:hAnsi="宋体" w:eastAsia="宋体" w:cs="宋体"/>
                <w:spacing w:val="9"/>
                <w:sz w:val="21"/>
                <w:szCs w:val="21"/>
              </w:rPr>
              <w:instrText xml:space="preserve"> HYPERLINK "https://www.zcygov.cn在线投标" </w:instrText>
            </w:r>
            <w:r>
              <w:rPr>
                <w:rFonts w:hint="eastAsia" w:ascii="宋体" w:hAnsi="宋体" w:eastAsia="宋体" w:cs="宋体"/>
                <w:spacing w:val="9"/>
                <w:sz w:val="21"/>
                <w:szCs w:val="21"/>
              </w:rPr>
              <w:fldChar w:fldCharType="separate"/>
            </w:r>
            <w:r>
              <w:rPr>
                <w:rFonts w:hint="eastAsia" w:ascii="宋体" w:hAnsi="宋体" w:eastAsia="宋体" w:cs="宋体"/>
                <w:spacing w:val="9"/>
                <w:sz w:val="21"/>
                <w:szCs w:val="21"/>
              </w:rPr>
              <w:t>https://www.zcygov.cn在线投标</w:t>
            </w:r>
            <w:r>
              <w:rPr>
                <w:rFonts w:hint="eastAsia" w:ascii="宋体" w:hAnsi="宋体" w:eastAsia="宋体" w:cs="宋体"/>
                <w:spacing w:val="9"/>
                <w:sz w:val="21"/>
                <w:szCs w:val="21"/>
              </w:rPr>
              <w:fldChar w:fldCharType="end"/>
            </w:r>
          </w:p>
        </w:tc>
      </w:tr>
      <w:tr w14:paraId="0950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132" w:type="dxa"/>
            <w:tcBorders>
              <w:left w:val="single" w:color="000000" w:sz="10" w:space="0"/>
            </w:tcBorders>
            <w:vAlign w:val="center"/>
          </w:tcPr>
          <w:p w14:paraId="196B00F1">
            <w:pPr>
              <w:keepNext w:val="0"/>
              <w:keepLines w:val="0"/>
              <w:pageBreakBefore w:val="0"/>
              <w:widowControl/>
              <w:wordWrap/>
              <w:overflowPunct/>
              <w:topLinePunct w:val="0"/>
              <w:bidi w:val="0"/>
              <w:spacing w:before="84" w:line="360"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20.5</w:t>
            </w:r>
          </w:p>
        </w:tc>
        <w:tc>
          <w:tcPr>
            <w:tcW w:w="8667" w:type="dxa"/>
            <w:tcBorders>
              <w:right w:val="single" w:color="000000" w:sz="10" w:space="0"/>
            </w:tcBorders>
            <w:vAlign w:val="top"/>
          </w:tcPr>
          <w:p w14:paraId="450021D5">
            <w:pPr>
              <w:keepNext w:val="0"/>
              <w:keepLines w:val="0"/>
              <w:pageBreakBefore w:val="0"/>
              <w:widowControl/>
              <w:wordWrap/>
              <w:overflowPunct/>
              <w:topLinePunct w:val="0"/>
              <w:bidi w:val="0"/>
              <w:spacing w:before="45" w:line="360" w:lineRule="auto"/>
              <w:ind w:left="22"/>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核心产品：</w:t>
            </w:r>
          </w:p>
          <w:p w14:paraId="638C0915">
            <w:pPr>
              <w:keepNext w:val="0"/>
              <w:keepLines w:val="0"/>
              <w:pageBreakBefore w:val="0"/>
              <w:widowControl/>
              <w:wordWrap/>
              <w:overflowPunct/>
              <w:topLinePunct w:val="0"/>
              <w:bidi w:val="0"/>
              <w:spacing w:before="45" w:line="360" w:lineRule="auto"/>
              <w:ind w:left="22"/>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第一包：</w:t>
            </w:r>
            <w:r>
              <w:rPr>
                <w:rFonts w:hint="eastAsia" w:ascii="宋体" w:hAnsi="宋体" w:eastAsia="宋体" w:cs="宋体"/>
                <w:i w:val="0"/>
                <w:iCs w:val="0"/>
                <w:snapToGrid w:val="0"/>
                <w:color w:val="000000"/>
                <w:kern w:val="0"/>
                <w:sz w:val="21"/>
                <w:szCs w:val="21"/>
                <w:u w:val="none"/>
                <w:lang w:val="en-US" w:eastAsia="zh-CN" w:bidi="ar"/>
              </w:rPr>
              <w:t>黄连（片）</w:t>
            </w:r>
          </w:p>
          <w:p w14:paraId="72686E01">
            <w:pPr>
              <w:keepNext w:val="0"/>
              <w:keepLines w:val="0"/>
              <w:pageBreakBefore w:val="0"/>
              <w:widowControl/>
              <w:wordWrap/>
              <w:overflowPunct/>
              <w:topLinePunct w:val="0"/>
              <w:bidi w:val="0"/>
              <w:spacing w:before="45" w:line="360" w:lineRule="auto"/>
              <w:ind w:left="22"/>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第二包：秋水仙</w:t>
            </w:r>
          </w:p>
          <w:p w14:paraId="4A3030C7">
            <w:pPr>
              <w:keepNext w:val="0"/>
              <w:keepLines w:val="0"/>
              <w:pageBreakBefore w:val="0"/>
              <w:widowControl/>
              <w:wordWrap/>
              <w:overflowPunct/>
              <w:topLinePunct w:val="0"/>
              <w:bidi w:val="0"/>
              <w:spacing w:before="45" w:line="360" w:lineRule="auto"/>
              <w:ind w:left="22"/>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第三包：蜘蛛香</w:t>
            </w:r>
          </w:p>
          <w:p w14:paraId="35AA7893">
            <w:pPr>
              <w:keepNext w:val="0"/>
              <w:keepLines w:val="0"/>
              <w:pageBreakBefore w:val="0"/>
              <w:widowControl/>
              <w:wordWrap/>
              <w:overflowPunct/>
              <w:topLinePunct w:val="0"/>
              <w:bidi w:val="0"/>
              <w:spacing w:before="45" w:line="360" w:lineRule="auto"/>
              <w:ind w:left="22"/>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第五包：</w:t>
            </w:r>
            <w:r>
              <w:rPr>
                <w:rFonts w:hint="eastAsia" w:ascii="宋体" w:hAnsi="宋体" w:eastAsia="宋体" w:cs="宋体"/>
                <w:i w:val="0"/>
                <w:iCs w:val="0"/>
                <w:snapToGrid w:val="0"/>
                <w:color w:val="000000"/>
                <w:kern w:val="0"/>
                <w:sz w:val="21"/>
                <w:szCs w:val="21"/>
                <w:u w:val="none"/>
                <w:lang w:val="en-US" w:eastAsia="zh-CN" w:bidi="ar"/>
              </w:rPr>
              <w:t>95%食用酒精（乙醇）</w:t>
            </w:r>
          </w:p>
        </w:tc>
      </w:tr>
      <w:tr w14:paraId="1B3CE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132" w:type="dxa"/>
            <w:tcBorders>
              <w:left w:val="single" w:color="000000" w:sz="10" w:space="0"/>
            </w:tcBorders>
            <w:vAlign w:val="top"/>
          </w:tcPr>
          <w:p w14:paraId="2FFC853C">
            <w:pPr>
              <w:keepNext w:val="0"/>
              <w:keepLines w:val="0"/>
              <w:pageBreakBefore w:val="0"/>
              <w:widowControl/>
              <w:wordWrap/>
              <w:overflowPunct/>
              <w:topLinePunct w:val="0"/>
              <w:bidi w:val="0"/>
              <w:spacing w:before="84" w:line="360" w:lineRule="auto"/>
              <w:jc w:val="center"/>
              <w:rPr>
                <w:rFonts w:hint="eastAsia" w:ascii="宋体" w:hAnsi="宋体" w:eastAsia="宋体" w:cs="宋体"/>
                <w:sz w:val="21"/>
                <w:szCs w:val="21"/>
              </w:rPr>
            </w:pPr>
            <w:r>
              <w:rPr>
                <w:rFonts w:hint="eastAsia" w:ascii="宋体" w:hAnsi="宋体" w:eastAsia="宋体" w:cs="宋体"/>
                <w:spacing w:val="1"/>
                <w:sz w:val="21"/>
                <w:szCs w:val="21"/>
              </w:rPr>
              <w:t>23.2</w:t>
            </w:r>
          </w:p>
        </w:tc>
        <w:tc>
          <w:tcPr>
            <w:tcW w:w="8667" w:type="dxa"/>
            <w:tcBorders>
              <w:right w:val="single" w:color="000000" w:sz="10" w:space="0"/>
            </w:tcBorders>
            <w:vAlign w:val="top"/>
          </w:tcPr>
          <w:p w14:paraId="435740D1">
            <w:pPr>
              <w:keepNext w:val="0"/>
              <w:keepLines w:val="0"/>
              <w:pageBreakBefore w:val="0"/>
              <w:widowControl/>
              <w:wordWrap/>
              <w:overflowPunct/>
              <w:topLinePunct w:val="0"/>
              <w:bidi w:val="0"/>
              <w:spacing w:before="45" w:line="360" w:lineRule="auto"/>
              <w:ind w:left="22"/>
              <w:rPr>
                <w:rFonts w:hint="eastAsia" w:ascii="宋体" w:hAnsi="宋体" w:eastAsia="宋体" w:cs="宋体"/>
                <w:sz w:val="21"/>
                <w:szCs w:val="21"/>
              </w:rPr>
            </w:pPr>
            <w:r>
              <w:rPr>
                <w:rFonts w:hint="eastAsia" w:ascii="宋体" w:hAnsi="宋体" w:eastAsia="宋体" w:cs="宋体"/>
                <w:spacing w:val="9"/>
                <w:sz w:val="21"/>
                <w:szCs w:val="21"/>
              </w:rPr>
              <w:t>评标方法：综合评分法</w:t>
            </w:r>
          </w:p>
        </w:tc>
      </w:tr>
      <w:tr w14:paraId="777C1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32" w:type="dxa"/>
            <w:tcBorders>
              <w:left w:val="single" w:color="000000" w:sz="10" w:space="0"/>
            </w:tcBorders>
            <w:vAlign w:val="top"/>
          </w:tcPr>
          <w:p w14:paraId="4A912740">
            <w:pPr>
              <w:keepNext w:val="0"/>
              <w:keepLines w:val="0"/>
              <w:pageBreakBefore w:val="0"/>
              <w:widowControl/>
              <w:wordWrap/>
              <w:overflowPunct/>
              <w:topLinePunct w:val="0"/>
              <w:bidi w:val="0"/>
              <w:spacing w:before="114" w:line="360" w:lineRule="auto"/>
              <w:jc w:val="center"/>
              <w:rPr>
                <w:rFonts w:hint="eastAsia" w:ascii="宋体" w:hAnsi="宋体" w:eastAsia="宋体" w:cs="宋体"/>
                <w:sz w:val="21"/>
                <w:szCs w:val="21"/>
              </w:rPr>
            </w:pPr>
            <w:r>
              <w:rPr>
                <w:rFonts w:hint="eastAsia" w:ascii="宋体" w:hAnsi="宋体" w:eastAsia="宋体" w:cs="宋体"/>
                <w:spacing w:val="-3"/>
                <w:sz w:val="21"/>
                <w:szCs w:val="21"/>
              </w:rPr>
              <w:t>27</w:t>
            </w:r>
          </w:p>
        </w:tc>
        <w:tc>
          <w:tcPr>
            <w:tcW w:w="8667" w:type="dxa"/>
            <w:tcBorders>
              <w:right w:val="single" w:color="000000" w:sz="10" w:space="0"/>
            </w:tcBorders>
            <w:vAlign w:val="top"/>
          </w:tcPr>
          <w:p w14:paraId="45C5615F">
            <w:pPr>
              <w:keepNext w:val="0"/>
              <w:keepLines w:val="0"/>
              <w:pageBreakBefore w:val="0"/>
              <w:widowControl/>
              <w:wordWrap/>
              <w:overflowPunct/>
              <w:topLinePunct w:val="0"/>
              <w:bidi w:val="0"/>
              <w:spacing w:before="77" w:line="360" w:lineRule="auto"/>
              <w:ind w:left="23"/>
              <w:rPr>
                <w:rFonts w:hint="eastAsia" w:ascii="宋体" w:hAnsi="宋体" w:eastAsia="宋体" w:cs="宋体"/>
                <w:sz w:val="21"/>
                <w:szCs w:val="21"/>
              </w:rPr>
            </w:pPr>
            <w:r>
              <w:rPr>
                <w:rFonts w:hint="eastAsia" w:ascii="宋体" w:hAnsi="宋体" w:eastAsia="宋体" w:cs="宋体"/>
                <w:sz w:val="21"/>
                <w:szCs w:val="21"/>
              </w:rPr>
              <w:t xml:space="preserve">推荐中标候选供应商的数量： </w:t>
            </w:r>
            <w:r>
              <w:rPr>
                <w:rFonts w:hint="eastAsia" w:ascii="宋体" w:hAnsi="宋体" w:eastAsia="宋体" w:cs="宋体"/>
                <w:sz w:val="21"/>
                <w:szCs w:val="21"/>
                <w:u w:val="single" w:color="auto"/>
              </w:rPr>
              <w:t>3</w:t>
            </w:r>
            <w:r>
              <w:rPr>
                <w:rFonts w:hint="eastAsia" w:ascii="宋体" w:hAnsi="宋体" w:eastAsia="宋体" w:cs="宋体"/>
                <w:spacing w:val="-36"/>
                <w:sz w:val="21"/>
                <w:szCs w:val="21"/>
                <w:u w:val="single" w:color="auto"/>
              </w:rPr>
              <w:t xml:space="preserve"> </w:t>
            </w:r>
            <w:r>
              <w:rPr>
                <w:rFonts w:hint="eastAsia" w:ascii="宋体" w:hAnsi="宋体" w:eastAsia="宋体" w:cs="宋体"/>
                <w:sz w:val="21"/>
                <w:szCs w:val="21"/>
                <w:u w:val="single" w:color="auto"/>
              </w:rPr>
              <w:t>个</w:t>
            </w:r>
          </w:p>
        </w:tc>
      </w:tr>
      <w:tr w14:paraId="3351B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32" w:type="dxa"/>
            <w:tcBorders>
              <w:left w:val="single" w:color="000000" w:sz="10" w:space="0"/>
            </w:tcBorders>
            <w:vAlign w:val="top"/>
          </w:tcPr>
          <w:p w14:paraId="08B374DC">
            <w:pPr>
              <w:keepNext w:val="0"/>
              <w:keepLines w:val="0"/>
              <w:pageBreakBefore w:val="0"/>
              <w:widowControl/>
              <w:wordWrap/>
              <w:overflowPunct/>
              <w:topLinePunct w:val="0"/>
              <w:bidi w:val="0"/>
              <w:spacing w:before="117" w:line="360" w:lineRule="auto"/>
              <w:jc w:val="center"/>
              <w:rPr>
                <w:rFonts w:hint="eastAsia" w:ascii="宋体" w:hAnsi="宋体" w:eastAsia="宋体" w:cs="宋体"/>
                <w:sz w:val="21"/>
                <w:szCs w:val="21"/>
              </w:rPr>
            </w:pPr>
            <w:r>
              <w:rPr>
                <w:rFonts w:hint="eastAsia" w:ascii="宋体" w:hAnsi="宋体" w:eastAsia="宋体" w:cs="宋体"/>
                <w:spacing w:val="-3"/>
                <w:sz w:val="21"/>
                <w:szCs w:val="21"/>
              </w:rPr>
              <w:t>27</w:t>
            </w:r>
          </w:p>
        </w:tc>
        <w:tc>
          <w:tcPr>
            <w:tcW w:w="8667" w:type="dxa"/>
            <w:tcBorders>
              <w:right w:val="single" w:color="000000" w:sz="10" w:space="0"/>
            </w:tcBorders>
            <w:vAlign w:val="top"/>
          </w:tcPr>
          <w:p w14:paraId="4F927C01">
            <w:pPr>
              <w:keepNext w:val="0"/>
              <w:keepLines w:val="0"/>
              <w:pageBreakBefore w:val="0"/>
              <w:widowControl/>
              <w:wordWrap/>
              <w:overflowPunct/>
              <w:topLinePunct w:val="0"/>
              <w:bidi w:val="0"/>
              <w:spacing w:before="79" w:line="360" w:lineRule="auto"/>
              <w:ind w:left="24"/>
              <w:rPr>
                <w:rFonts w:hint="eastAsia" w:ascii="宋体" w:hAnsi="宋体" w:eastAsia="宋体" w:cs="宋体"/>
                <w:sz w:val="21"/>
                <w:szCs w:val="21"/>
              </w:rPr>
            </w:pPr>
            <w:r>
              <w:rPr>
                <w:rFonts w:hint="eastAsia" w:ascii="宋体" w:hAnsi="宋体" w:eastAsia="宋体" w:cs="宋体"/>
                <w:sz w:val="21"/>
                <w:szCs w:val="21"/>
              </w:rPr>
              <w:t>招标人是否委托评标委员会直接确定中标人：</w:t>
            </w:r>
            <w:r>
              <w:rPr>
                <w:rFonts w:hint="eastAsia" w:ascii="宋体" w:hAnsi="宋体" w:eastAsia="宋体" w:cs="宋体"/>
                <w:sz w:val="21"/>
                <w:szCs w:val="21"/>
                <w:u w:val="single" w:color="auto"/>
              </w:rPr>
              <w:t>否</w:t>
            </w:r>
          </w:p>
        </w:tc>
      </w:tr>
      <w:tr w14:paraId="5BB7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132" w:type="dxa"/>
            <w:tcBorders>
              <w:left w:val="single" w:color="000000" w:sz="10" w:space="0"/>
            </w:tcBorders>
            <w:vAlign w:val="top"/>
          </w:tcPr>
          <w:p w14:paraId="5F2A16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p>
          <w:p w14:paraId="263882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p>
          <w:p w14:paraId="143592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31.1</w:t>
            </w:r>
          </w:p>
        </w:tc>
        <w:tc>
          <w:tcPr>
            <w:tcW w:w="8667" w:type="dxa"/>
            <w:tcBorders>
              <w:right w:val="single" w:color="000000" w:sz="10" w:space="0"/>
            </w:tcBorders>
            <w:vAlign w:val="top"/>
          </w:tcPr>
          <w:p w14:paraId="2097A1DA">
            <w:pPr>
              <w:keepNext w:val="0"/>
              <w:keepLines w:val="0"/>
              <w:pageBreakBefore w:val="0"/>
              <w:widowControl/>
              <w:wordWrap/>
              <w:overflowPunct/>
              <w:topLinePunct w:val="0"/>
              <w:bidi w:val="0"/>
              <w:spacing w:before="79" w:line="360" w:lineRule="auto"/>
              <w:ind w:left="24"/>
              <w:rPr>
                <w:rFonts w:hint="eastAsia" w:ascii="宋体" w:hAnsi="宋体" w:eastAsia="宋体" w:cs="宋体"/>
                <w:sz w:val="21"/>
                <w:szCs w:val="21"/>
                <w:lang w:eastAsia="zh-CN"/>
              </w:rPr>
            </w:pPr>
            <w:r>
              <w:rPr>
                <w:rFonts w:hint="eastAsia" w:ascii="宋体" w:hAnsi="宋体" w:eastAsia="宋体" w:cs="宋体"/>
                <w:sz w:val="21"/>
                <w:szCs w:val="21"/>
                <w:lang w:eastAsia="zh-CN"/>
              </w:rPr>
              <w:t>履约保证金金额：中标价的</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w:t>
            </w:r>
          </w:p>
          <w:p w14:paraId="7D32D97A">
            <w:pPr>
              <w:keepNext w:val="0"/>
              <w:keepLines w:val="0"/>
              <w:pageBreakBefore w:val="0"/>
              <w:widowControl/>
              <w:wordWrap/>
              <w:overflowPunct/>
              <w:topLinePunct w:val="0"/>
              <w:bidi w:val="0"/>
              <w:spacing w:before="79" w:line="360" w:lineRule="auto"/>
              <w:ind w:left="24"/>
              <w:rPr>
                <w:rFonts w:hint="eastAsia" w:ascii="宋体" w:hAnsi="宋体" w:eastAsia="宋体" w:cs="宋体"/>
                <w:sz w:val="21"/>
                <w:szCs w:val="21"/>
                <w:lang w:eastAsia="zh-CN"/>
              </w:rPr>
            </w:pPr>
            <w:r>
              <w:rPr>
                <w:rFonts w:hint="eastAsia" w:ascii="宋体" w:hAnsi="宋体" w:eastAsia="宋体" w:cs="宋体"/>
                <w:sz w:val="21"/>
                <w:szCs w:val="21"/>
                <w:lang w:eastAsia="zh-CN"/>
              </w:rPr>
              <w:t>履约保证金形式： 转账、电汇、保函</w:t>
            </w:r>
          </w:p>
          <w:p w14:paraId="005A8D02">
            <w:pPr>
              <w:keepNext w:val="0"/>
              <w:keepLines w:val="0"/>
              <w:pageBreakBefore w:val="0"/>
              <w:widowControl/>
              <w:wordWrap/>
              <w:overflowPunct/>
              <w:topLinePunct w:val="0"/>
              <w:bidi w:val="0"/>
              <w:spacing w:before="79" w:line="360" w:lineRule="auto"/>
              <w:ind w:left="24"/>
              <w:rPr>
                <w:rFonts w:hint="default" w:ascii="宋体" w:hAnsi="宋体" w:eastAsia="宋体" w:cs="宋体"/>
                <w:sz w:val="21"/>
                <w:szCs w:val="21"/>
                <w:lang w:val="en-US" w:eastAsia="zh-CN"/>
              </w:rPr>
            </w:pPr>
            <w:r>
              <w:rPr>
                <w:rFonts w:hint="eastAsia" w:ascii="宋体" w:hAnsi="宋体" w:eastAsia="宋体" w:cs="宋体"/>
                <w:sz w:val="21"/>
                <w:szCs w:val="21"/>
                <w:lang w:eastAsia="zh-CN"/>
              </w:rPr>
              <w:t>提交履约保证金的时间：</w:t>
            </w:r>
            <w:r>
              <w:rPr>
                <w:rFonts w:hint="eastAsia" w:ascii="宋体" w:hAnsi="宋体" w:eastAsia="宋体" w:cs="宋体"/>
                <w:sz w:val="21"/>
                <w:szCs w:val="21"/>
                <w:lang w:val="en-US" w:eastAsia="zh-CN"/>
              </w:rPr>
              <w:t>收到中标通知书7日内</w:t>
            </w:r>
          </w:p>
          <w:p w14:paraId="2B145C21">
            <w:pPr>
              <w:keepNext w:val="0"/>
              <w:keepLines w:val="0"/>
              <w:pageBreakBefore w:val="0"/>
              <w:widowControl/>
              <w:wordWrap/>
              <w:overflowPunct/>
              <w:topLinePunct w:val="0"/>
              <w:bidi w:val="0"/>
              <w:spacing w:before="79" w:line="360" w:lineRule="auto"/>
              <w:ind w:left="24"/>
              <w:rPr>
                <w:rFonts w:hint="eastAsia" w:ascii="宋体" w:hAnsi="宋体" w:eastAsia="宋体" w:cs="宋体"/>
                <w:bCs/>
                <w:color w:val="000000"/>
                <w:sz w:val="21"/>
                <w:szCs w:val="21"/>
                <w:lang w:eastAsia="zh-CN"/>
              </w:rPr>
            </w:pPr>
            <w:r>
              <w:rPr>
                <w:rFonts w:hint="eastAsia" w:ascii="宋体" w:hAnsi="宋体" w:eastAsia="宋体" w:cs="宋体"/>
                <w:sz w:val="21"/>
                <w:szCs w:val="21"/>
                <w:lang w:eastAsia="zh-CN"/>
              </w:rPr>
              <w:t>服务验收合格后无息返还（双方也可以通过协商另行约定其他退还时间和方式及用途）</w:t>
            </w:r>
          </w:p>
        </w:tc>
      </w:tr>
      <w:tr w14:paraId="42EA3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2" w:type="dxa"/>
            <w:tcBorders>
              <w:left w:val="single" w:color="000000" w:sz="10" w:space="0"/>
            </w:tcBorders>
            <w:vAlign w:val="top"/>
          </w:tcPr>
          <w:p w14:paraId="14D806E0">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2CC0131">
            <w:pPr>
              <w:pStyle w:val="32"/>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0B824EE">
            <w:pPr>
              <w:keepNext w:val="0"/>
              <w:keepLines w:val="0"/>
              <w:pageBreakBefore w:val="0"/>
              <w:widowControl/>
              <w:wordWrap/>
              <w:overflowPunct/>
              <w:topLinePunct w:val="0"/>
              <w:bidi w:val="0"/>
              <w:spacing w:before="75" w:line="360" w:lineRule="auto"/>
              <w:jc w:val="center"/>
              <w:rPr>
                <w:rFonts w:hint="eastAsia" w:ascii="宋体" w:hAnsi="宋体" w:eastAsia="宋体" w:cs="宋体"/>
                <w:sz w:val="21"/>
                <w:szCs w:val="21"/>
              </w:rPr>
            </w:pPr>
            <w:r>
              <w:rPr>
                <w:rFonts w:hint="eastAsia" w:ascii="宋体" w:hAnsi="宋体" w:eastAsia="宋体" w:cs="宋体"/>
                <w:spacing w:val="-4"/>
                <w:sz w:val="21"/>
                <w:szCs w:val="21"/>
              </w:rPr>
              <w:t>32</w:t>
            </w:r>
          </w:p>
        </w:tc>
        <w:tc>
          <w:tcPr>
            <w:tcW w:w="8667" w:type="dxa"/>
            <w:tcBorders>
              <w:right w:val="single" w:color="000000" w:sz="10" w:space="0"/>
            </w:tcBorders>
            <w:vAlign w:val="top"/>
          </w:tcPr>
          <w:p w14:paraId="77CD17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val="en-US" w:eastAsia="zh-CN"/>
              </w:rPr>
            </w:pPr>
            <w:r>
              <w:rPr>
                <w:rFonts w:hint="eastAsia" w:ascii="宋体" w:hAnsi="宋体" w:eastAsia="宋体" w:cs="宋体"/>
                <w:spacing w:val="11"/>
                <w:sz w:val="21"/>
                <w:szCs w:val="21"/>
              </w:rPr>
              <w:t>招标代理服务费：</w:t>
            </w:r>
            <w:r>
              <w:rPr>
                <w:rFonts w:hint="eastAsia" w:ascii="宋体" w:hAnsi="宋体" w:eastAsia="宋体" w:cs="宋体"/>
                <w:bCs/>
                <w:color w:val="000000"/>
                <w:sz w:val="21"/>
                <w:szCs w:val="21"/>
                <w:lang w:eastAsia="zh-CN"/>
              </w:rPr>
              <w:t>根据（发改价格[2015]299号文件）采购代理机构</w:t>
            </w:r>
            <w:r>
              <w:rPr>
                <w:rFonts w:hint="eastAsia" w:ascii="宋体" w:hAnsi="宋体" w:eastAsia="宋体" w:cs="宋体"/>
                <w:bCs/>
                <w:color w:val="000000"/>
                <w:sz w:val="21"/>
                <w:szCs w:val="21"/>
                <w:lang w:val="en-US" w:eastAsia="zh-CN"/>
              </w:rPr>
              <w:t>与招标人经过双方协商确定</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由中标单位支付招标代理费；</w:t>
            </w:r>
          </w:p>
          <w:p w14:paraId="537466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收费标准：100</w:t>
            </w:r>
            <w:r>
              <w:rPr>
                <w:rFonts w:hint="eastAsia" w:ascii="宋体" w:hAnsi="宋体" w:eastAsia="宋体" w:cs="宋体"/>
                <w:bCs/>
                <w:color w:val="000000"/>
                <w:sz w:val="21"/>
                <w:szCs w:val="21"/>
                <w:lang w:eastAsia="zh-CN"/>
              </w:rPr>
              <w:t>万以下按1.</w:t>
            </w:r>
            <w:r>
              <w:rPr>
                <w:rFonts w:hint="default" w:ascii="宋体" w:hAnsi="宋体" w:eastAsia="宋体" w:cs="宋体"/>
                <w:bCs/>
                <w:color w:val="000000"/>
                <w:sz w:val="21"/>
                <w:szCs w:val="21"/>
                <w:lang w:eastAsia="zh-CN"/>
              </w:rPr>
              <w:t>5</w:t>
            </w:r>
            <w:r>
              <w:rPr>
                <w:rFonts w:hint="eastAsia" w:ascii="宋体" w:hAnsi="宋体" w:eastAsia="宋体" w:cs="宋体"/>
                <w:bCs/>
                <w:color w:val="000000"/>
                <w:sz w:val="21"/>
                <w:szCs w:val="21"/>
                <w:lang w:eastAsia="zh-CN"/>
              </w:rPr>
              <w:t>%收取，</w:t>
            </w:r>
            <w:r>
              <w:rPr>
                <w:rFonts w:hint="eastAsia" w:ascii="宋体" w:hAnsi="宋体" w:eastAsia="宋体" w:cs="宋体"/>
                <w:bCs/>
                <w:color w:val="000000"/>
                <w:sz w:val="21"/>
                <w:szCs w:val="21"/>
                <w:lang w:val="en-US" w:eastAsia="zh-CN"/>
              </w:rPr>
              <w:t>100万元-500万元按</w:t>
            </w:r>
            <w:r>
              <w:rPr>
                <w:rFonts w:hint="default" w:ascii="宋体" w:hAnsi="宋体" w:eastAsia="宋体" w:cs="宋体"/>
                <w:bCs/>
                <w:color w:val="000000"/>
                <w:sz w:val="21"/>
                <w:szCs w:val="21"/>
                <w:lang w:eastAsia="zh-CN"/>
              </w:rPr>
              <w:t>1.1</w:t>
            </w:r>
            <w:r>
              <w:rPr>
                <w:rFonts w:hint="eastAsia" w:ascii="宋体" w:hAnsi="宋体" w:eastAsia="宋体" w:cs="宋体"/>
                <w:bCs/>
                <w:color w:val="000000"/>
                <w:sz w:val="21"/>
                <w:szCs w:val="21"/>
                <w:lang w:val="en-US" w:eastAsia="zh-CN"/>
              </w:rPr>
              <w:t>%收取，按差额定率累进法计算，</w:t>
            </w:r>
            <w:r>
              <w:rPr>
                <w:rFonts w:hint="eastAsia" w:ascii="宋体" w:hAnsi="宋体" w:eastAsia="宋体" w:cs="宋体"/>
                <w:bCs/>
                <w:color w:val="000000"/>
                <w:sz w:val="21"/>
                <w:szCs w:val="21"/>
                <w:lang w:eastAsia="zh-CN"/>
              </w:rPr>
              <w:t>按实际中标金额收取。</w:t>
            </w:r>
          </w:p>
          <w:p w14:paraId="6CB0E48B">
            <w:pPr>
              <w:keepNext w:val="0"/>
              <w:keepLines w:val="0"/>
              <w:pageBreakBefore w:val="0"/>
              <w:widowControl/>
              <w:kinsoku/>
              <w:wordWrap/>
              <w:overflowPunct/>
              <w:topLinePunct w:val="0"/>
              <w:autoSpaceDE/>
              <w:autoSpaceDN/>
              <w:bidi w:val="0"/>
              <w:adjustRightInd/>
              <w:snapToGrid/>
              <w:spacing w:line="360" w:lineRule="auto"/>
              <w:ind w:left="900" w:hanging="787" w:hangingChars="375"/>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支付形式：</w:t>
            </w:r>
            <w:r>
              <w:rPr>
                <w:rFonts w:hint="eastAsia" w:ascii="宋体" w:hAnsi="宋体" w:eastAsia="宋体" w:cs="宋体"/>
                <w:bCs/>
                <w:color w:val="000000"/>
                <w:sz w:val="21"/>
                <w:szCs w:val="21"/>
                <w:u w:val="single"/>
              </w:rPr>
              <w:t xml:space="preserve">  对公转账  </w:t>
            </w:r>
          </w:p>
          <w:p w14:paraId="65FF8FA7">
            <w:pPr>
              <w:keepNext w:val="0"/>
              <w:keepLines w:val="0"/>
              <w:pageBreakBefore w:val="0"/>
              <w:widowControl/>
              <w:wordWrap/>
              <w:overflowPunct/>
              <w:topLinePunct w:val="0"/>
              <w:bidi w:val="0"/>
              <w:spacing w:before="28" w:line="360" w:lineRule="auto"/>
              <w:ind w:left="24"/>
              <w:rPr>
                <w:rFonts w:hint="eastAsia" w:ascii="宋体" w:hAnsi="宋体" w:eastAsia="宋体" w:cs="宋体"/>
                <w:sz w:val="21"/>
                <w:szCs w:val="21"/>
              </w:rPr>
            </w:pPr>
            <w:r>
              <w:rPr>
                <w:rFonts w:hint="eastAsia" w:ascii="宋体" w:hAnsi="宋体" w:eastAsia="宋体" w:cs="宋体"/>
                <w:bCs/>
                <w:color w:val="000000"/>
                <w:sz w:val="21"/>
                <w:szCs w:val="21"/>
              </w:rPr>
              <w:t>支付时间：</w:t>
            </w:r>
            <w:r>
              <w:rPr>
                <w:rFonts w:hint="eastAsia" w:ascii="宋体" w:hAnsi="宋体" w:eastAsia="宋体" w:cs="宋体"/>
                <w:bCs/>
                <w:color w:val="000000"/>
                <w:sz w:val="21"/>
                <w:szCs w:val="21"/>
                <w:u w:val="single"/>
              </w:rPr>
              <w:t xml:space="preserve">  领取成交通知书时</w:t>
            </w:r>
            <w:r>
              <w:rPr>
                <w:rFonts w:hint="eastAsia" w:ascii="宋体" w:hAnsi="宋体" w:eastAsia="宋体" w:cs="宋体"/>
                <w:bCs/>
                <w:color w:val="000000"/>
                <w:sz w:val="21"/>
                <w:szCs w:val="21"/>
                <w:u w:val="single"/>
                <w:lang w:eastAsia="zh-CN"/>
              </w:rPr>
              <w:t>，</w:t>
            </w:r>
            <w:r>
              <w:rPr>
                <w:rFonts w:hint="eastAsia" w:ascii="宋体" w:hAnsi="宋体" w:eastAsia="宋体" w:cs="宋体"/>
                <w:bCs/>
                <w:color w:val="000000"/>
                <w:sz w:val="21"/>
                <w:szCs w:val="21"/>
                <w:u w:val="single"/>
                <w:lang w:val="en-US" w:eastAsia="zh-CN"/>
              </w:rPr>
              <w:t>一次性支付</w:t>
            </w:r>
            <w:r>
              <w:rPr>
                <w:rFonts w:hint="eastAsia" w:ascii="宋体" w:hAnsi="宋体" w:eastAsia="宋体" w:cs="宋体"/>
                <w:bCs/>
                <w:color w:val="000000"/>
                <w:sz w:val="21"/>
                <w:szCs w:val="21"/>
                <w:u w:val="single"/>
              </w:rPr>
              <w:t xml:space="preserve"> </w:t>
            </w:r>
          </w:p>
        </w:tc>
      </w:tr>
      <w:tr w14:paraId="0283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32" w:type="dxa"/>
            <w:tcBorders>
              <w:left w:val="single" w:color="000000" w:sz="10" w:space="0"/>
            </w:tcBorders>
            <w:vAlign w:val="center"/>
          </w:tcPr>
          <w:p w14:paraId="0B6CD6E0">
            <w:pPr>
              <w:keepNext w:val="0"/>
              <w:keepLines w:val="0"/>
              <w:pageBreakBefore w:val="0"/>
              <w:widowControl/>
              <w:kinsoku/>
              <w:wordWrap/>
              <w:overflowPunct/>
              <w:topLinePunct w:val="0"/>
              <w:autoSpaceDE/>
              <w:autoSpaceDN/>
              <w:bidi w:val="0"/>
              <w:adjustRightInd/>
              <w:snapToGrid/>
              <w:spacing w:line="360" w:lineRule="auto"/>
              <w:ind w:left="900" w:hanging="787" w:hangingChars="375"/>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33.1</w:t>
            </w:r>
          </w:p>
        </w:tc>
        <w:tc>
          <w:tcPr>
            <w:tcW w:w="8667" w:type="dxa"/>
            <w:tcBorders>
              <w:right w:val="single" w:color="000000" w:sz="10" w:space="0"/>
            </w:tcBorders>
            <w:vAlign w:val="center"/>
          </w:tcPr>
          <w:p w14:paraId="5FE34F63">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本项目是否属于信用担保试点范围： </w:t>
            </w:r>
            <w:r>
              <w:rPr>
                <w:rFonts w:hint="eastAsia" w:ascii="宋体" w:hAnsi="宋体" w:eastAsia="宋体" w:cs="宋体"/>
                <w:bCs/>
                <w:color w:val="000000"/>
                <w:sz w:val="21"/>
                <w:szCs w:val="21"/>
                <w:lang w:val="en-US" w:eastAsia="zh-CN"/>
              </w:rPr>
              <w:t>是</w:t>
            </w:r>
          </w:p>
        </w:tc>
      </w:tr>
      <w:tr w14:paraId="736F3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32" w:type="dxa"/>
            <w:tcBorders>
              <w:left w:val="single" w:color="000000" w:sz="10" w:space="0"/>
            </w:tcBorders>
            <w:vAlign w:val="center"/>
          </w:tcPr>
          <w:p w14:paraId="72EA730C">
            <w:pPr>
              <w:keepNext w:val="0"/>
              <w:keepLines w:val="0"/>
              <w:pageBreakBefore w:val="0"/>
              <w:widowControl/>
              <w:kinsoku/>
              <w:wordWrap/>
              <w:overflowPunct/>
              <w:topLinePunct w:val="0"/>
              <w:autoSpaceDE/>
              <w:autoSpaceDN/>
              <w:bidi w:val="0"/>
              <w:adjustRightInd/>
              <w:snapToGrid/>
              <w:spacing w:line="360" w:lineRule="auto"/>
              <w:ind w:left="900" w:hanging="787" w:hangingChars="375"/>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33.2</w:t>
            </w:r>
          </w:p>
        </w:tc>
        <w:tc>
          <w:tcPr>
            <w:tcW w:w="8667" w:type="dxa"/>
            <w:tcBorders>
              <w:right w:val="single" w:color="000000" w:sz="10" w:space="0"/>
            </w:tcBorders>
            <w:vAlign w:val="center"/>
          </w:tcPr>
          <w:p w14:paraId="307E85F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中小企业在融资、投标保证、履约保证等方面有需求的，可查询当地政府采购管理部门相关政策，通过专业化的担保途径解决。</w:t>
            </w:r>
          </w:p>
        </w:tc>
      </w:tr>
      <w:tr w14:paraId="2D438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32" w:type="dxa"/>
            <w:tcBorders>
              <w:left w:val="single" w:color="000000" w:sz="10" w:space="0"/>
            </w:tcBorders>
            <w:vAlign w:val="center"/>
          </w:tcPr>
          <w:p w14:paraId="065AA553">
            <w:pPr>
              <w:keepNext w:val="0"/>
              <w:keepLines w:val="0"/>
              <w:pageBreakBefore w:val="0"/>
              <w:widowControl/>
              <w:kinsoku/>
              <w:wordWrap/>
              <w:overflowPunct/>
              <w:topLinePunct w:val="0"/>
              <w:autoSpaceDE/>
              <w:autoSpaceDN/>
              <w:bidi w:val="0"/>
              <w:adjustRightInd/>
              <w:snapToGrid/>
              <w:spacing w:line="360" w:lineRule="auto"/>
              <w:ind w:left="900" w:hanging="787" w:hangingChars="375"/>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34.3</w:t>
            </w:r>
          </w:p>
        </w:tc>
        <w:tc>
          <w:tcPr>
            <w:tcW w:w="8667" w:type="dxa"/>
            <w:tcBorders>
              <w:right w:val="single" w:color="000000" w:sz="10" w:space="0"/>
            </w:tcBorders>
            <w:vAlign w:val="center"/>
          </w:tcPr>
          <w:p w14:paraId="2C0A7E60">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监管部门：喀什地区财政局政府采购办公室</w:t>
            </w:r>
          </w:p>
          <w:p w14:paraId="464EDD51">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监督电话：0998-2597200</w:t>
            </w:r>
          </w:p>
        </w:tc>
      </w:tr>
      <w:tr w14:paraId="4BC8B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32" w:type="dxa"/>
            <w:tcBorders>
              <w:left w:val="single" w:color="000000" w:sz="10" w:space="0"/>
            </w:tcBorders>
            <w:vAlign w:val="center"/>
          </w:tcPr>
          <w:p w14:paraId="1777A3CD">
            <w:pPr>
              <w:keepNext w:val="0"/>
              <w:keepLines w:val="0"/>
              <w:pageBreakBefore w:val="0"/>
              <w:widowControl/>
              <w:kinsoku/>
              <w:wordWrap/>
              <w:overflowPunct/>
              <w:topLinePunct w:val="0"/>
              <w:autoSpaceDE/>
              <w:autoSpaceDN/>
              <w:bidi w:val="0"/>
              <w:adjustRightInd/>
              <w:snapToGrid/>
              <w:spacing w:line="360" w:lineRule="auto"/>
              <w:ind w:left="900" w:hanging="787" w:hangingChars="375"/>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36.3</w:t>
            </w:r>
          </w:p>
        </w:tc>
        <w:tc>
          <w:tcPr>
            <w:tcW w:w="8667" w:type="dxa"/>
            <w:tcBorders>
              <w:right w:val="single" w:color="000000" w:sz="10" w:space="0"/>
            </w:tcBorders>
            <w:vAlign w:val="center"/>
          </w:tcPr>
          <w:p w14:paraId="3D1556D8">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（1）质疑函及必要的证明材料应通过以下方式之一递交至采购代理机构：</w:t>
            </w:r>
          </w:p>
          <w:p w14:paraId="4F3E139B">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1）当面送达原件；</w:t>
            </w:r>
          </w:p>
          <w:p w14:paraId="51F0AD8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2）信函邮寄、快递原件，采用此方式时，采购代理机构不受理逾期送达的质疑，投标人自行承担邮件误投、逾期或丢失的风险和责任；</w:t>
            </w:r>
          </w:p>
          <w:p w14:paraId="7CC1730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3）电子邮件将原件的扫描版发送至下列指定电子邮箱，采用此方式提出质疑的，投标人应在电子邮件发出后立即电话告知采购代理机构；</w:t>
            </w:r>
          </w:p>
          <w:p w14:paraId="06A4B613">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（2）采购代理机构接收质疑函的联系方式如下：</w:t>
            </w:r>
          </w:p>
          <w:p w14:paraId="4A313D42">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联系人：</w:t>
            </w:r>
            <w:r>
              <w:rPr>
                <w:rFonts w:hint="eastAsia" w:ascii="宋体" w:hAnsi="宋体" w:eastAsia="宋体" w:cs="宋体"/>
                <w:bCs/>
                <w:color w:val="000000"/>
                <w:sz w:val="21"/>
                <w:szCs w:val="21"/>
                <w:lang w:val="en-US" w:eastAsia="zh-CN"/>
              </w:rPr>
              <w:t>张俊</w:t>
            </w:r>
          </w:p>
          <w:p w14:paraId="43BF4D87">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rPr>
              <w:t>电话：</w:t>
            </w:r>
            <w:r>
              <w:rPr>
                <w:rFonts w:hint="eastAsia" w:ascii="宋体" w:hAnsi="宋体" w:eastAsia="宋体" w:cs="宋体"/>
                <w:bCs/>
                <w:color w:val="000000"/>
                <w:sz w:val="21"/>
                <w:szCs w:val="21"/>
                <w:lang w:val="en-US" w:eastAsia="zh-CN"/>
              </w:rPr>
              <w:t>15569403261</w:t>
            </w:r>
          </w:p>
          <w:p w14:paraId="31A2E718">
            <w:pPr>
              <w:keepNext w:val="0"/>
              <w:keepLines w:val="0"/>
              <w:pageBreakBefore w:val="0"/>
              <w:widowControl/>
              <w:kinsoku/>
              <w:wordWrap/>
              <w:overflowPunct/>
              <w:topLinePunct w:val="0"/>
              <w:autoSpaceDE/>
              <w:autoSpaceDN/>
              <w:bidi w:val="0"/>
              <w:adjustRightInd/>
              <w:snapToGrid/>
              <w:spacing w:line="360" w:lineRule="auto"/>
              <w:ind w:left="900" w:hanging="787" w:hangingChars="375"/>
              <w:jc w:val="both"/>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rPr>
              <w:t>邮箱：</w:t>
            </w:r>
            <w:r>
              <w:rPr>
                <w:rFonts w:hint="eastAsia" w:ascii="宋体" w:hAnsi="宋体" w:eastAsia="宋体" w:cs="宋体"/>
                <w:bCs/>
                <w:color w:val="000000"/>
                <w:sz w:val="21"/>
                <w:szCs w:val="21"/>
                <w:lang w:val="en-US" w:eastAsia="zh-CN"/>
              </w:rPr>
              <w:t>401808146@qq.com</w:t>
            </w:r>
          </w:p>
        </w:tc>
      </w:tr>
      <w:tr w14:paraId="0D60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799" w:type="dxa"/>
            <w:gridSpan w:val="2"/>
            <w:tcBorders>
              <w:left w:val="single" w:color="000000" w:sz="10" w:space="0"/>
              <w:bottom w:val="single" w:color="000000" w:sz="10" w:space="0"/>
              <w:right w:val="single" w:color="000000" w:sz="10" w:space="0"/>
            </w:tcBorders>
            <w:vAlign w:val="top"/>
          </w:tcPr>
          <w:p w14:paraId="4639480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spacing w:val="11"/>
                <w:sz w:val="21"/>
                <w:szCs w:val="21"/>
              </w:rPr>
            </w:pPr>
            <w:r>
              <w:rPr>
                <w:rFonts w:hint="eastAsia" w:ascii="宋体" w:hAnsi="宋体" w:eastAsia="宋体" w:cs="宋体"/>
                <w:bCs/>
                <w:color w:val="000000"/>
                <w:sz w:val="21"/>
                <w:szCs w:val="21"/>
              </w:rPr>
              <w:t>适用于本投标人须知的额外增加的变动：</w:t>
            </w:r>
          </w:p>
        </w:tc>
      </w:tr>
      <w:tr w14:paraId="101B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132" w:type="dxa"/>
            <w:tcBorders>
              <w:left w:val="single" w:color="000000" w:sz="10" w:space="0"/>
              <w:bottom w:val="single" w:color="000000" w:sz="10" w:space="0"/>
            </w:tcBorders>
            <w:vAlign w:val="center"/>
          </w:tcPr>
          <w:p w14:paraId="28755C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交货时间及地点</w:t>
            </w:r>
          </w:p>
        </w:tc>
        <w:tc>
          <w:tcPr>
            <w:tcW w:w="8667" w:type="dxa"/>
            <w:tcBorders>
              <w:bottom w:val="single" w:color="000000" w:sz="10" w:space="0"/>
              <w:right w:val="single" w:color="000000" w:sz="10" w:space="0"/>
            </w:tcBorders>
            <w:vAlign w:val="center"/>
          </w:tcPr>
          <w:p w14:paraId="5BA064C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spacing w:val="11"/>
                <w:sz w:val="21"/>
                <w:szCs w:val="21"/>
                <w:lang w:val="en-US" w:eastAsia="zh-CN"/>
              </w:rPr>
            </w:pPr>
            <w:r>
              <w:rPr>
                <w:rFonts w:hint="default" w:ascii="宋体" w:hAnsi="宋体" w:eastAsia="宋体" w:cs="宋体"/>
                <w:spacing w:val="11"/>
                <w:sz w:val="21"/>
                <w:szCs w:val="21"/>
                <w:lang w:val="en-US" w:eastAsia="zh-CN"/>
              </w:rPr>
              <w:t>本项目为按需按时供应服务项目，投标单位应按照采购人的采购数量，做到分批分次送货送达到指定地点，最终采购数量以实际送货到货量为准。</w:t>
            </w:r>
          </w:p>
        </w:tc>
      </w:tr>
      <w:tr w14:paraId="2D33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1132" w:type="dxa"/>
            <w:tcBorders>
              <w:left w:val="single" w:color="000000" w:sz="10" w:space="0"/>
              <w:bottom w:val="single" w:color="000000" w:sz="10" w:space="0"/>
            </w:tcBorders>
            <w:vAlign w:val="center"/>
          </w:tcPr>
          <w:p w14:paraId="1A5D84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付款方式</w:t>
            </w:r>
          </w:p>
        </w:tc>
        <w:tc>
          <w:tcPr>
            <w:tcW w:w="8667" w:type="dxa"/>
            <w:tcBorders>
              <w:bottom w:val="single" w:color="000000" w:sz="10" w:space="0"/>
              <w:right w:val="single" w:color="000000" w:sz="10" w:space="0"/>
            </w:tcBorders>
            <w:vAlign w:val="top"/>
          </w:tcPr>
          <w:p w14:paraId="340C32A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pacing w:val="11"/>
                <w:sz w:val="21"/>
                <w:szCs w:val="21"/>
              </w:rPr>
            </w:pPr>
            <w:r>
              <w:rPr>
                <w:rFonts w:hint="default" w:ascii="宋体" w:hAnsi="宋体" w:eastAsia="宋体" w:cs="宋体"/>
                <w:spacing w:val="11"/>
                <w:sz w:val="21"/>
                <w:szCs w:val="21"/>
              </w:rPr>
              <w:t>根据采购人每季度提供的采购清单所提供的货物用量结算。（供应商须向采购人提供供货清单和开具配送货款的正规发票，再由甲方按照发票金额通过对公账户的方式转入乙方账户）</w:t>
            </w:r>
          </w:p>
        </w:tc>
      </w:tr>
      <w:tr w14:paraId="310BD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1132" w:type="dxa"/>
            <w:tcBorders>
              <w:left w:val="single" w:color="000000" w:sz="10" w:space="0"/>
              <w:bottom w:val="single" w:color="000000" w:sz="10" w:space="0"/>
            </w:tcBorders>
            <w:vAlign w:val="center"/>
          </w:tcPr>
          <w:p w14:paraId="231D00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合同履约期限</w:t>
            </w:r>
          </w:p>
        </w:tc>
        <w:tc>
          <w:tcPr>
            <w:tcW w:w="8667" w:type="dxa"/>
            <w:tcBorders>
              <w:bottom w:val="single" w:color="000000" w:sz="10" w:space="0"/>
              <w:right w:val="single" w:color="000000" w:sz="10" w:space="0"/>
            </w:tcBorders>
            <w:vAlign w:val="top"/>
          </w:tcPr>
          <w:p w14:paraId="00C5FBD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pacing w:val="11"/>
                <w:sz w:val="21"/>
                <w:szCs w:val="21"/>
              </w:rPr>
            </w:pPr>
            <w:r>
              <w:rPr>
                <w:rFonts w:hint="default" w:ascii="宋体" w:hAnsi="宋体" w:eastAsia="宋体" w:cs="宋体"/>
                <w:spacing w:val="11"/>
                <w:sz w:val="21"/>
                <w:szCs w:val="21"/>
              </w:rPr>
              <w:t>合同期限三年，一年一签，考核合格签订下一年度合同。如考核不合格，后续不再签订合同，造成甲方损失的由乙方承担。</w:t>
            </w:r>
          </w:p>
        </w:tc>
      </w:tr>
      <w:tr w14:paraId="606B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1132" w:type="dxa"/>
            <w:tcBorders>
              <w:left w:val="single" w:color="000000" w:sz="10" w:space="0"/>
              <w:bottom w:val="single" w:color="000000" w:sz="10" w:space="0"/>
            </w:tcBorders>
            <w:vAlign w:val="center"/>
          </w:tcPr>
          <w:p w14:paraId="33AA47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样品</w:t>
            </w:r>
          </w:p>
        </w:tc>
        <w:tc>
          <w:tcPr>
            <w:tcW w:w="8667" w:type="dxa"/>
            <w:tcBorders>
              <w:bottom w:val="single" w:color="000000" w:sz="10" w:space="0"/>
              <w:right w:val="single" w:color="000000" w:sz="10" w:space="0"/>
            </w:tcBorders>
            <w:vAlign w:val="top"/>
          </w:tcPr>
          <w:p w14:paraId="236BEF6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pacing w:val="11"/>
                <w:sz w:val="21"/>
                <w:szCs w:val="21"/>
              </w:rPr>
            </w:pPr>
            <w:r>
              <w:rPr>
                <w:rFonts w:hint="default" w:ascii="宋体" w:hAnsi="宋体" w:eastAsia="宋体" w:cs="宋体"/>
                <w:spacing w:val="11"/>
                <w:sz w:val="21"/>
                <w:szCs w:val="21"/>
              </w:rPr>
              <w:t>投标样品是投标文件的组成部分</w:t>
            </w:r>
            <w:r>
              <w:rPr>
                <w:rFonts w:hint="eastAsia" w:ascii="宋体" w:hAnsi="宋体" w:eastAsia="宋体" w:cs="宋体"/>
                <w:spacing w:val="11"/>
                <w:sz w:val="21"/>
                <w:szCs w:val="21"/>
                <w:lang w:eastAsia="zh-CN"/>
              </w:rPr>
              <w:t>，</w:t>
            </w:r>
            <w:r>
              <w:rPr>
                <w:rFonts w:hint="default" w:ascii="宋体" w:hAnsi="宋体" w:eastAsia="宋体" w:cs="宋体"/>
                <w:spacing w:val="11"/>
                <w:sz w:val="21"/>
                <w:szCs w:val="21"/>
              </w:rPr>
              <w:t>投标前，投标人应按招标文件规定准备投标样品。</w:t>
            </w:r>
          </w:p>
          <w:p w14:paraId="779FCEC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lang w:val="en-US" w:eastAsia="zh-CN"/>
              </w:rPr>
            </w:pPr>
            <w:r>
              <w:rPr>
                <w:rFonts w:hint="default" w:ascii="宋体" w:hAnsi="宋体" w:eastAsia="宋体" w:cs="宋体"/>
                <w:spacing w:val="11"/>
                <w:sz w:val="21"/>
                <w:szCs w:val="21"/>
              </w:rPr>
              <w:t>样品递交截止时间及地点</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lang w:val="en-US" w:eastAsia="zh-CN"/>
              </w:rPr>
              <w:t>2025年7月23日11时00分（北京时间）</w:t>
            </w:r>
          </w:p>
          <w:p w14:paraId="40CF882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地点：喀什市托克扎克路103号福源汇居小区1栋3单元301室</w:t>
            </w:r>
          </w:p>
          <w:p w14:paraId="70CE54C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lang w:val="en-US" w:eastAsia="zh-CN"/>
              </w:rPr>
            </w:pPr>
            <w:r>
              <w:rPr>
                <w:rFonts w:hint="default" w:ascii="宋体" w:hAnsi="宋体" w:eastAsia="宋体" w:cs="宋体"/>
                <w:spacing w:val="11"/>
                <w:sz w:val="21"/>
                <w:szCs w:val="21"/>
                <w:lang w:val="en-US" w:eastAsia="zh-CN"/>
              </w:rPr>
              <w:t>样品包装及密封</w:t>
            </w:r>
            <w:r>
              <w:rPr>
                <w:rFonts w:hint="eastAsia" w:ascii="宋体" w:hAnsi="宋体" w:eastAsia="宋体" w:cs="宋体"/>
                <w:spacing w:val="11"/>
                <w:sz w:val="21"/>
                <w:szCs w:val="21"/>
                <w:lang w:val="en-US" w:eastAsia="zh-CN"/>
              </w:rPr>
              <w:t>：投标人需按合同包（标段）将该合同包的所有样品打包在一个包装箱内，箱外注明投标单位名称及合同包号（标段）并加盖公章后密封。（封装时切记注意防腐、防潮、防变质保护措施）</w:t>
            </w:r>
          </w:p>
          <w:p w14:paraId="7D1A941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包装：投标人投标时需提供对应标项采购清单要求的样品产品（其中金箔、银箔、西红花按原厂最小包装规格提供、蜂蜜按招标文件要求规格提供，其余样产品至少各提供一份200g样品），投标时在每种样品外包装上加贴标签，注明“品名、规格、产地、生产日期、有效期、生产企业”，所提供样品应与《货物说明一览表》中所表述的一致（如不一致的，交货时一律以样品为准进行交货）</w:t>
            </w:r>
          </w:p>
          <w:p w14:paraId="694EA2A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lang w:eastAsia="zh-CN"/>
              </w:rPr>
            </w:pPr>
            <w:r>
              <w:rPr>
                <w:rFonts w:hint="eastAsia" w:ascii="宋体" w:hAnsi="宋体" w:eastAsia="宋体" w:cs="宋体"/>
                <w:spacing w:val="11"/>
                <w:sz w:val="21"/>
                <w:szCs w:val="21"/>
                <w:lang w:val="en-US" w:eastAsia="zh-CN"/>
              </w:rPr>
              <w:t>注：1.</w:t>
            </w:r>
            <w:r>
              <w:rPr>
                <w:rFonts w:hint="eastAsia" w:ascii="宋体" w:hAnsi="宋体" w:eastAsia="宋体" w:cs="宋体"/>
                <w:spacing w:val="11"/>
                <w:sz w:val="21"/>
                <w:szCs w:val="21"/>
                <w:lang w:eastAsia="zh-CN"/>
              </w:rPr>
              <w:t>样品的制作、运输等相关费用由样品提供人承担。</w:t>
            </w:r>
          </w:p>
          <w:p w14:paraId="06FE823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2.中标单位的样品开标结束不归还，作为后期验收的标准。</w:t>
            </w:r>
          </w:p>
        </w:tc>
      </w:tr>
      <w:tr w14:paraId="2DFC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32" w:type="dxa"/>
            <w:tcBorders>
              <w:left w:val="single" w:color="000000" w:sz="10" w:space="0"/>
            </w:tcBorders>
            <w:vAlign w:val="top"/>
          </w:tcPr>
          <w:p w14:paraId="1F8BA1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纸质版投标文件要求</w:t>
            </w:r>
          </w:p>
        </w:tc>
        <w:tc>
          <w:tcPr>
            <w:tcW w:w="8667" w:type="dxa"/>
            <w:tcBorders>
              <w:right w:val="single" w:color="000000" w:sz="10" w:space="0"/>
            </w:tcBorders>
            <w:vAlign w:val="top"/>
          </w:tcPr>
          <w:p w14:paraId="62D6392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所有投标供应商应在中标公告公示期结束5个工作日内将上传的投标文件完整（含电子签章）打印</w:t>
            </w:r>
            <w:r>
              <w:rPr>
                <w:rFonts w:hint="eastAsia" w:ascii="宋体" w:hAnsi="宋体" w:eastAsia="宋体" w:cs="宋体"/>
                <w:spacing w:val="11"/>
                <w:sz w:val="21"/>
                <w:szCs w:val="21"/>
                <w:lang w:val="en-US" w:eastAsia="zh-CN"/>
              </w:rPr>
              <w:t>两</w:t>
            </w:r>
            <w:r>
              <w:rPr>
                <w:rFonts w:hint="eastAsia" w:ascii="宋体" w:hAnsi="宋体" w:eastAsia="宋体" w:cs="宋体"/>
                <w:spacing w:val="11"/>
                <w:sz w:val="21"/>
                <w:szCs w:val="21"/>
              </w:rPr>
              <w:t>份提交给代理机构备案</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投标文件应包括“开标一览表及资格证明文件”和“商务及技术文件”两部分，两部分合成一册。纸质投标文件采用双面打印、不可拆装的胶订方式装订。</w:t>
            </w:r>
            <w:bookmarkStart w:id="532" w:name="_GoBack"/>
            <w:bookmarkEnd w:id="532"/>
          </w:p>
        </w:tc>
      </w:tr>
    </w:tbl>
    <w:p w14:paraId="53E879A0">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19A52143">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34870A07">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497EBD97">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6B890065">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4F7E503F">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79A1352E">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04D27BA4">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3D742151">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7329D761">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6954DBA6">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1B6877B8">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1EDA3D4F">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75B09FBC">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1128AFE5">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454262D4">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70E96FD2">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12E542E8">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0600E48F">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30"/>
          <w:szCs w:val="30"/>
          <w:lang w:val="en-US" w:eastAsia="zh-CN" w:bidi="ar-SA"/>
        </w:rPr>
      </w:pPr>
    </w:p>
    <w:p w14:paraId="11EDD2CF">
      <w:pPr>
        <w:numPr>
          <w:ilvl w:val="0"/>
          <w:numId w:val="0"/>
        </w:numPr>
        <w:kinsoku w:val="0"/>
        <w:autoSpaceDE w:val="0"/>
        <w:autoSpaceDN w:val="0"/>
        <w:adjustRightInd w:val="0"/>
        <w:snapToGrid w:val="0"/>
        <w:spacing w:line="240" w:lineRule="auto"/>
        <w:jc w:val="center"/>
        <w:textAlignment w:val="baseline"/>
        <w:outlineLvl w:val="1"/>
        <w:rPr>
          <w:rFonts w:hint="eastAsia" w:ascii="宋体" w:hAnsi="宋体" w:cs="宋体"/>
          <w:kern w:val="2"/>
          <w:sz w:val="30"/>
          <w:szCs w:val="30"/>
          <w:lang w:val="en-US" w:eastAsia="zh-CN" w:bidi="ar-SA"/>
        </w:rPr>
      </w:pPr>
      <w:bookmarkStart w:id="470" w:name="_Toc27179"/>
      <w:r>
        <w:rPr>
          <w:rFonts w:hint="eastAsia" w:ascii="宋体" w:hAnsi="宋体" w:cs="宋体"/>
          <w:kern w:val="2"/>
          <w:sz w:val="30"/>
          <w:szCs w:val="30"/>
          <w:lang w:val="en-US" w:eastAsia="zh-CN" w:bidi="ar-SA"/>
        </w:rPr>
        <w:t>第五章 采购需求</w:t>
      </w:r>
      <w:bookmarkEnd w:id="470"/>
    </w:p>
    <w:p w14:paraId="027ACA54">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8"/>
          <w:szCs w:val="28"/>
          <w:lang w:val="en-US" w:eastAsia="zh-CN" w:bidi="ar-SA"/>
        </w:rPr>
      </w:pPr>
    </w:p>
    <w:p w14:paraId="38BBA0B7">
      <w:pPr>
        <w:numPr>
          <w:ilvl w:val="0"/>
          <w:numId w:val="15"/>
        </w:numPr>
        <w:kinsoku w:val="0"/>
        <w:autoSpaceDE w:val="0"/>
        <w:autoSpaceDN w:val="0"/>
        <w:adjustRightInd w:val="0"/>
        <w:snapToGrid w:val="0"/>
        <w:spacing w:line="240" w:lineRule="auto"/>
        <w:ind w:leftChars="-200"/>
        <w:jc w:val="both"/>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采购标的</w:t>
      </w:r>
    </w:p>
    <w:p w14:paraId="268F7335">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包1</w:t>
      </w:r>
    </w:p>
    <w:tbl>
      <w:tblPr>
        <w:tblStyle w:val="27"/>
        <w:tblW w:w="10600"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000"/>
        <w:gridCol w:w="984"/>
        <w:gridCol w:w="945"/>
        <w:gridCol w:w="5227"/>
        <w:gridCol w:w="1811"/>
      </w:tblGrid>
      <w:tr w14:paraId="2DD4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5244C02">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1000" w:type="dxa"/>
            <w:vAlign w:val="center"/>
          </w:tcPr>
          <w:p w14:paraId="1CE3E89E">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cs="宋体"/>
                <w:kern w:val="2"/>
                <w:sz w:val="28"/>
                <w:szCs w:val="28"/>
                <w:lang w:val="en-US" w:eastAsia="zh-CN" w:bidi="ar-SA"/>
              </w:rPr>
              <w:t>★</w:t>
            </w:r>
            <w:r>
              <w:rPr>
                <w:rFonts w:hint="eastAsia" w:ascii="宋体" w:hAnsi="宋体" w:eastAsia="宋体" w:cs="宋体"/>
                <w:i w:val="0"/>
                <w:iCs w:val="0"/>
                <w:snapToGrid w:val="0"/>
                <w:color w:val="000000"/>
                <w:kern w:val="0"/>
                <w:sz w:val="21"/>
                <w:szCs w:val="21"/>
                <w:u w:val="none"/>
                <w:lang w:val="en-US" w:eastAsia="zh-CN" w:bidi="ar"/>
              </w:rPr>
              <w:t>药名</w:t>
            </w:r>
          </w:p>
        </w:tc>
        <w:tc>
          <w:tcPr>
            <w:tcW w:w="984" w:type="dxa"/>
            <w:vAlign w:val="center"/>
          </w:tcPr>
          <w:p w14:paraId="26CEE5AB">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cs="宋体"/>
                <w:kern w:val="2"/>
                <w:sz w:val="28"/>
                <w:szCs w:val="28"/>
                <w:lang w:val="en-US" w:eastAsia="zh-CN" w:bidi="ar-SA"/>
              </w:rPr>
              <w:t>★</w:t>
            </w:r>
            <w:r>
              <w:rPr>
                <w:rFonts w:hint="eastAsia" w:ascii="宋体" w:hAnsi="宋体" w:eastAsia="宋体" w:cs="宋体"/>
                <w:b/>
                <w:bCs/>
                <w:i w:val="0"/>
                <w:iCs w:val="0"/>
                <w:snapToGrid w:val="0"/>
                <w:color w:val="000000"/>
                <w:kern w:val="0"/>
                <w:sz w:val="21"/>
                <w:szCs w:val="21"/>
                <w:u w:val="none"/>
                <w:lang w:val="en-US" w:eastAsia="zh-CN" w:bidi="ar"/>
              </w:rPr>
              <w:t>规格/单位</w:t>
            </w:r>
          </w:p>
        </w:tc>
        <w:tc>
          <w:tcPr>
            <w:tcW w:w="945" w:type="dxa"/>
            <w:vAlign w:val="center"/>
          </w:tcPr>
          <w:p w14:paraId="72250B96">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b/>
                <w:bCs/>
                <w:i w:val="0"/>
                <w:iCs w:val="0"/>
                <w:snapToGrid w:val="0"/>
                <w:color w:val="000000"/>
                <w:kern w:val="0"/>
                <w:sz w:val="21"/>
                <w:szCs w:val="21"/>
                <w:u w:val="none"/>
                <w:lang w:val="en-US" w:eastAsia="zh-CN" w:bidi="ar"/>
              </w:rPr>
              <w:t>年使用量</w:t>
            </w:r>
            <w:r>
              <w:rPr>
                <w:rFonts w:hint="eastAsia" w:ascii="宋体" w:hAnsi="宋体" w:eastAsia="宋体" w:cs="宋体"/>
                <w:b/>
                <w:bCs/>
                <w:i w:val="0"/>
                <w:iCs w:val="0"/>
                <w:snapToGrid w:val="0"/>
                <w:color w:val="000000"/>
                <w:kern w:val="0"/>
                <w:sz w:val="21"/>
                <w:szCs w:val="21"/>
                <w:u w:val="none"/>
                <w:lang w:val="en-US" w:eastAsia="zh-CN" w:bidi="ar"/>
              </w:rPr>
              <w:br w:type="textWrapping"/>
            </w:r>
            <w:r>
              <w:rPr>
                <w:rFonts w:hint="eastAsia" w:ascii="宋体" w:hAnsi="宋体" w:eastAsia="宋体" w:cs="宋体"/>
                <w:b/>
                <w:bCs/>
                <w:i w:val="0"/>
                <w:iCs w:val="0"/>
                <w:snapToGrid w:val="0"/>
                <w:color w:val="000000"/>
                <w:kern w:val="0"/>
                <w:sz w:val="21"/>
                <w:szCs w:val="21"/>
                <w:u w:val="none"/>
                <w:lang w:val="en-US" w:eastAsia="zh-CN" w:bidi="ar"/>
              </w:rPr>
              <w:t>(kg)</w:t>
            </w:r>
          </w:p>
        </w:tc>
        <w:tc>
          <w:tcPr>
            <w:tcW w:w="5227" w:type="dxa"/>
            <w:vAlign w:val="center"/>
          </w:tcPr>
          <w:p w14:paraId="00A1F8C2">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b/>
                <w:bCs/>
                <w:i w:val="0"/>
                <w:iCs w:val="0"/>
                <w:snapToGrid w:val="0"/>
                <w:color w:val="000000"/>
                <w:kern w:val="0"/>
                <w:sz w:val="21"/>
                <w:szCs w:val="21"/>
                <w:u w:val="none"/>
                <w:lang w:val="en-US" w:eastAsia="zh-CN" w:bidi="ar"/>
              </w:rPr>
              <w:t>性能说明</w:t>
            </w:r>
          </w:p>
        </w:tc>
        <w:tc>
          <w:tcPr>
            <w:tcW w:w="1811" w:type="dxa"/>
            <w:vAlign w:val="center"/>
          </w:tcPr>
          <w:p w14:paraId="599CBB1D">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b/>
                <w:bCs/>
                <w:i w:val="0"/>
                <w:iCs w:val="0"/>
                <w:snapToGrid w:val="0"/>
                <w:color w:val="000000"/>
                <w:kern w:val="0"/>
                <w:sz w:val="21"/>
                <w:szCs w:val="21"/>
                <w:u w:val="none"/>
                <w:lang w:val="en-US" w:eastAsia="zh-CN" w:bidi="ar"/>
              </w:rPr>
              <w:t>★执行标准</w:t>
            </w:r>
          </w:p>
        </w:tc>
      </w:tr>
      <w:tr w14:paraId="703A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F13B561">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w:t>
            </w:r>
          </w:p>
        </w:tc>
        <w:tc>
          <w:tcPr>
            <w:tcW w:w="1000" w:type="dxa"/>
            <w:vAlign w:val="center"/>
          </w:tcPr>
          <w:p w14:paraId="62AFDD1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骆驼篷子</w:t>
            </w:r>
          </w:p>
        </w:tc>
        <w:tc>
          <w:tcPr>
            <w:tcW w:w="984" w:type="dxa"/>
            <w:vAlign w:val="center"/>
          </w:tcPr>
          <w:p w14:paraId="1699EC9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24194F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400</w:t>
            </w:r>
          </w:p>
        </w:tc>
        <w:tc>
          <w:tcPr>
            <w:tcW w:w="5227" w:type="dxa"/>
            <w:vAlign w:val="center"/>
          </w:tcPr>
          <w:p w14:paraId="0B26F806">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本品呈圆锥状三角形四面体，长2～4mm，中部直径1～2mm。表面棕色至褐色，粗糙。顶端较尖，可见脐点，下端钝圆，置放大镜下可见表面皱缩呈蜂窝状。用水浸泡后膨胀，表面平滑。气微，味苦。</w:t>
            </w:r>
          </w:p>
        </w:tc>
        <w:tc>
          <w:tcPr>
            <w:tcW w:w="1811" w:type="dxa"/>
            <w:vAlign w:val="center"/>
          </w:tcPr>
          <w:p w14:paraId="0E38D07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DF0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64D300A">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w:t>
            </w:r>
          </w:p>
        </w:tc>
        <w:tc>
          <w:tcPr>
            <w:tcW w:w="1000" w:type="dxa"/>
            <w:vAlign w:val="center"/>
          </w:tcPr>
          <w:p w14:paraId="61BC270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黑胡椒</w:t>
            </w:r>
          </w:p>
        </w:tc>
        <w:tc>
          <w:tcPr>
            <w:tcW w:w="984" w:type="dxa"/>
            <w:vAlign w:val="center"/>
          </w:tcPr>
          <w:p w14:paraId="2F8EFEA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2487DF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750</w:t>
            </w:r>
          </w:p>
        </w:tc>
        <w:tc>
          <w:tcPr>
            <w:tcW w:w="5227" w:type="dxa"/>
            <w:vAlign w:val="center"/>
          </w:tcPr>
          <w:p w14:paraId="36DCEF97">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呈球形，直径3.5～5mm。表面黑褐色，具隆起网状皱纹，顶端有细小花柱残迹，基部有自果轴脱落的疤痕。质硬，外果皮可剥离，内果皮灰白色或淡黄色。断面黄白色，粉性，中有小空隙。气芳香，味辛辣。</w:t>
            </w:r>
          </w:p>
        </w:tc>
        <w:tc>
          <w:tcPr>
            <w:tcW w:w="1811" w:type="dxa"/>
            <w:vAlign w:val="center"/>
          </w:tcPr>
          <w:p w14:paraId="027F1B1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ADA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8E8FFB6">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w:t>
            </w:r>
          </w:p>
        </w:tc>
        <w:tc>
          <w:tcPr>
            <w:tcW w:w="1000" w:type="dxa"/>
            <w:vAlign w:val="center"/>
          </w:tcPr>
          <w:p w14:paraId="6AB324A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金箔</w:t>
            </w:r>
          </w:p>
        </w:tc>
        <w:tc>
          <w:tcPr>
            <w:tcW w:w="984" w:type="dxa"/>
            <w:vAlign w:val="center"/>
          </w:tcPr>
          <w:p w14:paraId="7DAD5B4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片</w:t>
            </w:r>
          </w:p>
        </w:tc>
        <w:tc>
          <w:tcPr>
            <w:tcW w:w="945" w:type="dxa"/>
            <w:vAlign w:val="center"/>
          </w:tcPr>
          <w:p w14:paraId="35C4BED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40500</w:t>
            </w:r>
          </w:p>
        </w:tc>
        <w:tc>
          <w:tcPr>
            <w:tcW w:w="5227" w:type="dxa"/>
            <w:vAlign w:val="center"/>
          </w:tcPr>
          <w:p w14:paraId="1CF48F84">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 本品为自然元素铜族矿物自然金经加工锤成的薄片，主要含自然金(Au)。将适量黄金放入多层叠好的纸层中，用木槌在上面长时间反复锤打，锤成薄片，即为金箔。【性状】本品呈正方形、长方形或不规则形薄片，大小不一。表面呈金黄色。具极强的金属光泽。不透明。体轻，较柔韧。无气味。</w:t>
            </w:r>
          </w:p>
        </w:tc>
        <w:tc>
          <w:tcPr>
            <w:tcW w:w="1811" w:type="dxa"/>
            <w:vAlign w:val="center"/>
          </w:tcPr>
          <w:p w14:paraId="1B389AE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新疆维吾尔自治区地区性民间习用药材（中药饮片）质量标准  标准号：2024YC-0009</w:t>
            </w:r>
          </w:p>
        </w:tc>
      </w:tr>
      <w:tr w14:paraId="10B2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15BD5F4">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w:t>
            </w:r>
          </w:p>
        </w:tc>
        <w:tc>
          <w:tcPr>
            <w:tcW w:w="1000" w:type="dxa"/>
            <w:vAlign w:val="center"/>
          </w:tcPr>
          <w:p w14:paraId="62C92F7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莪术</w:t>
            </w:r>
          </w:p>
        </w:tc>
        <w:tc>
          <w:tcPr>
            <w:tcW w:w="984" w:type="dxa"/>
            <w:vAlign w:val="center"/>
          </w:tcPr>
          <w:p w14:paraId="6F50670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47F0567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750</w:t>
            </w:r>
          </w:p>
        </w:tc>
        <w:tc>
          <w:tcPr>
            <w:tcW w:w="5227" w:type="dxa"/>
            <w:vAlign w:val="center"/>
          </w:tcPr>
          <w:p w14:paraId="34B50CCB">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蓬莪术  呈卵圆形、长卵形、圆锥形或长纺锤形，顶端多钝尖，基部钝圆，长2～8cm，直径1.5～4cm。表面灰黄色至灰棕色，上部环节突起，有圆形微凹的须根痕或残留的须根，有的两侧各有1列下陷的芽痕和类圆形的侧生根茎 痕，有的可见刀削痕。体重，质坚实，断面灰褐色至蓝褐色，蜡样，常附有灰棕色粉末，皮层与中柱易分离，内皮层环纹棕褐色。气微香，味微苦而辛。                   广西莪术  环节稍突起，断面黄棕色至棕色，常附有淡黄色粉末，内皮层环纹黄白色。           温莪术  断面黄棕色至棕褐色，常附有淡黄色至黄棕色粉末。气香或微香。</w:t>
            </w:r>
          </w:p>
        </w:tc>
        <w:tc>
          <w:tcPr>
            <w:tcW w:w="1811" w:type="dxa"/>
            <w:vAlign w:val="center"/>
          </w:tcPr>
          <w:p w14:paraId="1047226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14B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722A668">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w:t>
            </w:r>
          </w:p>
        </w:tc>
        <w:tc>
          <w:tcPr>
            <w:tcW w:w="1000" w:type="dxa"/>
            <w:vAlign w:val="center"/>
          </w:tcPr>
          <w:p w14:paraId="482A9DD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白胡椒</w:t>
            </w:r>
          </w:p>
        </w:tc>
        <w:tc>
          <w:tcPr>
            <w:tcW w:w="984" w:type="dxa"/>
            <w:vAlign w:val="center"/>
          </w:tcPr>
          <w:p w14:paraId="4C94E20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32DD8F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71BC0159">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  表面灰白色或淡黄白色，平滑，顶端与基部间有多数浅色线状条纹。　　</w:t>
            </w:r>
          </w:p>
        </w:tc>
        <w:tc>
          <w:tcPr>
            <w:tcW w:w="1811" w:type="dxa"/>
            <w:vAlign w:val="center"/>
          </w:tcPr>
          <w:p w14:paraId="5342697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911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DE9D4DE">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6</w:t>
            </w:r>
          </w:p>
        </w:tc>
        <w:tc>
          <w:tcPr>
            <w:tcW w:w="1000" w:type="dxa"/>
            <w:vAlign w:val="center"/>
          </w:tcPr>
          <w:p w14:paraId="4D7C444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菊苣子</w:t>
            </w:r>
          </w:p>
        </w:tc>
        <w:tc>
          <w:tcPr>
            <w:tcW w:w="984" w:type="dxa"/>
            <w:vAlign w:val="center"/>
          </w:tcPr>
          <w:p w14:paraId="06A4209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F17BF4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1600</w:t>
            </w:r>
          </w:p>
        </w:tc>
        <w:tc>
          <w:tcPr>
            <w:tcW w:w="5227" w:type="dxa"/>
            <w:vAlign w:val="center"/>
          </w:tcPr>
          <w:p w14:paraId="3E0C7BB0">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【性状】本品略呈圆锥形，略弯曲或直，长3～5mm。表面棕黄色或黄白色，部分黑棕色斑纹，具3～4条明显纵棱线。顶端平截，边缘有一圈白色或紫色鳞片状冠毛，基部平截。气微，味微苦。</w:t>
            </w:r>
          </w:p>
        </w:tc>
        <w:tc>
          <w:tcPr>
            <w:tcW w:w="1811" w:type="dxa"/>
            <w:vAlign w:val="center"/>
          </w:tcPr>
          <w:p w14:paraId="12A522A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w:t>
            </w:r>
          </w:p>
        </w:tc>
      </w:tr>
      <w:tr w14:paraId="7F79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B30CBED">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7</w:t>
            </w:r>
          </w:p>
        </w:tc>
        <w:tc>
          <w:tcPr>
            <w:tcW w:w="1000" w:type="dxa"/>
            <w:vAlign w:val="center"/>
          </w:tcPr>
          <w:p w14:paraId="735EE30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驱虫斑鸠菊</w:t>
            </w:r>
          </w:p>
        </w:tc>
        <w:tc>
          <w:tcPr>
            <w:tcW w:w="984" w:type="dxa"/>
            <w:vAlign w:val="center"/>
          </w:tcPr>
          <w:p w14:paraId="1C0A7A9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EE190A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100</w:t>
            </w:r>
          </w:p>
        </w:tc>
        <w:tc>
          <w:tcPr>
            <w:tcW w:w="5227" w:type="dxa"/>
            <w:vAlign w:val="center"/>
          </w:tcPr>
          <w:p w14:paraId="7845D156">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本品呈倒圆锥形或圆柱形，长约5mm。表面呈棕绿色或墨绿色，具10条纵向突起棱肋，用放大镜观察可见棱肋处有非腺毛，其肋间凹陷处有腺毛。顶端平截，下端稍细。气特异，味极苦。</w:t>
            </w:r>
          </w:p>
        </w:tc>
        <w:tc>
          <w:tcPr>
            <w:tcW w:w="1811" w:type="dxa"/>
            <w:vAlign w:val="center"/>
          </w:tcPr>
          <w:p w14:paraId="716DF2C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ECB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EC57AC1">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8</w:t>
            </w:r>
          </w:p>
        </w:tc>
        <w:tc>
          <w:tcPr>
            <w:tcW w:w="1000" w:type="dxa"/>
            <w:vAlign w:val="center"/>
          </w:tcPr>
          <w:p w14:paraId="7FE8905F">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乳香</w:t>
            </w:r>
          </w:p>
        </w:tc>
        <w:tc>
          <w:tcPr>
            <w:tcW w:w="984" w:type="dxa"/>
            <w:vAlign w:val="center"/>
          </w:tcPr>
          <w:p w14:paraId="4B2E29C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B00A58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80</w:t>
            </w:r>
          </w:p>
        </w:tc>
        <w:tc>
          <w:tcPr>
            <w:tcW w:w="5227" w:type="dxa"/>
            <w:vAlign w:val="center"/>
          </w:tcPr>
          <w:p w14:paraId="350D4307">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长卵形滴乳状、类圆形颗粒或粘合成大小不等的不规则块状物。大者长达2cm（乳香珠）或5cm（原乳香）。表面黄白色，半透明，被有黄白色粉末，久存则颜色加深。质脆，遇热软化。破碎面有玻璃样或蜡样光泽。具特异香气，味微苦。</w:t>
            </w:r>
          </w:p>
        </w:tc>
        <w:tc>
          <w:tcPr>
            <w:tcW w:w="1811" w:type="dxa"/>
            <w:vAlign w:val="center"/>
          </w:tcPr>
          <w:p w14:paraId="01662EF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5F7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B23527F">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9</w:t>
            </w:r>
          </w:p>
        </w:tc>
        <w:tc>
          <w:tcPr>
            <w:tcW w:w="1000" w:type="dxa"/>
            <w:vAlign w:val="center"/>
          </w:tcPr>
          <w:p w14:paraId="564EDC1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韭菜子</w:t>
            </w:r>
          </w:p>
        </w:tc>
        <w:tc>
          <w:tcPr>
            <w:tcW w:w="984" w:type="dxa"/>
            <w:vAlign w:val="center"/>
          </w:tcPr>
          <w:p w14:paraId="2874935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0F48E7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w:t>
            </w:r>
          </w:p>
        </w:tc>
        <w:tc>
          <w:tcPr>
            <w:tcW w:w="5227" w:type="dxa"/>
            <w:vAlign w:val="center"/>
          </w:tcPr>
          <w:p w14:paraId="6A30D029">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本品为百合科植物韭菜Allium tuberosum RottL.ex Spreng.的干燥成熟种子。秋季果实成熟时采收果序，晒干，搓出种子，除去杂质。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【性状】本品呈半圆形或半卵圆形，略扁，长2～4mm，宽1.5～3mm。表面黑色，一面突起，粗糙，有细密的网状皱纹，另一面微凹，皱纹不甚明显。顶端钝，基部稍尖，有点状突起的种脐。质硬。气特异，味微辛。</w:t>
            </w:r>
          </w:p>
        </w:tc>
        <w:tc>
          <w:tcPr>
            <w:tcW w:w="1811" w:type="dxa"/>
            <w:vAlign w:val="center"/>
          </w:tcPr>
          <w:p w14:paraId="2CFB2C6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 年版一部 267 页</w:t>
            </w:r>
          </w:p>
        </w:tc>
      </w:tr>
      <w:tr w14:paraId="1EC3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0844A7C">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10</w:t>
            </w:r>
          </w:p>
        </w:tc>
        <w:tc>
          <w:tcPr>
            <w:tcW w:w="1000" w:type="dxa"/>
            <w:vAlign w:val="center"/>
          </w:tcPr>
          <w:p w14:paraId="4B9414F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琥珀</w:t>
            </w:r>
          </w:p>
        </w:tc>
        <w:tc>
          <w:tcPr>
            <w:tcW w:w="984" w:type="dxa"/>
            <w:vAlign w:val="center"/>
          </w:tcPr>
          <w:p w14:paraId="6F7D6FA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03F89B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19881844">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不规则块片或粗颗粒状。表面淡黄色、黄棕色或至深棕色、血红色;光滑或凹凸不平;透明至半透明;具树脂样光泽。体较轻，质较酥脆，研之易碎。摩擦带电，可吸附纸屑、毛发等轻小物体。气微或微有松脂味，味淡，嚼之无砂砾感。</w:t>
            </w:r>
          </w:p>
        </w:tc>
        <w:tc>
          <w:tcPr>
            <w:tcW w:w="1811" w:type="dxa"/>
            <w:vAlign w:val="center"/>
          </w:tcPr>
          <w:p w14:paraId="0A89103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865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8DA1031">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11</w:t>
            </w:r>
          </w:p>
        </w:tc>
        <w:tc>
          <w:tcPr>
            <w:tcW w:w="1000" w:type="dxa"/>
            <w:vAlign w:val="center"/>
          </w:tcPr>
          <w:p w14:paraId="106272E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人参</w:t>
            </w:r>
          </w:p>
        </w:tc>
        <w:tc>
          <w:tcPr>
            <w:tcW w:w="984" w:type="dxa"/>
            <w:vAlign w:val="center"/>
          </w:tcPr>
          <w:p w14:paraId="45DBBBC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259ACD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w:t>
            </w:r>
          </w:p>
        </w:tc>
        <w:tc>
          <w:tcPr>
            <w:tcW w:w="5227" w:type="dxa"/>
            <w:vAlign w:val="center"/>
          </w:tcPr>
          <w:p w14:paraId="46301D11">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主根呈纺锤形或圆柱形，长3～15cm，直径1～ 2cm。表面灰黄色，上部或全体有疏浅断续的粗横纹及明显的纵皱，下部有支根2～3条，并着生多数细长的须根，须根上常有不明显的细小疣状突出。根茎（芦头）长1～4cm，直径 0.3～1.5cm，多拘挛而弯曲，具不定根（艼）和稀疏的凹窝状茎痕（芦碗）。质较硬，断面淡黄白色，显粉性，形成层环纹棕 黄色，皮部有黄棕色的点状树脂道及放射状裂隙。香气特异， 味微苦、甘。</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或主根多与根茎近等长或较短，呈圆柱形、菱角形或人字形，长1～6cm。表面灰黄色，具纵皱纹，上部或中下部有环纹。支根多为2～3条，须根少而细长，清晰不乱，有较明显的疣状突起。根茎细长，少数粗短，中上部具稀疏或密集而深陷的茎痕。不定根较细，多下垂。　　</w:t>
            </w:r>
          </w:p>
        </w:tc>
        <w:tc>
          <w:tcPr>
            <w:tcW w:w="1811" w:type="dxa"/>
            <w:vAlign w:val="center"/>
          </w:tcPr>
          <w:p w14:paraId="308BDE0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3E2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DF7DCB2">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12</w:t>
            </w:r>
          </w:p>
        </w:tc>
        <w:tc>
          <w:tcPr>
            <w:tcW w:w="1000" w:type="dxa"/>
            <w:vAlign w:val="center"/>
          </w:tcPr>
          <w:p w14:paraId="2158B79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硫磺</w:t>
            </w:r>
          </w:p>
        </w:tc>
        <w:tc>
          <w:tcPr>
            <w:tcW w:w="984" w:type="dxa"/>
            <w:vAlign w:val="center"/>
          </w:tcPr>
          <w:p w14:paraId="3BDD6BB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84F033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w:t>
            </w:r>
          </w:p>
        </w:tc>
        <w:tc>
          <w:tcPr>
            <w:tcW w:w="5227" w:type="dxa"/>
            <w:vAlign w:val="center"/>
          </w:tcPr>
          <w:p w14:paraId="7DEE9C0B">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本品呈不规则块状。黄色或略呈绿黄色。表面不平坦，呈脂肪光泽，常有多数小孔。用手握紧置于耳旁，可闻轻微的爆裂声。体轻，质松，易碎，断面常呈针状结晶形。有特异的臭气，味淡。</w:t>
            </w:r>
          </w:p>
        </w:tc>
        <w:tc>
          <w:tcPr>
            <w:tcW w:w="1811" w:type="dxa"/>
            <w:vAlign w:val="center"/>
          </w:tcPr>
          <w:p w14:paraId="2C4DE3F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0F0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8FE5B7F">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13</w:t>
            </w:r>
          </w:p>
        </w:tc>
        <w:tc>
          <w:tcPr>
            <w:tcW w:w="1000" w:type="dxa"/>
            <w:vAlign w:val="center"/>
          </w:tcPr>
          <w:p w14:paraId="137A2D4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花椒</w:t>
            </w:r>
          </w:p>
        </w:tc>
        <w:tc>
          <w:tcPr>
            <w:tcW w:w="984" w:type="dxa"/>
            <w:vAlign w:val="center"/>
          </w:tcPr>
          <w:p w14:paraId="3B67B8A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20B3311F">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900</w:t>
            </w:r>
          </w:p>
        </w:tc>
        <w:tc>
          <w:tcPr>
            <w:tcW w:w="5227" w:type="dxa"/>
            <w:vAlign w:val="center"/>
          </w:tcPr>
          <w:p w14:paraId="0D0E705F">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蓇葖果多单生，直径4～5mm。外表面紫红色或棕红色，散有多数疣状突起的油点，直径0.5～1mm，对光观察半透明；内表面淡黄色。香气浓，味麻辣而持久。</w:t>
            </w:r>
          </w:p>
        </w:tc>
        <w:tc>
          <w:tcPr>
            <w:tcW w:w="1811" w:type="dxa"/>
            <w:vAlign w:val="center"/>
          </w:tcPr>
          <w:p w14:paraId="39DB203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7DE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591C5B8">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14</w:t>
            </w:r>
          </w:p>
        </w:tc>
        <w:tc>
          <w:tcPr>
            <w:tcW w:w="1000" w:type="dxa"/>
            <w:vAlign w:val="center"/>
          </w:tcPr>
          <w:p w14:paraId="27CC735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菊苣</w:t>
            </w:r>
          </w:p>
        </w:tc>
        <w:tc>
          <w:tcPr>
            <w:tcW w:w="984" w:type="dxa"/>
            <w:vAlign w:val="center"/>
          </w:tcPr>
          <w:p w14:paraId="4242B1C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64FF06E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700</w:t>
            </w:r>
          </w:p>
        </w:tc>
        <w:tc>
          <w:tcPr>
            <w:tcW w:w="5227" w:type="dxa"/>
            <w:vAlign w:val="center"/>
          </w:tcPr>
          <w:p w14:paraId="1CB72970">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茎表面近光滑。茎生叶少，长圆状披针形。头状花序少数，簇生；苞片外短内长，无毛或先端被稀毛。瘦果鳞片状，冠毛短，长0.2～0.3mm。</w:t>
            </w:r>
          </w:p>
        </w:tc>
        <w:tc>
          <w:tcPr>
            <w:tcW w:w="1811" w:type="dxa"/>
            <w:vAlign w:val="center"/>
          </w:tcPr>
          <w:p w14:paraId="5197D1F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670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C902B97">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15</w:t>
            </w:r>
          </w:p>
        </w:tc>
        <w:tc>
          <w:tcPr>
            <w:tcW w:w="1000" w:type="dxa"/>
            <w:vAlign w:val="center"/>
          </w:tcPr>
          <w:p w14:paraId="2AA9070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蛤蚧</w:t>
            </w:r>
          </w:p>
        </w:tc>
        <w:tc>
          <w:tcPr>
            <w:tcW w:w="984" w:type="dxa"/>
            <w:vAlign w:val="center"/>
          </w:tcPr>
          <w:p w14:paraId="0405ED1F">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CEA2E7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31907CBF">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本品为壁虎科动物蛤蚧Gekko gecko Linnaeus的干燥体。全年均可捕捉，除去内脏，拭净，用竹片撑开，使全体扁平顺直，低温干燥。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呈扁片状，头颈部及躯干部长9～18cm，头颈部约占三分之一，腹背部宽6～11cm，尾长6～12cm。头略呈扁三角状，两眼多凹陷成窟窿，口内有细齿，生于顎的边缘，无异型大齿。吻部半圆形，吻鳞不切鼻孔，与鼻鳞相连，上鼻鳞左右各1片，上唇鳞12～14对，下唇鳞（包括颏鳞）21片。腹背部呈椭圆形，腹薄。背部呈灰黑色或银灰色，有黄白色、灰绿色或橙红色斑点散在或密集成不显著的斑纹，脊椎骨和两侧肋骨突起。四足均具5趾；趾间仅具蹼迹，足趾底有吸盘。尾细而坚实，微现骨节，与背部颜色相同，有6～7个明显的银灰色环带，有的再生尾较原生尾短，且银灰色环带不明显。全身密被圆形或多角形微有光泽的细鳞。气腥，味微咸。</w:t>
            </w:r>
          </w:p>
        </w:tc>
        <w:tc>
          <w:tcPr>
            <w:tcW w:w="1811" w:type="dxa"/>
            <w:vAlign w:val="center"/>
          </w:tcPr>
          <w:p w14:paraId="3F2CED7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9C8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9844830">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16</w:t>
            </w:r>
          </w:p>
        </w:tc>
        <w:tc>
          <w:tcPr>
            <w:tcW w:w="1000" w:type="dxa"/>
            <w:vAlign w:val="center"/>
          </w:tcPr>
          <w:p w14:paraId="0AB0310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冰片</w:t>
            </w:r>
          </w:p>
        </w:tc>
        <w:tc>
          <w:tcPr>
            <w:tcW w:w="984" w:type="dxa"/>
            <w:vAlign w:val="center"/>
          </w:tcPr>
          <w:p w14:paraId="3C857CD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B39024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w:t>
            </w:r>
          </w:p>
        </w:tc>
        <w:tc>
          <w:tcPr>
            <w:tcW w:w="5227" w:type="dxa"/>
            <w:vAlign w:val="center"/>
          </w:tcPr>
          <w:p w14:paraId="0C38A837">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【性状】本品为白色结晶性粉末或片状结晶。气清香，味辛、凉。具挥发性，点燃时有浓烟，火焰呈黄色。</w:t>
            </w:r>
          </w:p>
        </w:tc>
        <w:tc>
          <w:tcPr>
            <w:tcW w:w="1811" w:type="dxa"/>
            <w:vAlign w:val="center"/>
          </w:tcPr>
          <w:p w14:paraId="39156B5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6FF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B353D0C">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17</w:t>
            </w:r>
          </w:p>
        </w:tc>
        <w:tc>
          <w:tcPr>
            <w:tcW w:w="1000" w:type="dxa"/>
            <w:vAlign w:val="center"/>
          </w:tcPr>
          <w:p w14:paraId="0028ABA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锦灯笼</w:t>
            </w:r>
          </w:p>
        </w:tc>
        <w:tc>
          <w:tcPr>
            <w:tcW w:w="984" w:type="dxa"/>
            <w:vAlign w:val="center"/>
          </w:tcPr>
          <w:p w14:paraId="3A85884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418789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400</w:t>
            </w:r>
          </w:p>
        </w:tc>
        <w:tc>
          <w:tcPr>
            <w:tcW w:w="5227" w:type="dxa"/>
            <w:vAlign w:val="center"/>
          </w:tcPr>
          <w:p w14:paraId="0FC7C17C">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略呈灯笼状，多压扁，长3～4.5cm，宽2.5～4cm。表面橙红色或橙黄色，有5条明显的纵棱，棱间有网状的细脉纹。顶端渐尖，微5裂，基部略平截，中心凹陷有果梗。体轻，质柔韧，中空，或内有棕红色或橙红色果实。果实球形，多压扁，直径1～l.5cm，果皮皱缩，内含种子多数。气微，宿萼味苦，果实味甘、微酸。</w:t>
            </w:r>
          </w:p>
        </w:tc>
        <w:tc>
          <w:tcPr>
            <w:tcW w:w="1811" w:type="dxa"/>
            <w:vAlign w:val="center"/>
          </w:tcPr>
          <w:p w14:paraId="4D903CD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324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CAFC894">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18</w:t>
            </w:r>
          </w:p>
        </w:tc>
        <w:tc>
          <w:tcPr>
            <w:tcW w:w="1000" w:type="dxa"/>
            <w:vAlign w:val="center"/>
          </w:tcPr>
          <w:p w14:paraId="12A39B4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丁香</w:t>
            </w:r>
          </w:p>
        </w:tc>
        <w:tc>
          <w:tcPr>
            <w:tcW w:w="984" w:type="dxa"/>
            <w:vAlign w:val="center"/>
          </w:tcPr>
          <w:p w14:paraId="47637FA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442ACEF">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1500</w:t>
            </w:r>
          </w:p>
        </w:tc>
        <w:tc>
          <w:tcPr>
            <w:tcW w:w="5227" w:type="dxa"/>
            <w:vAlign w:val="center"/>
          </w:tcPr>
          <w:p w14:paraId="15335515">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本品略呈研棒状，长1～2cm。花冠圆球形，直 径0.3～0.5cm，花瓣4，复瓦状抱合，棕褐色或褐黄色，花瓣内为雄蕊和花柱，搓碎后可见众多黄色细粒状的花药。萼筒圆柱状，略扁，有的稍弯曲，长0.7～1. 4cm，直径0.3～ 0.6cm，红棕色或棕褐色，上部有4枚三角状的萼片，十字状分开。质坚实，富油性。气芳香浓烈，味辛辣、有麻舌感。</w:t>
            </w:r>
          </w:p>
        </w:tc>
        <w:tc>
          <w:tcPr>
            <w:tcW w:w="1811" w:type="dxa"/>
            <w:vAlign w:val="center"/>
          </w:tcPr>
          <w:p w14:paraId="6783425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66F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E23B140">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19</w:t>
            </w:r>
          </w:p>
        </w:tc>
        <w:tc>
          <w:tcPr>
            <w:tcW w:w="1000" w:type="dxa"/>
            <w:vAlign w:val="center"/>
          </w:tcPr>
          <w:p w14:paraId="0690046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肉桂</w:t>
            </w:r>
          </w:p>
        </w:tc>
        <w:tc>
          <w:tcPr>
            <w:tcW w:w="984" w:type="dxa"/>
            <w:vAlign w:val="center"/>
          </w:tcPr>
          <w:p w14:paraId="59FD1C3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64A870AF">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1600</w:t>
            </w:r>
          </w:p>
        </w:tc>
        <w:tc>
          <w:tcPr>
            <w:tcW w:w="5227" w:type="dxa"/>
            <w:vAlign w:val="center"/>
          </w:tcPr>
          <w:p w14:paraId="6F7878CD">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槽状或卷筒状，长30～40cm，宽或直径3～10cm，厚0.2～0.8cm。外表面灰棕色，稍粗糙，有不规则的细皱纹和横向突起的皮孔，有的可见灰白色的斑纹；内表面红棕色，略平坦，有细纵纹，划之显油痕。质硬而脆，易折断，断面不平坦，外层棕色而较粗糙，内层红棕色而油润，两层间有1条黄棕色的线纹。气香浓烈，味甜、辣。</w:t>
            </w:r>
          </w:p>
        </w:tc>
        <w:tc>
          <w:tcPr>
            <w:tcW w:w="1811" w:type="dxa"/>
            <w:vAlign w:val="center"/>
          </w:tcPr>
          <w:p w14:paraId="42FFD91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268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B162A83">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20</w:t>
            </w:r>
          </w:p>
        </w:tc>
        <w:tc>
          <w:tcPr>
            <w:tcW w:w="1000" w:type="dxa"/>
            <w:vAlign w:val="center"/>
          </w:tcPr>
          <w:p w14:paraId="0F8DEB9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草果</w:t>
            </w:r>
          </w:p>
        </w:tc>
        <w:tc>
          <w:tcPr>
            <w:tcW w:w="984" w:type="dxa"/>
            <w:vAlign w:val="center"/>
          </w:tcPr>
          <w:p w14:paraId="53928E0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617C644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40</w:t>
            </w:r>
          </w:p>
        </w:tc>
        <w:tc>
          <w:tcPr>
            <w:tcW w:w="5227" w:type="dxa"/>
            <w:vAlign w:val="center"/>
          </w:tcPr>
          <w:p w14:paraId="081259E8">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长椭圆形，具三钝棱，长2～4cm，直径1～2.5cm。表面灰棕色至红棕色，具纵沟及棱线，顶端有圆形突起的柱基，基部有果梗或果梗痕。果皮质坚韧，易纵向撕裂。剥去外皮，中间有黄棕色隔膜，将种子团分成3瓣，每瓣有种子多为8～11粒。种子呈圆锥状多面体，直径约5mm；表面红棕色，外被灰白色膜质的假种皮，种脊为一条纵沟，尖端有凹状的种脐；质硬，胚乳灰白色。有特异香气，味辛、微苦。</w:t>
            </w:r>
          </w:p>
        </w:tc>
        <w:tc>
          <w:tcPr>
            <w:tcW w:w="1811" w:type="dxa"/>
            <w:vAlign w:val="center"/>
          </w:tcPr>
          <w:p w14:paraId="760CA83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495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3D16789">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21</w:t>
            </w:r>
          </w:p>
        </w:tc>
        <w:tc>
          <w:tcPr>
            <w:tcW w:w="1000" w:type="dxa"/>
            <w:vAlign w:val="center"/>
          </w:tcPr>
          <w:p w14:paraId="2D69822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木香</w:t>
            </w:r>
          </w:p>
        </w:tc>
        <w:tc>
          <w:tcPr>
            <w:tcW w:w="984" w:type="dxa"/>
            <w:vAlign w:val="center"/>
          </w:tcPr>
          <w:p w14:paraId="40D0D40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05C432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30</w:t>
            </w:r>
          </w:p>
        </w:tc>
        <w:tc>
          <w:tcPr>
            <w:tcW w:w="5227" w:type="dxa"/>
            <w:vAlign w:val="center"/>
          </w:tcPr>
          <w:p w14:paraId="7B5E9324">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本品略呈研棒状，长1～2cm。花冠圆球形，直 径0.3～0.5cm，花瓣4，复瓦状抱合，棕褐色或褐黄色，花瓣内为雄蕊和花柱，搓碎后可见众多黄色细粒状的花药。萼筒圆柱状，略扁，有的稍弯曲，长0.7～1. 4cm，直径0.3～ 0.6cm，红棕色或棕褐色，上部有4枚三角状的萼片，十字状分开。质坚实，富油性。气芳香浓烈，味辛辣、有麻舌感。</w:t>
            </w:r>
          </w:p>
        </w:tc>
        <w:tc>
          <w:tcPr>
            <w:tcW w:w="1811" w:type="dxa"/>
            <w:vAlign w:val="center"/>
          </w:tcPr>
          <w:p w14:paraId="0CD3846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41B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3E150AE">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22</w:t>
            </w:r>
          </w:p>
        </w:tc>
        <w:tc>
          <w:tcPr>
            <w:tcW w:w="1000" w:type="dxa"/>
            <w:vAlign w:val="center"/>
          </w:tcPr>
          <w:p w14:paraId="1CAFC39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党参</w:t>
            </w:r>
          </w:p>
        </w:tc>
        <w:tc>
          <w:tcPr>
            <w:tcW w:w="984" w:type="dxa"/>
            <w:vAlign w:val="center"/>
          </w:tcPr>
          <w:p w14:paraId="30D8562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20CBAAD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0903F01C">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呈长圆柱形，稍弯曲，长10～35cm，直径0.4～2cm。表面灰黄色、黄棕色至灰棕色，根头部有多数疣状突起的茎痕及芽，每个茎痕的顶端呈凹下的圆点状；根头下有致密的环状横纹，向下渐稀疏，有的达全长的一半，栽培品环状横纹少或无；全体有纵皱纹和散在的横长皮孔样突起，支根断落处常有黑褐色胶状物。质稍柔软或稍硬而略带韧性，断面稍平坦，有裂隙或放射状纹理，皮部淡棕黄色至黄棕色，木部淡黄色至黄色。有特殊香气，味微甜。</w:t>
            </w:r>
          </w:p>
        </w:tc>
        <w:tc>
          <w:tcPr>
            <w:tcW w:w="1811" w:type="dxa"/>
            <w:vAlign w:val="center"/>
          </w:tcPr>
          <w:p w14:paraId="18E8426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8C1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98C7F19">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23</w:t>
            </w:r>
          </w:p>
        </w:tc>
        <w:tc>
          <w:tcPr>
            <w:tcW w:w="1000" w:type="dxa"/>
            <w:vAlign w:val="center"/>
          </w:tcPr>
          <w:p w14:paraId="7A60E9C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黑芝麻</w:t>
            </w:r>
          </w:p>
        </w:tc>
        <w:tc>
          <w:tcPr>
            <w:tcW w:w="984" w:type="dxa"/>
            <w:vAlign w:val="center"/>
          </w:tcPr>
          <w:p w14:paraId="1AB9995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1D3966F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w:t>
            </w:r>
          </w:p>
        </w:tc>
        <w:tc>
          <w:tcPr>
            <w:tcW w:w="5227" w:type="dxa"/>
            <w:vAlign w:val="center"/>
          </w:tcPr>
          <w:p w14:paraId="7423F510">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本品呈扁卵圆形，长约3mm，宽约2mm。表面黑色，平滑或有网状皱纹。尖端有棕色点状种脐。种皮薄，子叶2，白色，富油性。气微，味甘，有油香气。</w:t>
            </w:r>
          </w:p>
        </w:tc>
        <w:tc>
          <w:tcPr>
            <w:tcW w:w="1811" w:type="dxa"/>
            <w:vAlign w:val="center"/>
          </w:tcPr>
          <w:p w14:paraId="0923765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E4B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D3E2783">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24</w:t>
            </w:r>
          </w:p>
        </w:tc>
        <w:tc>
          <w:tcPr>
            <w:tcW w:w="1000" w:type="dxa"/>
            <w:vAlign w:val="center"/>
          </w:tcPr>
          <w:p w14:paraId="6C9054A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黄连（片）</w:t>
            </w:r>
          </w:p>
        </w:tc>
        <w:tc>
          <w:tcPr>
            <w:tcW w:w="984" w:type="dxa"/>
            <w:vAlign w:val="center"/>
          </w:tcPr>
          <w:p w14:paraId="14023C7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F72404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1590</w:t>
            </w:r>
          </w:p>
        </w:tc>
        <w:tc>
          <w:tcPr>
            <w:tcW w:w="5227" w:type="dxa"/>
            <w:vAlign w:val="center"/>
          </w:tcPr>
          <w:p w14:paraId="12721942">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本品呈不规则的薄片。外表皮灰黄色或黄褐色，粗糙，有细小的须根。切面或碎断面鲜黄色或红黄色，具放射状纹理，气微，味极苦。</w:t>
            </w:r>
          </w:p>
        </w:tc>
        <w:tc>
          <w:tcPr>
            <w:tcW w:w="1811" w:type="dxa"/>
            <w:vAlign w:val="center"/>
          </w:tcPr>
          <w:p w14:paraId="05A3C59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F33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248A045">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25</w:t>
            </w:r>
          </w:p>
        </w:tc>
        <w:tc>
          <w:tcPr>
            <w:tcW w:w="1000" w:type="dxa"/>
            <w:vAlign w:val="center"/>
          </w:tcPr>
          <w:p w14:paraId="7F41677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没食子</w:t>
            </w:r>
          </w:p>
        </w:tc>
        <w:tc>
          <w:tcPr>
            <w:tcW w:w="984" w:type="dxa"/>
            <w:vAlign w:val="center"/>
          </w:tcPr>
          <w:p w14:paraId="11CC59E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1548E46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200</w:t>
            </w:r>
          </w:p>
        </w:tc>
        <w:tc>
          <w:tcPr>
            <w:tcW w:w="5227" w:type="dxa"/>
            <w:vAlign w:val="center"/>
          </w:tcPr>
          <w:p w14:paraId="363C0A25">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呈类球形，直径1～2.5cm，有短柄。表面灰绿色、灰黑色或灰黄色，有多数小瘤状突起。质坚不易破碎，破碎面不平坦，呈黄白色或淡黄色，有光泽。中央有圆形空隙，常见有幼蜂的尸体，有的可见通往表面的小孔道。无臭，味涩而苦。</w:t>
            </w:r>
          </w:p>
        </w:tc>
        <w:tc>
          <w:tcPr>
            <w:tcW w:w="1811" w:type="dxa"/>
            <w:vAlign w:val="center"/>
          </w:tcPr>
          <w:p w14:paraId="493CBF0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49D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B258A91">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26</w:t>
            </w:r>
          </w:p>
        </w:tc>
        <w:tc>
          <w:tcPr>
            <w:tcW w:w="1000" w:type="dxa"/>
            <w:vAlign w:val="center"/>
          </w:tcPr>
          <w:p w14:paraId="112B690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没药</w:t>
            </w:r>
          </w:p>
        </w:tc>
        <w:tc>
          <w:tcPr>
            <w:tcW w:w="984" w:type="dxa"/>
            <w:vAlign w:val="center"/>
          </w:tcPr>
          <w:p w14:paraId="20A61E8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E74C6F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1FE28168">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天然没药  呈不规则颗粒性团块，大小不等，大者直径长达6cm以上。表面黄棕色或红棕色，近半透明部分呈棕黑色，被有黄色粉尘。质坚脆，破碎面不整齐，无光泽。有特异香气，味苦而微辛。</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胶质没药  呈不规则块状和颗粒，多黏结成大小不等的团块，大者直径长达6cm以上，表面棕黄色至棕褐色，不透明，质坚实或疏松，有特异香气，味苦而有黏性。</w:t>
            </w:r>
          </w:p>
        </w:tc>
        <w:tc>
          <w:tcPr>
            <w:tcW w:w="1811" w:type="dxa"/>
            <w:vAlign w:val="center"/>
          </w:tcPr>
          <w:p w14:paraId="5DAEE85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A73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7C2587E">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27</w:t>
            </w:r>
          </w:p>
        </w:tc>
        <w:tc>
          <w:tcPr>
            <w:tcW w:w="1000" w:type="dxa"/>
            <w:vAlign w:val="center"/>
          </w:tcPr>
          <w:p w14:paraId="6631CEA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麦冬</w:t>
            </w:r>
          </w:p>
        </w:tc>
        <w:tc>
          <w:tcPr>
            <w:tcW w:w="984" w:type="dxa"/>
            <w:vAlign w:val="center"/>
          </w:tcPr>
          <w:p w14:paraId="71667B9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39861C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7A60BFE9">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本品为百合科植物麦冬Ophiopogon japonicus （L.f）Ker-Gawl. [1]的干燥块根。夏季采挖，洗净，反复暴晒、堆置，至七八成干，除去须根，干燥。【性状】本品呈纺锤形，两端略尖，长1.5～3cm，直径0.3～0.6cm。表面淡黄色或灰黄色，有细纵纹。质柔韧，断面黄白色，半透明，中柱细小。气微香，味甘、微苦。</w:t>
            </w:r>
          </w:p>
        </w:tc>
        <w:tc>
          <w:tcPr>
            <w:tcW w:w="1811" w:type="dxa"/>
            <w:vAlign w:val="center"/>
          </w:tcPr>
          <w:p w14:paraId="742B77B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A65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881D07A">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28</w:t>
            </w:r>
          </w:p>
        </w:tc>
        <w:tc>
          <w:tcPr>
            <w:tcW w:w="1000" w:type="dxa"/>
            <w:vAlign w:val="center"/>
          </w:tcPr>
          <w:p w14:paraId="0706391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菝葜</w:t>
            </w:r>
          </w:p>
        </w:tc>
        <w:tc>
          <w:tcPr>
            <w:tcW w:w="984" w:type="dxa"/>
            <w:vAlign w:val="center"/>
          </w:tcPr>
          <w:p w14:paraId="0A018B3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2EB70D2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2000</w:t>
            </w:r>
          </w:p>
        </w:tc>
        <w:tc>
          <w:tcPr>
            <w:tcW w:w="5227" w:type="dxa"/>
            <w:vAlign w:val="center"/>
          </w:tcPr>
          <w:p w14:paraId="0E18D8FA">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不规则块状或弯曲扁柱形，有结节状隆起，长10～20cm，直径2～4cm。表面黄棕色或紫棕色，具圆锥状突起的茎基痕，并残留坚硬的刺状须根残基或细根。质坚硬，难折断，断面呈棕黄色或红棕色，纤维性，可见点状维管束和多数小亮点。切片呈不规则形，厚0.3～1cm，边缘不整齐，切面粗纤维性；质硬，折断时有粉尘飞扬。气微，味微苦、涩。</w:t>
            </w:r>
          </w:p>
        </w:tc>
        <w:tc>
          <w:tcPr>
            <w:tcW w:w="1811" w:type="dxa"/>
            <w:vAlign w:val="center"/>
          </w:tcPr>
          <w:p w14:paraId="7E9ABC8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FF3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AC3C62A">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29</w:t>
            </w:r>
          </w:p>
        </w:tc>
        <w:tc>
          <w:tcPr>
            <w:tcW w:w="1000" w:type="dxa"/>
            <w:vAlign w:val="center"/>
          </w:tcPr>
          <w:p w14:paraId="4AC6848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麻黄</w:t>
            </w:r>
          </w:p>
        </w:tc>
        <w:tc>
          <w:tcPr>
            <w:tcW w:w="984" w:type="dxa"/>
            <w:vAlign w:val="center"/>
          </w:tcPr>
          <w:p w14:paraId="724F2EC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582072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054F9A40">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草麻黄 呈细长圆柱形，少分枝，直径1～2mm。有的带少量棕色木质茎。表面淡绿色至黄绿色，有细纵脊线，触之微有粗糙感。节明显，节间长2～6cm。节上有膜质鳞叶，长3～4mm；裂片2（稀3），锐三角形，先端灰白色，反曲，基部联合成筒状，红棕色。体轻，质脆，易折断，断面略呈纤维性，周边绿黄色，髓部红棕色，近圆形。气微香，味涩、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中麻黄  多分枝，直径1.5～3mm，有粗糙感。节上膜质鳞叶长2～3mm，裂片3（稀2），先端锐尖。断面髓部呈三角状圆形。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木贼麻黄 较多分枝，直径1～1.5mm，无粗糙感。节间长1.5～3cm。膜质鳞叶长1～2mm；裂片2（稀3），上部为短三角形，灰白色，先端多不反曲，基部棕红色至棕黑色。</w:t>
            </w:r>
          </w:p>
        </w:tc>
        <w:tc>
          <w:tcPr>
            <w:tcW w:w="1811" w:type="dxa"/>
            <w:vAlign w:val="center"/>
          </w:tcPr>
          <w:p w14:paraId="45D1BC8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278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CE6AD25">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30</w:t>
            </w:r>
          </w:p>
        </w:tc>
        <w:tc>
          <w:tcPr>
            <w:tcW w:w="1000" w:type="dxa"/>
            <w:vAlign w:val="center"/>
          </w:tcPr>
          <w:p w14:paraId="51D9FD3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红枣</w:t>
            </w:r>
          </w:p>
        </w:tc>
        <w:tc>
          <w:tcPr>
            <w:tcW w:w="984" w:type="dxa"/>
            <w:vAlign w:val="center"/>
          </w:tcPr>
          <w:p w14:paraId="7A027BC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19D750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500</w:t>
            </w:r>
          </w:p>
        </w:tc>
        <w:tc>
          <w:tcPr>
            <w:tcW w:w="5227" w:type="dxa"/>
            <w:vAlign w:val="center"/>
          </w:tcPr>
          <w:p w14:paraId="20558B63">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球形或短矩圆形，直径0.7～1.5cm。表面暗红色，有光泽，或具不规则皱纹。基部凹陷，有一小圆形果梗痕。外果皮薄，中果皮棕黄色或淡褐色，肉质少。味甜、微酸。果核卵圆形，长0.8～1.2cm，宽0.5～1.0cm，两端钝或一端略尖，表面棕色，略凹凸不平，质坚硬。种子呈扁圆形或扁椭圆形，长5～9mm，宽5～7mm，厚约3mm。表面紫红色或紫褐色，平滑有光泽。大部分一面较平坦，中间有1条隆起的纵浅纹；另一面稍突起。</w:t>
            </w:r>
          </w:p>
        </w:tc>
        <w:tc>
          <w:tcPr>
            <w:tcW w:w="1811" w:type="dxa"/>
            <w:vAlign w:val="center"/>
          </w:tcPr>
          <w:p w14:paraId="7C910A3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959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8AF9182">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31</w:t>
            </w:r>
          </w:p>
        </w:tc>
        <w:tc>
          <w:tcPr>
            <w:tcW w:w="1000" w:type="dxa"/>
            <w:vAlign w:val="center"/>
          </w:tcPr>
          <w:p w14:paraId="5C01CF3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卡西卡甫枣</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（酸枣）</w:t>
            </w:r>
          </w:p>
        </w:tc>
        <w:tc>
          <w:tcPr>
            <w:tcW w:w="984" w:type="dxa"/>
            <w:vAlign w:val="center"/>
          </w:tcPr>
          <w:p w14:paraId="5FE0190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602CF66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6F8A08FE">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球形或短矩圆形，直径0.7～1.5cm。表面暗红色，有光泽，或具不规则皱纹。基部凹陷，有一小圆形果梗痕。外果皮薄，中果皮棕黄色或淡褐色，肉质少。味甜、微酸。果核卵圆形，长0.8～1.2cm，宽0.5～1.0cm，两端钝或一端略尖，表面棕色，略凹凸不平，质坚硬。种子呈扁圆形或扁椭圆形，长5～9mm，宽5～7mm，厚约3mm。表面紫红色或紫褐色，平滑有光泽。大部分一面较平坦，中间有1条隆起的纵浅纹；另一面稍突起。</w:t>
            </w:r>
          </w:p>
        </w:tc>
        <w:tc>
          <w:tcPr>
            <w:tcW w:w="1811" w:type="dxa"/>
            <w:vAlign w:val="center"/>
          </w:tcPr>
          <w:p w14:paraId="00004BC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25A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26E78B9">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32</w:t>
            </w:r>
          </w:p>
        </w:tc>
        <w:tc>
          <w:tcPr>
            <w:tcW w:w="1000" w:type="dxa"/>
            <w:vAlign w:val="center"/>
          </w:tcPr>
          <w:p w14:paraId="391EA5B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全蝎</w:t>
            </w:r>
          </w:p>
        </w:tc>
        <w:tc>
          <w:tcPr>
            <w:tcW w:w="984" w:type="dxa"/>
            <w:vAlign w:val="center"/>
          </w:tcPr>
          <w:p w14:paraId="5B365C0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CD3842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w:t>
            </w:r>
          </w:p>
        </w:tc>
        <w:tc>
          <w:tcPr>
            <w:tcW w:w="5227" w:type="dxa"/>
            <w:vAlign w:val="center"/>
          </w:tcPr>
          <w:p w14:paraId="3831876F">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头胸部与前腹部呈扁平长椭圆形，后腹部呈尾状，皱缩弯曲，完整者体长约6cm。头胸部呈绿褐色，前面有1对短小的螯肢和1对较长大的钳状脚须，形似蟹螯，背面覆有梯形背甲，腹面有足4对，均为7节，末端各具2爪钩；前腹部由7节组成，第7节色深，背甲上有5条隆脊线。背面绿褐色，后腹部棕黄色，6节，节上均有纵沟，末节有锐钩状毒刺，毒刺下方无距。气微腥，味咸。</w:t>
            </w:r>
          </w:p>
        </w:tc>
        <w:tc>
          <w:tcPr>
            <w:tcW w:w="1811" w:type="dxa"/>
            <w:vAlign w:val="center"/>
          </w:tcPr>
          <w:p w14:paraId="4851FCD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2F7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413D79F">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33</w:t>
            </w:r>
          </w:p>
        </w:tc>
        <w:tc>
          <w:tcPr>
            <w:tcW w:w="1000" w:type="dxa"/>
            <w:vAlign w:val="center"/>
          </w:tcPr>
          <w:p w14:paraId="47EE8A7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槟榔</w:t>
            </w:r>
          </w:p>
        </w:tc>
        <w:tc>
          <w:tcPr>
            <w:tcW w:w="984" w:type="dxa"/>
            <w:vAlign w:val="center"/>
          </w:tcPr>
          <w:p w14:paraId="117C5A1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1DBCF9A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78A618F6">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扁球形或圆锥形，高1.5～3.5cm，底部直径1.5～3cm。表面淡黄棕色或淡红棕色，具稍凹下的网状沟纹，底部中心有圆形凹陷的珠孔，其旁有1明显瘢痕状种脐。质坚硬，不易破碎，断面可见棕色种皮与白色胚乳相间的大理石样花纹。气微，味涩、微苦。</w:t>
            </w:r>
          </w:p>
        </w:tc>
        <w:tc>
          <w:tcPr>
            <w:tcW w:w="1811" w:type="dxa"/>
            <w:vAlign w:val="center"/>
          </w:tcPr>
          <w:p w14:paraId="544241F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17B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0F13696">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34</w:t>
            </w:r>
          </w:p>
        </w:tc>
        <w:tc>
          <w:tcPr>
            <w:tcW w:w="1000" w:type="dxa"/>
            <w:vAlign w:val="center"/>
          </w:tcPr>
          <w:p w14:paraId="4993798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荜茇</w:t>
            </w:r>
          </w:p>
        </w:tc>
        <w:tc>
          <w:tcPr>
            <w:tcW w:w="984" w:type="dxa"/>
            <w:vAlign w:val="center"/>
          </w:tcPr>
          <w:p w14:paraId="45CC297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42E63FC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700</w:t>
            </w:r>
          </w:p>
        </w:tc>
        <w:tc>
          <w:tcPr>
            <w:tcW w:w="5227" w:type="dxa"/>
            <w:vAlign w:val="center"/>
          </w:tcPr>
          <w:p w14:paraId="3471DBDA">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圆柱形，稍弯曲，由多数小浆果集合而成，长1.5～3.5cm，直径0.3～0.5cm。表面黑褐色或棕色，有斜向排列整齐的小突起，基部有果穗梗残存或脱落。质硬而脆，易折断，断面不整齐，颗粒状。小浆果球形，直径约0.1cm。有特异香气，味辛辣。</w:t>
            </w:r>
          </w:p>
        </w:tc>
        <w:tc>
          <w:tcPr>
            <w:tcW w:w="1811" w:type="dxa"/>
            <w:vAlign w:val="center"/>
          </w:tcPr>
          <w:p w14:paraId="2420A03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F30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DF119B5">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35</w:t>
            </w:r>
          </w:p>
        </w:tc>
        <w:tc>
          <w:tcPr>
            <w:tcW w:w="1000" w:type="dxa"/>
            <w:vAlign w:val="center"/>
          </w:tcPr>
          <w:p w14:paraId="00540AC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藿香</w:t>
            </w:r>
          </w:p>
        </w:tc>
        <w:tc>
          <w:tcPr>
            <w:tcW w:w="984" w:type="dxa"/>
            <w:vAlign w:val="center"/>
          </w:tcPr>
          <w:p w14:paraId="0150FBB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2BD8A9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w:t>
            </w:r>
          </w:p>
        </w:tc>
        <w:tc>
          <w:tcPr>
            <w:tcW w:w="5227" w:type="dxa"/>
            <w:vAlign w:val="center"/>
          </w:tcPr>
          <w:p w14:paraId="5B19D6A6">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广藿香   本品茎略呈方柱形，多分枝，枝条稍曲折，长30～60cm，直径0.2～0.7cm；表面被柔毛；质脆，易折断，断面中部有髓；老茎类圆柱形，直径1～1.2cm，被灰褐色栓皮。叶对生，皱缩成团，展平后叶片呈卵形或椭圆形，长4～9cm，宽3～7cm；两面均被灰白色绒毛；先端短尖或钝圆，基部楔形或钝圆，边缘具大小不规则的钝齿；叶柄细，长2～5cm，被柔毛。气香特异，味微苦。</w:t>
            </w:r>
          </w:p>
        </w:tc>
        <w:tc>
          <w:tcPr>
            <w:tcW w:w="1811" w:type="dxa"/>
            <w:vAlign w:val="center"/>
          </w:tcPr>
          <w:p w14:paraId="2E46911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2B6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8DD8DD8">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36</w:t>
            </w:r>
          </w:p>
        </w:tc>
        <w:tc>
          <w:tcPr>
            <w:tcW w:w="1000" w:type="dxa"/>
            <w:vAlign w:val="center"/>
          </w:tcPr>
          <w:p w14:paraId="53E19B2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黑种草子</w:t>
            </w:r>
          </w:p>
        </w:tc>
        <w:tc>
          <w:tcPr>
            <w:tcW w:w="984" w:type="dxa"/>
            <w:vAlign w:val="center"/>
          </w:tcPr>
          <w:p w14:paraId="037FD16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2E86D4D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w:t>
            </w:r>
          </w:p>
        </w:tc>
        <w:tc>
          <w:tcPr>
            <w:tcW w:w="5227" w:type="dxa"/>
            <w:vAlign w:val="center"/>
          </w:tcPr>
          <w:p w14:paraId="74F8AB5E">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本品呈三棱状卵形，长2.5～3mm，宽约1.5mm。表面黑色，粗糙，顶端较狭而尖，下端稍钝，有不规则的突起。质坚硬，断面灰白色，有油性。气微香，味辛。</w:t>
            </w:r>
          </w:p>
        </w:tc>
        <w:tc>
          <w:tcPr>
            <w:tcW w:w="1811" w:type="dxa"/>
            <w:vAlign w:val="center"/>
          </w:tcPr>
          <w:p w14:paraId="507EF1E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721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85592D1">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37</w:t>
            </w:r>
          </w:p>
        </w:tc>
        <w:tc>
          <w:tcPr>
            <w:tcW w:w="1000" w:type="dxa"/>
            <w:vAlign w:val="center"/>
          </w:tcPr>
          <w:p w14:paraId="53AF922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红花</w:t>
            </w:r>
          </w:p>
        </w:tc>
        <w:tc>
          <w:tcPr>
            <w:tcW w:w="984" w:type="dxa"/>
            <w:vAlign w:val="center"/>
          </w:tcPr>
          <w:p w14:paraId="2A7595B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282335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200</w:t>
            </w:r>
          </w:p>
        </w:tc>
        <w:tc>
          <w:tcPr>
            <w:tcW w:w="5227" w:type="dxa"/>
            <w:vAlign w:val="center"/>
          </w:tcPr>
          <w:p w14:paraId="7AB31B6B">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本品为不带子房的管状花，长1～2cm。表面红黄色或红色。花冠筒细长，先端5裂，裂片呈狭条形，长5～8mm；雄蕊5，花药聚合成筒状，黄白色；柱头长圆柱形，顶端微分叉。质柔软。气微香，味微苦。</w:t>
            </w:r>
          </w:p>
        </w:tc>
        <w:tc>
          <w:tcPr>
            <w:tcW w:w="1811" w:type="dxa"/>
            <w:vAlign w:val="center"/>
          </w:tcPr>
          <w:p w14:paraId="63B0268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B79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17FF381">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38</w:t>
            </w:r>
          </w:p>
        </w:tc>
        <w:tc>
          <w:tcPr>
            <w:tcW w:w="1000" w:type="dxa"/>
            <w:vAlign w:val="center"/>
          </w:tcPr>
          <w:p w14:paraId="202E54B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高良姜</w:t>
            </w:r>
          </w:p>
        </w:tc>
        <w:tc>
          <w:tcPr>
            <w:tcW w:w="984" w:type="dxa"/>
            <w:vAlign w:val="center"/>
          </w:tcPr>
          <w:p w14:paraId="383802C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1FA971F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1500</w:t>
            </w:r>
          </w:p>
        </w:tc>
        <w:tc>
          <w:tcPr>
            <w:tcW w:w="5227" w:type="dxa"/>
            <w:vAlign w:val="center"/>
          </w:tcPr>
          <w:p w14:paraId="0AC8EF12">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圆柱形，多弯曲，有分枝，长5～9cm，直径1～1.5cm。表面棕红色至暗褐色，有细密的纵皱纹和灰棕色的波状环节，节间长0.2～1cm，一面有圆形的根痕。质坚韧，不易折断，断面灰棕色或红棕色，纤维性，中柱约占1/3。气香，味辛辣。</w:t>
            </w:r>
          </w:p>
        </w:tc>
        <w:tc>
          <w:tcPr>
            <w:tcW w:w="1811" w:type="dxa"/>
            <w:vAlign w:val="center"/>
          </w:tcPr>
          <w:p w14:paraId="48915FC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066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F673CCD">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39</w:t>
            </w:r>
          </w:p>
        </w:tc>
        <w:tc>
          <w:tcPr>
            <w:tcW w:w="1000" w:type="dxa"/>
            <w:vAlign w:val="center"/>
          </w:tcPr>
          <w:p w14:paraId="088E023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欧玉竹</w:t>
            </w:r>
          </w:p>
        </w:tc>
        <w:tc>
          <w:tcPr>
            <w:tcW w:w="984" w:type="dxa"/>
            <w:vAlign w:val="center"/>
          </w:tcPr>
          <w:p w14:paraId="081C248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62AEFBF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40</w:t>
            </w:r>
          </w:p>
        </w:tc>
        <w:tc>
          <w:tcPr>
            <w:tcW w:w="5227" w:type="dxa"/>
            <w:vAlign w:val="center"/>
          </w:tcPr>
          <w:p w14:paraId="690C1A07">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长圆柱形，略扁，少有分枝，长4～18cm，直径0.3～1.6cm。表面黄白色或淡黄棕色，半透明，具纵皱纹和微隆起的环节，有白色圆点状的须根痕和圆盘状茎痕。质硬而脆或稍软，易折断，断面角质样或显颗粒性。气微，味甘，嚼之发黏。</w:t>
            </w:r>
          </w:p>
        </w:tc>
        <w:tc>
          <w:tcPr>
            <w:tcW w:w="1811" w:type="dxa"/>
            <w:vAlign w:val="center"/>
          </w:tcPr>
          <w:p w14:paraId="24011D7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20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861098B">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40</w:t>
            </w:r>
          </w:p>
        </w:tc>
        <w:tc>
          <w:tcPr>
            <w:tcW w:w="1000" w:type="dxa"/>
            <w:vAlign w:val="center"/>
          </w:tcPr>
          <w:p w14:paraId="5E919BAF">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肉豆蔻</w:t>
            </w:r>
          </w:p>
        </w:tc>
        <w:tc>
          <w:tcPr>
            <w:tcW w:w="984" w:type="dxa"/>
            <w:vAlign w:val="center"/>
          </w:tcPr>
          <w:p w14:paraId="4C5C787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8AC62D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1200</w:t>
            </w:r>
          </w:p>
        </w:tc>
        <w:tc>
          <w:tcPr>
            <w:tcW w:w="5227" w:type="dxa"/>
            <w:vAlign w:val="center"/>
          </w:tcPr>
          <w:p w14:paraId="7129DE46">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卵圆形或椭圆形，长2～3cm，直径1.5～2.5cm。表面灰棕色或灰黄色，有时外被白粉（石灰粉末）。全体有浅色纵行沟纹和不规则网状沟纹。种脐位于宽端，呈浅色圆形突起，合点呈暗凹陷。种脊呈纵沟状，连接两端。质坚，断面显棕黄色相杂的大理石花纹，宽端可见干燥皱缩的胚，富油性。气香浓烈，味辛。</w:t>
            </w:r>
          </w:p>
        </w:tc>
        <w:tc>
          <w:tcPr>
            <w:tcW w:w="1811" w:type="dxa"/>
            <w:vAlign w:val="center"/>
          </w:tcPr>
          <w:p w14:paraId="080992A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AA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AC94A02">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41</w:t>
            </w:r>
          </w:p>
        </w:tc>
        <w:tc>
          <w:tcPr>
            <w:tcW w:w="1000" w:type="dxa"/>
            <w:vAlign w:val="center"/>
          </w:tcPr>
          <w:p w14:paraId="7D5DE2A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附子（制）</w:t>
            </w:r>
          </w:p>
        </w:tc>
        <w:tc>
          <w:tcPr>
            <w:tcW w:w="984" w:type="dxa"/>
            <w:vAlign w:val="center"/>
          </w:tcPr>
          <w:p w14:paraId="4125BC8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359A10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w:t>
            </w:r>
          </w:p>
        </w:tc>
        <w:tc>
          <w:tcPr>
            <w:tcW w:w="5227" w:type="dxa"/>
            <w:vAlign w:val="center"/>
          </w:tcPr>
          <w:p w14:paraId="0B50B061">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本品为毛茛科植物乌头Aconitum carmichaelii Debx. 的子根的加工品。6月下旬至8月上旬采挖，除去母根、须根及泥沙，习称“泥附子”，加工成下列规格。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（1）选择个大、均匀的泥附子，洗净，浸入胆巴的水溶液中过夜，再加食盐，继续浸泡，每日取出晒晾，并逐渐延长晒晾时间，直至附子表面出现大量结晶盐粒（盐霜）、体质变硬为止，习称“盐附子”。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2）取泥附子，按大小分别洗净，浸入胆巴的水溶液中数日，连同浸液煮至透心，捞出，水漂，纵切成厚约0.5cm的片，再用水浸漂，用调色液使附片染成浓茶色，取出，蒸至出现油面、光泽后，烘至半干，再晒干或继续烘干，习称“黑顺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（3）选择大小均匀的泥附子，洗净，浸入胆巴的水溶液中数日，连同浸液煮至透心，捞岀，剥去外皮，纵切成厚约0.3cm的片，用水浸漂，取出，蒸透，晒干，习称“白附片”。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【性状】盐附子  呈圆锥形，长4～7cm，直径3～5cm。表面灰黑色，被盐霜，顶端有凹陷的芽痕，周围有瘤状突起的支根或支根痕。体重，横切面灰褐色，可见充满盐霜的小空隙和多角形形成层环纹，环纹内侧导管束排列不整齐。气微，味咸而麻，刺舌。</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黑顺片  为纵切片，上宽下窄，长1.7～5cm，宽0.9～3cm，厚0.2~0.5cm。外皮黑褐色，切面暗黄色，油润具光泽，半透明状，并有纵向导管束。质硬而脆，断面角质样。气微，味淡。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白附片  无外皮，黄白色，半透明，厚约0.3cm。</w:t>
            </w:r>
          </w:p>
        </w:tc>
        <w:tc>
          <w:tcPr>
            <w:tcW w:w="1811" w:type="dxa"/>
            <w:vAlign w:val="center"/>
          </w:tcPr>
          <w:p w14:paraId="142C023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24C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638653E">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42</w:t>
            </w:r>
          </w:p>
        </w:tc>
        <w:tc>
          <w:tcPr>
            <w:tcW w:w="1000" w:type="dxa"/>
            <w:vAlign w:val="center"/>
          </w:tcPr>
          <w:p w14:paraId="45FF260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陈皮</w:t>
            </w:r>
          </w:p>
        </w:tc>
        <w:tc>
          <w:tcPr>
            <w:tcW w:w="984" w:type="dxa"/>
            <w:vAlign w:val="center"/>
          </w:tcPr>
          <w:p w14:paraId="207E5EF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62FCE6C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40</w:t>
            </w:r>
          </w:p>
        </w:tc>
        <w:tc>
          <w:tcPr>
            <w:tcW w:w="5227" w:type="dxa"/>
            <w:vAlign w:val="center"/>
          </w:tcPr>
          <w:p w14:paraId="45BB5FA5">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本品为芸香科植物橘Citrus reticulata Blanco 及其栽培变种的干燥成熟果皮。药材分为“陈皮”和“广陈皮”。釆摘成熟果实，剥取果皮，晒干或低温干燥。【性状】陈皮  常剥成数瓣，基部相连，有的呈不规则的片状，厚1～4mm。外表面橙红色或红棕色，有细皱纹和凹下的点状油室；内表面浅黄白色，粗糙，附黄白色或黄棕色筋络状维管束。质稍硬而脆。气香，味辛、苦。　　广陈皮  常3瓣相连，形状整齐，厚度均匀，约1mm。外表面橙黄色至棕褐色，点状油室较大，对光照视，透明清晰。质较柔软。</w:t>
            </w:r>
          </w:p>
        </w:tc>
        <w:tc>
          <w:tcPr>
            <w:tcW w:w="1811" w:type="dxa"/>
            <w:vAlign w:val="center"/>
          </w:tcPr>
          <w:p w14:paraId="3D88C78F">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E48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3FDE0C6">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43</w:t>
            </w:r>
          </w:p>
        </w:tc>
        <w:tc>
          <w:tcPr>
            <w:tcW w:w="1000" w:type="dxa"/>
            <w:vAlign w:val="center"/>
          </w:tcPr>
          <w:p w14:paraId="0EC6DAA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水菖蒲</w:t>
            </w:r>
          </w:p>
        </w:tc>
        <w:tc>
          <w:tcPr>
            <w:tcW w:w="984" w:type="dxa"/>
            <w:vAlign w:val="center"/>
          </w:tcPr>
          <w:p w14:paraId="26999D2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EEE9E0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1000</w:t>
            </w:r>
          </w:p>
        </w:tc>
        <w:tc>
          <w:tcPr>
            <w:tcW w:w="5227" w:type="dxa"/>
            <w:vAlign w:val="center"/>
          </w:tcPr>
          <w:p w14:paraId="3886401C">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天南星科(Araceae)植物水莒蒲(AcoruscalamusL.)。多年生草本。根【植物来源】茎横生，肥厚，分枝，直径1~1.5厘米,外皮黄白色至棕褐色,具浓烈特异之芳香。叶剑形，较高，长 50~150厘米，宽6~15毫米，有的可达 30毫米，中脉明显。花茎高10~40 厘米，有的可达65厘米。肉穗花序长4~9厘米，直径6~12毫米，花两性，黄白色;花瓣6，椭圆形，雄蕊6，花药卵圆形，黄色;雌蕊子房3室,花柱呈圆柱状。浆果椭圆形，稍硬。花期6~7月，果期8月。(图21-1)【药材性状】本品较石莒蒲根茎粗大，少分枝，直径1~1.5厘米;表面黄白色至棕褐色，节间距较大，一般为2~15毫米，上侧有较大的类三角形叶痕，下侧有多数的凹陷圆点状根痕和少数细根。气浓裂而特异，味辛。</w:t>
            </w:r>
          </w:p>
        </w:tc>
        <w:tc>
          <w:tcPr>
            <w:tcW w:w="1811" w:type="dxa"/>
            <w:vAlign w:val="center"/>
          </w:tcPr>
          <w:p w14:paraId="78AFE15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w:t>
            </w:r>
          </w:p>
        </w:tc>
      </w:tr>
      <w:tr w14:paraId="290D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0B66B22">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44</w:t>
            </w:r>
          </w:p>
        </w:tc>
        <w:tc>
          <w:tcPr>
            <w:tcW w:w="1000" w:type="dxa"/>
            <w:vAlign w:val="center"/>
          </w:tcPr>
          <w:p w14:paraId="0054FF1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薄荷</w:t>
            </w:r>
          </w:p>
        </w:tc>
        <w:tc>
          <w:tcPr>
            <w:tcW w:w="984" w:type="dxa"/>
            <w:vAlign w:val="center"/>
          </w:tcPr>
          <w:p w14:paraId="1FA817C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970B4C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190</w:t>
            </w:r>
          </w:p>
        </w:tc>
        <w:tc>
          <w:tcPr>
            <w:tcW w:w="5227" w:type="dxa"/>
            <w:vAlign w:val="center"/>
          </w:tcPr>
          <w:p w14:paraId="2B8F74FF">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茎呈方柱形，有对生分枝，长15～40cm，直径0.2～0.4cm；表面紫棕色或淡绿色，棱角处具茸毛，节间长2～5cm；质脆，断面白色，髓部中空。叶对生，有短柄；叶片皱缩卷曲，完整者展平后呈宽披针形、长椭圆形或卵形，长2～7cm，宽1～3cm；上表面深绿色，下表面灰绿色，稀被茸毛，有凹点状腺鳞。轮伞花序腋生，花萼钟状，先端5齿裂，花冠淡紫色。揉搓后有特殊清凉香气，味辛凉。</w:t>
            </w:r>
          </w:p>
        </w:tc>
        <w:tc>
          <w:tcPr>
            <w:tcW w:w="1811" w:type="dxa"/>
            <w:vAlign w:val="center"/>
          </w:tcPr>
          <w:p w14:paraId="07FF4B7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E04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2730549">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45</w:t>
            </w:r>
          </w:p>
        </w:tc>
        <w:tc>
          <w:tcPr>
            <w:tcW w:w="1000" w:type="dxa"/>
            <w:vAlign w:val="center"/>
          </w:tcPr>
          <w:p w14:paraId="2EBE8FB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西红花</w:t>
            </w:r>
          </w:p>
        </w:tc>
        <w:tc>
          <w:tcPr>
            <w:tcW w:w="984" w:type="dxa"/>
            <w:vAlign w:val="center"/>
          </w:tcPr>
          <w:p w14:paraId="146C51E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1g/瓶</w:t>
            </w:r>
          </w:p>
        </w:tc>
        <w:tc>
          <w:tcPr>
            <w:tcW w:w="945" w:type="dxa"/>
            <w:vAlign w:val="center"/>
          </w:tcPr>
          <w:p w14:paraId="70C74C2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70000</w:t>
            </w:r>
          </w:p>
        </w:tc>
        <w:tc>
          <w:tcPr>
            <w:tcW w:w="5227" w:type="dxa"/>
            <w:vAlign w:val="center"/>
          </w:tcPr>
          <w:p w14:paraId="04649843">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线形，三分枝，长约3cm。暗红色，上部较宽而略扁平，顶端边缘显不整齐的齿状，内侧有一短裂隙，下端有时残留一小段黄色花柱。体轻，质松软，无油润光泽，干燥后质脆易断。气特异，微有刺激性，味微苦。</w:t>
            </w:r>
          </w:p>
        </w:tc>
        <w:tc>
          <w:tcPr>
            <w:tcW w:w="1811" w:type="dxa"/>
            <w:vAlign w:val="center"/>
          </w:tcPr>
          <w:p w14:paraId="0B2D183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52B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03E25FD">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46</w:t>
            </w:r>
          </w:p>
        </w:tc>
        <w:tc>
          <w:tcPr>
            <w:tcW w:w="1000" w:type="dxa"/>
            <w:vAlign w:val="center"/>
          </w:tcPr>
          <w:p w14:paraId="1958C27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麝香</w:t>
            </w:r>
          </w:p>
        </w:tc>
        <w:tc>
          <w:tcPr>
            <w:tcW w:w="984" w:type="dxa"/>
            <w:vAlign w:val="center"/>
          </w:tcPr>
          <w:p w14:paraId="360CA40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1g/瓶</w:t>
            </w:r>
          </w:p>
        </w:tc>
        <w:tc>
          <w:tcPr>
            <w:tcW w:w="945" w:type="dxa"/>
            <w:vAlign w:val="center"/>
          </w:tcPr>
          <w:p w14:paraId="74722A9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50</w:t>
            </w:r>
          </w:p>
        </w:tc>
        <w:tc>
          <w:tcPr>
            <w:tcW w:w="5227" w:type="dxa"/>
            <w:vAlign w:val="center"/>
          </w:tcPr>
          <w:p w14:paraId="3D112C0E">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壳麝香呈扁圆、椭圆形。直径2～7cm，厚2～4cm，开中面的皮革质，棕褐色。略平密生白色或棕色短毛，从两侧围绕中心排列，中间有一略平的小孔即囊孔；另一面为略带紫色的棕褐色的皮膜，微皱缩，无毛。剖开后，可见中层皮膜呈棕褐色或灰褐色，半透明，内层皮膜呈棕色，囊内有颗粒状和粉末状的麝香仁和少量细毛及脱落的内层皮膜，习称“银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麝香仁为除去香囊壳的麝香，质柔而疏松，油润。其中颗粒状者习称“当门子”，呈不规则球形，表面多呈紫黑色，油润光亮，断面深棕色或棕黄色；粉末状者多呈棕褐色或黄棕色，并有少量脱落的内层皮膜（习称“银皮”）和细毛，有时可见细小晶体。气香，强烈而特异，味微辣而带苦咸。</w:t>
            </w:r>
          </w:p>
        </w:tc>
        <w:tc>
          <w:tcPr>
            <w:tcW w:w="1811" w:type="dxa"/>
            <w:vAlign w:val="center"/>
          </w:tcPr>
          <w:p w14:paraId="7EAFD11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w:t>
            </w:r>
          </w:p>
        </w:tc>
      </w:tr>
      <w:tr w14:paraId="5272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0DD577F">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47</w:t>
            </w:r>
          </w:p>
        </w:tc>
        <w:tc>
          <w:tcPr>
            <w:tcW w:w="1000" w:type="dxa"/>
            <w:vAlign w:val="center"/>
          </w:tcPr>
          <w:p w14:paraId="0147F05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枸杞子</w:t>
            </w:r>
          </w:p>
        </w:tc>
        <w:tc>
          <w:tcPr>
            <w:tcW w:w="984" w:type="dxa"/>
            <w:vAlign w:val="center"/>
          </w:tcPr>
          <w:p w14:paraId="79D2062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274F85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100</w:t>
            </w:r>
          </w:p>
        </w:tc>
        <w:tc>
          <w:tcPr>
            <w:tcW w:w="5227" w:type="dxa"/>
            <w:vAlign w:val="center"/>
          </w:tcPr>
          <w:p w14:paraId="0CF84A45">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本品呈类纺锤形或椭圆形,长6~20mm,直径3~10mm。表面红色或暗红色，顶端有小突起状的花柱痕,基部有白色的果梗痕。果皮柔韧,皱缩;果肉肉质,柔润。种子20~50粒,类肾形,扁而翘,长 1.5~1.9mm,宽1~1.7mm,表面浅黄色或棕黄色。气微,味甜</w:t>
            </w:r>
          </w:p>
        </w:tc>
        <w:tc>
          <w:tcPr>
            <w:tcW w:w="1811" w:type="dxa"/>
            <w:vAlign w:val="center"/>
          </w:tcPr>
          <w:p w14:paraId="321102D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新疆维吾尔自治区中药维吾尔药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饮片炮制规范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2010年版</w:t>
            </w:r>
          </w:p>
        </w:tc>
      </w:tr>
      <w:tr w14:paraId="2EC5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45618A8">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48</w:t>
            </w:r>
          </w:p>
        </w:tc>
        <w:tc>
          <w:tcPr>
            <w:tcW w:w="1000" w:type="dxa"/>
            <w:vAlign w:val="center"/>
          </w:tcPr>
          <w:p w14:paraId="53034F1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白芝麻</w:t>
            </w:r>
          </w:p>
        </w:tc>
        <w:tc>
          <w:tcPr>
            <w:tcW w:w="984" w:type="dxa"/>
            <w:vAlign w:val="center"/>
          </w:tcPr>
          <w:p w14:paraId="31CA981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1B4EEF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08794E09">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本品为脂麻科植物脂麻Sesamum indicum L.干燥成熟的白色种子，秋季果实成熟时采割地上植株部分，晒干，打下种子，除去杂质，晒干。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本品呈扁卵圆形，长约 3mm，宽约 2mm。表面类白色，平滑或有网状皱纹。尖端有棕色点状种脐。种皮薄，子叶 2，白色，富油性。气微，味甘，有油香气。</w:t>
            </w:r>
          </w:p>
        </w:tc>
        <w:tc>
          <w:tcPr>
            <w:tcW w:w="1811" w:type="dxa"/>
            <w:vAlign w:val="center"/>
          </w:tcPr>
          <w:p w14:paraId="282EEBB4">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新疆维吾尔自治区地区性民间习用药材（中药饮片）质量标准  标准号：2024YC-0006</w:t>
            </w:r>
          </w:p>
        </w:tc>
      </w:tr>
      <w:tr w14:paraId="4879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B02F471">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49</w:t>
            </w:r>
          </w:p>
        </w:tc>
        <w:tc>
          <w:tcPr>
            <w:tcW w:w="1000" w:type="dxa"/>
            <w:vAlign w:val="center"/>
          </w:tcPr>
          <w:p w14:paraId="5DD1C04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蜀葵子</w:t>
            </w:r>
          </w:p>
        </w:tc>
        <w:tc>
          <w:tcPr>
            <w:tcW w:w="984" w:type="dxa"/>
            <w:vAlign w:val="center"/>
          </w:tcPr>
          <w:p w14:paraId="7028139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881EDBA">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1200</w:t>
            </w:r>
          </w:p>
        </w:tc>
        <w:tc>
          <w:tcPr>
            <w:tcW w:w="5227" w:type="dxa"/>
            <w:vAlign w:val="center"/>
          </w:tcPr>
          <w:p w14:paraId="1582C131">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性状】本品呈扁圆形，直径4～8mm，表面灰黑色，具放射状纹理，中部略凸起，种脐部凹陷，边缘白色，并具一环状纵沟。除去果皮，种子呈三角状肾形，表面棕褐色，长3～4mm，质坚，子叶黄白色。气微，味淡。</w:t>
            </w:r>
          </w:p>
        </w:tc>
        <w:tc>
          <w:tcPr>
            <w:tcW w:w="1811" w:type="dxa"/>
            <w:vAlign w:val="center"/>
          </w:tcPr>
          <w:p w14:paraId="22EA0E0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w:t>
            </w:r>
          </w:p>
        </w:tc>
      </w:tr>
      <w:tr w14:paraId="7100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D7CA37D">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50</w:t>
            </w:r>
          </w:p>
        </w:tc>
        <w:tc>
          <w:tcPr>
            <w:tcW w:w="1000" w:type="dxa"/>
            <w:vAlign w:val="center"/>
          </w:tcPr>
          <w:p w14:paraId="2F8CF17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余甘子</w:t>
            </w:r>
          </w:p>
        </w:tc>
        <w:tc>
          <w:tcPr>
            <w:tcW w:w="984" w:type="dxa"/>
            <w:vAlign w:val="center"/>
          </w:tcPr>
          <w:p w14:paraId="1FF0A89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2DCDCC0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500</w:t>
            </w:r>
          </w:p>
        </w:tc>
        <w:tc>
          <w:tcPr>
            <w:tcW w:w="5227" w:type="dxa"/>
            <w:vAlign w:val="center"/>
          </w:tcPr>
          <w:p w14:paraId="2A6C3704">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球形或扁球形，直径1.2～2cm。表面棕褐色或墨绿色，有浅黄色颗粒状突起，具皱纹及不明显的6棱，果梗长约1mm。外果皮厚1~4mm，质硬而脆。内果皮黄白色，硬核样，表面略具6棱，背缝线的偏上部有数条筋脉纹，干后可裂成6瓣，种子6，近三棱形，棕色。气微，味酸涩，回甜。</w:t>
            </w:r>
          </w:p>
        </w:tc>
        <w:tc>
          <w:tcPr>
            <w:tcW w:w="1811" w:type="dxa"/>
            <w:vAlign w:val="center"/>
          </w:tcPr>
          <w:p w14:paraId="6DCC557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7CA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9BD704C">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51</w:t>
            </w:r>
          </w:p>
        </w:tc>
        <w:tc>
          <w:tcPr>
            <w:tcW w:w="1000" w:type="dxa"/>
            <w:vAlign w:val="center"/>
          </w:tcPr>
          <w:p w14:paraId="7A7211D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石榴花</w:t>
            </w:r>
          </w:p>
        </w:tc>
        <w:tc>
          <w:tcPr>
            <w:tcW w:w="984" w:type="dxa"/>
            <w:vAlign w:val="center"/>
          </w:tcPr>
          <w:p w14:paraId="715F530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45B8FFB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75</w:t>
            </w:r>
          </w:p>
        </w:tc>
        <w:tc>
          <w:tcPr>
            <w:tcW w:w="5227" w:type="dxa"/>
            <w:vAlign w:val="center"/>
          </w:tcPr>
          <w:p w14:paraId="13966189">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本品多皱缩，有的破碎，完整者展平后呈卵形或卵圆形，长20~30mm,宽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20~25mm。花瓣红色或暗红色，羽状网脉，主脉基部宽至先端渐细，顶端圆形，边缘微波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状，具疏而浅的钝锯齿，基部宽楔形或近圆形。薄而质脆，易碎。气微，味苦涩。</w:t>
            </w:r>
          </w:p>
        </w:tc>
        <w:tc>
          <w:tcPr>
            <w:tcW w:w="1811" w:type="dxa"/>
            <w:vAlign w:val="center"/>
          </w:tcPr>
          <w:p w14:paraId="1CFF6CA9">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3FFD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A61D9F8">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52</w:t>
            </w:r>
          </w:p>
        </w:tc>
        <w:tc>
          <w:tcPr>
            <w:tcW w:w="1000" w:type="dxa"/>
            <w:vAlign w:val="center"/>
          </w:tcPr>
          <w:p w14:paraId="197DE7D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石榴子</w:t>
            </w:r>
          </w:p>
        </w:tc>
        <w:tc>
          <w:tcPr>
            <w:tcW w:w="984" w:type="dxa"/>
            <w:vAlign w:val="center"/>
          </w:tcPr>
          <w:p w14:paraId="6C9D2FB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B4572A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w:t>
            </w:r>
          </w:p>
        </w:tc>
        <w:tc>
          <w:tcPr>
            <w:tcW w:w="5227" w:type="dxa"/>
            <w:vAlign w:val="center"/>
          </w:tcPr>
          <w:p w14:paraId="5E24D2C1">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本品为安石榴科植物安石榴 Punica granatuml,的干燥种子，秋季果实成熟后除去果皮,晒千。【性状】 本品为具棱角的小颗粒,一端较大,有时由多数种子粘连成块状。外种皮干缩于种子表面,黄红色至暗褐色,具粘性,味甜。内种皮亚骨质,淡红棕色,质较硬，种仁乳白色,子叶重叠卷曲。气微,味酸、甜。</w:t>
            </w:r>
          </w:p>
        </w:tc>
        <w:tc>
          <w:tcPr>
            <w:tcW w:w="1811" w:type="dxa"/>
            <w:vAlign w:val="center"/>
          </w:tcPr>
          <w:p w14:paraId="02A60F56">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卫生部药品标准 1995年版藏药药分册 WS:-BC-0026-95 </w:t>
            </w:r>
          </w:p>
        </w:tc>
      </w:tr>
      <w:tr w14:paraId="3F4F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892067B">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53</w:t>
            </w:r>
          </w:p>
        </w:tc>
        <w:tc>
          <w:tcPr>
            <w:tcW w:w="1000" w:type="dxa"/>
            <w:vAlign w:val="center"/>
          </w:tcPr>
          <w:p w14:paraId="55E270D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石榴皮</w:t>
            </w:r>
          </w:p>
        </w:tc>
        <w:tc>
          <w:tcPr>
            <w:tcW w:w="984" w:type="dxa"/>
            <w:vAlign w:val="center"/>
          </w:tcPr>
          <w:p w14:paraId="4DC9CB3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4BA9D05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40</w:t>
            </w:r>
          </w:p>
        </w:tc>
        <w:tc>
          <w:tcPr>
            <w:tcW w:w="5227" w:type="dxa"/>
            <w:vAlign w:val="center"/>
          </w:tcPr>
          <w:p w14:paraId="4A073970">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石榴皮本品呈不规则的片状或块状,外表面红棕色、棕黄色或暗棕色,略有光泽,粗糙,有多数疣状突起,有的有突起的筒状宿萼及粗短果梗或果梗痕。内表面黄色或红棕色,有隆起呈网状的果蒂残痕。质硬而脆,断面黄色,略显颗粒状。气微,味苦涩。石榴皮炭形如石榴皮,表面黑黄色,内部棕褐色。</w:t>
            </w:r>
          </w:p>
        </w:tc>
        <w:tc>
          <w:tcPr>
            <w:tcW w:w="1811" w:type="dxa"/>
            <w:vAlign w:val="center"/>
          </w:tcPr>
          <w:p w14:paraId="62560D8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新疆维吾尔自治区中药维吾尔药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饮片炮制规范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2010年版</w:t>
            </w:r>
          </w:p>
        </w:tc>
      </w:tr>
      <w:tr w14:paraId="5032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E021EB9">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54</w:t>
            </w:r>
          </w:p>
        </w:tc>
        <w:tc>
          <w:tcPr>
            <w:tcW w:w="1000" w:type="dxa"/>
            <w:vAlign w:val="center"/>
          </w:tcPr>
          <w:p w14:paraId="7EC994FC">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大麦</w:t>
            </w:r>
          </w:p>
        </w:tc>
        <w:tc>
          <w:tcPr>
            <w:tcW w:w="984" w:type="dxa"/>
            <w:vAlign w:val="center"/>
          </w:tcPr>
          <w:p w14:paraId="2F0886E5">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E3FA503">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4781861C">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本品呈梭形，两端狭尖，长6.5~10mm,直径2.5~4mm,厚1.5~2.5mm。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表面黄色，背面浑圆，为外稃包围，具5脉，先端长芒已断落。腹面为内稃包围，有一条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纵沟。除去内外稃片后，果皮黄色。质硬，断面白色，粉性。无臭，味微甘。</w:t>
            </w:r>
          </w:p>
        </w:tc>
        <w:tc>
          <w:tcPr>
            <w:tcW w:w="1811" w:type="dxa"/>
            <w:vAlign w:val="center"/>
          </w:tcPr>
          <w:p w14:paraId="5228B7BD">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B2A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BFFA5E0">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55</w:t>
            </w:r>
          </w:p>
        </w:tc>
        <w:tc>
          <w:tcPr>
            <w:tcW w:w="1000" w:type="dxa"/>
            <w:vAlign w:val="center"/>
          </w:tcPr>
          <w:p w14:paraId="5CE2A477">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欧矢车菊</w:t>
            </w:r>
          </w:p>
        </w:tc>
        <w:tc>
          <w:tcPr>
            <w:tcW w:w="984" w:type="dxa"/>
            <w:vAlign w:val="center"/>
          </w:tcPr>
          <w:p w14:paraId="1B75E368">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2ABABCE0">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0B26F80C">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本品呈类圆形或不规则的厚片。外表面类白色，或残存极少量浅棕色、深棕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色或红棕色栓皮，有纵棱。偶见断续环节痕。质硬，较脆，断面淡黄白色或淡黄棕色。根</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木质部发达，具放射性纹理，断面可见黄色细小木心形成层环明显.根茎髓部宽广。味微甘涩。</w:t>
            </w:r>
          </w:p>
        </w:tc>
        <w:tc>
          <w:tcPr>
            <w:tcW w:w="1811" w:type="dxa"/>
            <w:vAlign w:val="center"/>
          </w:tcPr>
          <w:p w14:paraId="6443713B">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CBB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921C082">
            <w:pPr>
              <w:keepNext w:val="0"/>
              <w:keepLines w:val="0"/>
              <w:widowControl/>
              <w:suppressLineNumbers w:val="0"/>
              <w:jc w:val="center"/>
              <w:textAlignment w:val="center"/>
              <w:rPr>
                <w:rFonts w:hint="default" w:ascii="宋体" w:hAnsi="宋体" w:cs="宋体"/>
                <w:kern w:val="2"/>
                <w:sz w:val="21"/>
                <w:szCs w:val="21"/>
                <w:vertAlign w:val="baseli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56</w:t>
            </w:r>
          </w:p>
        </w:tc>
        <w:tc>
          <w:tcPr>
            <w:tcW w:w="1000" w:type="dxa"/>
            <w:vAlign w:val="center"/>
          </w:tcPr>
          <w:p w14:paraId="5C147A4F">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白独行菜子</w:t>
            </w:r>
          </w:p>
        </w:tc>
        <w:tc>
          <w:tcPr>
            <w:tcW w:w="984" w:type="dxa"/>
            <w:vAlign w:val="center"/>
          </w:tcPr>
          <w:p w14:paraId="3FEA1B8E">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C498BE1">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4711959E">
            <w:pPr>
              <w:keepNext w:val="0"/>
              <w:keepLines w:val="0"/>
              <w:widowControl/>
              <w:suppressLineNumbers w:val="0"/>
              <w:jc w:val="left"/>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家独行菜子：【性状】本品呈扁，卵形，长2～2.5mm，宽1～1.5mm。表面棕红色，有细微的颗粒状突起，一端钝圆，另一端有纵沟2条，在浅沟外被短柔毛，种脐位于凹陷处。气微，味辛、微苦。遇水有粘滑性。</w:t>
            </w:r>
          </w:p>
        </w:tc>
        <w:tc>
          <w:tcPr>
            <w:tcW w:w="1811" w:type="dxa"/>
            <w:vAlign w:val="center"/>
          </w:tcPr>
          <w:p w14:paraId="54A4FED2">
            <w:pPr>
              <w:keepNext w:val="0"/>
              <w:keepLines w:val="0"/>
              <w:widowControl/>
              <w:suppressLineNumbers w:val="0"/>
              <w:jc w:val="center"/>
              <w:textAlignment w:val="center"/>
              <w:rPr>
                <w:rFonts w:hint="default" w:ascii="宋体" w:hAnsi="宋体" w:cs="宋体"/>
                <w:kern w:val="2"/>
                <w:sz w:val="20"/>
                <w:szCs w:val="20"/>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卫生部药品标准1998年版维吾尔药分册</w:t>
            </w:r>
          </w:p>
        </w:tc>
      </w:tr>
      <w:tr w14:paraId="6083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620567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57</w:t>
            </w:r>
          </w:p>
        </w:tc>
        <w:tc>
          <w:tcPr>
            <w:tcW w:w="1000" w:type="dxa"/>
            <w:vAlign w:val="center"/>
          </w:tcPr>
          <w:p w14:paraId="29D330C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阿纳其根</w:t>
            </w:r>
          </w:p>
        </w:tc>
        <w:tc>
          <w:tcPr>
            <w:tcW w:w="984" w:type="dxa"/>
            <w:vAlign w:val="center"/>
          </w:tcPr>
          <w:p w14:paraId="7077705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053E857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227" w:type="dxa"/>
            <w:vAlign w:val="center"/>
          </w:tcPr>
          <w:p w14:paraId="37BA222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本品呈短段，圆柱形，表皮面黄棕色至灰棕色，有明显的纵沟及少数侧根痕，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有的可见网状皱纹。质较坚硬，断面皮部棕色，木部棕黄色。气芳香而特异、微有刺激感，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味辛辣而麻舌。</w:t>
            </w:r>
          </w:p>
        </w:tc>
        <w:tc>
          <w:tcPr>
            <w:tcW w:w="1811" w:type="dxa"/>
            <w:vAlign w:val="center"/>
          </w:tcPr>
          <w:p w14:paraId="7EEFDCD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E1C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19C80B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58</w:t>
            </w:r>
          </w:p>
        </w:tc>
        <w:tc>
          <w:tcPr>
            <w:tcW w:w="1000" w:type="dxa"/>
            <w:vAlign w:val="center"/>
          </w:tcPr>
          <w:p w14:paraId="66517C0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阿拉伯胶树汁</w:t>
            </w:r>
          </w:p>
        </w:tc>
        <w:tc>
          <w:tcPr>
            <w:tcW w:w="984" w:type="dxa"/>
            <w:vAlign w:val="center"/>
          </w:tcPr>
          <w:p w14:paraId="20FC9F8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455C10A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0D4146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[来源] 为豆科植物阿拉伯胶树Acacia senegal Willd.或其近缘种的果实和树叶被挤出后的汁液凝固物。[原植物] 参见“阿拉伯胶”条。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[采收加工1将果实和树叶挤出汁液，在阳光下晒干成凝固物。</w:t>
            </w:r>
          </w:p>
        </w:tc>
        <w:tc>
          <w:tcPr>
            <w:tcW w:w="1811" w:type="dxa"/>
            <w:vAlign w:val="center"/>
          </w:tcPr>
          <w:p w14:paraId="12CD430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《中华本草》203页  </w:t>
            </w:r>
          </w:p>
        </w:tc>
      </w:tr>
      <w:tr w14:paraId="634E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6C5C86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59</w:t>
            </w:r>
          </w:p>
        </w:tc>
        <w:tc>
          <w:tcPr>
            <w:tcW w:w="1000" w:type="dxa"/>
            <w:vAlign w:val="center"/>
          </w:tcPr>
          <w:p w14:paraId="6A92690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乌梅</w:t>
            </w:r>
          </w:p>
        </w:tc>
        <w:tc>
          <w:tcPr>
            <w:tcW w:w="984" w:type="dxa"/>
            <w:vAlign w:val="center"/>
          </w:tcPr>
          <w:p w14:paraId="59597F9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40C3318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5227" w:type="dxa"/>
            <w:vAlign w:val="center"/>
          </w:tcPr>
          <w:p w14:paraId="731583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本品呈类球形或扁球形，直径1.5～3cm。表面乌黑色或棕黑色，皱缩不平，基部有圆形果梗痕。果核坚硬，椭圆形，棕黄色，表面有凹点；种子扁卵形，淡黄色。气微，味极酸。</w:t>
            </w:r>
          </w:p>
        </w:tc>
        <w:tc>
          <w:tcPr>
            <w:tcW w:w="1811" w:type="dxa"/>
            <w:vAlign w:val="center"/>
          </w:tcPr>
          <w:p w14:paraId="269358E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826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AD02B5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60</w:t>
            </w:r>
          </w:p>
        </w:tc>
        <w:tc>
          <w:tcPr>
            <w:tcW w:w="1000" w:type="dxa"/>
            <w:vAlign w:val="center"/>
          </w:tcPr>
          <w:p w14:paraId="7C2074F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罗勒子</w:t>
            </w:r>
          </w:p>
        </w:tc>
        <w:tc>
          <w:tcPr>
            <w:tcW w:w="984" w:type="dxa"/>
            <w:vAlign w:val="center"/>
          </w:tcPr>
          <w:p w14:paraId="3F9B2A4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D59AB3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227" w:type="dxa"/>
            <w:vAlign w:val="center"/>
          </w:tcPr>
          <w:p w14:paraId="09E305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小坚果扁卵形，长2.5～2.8mm，宽1.4～1.7mm，厚0.8～1.1mm。表面棕黑色，略有光泽，解剖镜下可见密布细小疣状突起。顶端钝，截形，基部具3锐棱，中心偏靠背面有灰白色果脐，背面中央有一纵棱，两边各1个。果皮坚硬，水浸后强烈黏液化。种子1枚，椭圆形，浅黄色，顶端钝，下端有一尖突。腹面有一浅棕色种脊，合点位于中部稍上方，种皮薄，膜质。种仁黄白色，有油性。胚根短小。子叶2枚，肥厚。无臭，味淡。</w:t>
            </w:r>
          </w:p>
        </w:tc>
        <w:tc>
          <w:tcPr>
            <w:tcW w:w="1811" w:type="dxa"/>
            <w:vAlign w:val="center"/>
          </w:tcPr>
          <w:p w14:paraId="6A78A13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C69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C87624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61</w:t>
            </w:r>
          </w:p>
        </w:tc>
        <w:tc>
          <w:tcPr>
            <w:tcW w:w="1000" w:type="dxa"/>
            <w:vAlign w:val="center"/>
          </w:tcPr>
          <w:p w14:paraId="762A375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沙龙子</w:t>
            </w:r>
          </w:p>
        </w:tc>
        <w:tc>
          <w:tcPr>
            <w:tcW w:w="984" w:type="dxa"/>
            <w:vAlign w:val="center"/>
          </w:tcPr>
          <w:p w14:paraId="1786E01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2E9A882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509F4E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柱状，头体长8.0～10.5cm，尾长3.0～5.5cm。头较小，呈长圆形，吻端钝圆，较狭，鼻孔位于吻端的上方，吻鳞1片，大型。体背橙红色，体侧灰白色，每侧有5～7块黑斑，腹面白色，全体具蜡状光泽，除头部以外均被大型圆鳞，复瓦状排列，背脊纵行隆起，呈梭状。四足细弱而短，5趾，边缘具栉齿，尾部骤细。气腥，味微咸。</w:t>
            </w:r>
          </w:p>
        </w:tc>
        <w:tc>
          <w:tcPr>
            <w:tcW w:w="1811" w:type="dxa"/>
            <w:vAlign w:val="center"/>
          </w:tcPr>
          <w:p w14:paraId="348D227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1811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4F2C41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62</w:t>
            </w:r>
          </w:p>
        </w:tc>
        <w:tc>
          <w:tcPr>
            <w:tcW w:w="1000" w:type="dxa"/>
            <w:vAlign w:val="center"/>
          </w:tcPr>
          <w:p w14:paraId="788C629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无花果</w:t>
            </w:r>
          </w:p>
        </w:tc>
        <w:tc>
          <w:tcPr>
            <w:tcW w:w="984" w:type="dxa"/>
            <w:vAlign w:val="center"/>
          </w:tcPr>
          <w:p w14:paraId="13C466A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6BA03CA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227" w:type="dxa"/>
            <w:vAlign w:val="center"/>
          </w:tcPr>
          <w:p w14:paraId="38BF55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多呈扁圆形，有的呈类圆形、梨状或挤压成不规则形，直径2.5~4.5cm，厚0.5~3cm。上端中央有脐状凸起，并有孔隙;下端亦微凸起，有托梗相连，基部有3枚三角形伏贴的苞片或托梗脱落及苞片的残痕。表面淡黄棕色至暗紫褐色，有10余条微隆起的纵皱和脉纹，加糖者皱纹不明显。切面黄白色、肉红色或黄棕色，肉壁着生众多卵圆形黄棕色小瘦果，果长1~2mm，以及枯萎的小花。质柔软。气微，嚼之微甜而有黏滑感。</w:t>
            </w:r>
          </w:p>
        </w:tc>
        <w:tc>
          <w:tcPr>
            <w:tcW w:w="1811" w:type="dxa"/>
            <w:vAlign w:val="center"/>
          </w:tcPr>
          <w:p w14:paraId="6858B67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FC8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30AF91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63</w:t>
            </w:r>
          </w:p>
        </w:tc>
        <w:tc>
          <w:tcPr>
            <w:tcW w:w="1000" w:type="dxa"/>
            <w:vAlign w:val="center"/>
          </w:tcPr>
          <w:p w14:paraId="03BE8FB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五味子</w:t>
            </w:r>
          </w:p>
        </w:tc>
        <w:tc>
          <w:tcPr>
            <w:tcW w:w="984" w:type="dxa"/>
            <w:vAlign w:val="center"/>
          </w:tcPr>
          <w:p w14:paraId="799F805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6B44370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5227" w:type="dxa"/>
            <w:vAlign w:val="center"/>
          </w:tcPr>
          <w:p w14:paraId="294708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的球形或扁球形，直径5～8mm。表面红色、紫红色或暗红色，皱缩，显油润；有的表面呈黑红色或出现“白霜”。果肉柔软，种子1～2，肾形，表面棕黄色，有光泽，种皮薄而脆。果肉气微，味酸；种子破碎后，有香气，味辛、微苦。</w:t>
            </w:r>
          </w:p>
        </w:tc>
        <w:tc>
          <w:tcPr>
            <w:tcW w:w="1811" w:type="dxa"/>
            <w:vAlign w:val="center"/>
          </w:tcPr>
          <w:p w14:paraId="49717C8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546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AD6F0A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64</w:t>
            </w:r>
          </w:p>
        </w:tc>
        <w:tc>
          <w:tcPr>
            <w:tcW w:w="1000" w:type="dxa"/>
            <w:vAlign w:val="center"/>
          </w:tcPr>
          <w:p w14:paraId="7AE1716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小茴香</w:t>
            </w:r>
          </w:p>
        </w:tc>
        <w:tc>
          <w:tcPr>
            <w:tcW w:w="984" w:type="dxa"/>
            <w:vAlign w:val="center"/>
          </w:tcPr>
          <w:p w14:paraId="2793B43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185EE86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1800</w:t>
            </w:r>
          </w:p>
        </w:tc>
        <w:tc>
          <w:tcPr>
            <w:tcW w:w="5227" w:type="dxa"/>
            <w:vAlign w:val="center"/>
          </w:tcPr>
          <w:p w14:paraId="7DDA2B8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双悬果，呈圆柱形，有的稍弯曲，长4～8mm，直径1.5～2.5mm。表面黄绿色或淡黄色，两端略尖，顶端残留有黄棕色突起的柱基，基部有时有细小的果梗。分果呈长椭圆形，背面有纵棱5条，接合面平坦而较宽。横切面略呈五边形，背面的四边约等长。有特异香气，味微甜、辛。</w:t>
            </w:r>
          </w:p>
        </w:tc>
        <w:tc>
          <w:tcPr>
            <w:tcW w:w="1811" w:type="dxa"/>
            <w:vAlign w:val="center"/>
          </w:tcPr>
          <w:p w14:paraId="51EC56A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21B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3CB99F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65</w:t>
            </w:r>
          </w:p>
        </w:tc>
        <w:tc>
          <w:tcPr>
            <w:tcW w:w="1000" w:type="dxa"/>
            <w:vAlign w:val="center"/>
          </w:tcPr>
          <w:p w14:paraId="5EDC01D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龙涎香</w:t>
            </w:r>
          </w:p>
        </w:tc>
        <w:tc>
          <w:tcPr>
            <w:tcW w:w="984" w:type="dxa"/>
            <w:vAlign w:val="center"/>
          </w:tcPr>
          <w:p w14:paraId="520859A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g/瓶</w:t>
            </w:r>
          </w:p>
        </w:tc>
        <w:tc>
          <w:tcPr>
            <w:tcW w:w="945" w:type="dxa"/>
            <w:vAlign w:val="center"/>
          </w:tcPr>
          <w:p w14:paraId="7AFDD7B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5227" w:type="dxa"/>
            <w:vAlign w:val="center"/>
          </w:tcPr>
          <w:p w14:paraId="48F5A6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本品呈不透明蜡样块状物，大小不一。灰绿色、黄褐色至黑褐色，有时带五彩斑纹和白粉霜。气特异芳香浓郁而持久，味微甜酸，嚼之粘牙。</w:t>
            </w:r>
          </w:p>
        </w:tc>
        <w:tc>
          <w:tcPr>
            <w:tcW w:w="1811" w:type="dxa"/>
            <w:vAlign w:val="center"/>
          </w:tcPr>
          <w:p w14:paraId="4700259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19D1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47CE23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66</w:t>
            </w:r>
          </w:p>
        </w:tc>
        <w:tc>
          <w:tcPr>
            <w:tcW w:w="1000" w:type="dxa"/>
            <w:vAlign w:val="center"/>
          </w:tcPr>
          <w:p w14:paraId="59D8193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补骨脂</w:t>
            </w:r>
          </w:p>
        </w:tc>
        <w:tc>
          <w:tcPr>
            <w:tcW w:w="984" w:type="dxa"/>
            <w:vAlign w:val="center"/>
          </w:tcPr>
          <w:p w14:paraId="1653D90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3C719D3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95</w:t>
            </w:r>
          </w:p>
        </w:tc>
        <w:tc>
          <w:tcPr>
            <w:tcW w:w="5227" w:type="dxa"/>
            <w:vAlign w:val="center"/>
          </w:tcPr>
          <w:p w14:paraId="7A9CA5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肾形，略扁，长3～5mm，宽2～4mm，厚约1.5mm。表面黑色、黑褐色或灰褐色，具细微网状皱纹。顶端圆钝，有一小突起，凹侧有果梗痕。质硬。果皮薄，与种子不易分离；种子1枚，子叶2，黄白色，有油性。气香，味辛、微苦。</w:t>
            </w:r>
          </w:p>
        </w:tc>
        <w:tc>
          <w:tcPr>
            <w:tcW w:w="1811" w:type="dxa"/>
            <w:vAlign w:val="center"/>
          </w:tcPr>
          <w:p w14:paraId="0523120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DB9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505716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67</w:t>
            </w:r>
          </w:p>
        </w:tc>
        <w:tc>
          <w:tcPr>
            <w:tcW w:w="1000" w:type="dxa"/>
            <w:vAlign w:val="center"/>
          </w:tcPr>
          <w:p w14:paraId="6949E80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鹿角</w:t>
            </w:r>
          </w:p>
        </w:tc>
        <w:tc>
          <w:tcPr>
            <w:tcW w:w="984" w:type="dxa"/>
            <w:vAlign w:val="center"/>
          </w:tcPr>
          <w:p w14:paraId="6FA5442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78EBB45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227" w:type="dxa"/>
            <w:vAlign w:val="center"/>
          </w:tcPr>
          <w:p w14:paraId="25CEA0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【性状】马鹿角 呈分枝状，通常分成4～6枝，全长50～120cm。主枝弯曲，直径3～6cm。基部盘状，上具不规则瘤状突起，习称“珍珠盘”，周边常有稀疏细小的孔洞。侧枝多向一面伸展，第一枝与珍珠盘相距较近，与主干几成直角或钝角伸出，第二枝靠近第一枝伸出，习称“坐地分枝”；第二枝与第三枝相距较远。表面灰褐色或灰黄色，有光泽，角尖平滑，中、下部常具疣状突起，习称“骨钉”，并具长短不等的断续纵棱，习称“苦瓜棱”。质坚硬，断面外圈骨质，灰白色或微带淡褐色，中部多呈灰褐色或青灰色，具蜂窝状孔。气微，味微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梅花鹿角 通常分成3～4枝，全长30～60cm，直径2.5～5cm。侧枝多向两旁伸展，第一枝与珍珠盘相距较近，第二枝与第一枝相距较远，主枝末端分成两小枝。表面黄棕色或灰棕色，枝端灰白色。枝端以下具明显骨钉，纵向排成“苦瓜棱”，顶部灰白色或灰黄色，有光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鹿角脱盘 呈盔状或扁盔状，直径3～6cm（珍珠盘直径4.5～6.5cm），高1.5～4cm。表面灰褐色或灰黄色，有光泽。底面平，蜂窝状，多呈黄白色或黄棕色。珍珠盘周边常有稀疏细小的孔洞。上面略平或呈不规则的半球形。质坚硬，断面外圈骨质，灰白色或类白色。</w:t>
            </w:r>
          </w:p>
        </w:tc>
        <w:tc>
          <w:tcPr>
            <w:tcW w:w="1811" w:type="dxa"/>
            <w:vAlign w:val="center"/>
          </w:tcPr>
          <w:p w14:paraId="422F7DC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E55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5F88F0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68</w:t>
            </w:r>
          </w:p>
        </w:tc>
        <w:tc>
          <w:tcPr>
            <w:tcW w:w="1000" w:type="dxa"/>
            <w:vAlign w:val="center"/>
          </w:tcPr>
          <w:p w14:paraId="5BB9C94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牛鞭</w:t>
            </w:r>
          </w:p>
        </w:tc>
        <w:tc>
          <w:tcPr>
            <w:tcW w:w="984" w:type="dxa"/>
            <w:vAlign w:val="center"/>
          </w:tcPr>
          <w:p w14:paraId="171EEDE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45" w:type="dxa"/>
            <w:vAlign w:val="center"/>
          </w:tcPr>
          <w:p w14:paraId="58DA633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227" w:type="dxa"/>
            <w:vAlign w:val="center"/>
          </w:tcPr>
          <w:p w14:paraId="620970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牛鞭片本品为圆形片，表面红棕色至黄褐色，半透明或不透明。气微腥，味微咸。牛鞭粉 本品为红棕色至黄褐色的粉末。气微腥，味微咸。</w:t>
            </w:r>
          </w:p>
        </w:tc>
        <w:tc>
          <w:tcPr>
            <w:tcW w:w="1811" w:type="dxa"/>
            <w:vAlign w:val="center"/>
          </w:tcPr>
          <w:p w14:paraId="3506AE7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bl>
    <w:p w14:paraId="650FACD6">
      <w:pPr>
        <w:numPr>
          <w:ilvl w:val="0"/>
          <w:numId w:val="0"/>
        </w:numPr>
        <w:kinsoku w:val="0"/>
        <w:autoSpaceDE w:val="0"/>
        <w:autoSpaceDN w:val="0"/>
        <w:adjustRightInd w:val="0"/>
        <w:snapToGrid w:val="0"/>
        <w:spacing w:line="240" w:lineRule="auto"/>
        <w:ind w:leftChars="-200" w:right="-519" w:rightChars="-247"/>
        <w:jc w:val="both"/>
        <w:textAlignment w:val="baseline"/>
        <w:rPr>
          <w:rFonts w:hint="default" w:ascii="宋体" w:hAnsi="宋体" w:cs="宋体"/>
          <w:kern w:val="2"/>
          <w:sz w:val="28"/>
          <w:szCs w:val="28"/>
          <w:lang w:val="en-US" w:eastAsia="zh-CN" w:bidi="ar-SA"/>
        </w:rPr>
      </w:pPr>
      <w:r>
        <w:rPr>
          <w:rFonts w:hint="eastAsia" w:ascii="宋体" w:hAnsi="宋体" w:cs="宋体"/>
          <w:kern w:val="2"/>
          <w:sz w:val="24"/>
          <w:szCs w:val="24"/>
          <w:highlight w:val="none"/>
          <w:lang w:val="en-US" w:eastAsia="zh-CN" w:bidi="ar-SA"/>
        </w:rPr>
        <w:t>注：以上各药品的数量为预估数量，投标供应商参考使用，并不代表实际配送全部种类及数量（具体数量以实际订购数量为准）。中标供应商不得以此为由要求采购人进货及补偿。本采购明细不作为最终的结算依据。</w:t>
      </w:r>
    </w:p>
    <w:p w14:paraId="2990C548">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xml:space="preserve">  </w:t>
      </w:r>
    </w:p>
    <w:p w14:paraId="7C47BF85">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28"/>
          <w:szCs w:val="28"/>
          <w:lang w:val="en-US" w:eastAsia="zh-CN" w:bidi="ar-SA"/>
        </w:rPr>
      </w:pPr>
    </w:p>
    <w:p w14:paraId="693C167F">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xml:space="preserve"> 包1  需要提供样品的目录</w:t>
      </w:r>
    </w:p>
    <w:p w14:paraId="309C26DD">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8"/>
          <w:szCs w:val="28"/>
          <w:lang w:val="en-US" w:eastAsia="zh-CN" w:bidi="ar-SA"/>
        </w:rPr>
      </w:pPr>
    </w:p>
    <w:tbl>
      <w:tblPr>
        <w:tblStyle w:val="26"/>
        <w:tblW w:w="738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2133"/>
        <w:gridCol w:w="2478"/>
        <w:gridCol w:w="2166"/>
      </w:tblGrid>
      <w:tr w14:paraId="5BF3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DE1F">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27F6">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金箔</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45EC">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17A2">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54FB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F32C">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60E5">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乳香</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F257">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96C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64A1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F365">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4AA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丁香</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283D">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91FB">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35A6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C449">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B821">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肉桂</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915">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4FCB">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0CC9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E2DA">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E0F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黄连（片）</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DC20">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FE6D">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37CC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DE5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240B">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全蝎</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B54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30A9">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6669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7A49">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58BC">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荜茇</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DD4C">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B210">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1872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3557">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E6E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西红花</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D2FB">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146B">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7058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91B7">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9</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4573">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阿纳其根</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4DEF">
            <w:pPr>
              <w:numPr>
                <w:ilvl w:val="0"/>
                <w:numId w:val="0"/>
              </w:numPr>
              <w:kinsoku w:val="0"/>
              <w:autoSpaceDE w:val="0"/>
              <w:autoSpaceDN w:val="0"/>
              <w:adjustRightInd w:val="0"/>
              <w:snapToGrid w:val="0"/>
              <w:spacing w:line="240" w:lineRule="auto"/>
              <w:ind w:left="-420" w:leftChars="-200" w:firstLine="0" w:firstLineChars="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AA71">
            <w:pPr>
              <w:numPr>
                <w:ilvl w:val="0"/>
                <w:numId w:val="0"/>
              </w:numPr>
              <w:kinsoku w:val="0"/>
              <w:autoSpaceDE w:val="0"/>
              <w:autoSpaceDN w:val="0"/>
              <w:adjustRightInd w:val="0"/>
              <w:snapToGrid w:val="0"/>
              <w:spacing w:line="240" w:lineRule="auto"/>
              <w:ind w:left="-420" w:leftChars="-200" w:firstLine="0" w:firstLineChars="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7F79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0C13">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253B">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沙龙子</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E4A2">
            <w:pPr>
              <w:numPr>
                <w:ilvl w:val="0"/>
                <w:numId w:val="0"/>
              </w:numPr>
              <w:kinsoku w:val="0"/>
              <w:autoSpaceDE w:val="0"/>
              <w:autoSpaceDN w:val="0"/>
              <w:adjustRightInd w:val="0"/>
              <w:snapToGrid w:val="0"/>
              <w:spacing w:line="240" w:lineRule="auto"/>
              <w:ind w:left="-420" w:leftChars="-200" w:firstLine="0" w:firstLineChars="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4494">
            <w:pPr>
              <w:numPr>
                <w:ilvl w:val="0"/>
                <w:numId w:val="0"/>
              </w:numPr>
              <w:kinsoku w:val="0"/>
              <w:autoSpaceDE w:val="0"/>
              <w:autoSpaceDN w:val="0"/>
              <w:adjustRightInd w:val="0"/>
              <w:snapToGrid w:val="0"/>
              <w:spacing w:line="240" w:lineRule="auto"/>
              <w:ind w:left="-420" w:leftChars="-200" w:firstLine="0" w:firstLineChars="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r w14:paraId="6FFF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9B53">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11</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C824">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小茴香</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66AB">
            <w:pPr>
              <w:numPr>
                <w:ilvl w:val="0"/>
                <w:numId w:val="0"/>
              </w:numPr>
              <w:kinsoku w:val="0"/>
              <w:autoSpaceDE w:val="0"/>
              <w:autoSpaceDN w:val="0"/>
              <w:adjustRightInd w:val="0"/>
              <w:snapToGrid w:val="0"/>
              <w:spacing w:line="240" w:lineRule="auto"/>
              <w:ind w:left="-420" w:leftChars="-200" w:firstLine="0" w:firstLineChars="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C26">
            <w:pPr>
              <w:numPr>
                <w:ilvl w:val="0"/>
                <w:numId w:val="0"/>
              </w:numPr>
              <w:kinsoku w:val="0"/>
              <w:autoSpaceDE w:val="0"/>
              <w:autoSpaceDN w:val="0"/>
              <w:adjustRightInd w:val="0"/>
              <w:snapToGrid w:val="0"/>
              <w:spacing w:line="240" w:lineRule="auto"/>
              <w:ind w:left="-420" w:leftChars="-200" w:firstLine="0" w:firstLineChars="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第一包</w:t>
            </w:r>
          </w:p>
        </w:tc>
      </w:tr>
    </w:tbl>
    <w:p w14:paraId="785E49FC">
      <w:pPr>
        <w:numPr>
          <w:ilvl w:val="0"/>
          <w:numId w:val="0"/>
        </w:numPr>
        <w:kinsoku w:val="0"/>
        <w:autoSpaceDE w:val="0"/>
        <w:autoSpaceDN w:val="0"/>
        <w:adjustRightInd w:val="0"/>
        <w:snapToGrid w:val="0"/>
        <w:spacing w:line="240" w:lineRule="auto"/>
        <w:ind w:leftChars="-200"/>
        <w:jc w:val="both"/>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xml:space="preserve">                        </w:t>
      </w:r>
    </w:p>
    <w:p w14:paraId="1A0BCDCC">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357A92C4">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7B1D9AF9">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7F326E27">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3992AD7F">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7A7DBFAB">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7C333B3D">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7BBE0BF2">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0ADE2FC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5D6E4966">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包2</w:t>
      </w:r>
    </w:p>
    <w:tbl>
      <w:tblPr>
        <w:tblStyle w:val="27"/>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62"/>
        <w:gridCol w:w="761"/>
        <w:gridCol w:w="977"/>
        <w:gridCol w:w="5456"/>
        <w:gridCol w:w="1811"/>
      </w:tblGrid>
      <w:tr w14:paraId="6B95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93C5A3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序号</w:t>
            </w:r>
          </w:p>
        </w:tc>
        <w:tc>
          <w:tcPr>
            <w:tcW w:w="962" w:type="dxa"/>
            <w:vAlign w:val="center"/>
          </w:tcPr>
          <w:p w14:paraId="34C7194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kern w:val="2"/>
                <w:sz w:val="28"/>
                <w:szCs w:val="28"/>
                <w:lang w:val="en-US" w:eastAsia="zh-CN" w:bidi="ar-SA"/>
              </w:rPr>
              <w:t>★</w:t>
            </w:r>
            <w:r>
              <w:rPr>
                <w:rFonts w:hint="eastAsia" w:ascii="宋体" w:hAnsi="宋体" w:eastAsia="宋体" w:cs="宋体"/>
                <w:i w:val="0"/>
                <w:iCs w:val="0"/>
                <w:snapToGrid w:val="0"/>
                <w:color w:val="000000"/>
                <w:kern w:val="0"/>
                <w:sz w:val="21"/>
                <w:szCs w:val="21"/>
                <w:u w:val="none"/>
                <w:lang w:val="en-US" w:eastAsia="zh-CN" w:bidi="ar"/>
              </w:rPr>
              <w:t>药名</w:t>
            </w:r>
          </w:p>
        </w:tc>
        <w:tc>
          <w:tcPr>
            <w:tcW w:w="761" w:type="dxa"/>
            <w:vAlign w:val="center"/>
          </w:tcPr>
          <w:p w14:paraId="02A6BA8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kern w:val="2"/>
                <w:sz w:val="28"/>
                <w:szCs w:val="28"/>
                <w:lang w:val="en-US" w:eastAsia="zh-CN" w:bidi="ar-SA"/>
              </w:rPr>
              <w:t>★</w:t>
            </w:r>
            <w:r>
              <w:rPr>
                <w:rFonts w:hint="eastAsia" w:ascii="宋体" w:hAnsi="宋体" w:eastAsia="宋体" w:cs="宋体"/>
                <w:i w:val="0"/>
                <w:iCs w:val="0"/>
                <w:snapToGrid w:val="0"/>
                <w:color w:val="000000"/>
                <w:kern w:val="0"/>
                <w:sz w:val="21"/>
                <w:szCs w:val="21"/>
                <w:u w:val="none"/>
                <w:lang w:val="en-US" w:eastAsia="zh-CN" w:bidi="ar"/>
              </w:rPr>
              <w:t>规格/单位</w:t>
            </w:r>
          </w:p>
        </w:tc>
        <w:tc>
          <w:tcPr>
            <w:tcW w:w="977" w:type="dxa"/>
            <w:vAlign w:val="center"/>
          </w:tcPr>
          <w:p w14:paraId="00089C5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年使用量(kg)</w:t>
            </w:r>
          </w:p>
        </w:tc>
        <w:tc>
          <w:tcPr>
            <w:tcW w:w="5456" w:type="dxa"/>
            <w:vAlign w:val="center"/>
          </w:tcPr>
          <w:p w14:paraId="44C5D70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性能说明</w:t>
            </w:r>
          </w:p>
        </w:tc>
        <w:tc>
          <w:tcPr>
            <w:tcW w:w="1811" w:type="dxa"/>
            <w:vAlign w:val="center"/>
          </w:tcPr>
          <w:p w14:paraId="43E8068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执行标准</w:t>
            </w:r>
          </w:p>
        </w:tc>
      </w:tr>
      <w:tr w14:paraId="5A85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DFC156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962" w:type="dxa"/>
            <w:vAlign w:val="center"/>
          </w:tcPr>
          <w:p w14:paraId="7E50C31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芦荟（粉）</w:t>
            </w:r>
          </w:p>
        </w:tc>
        <w:tc>
          <w:tcPr>
            <w:tcW w:w="761" w:type="dxa"/>
            <w:vAlign w:val="center"/>
          </w:tcPr>
          <w:p w14:paraId="6A01E3D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9FE32B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2100</w:t>
            </w:r>
          </w:p>
        </w:tc>
        <w:tc>
          <w:tcPr>
            <w:tcW w:w="5456" w:type="dxa"/>
            <w:vAlign w:val="center"/>
          </w:tcPr>
          <w:p w14:paraId="0D8D6931">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本品为百合科植物库拉索芦荟Aloe barbadensis Miller、好望角芦荟Aloe ferox Miller或其他同属近缘植物叶的汁液浓缩干燥物。前者习称“老芦荟”，后者习称“新芦荟”         粉碎成粉末</w:t>
            </w:r>
          </w:p>
        </w:tc>
        <w:tc>
          <w:tcPr>
            <w:tcW w:w="1811" w:type="dxa"/>
            <w:vAlign w:val="center"/>
          </w:tcPr>
          <w:p w14:paraId="3911418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863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47B510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962" w:type="dxa"/>
            <w:vAlign w:val="center"/>
          </w:tcPr>
          <w:p w14:paraId="067E6D7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芦荟</w:t>
            </w:r>
          </w:p>
        </w:tc>
        <w:tc>
          <w:tcPr>
            <w:tcW w:w="761" w:type="dxa"/>
            <w:vAlign w:val="center"/>
          </w:tcPr>
          <w:p w14:paraId="5D3052B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2678CA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5456" w:type="dxa"/>
            <w:vAlign w:val="center"/>
          </w:tcPr>
          <w:p w14:paraId="435832FB">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本品为百合科植物库拉索芦荟Aloe barbadensis Miller、好望角芦荟Aloe ferox Miller或其他同属近缘植物叶的汁液浓缩干燥物。前者习称“老芦荟”，后者习称“新芦荟”。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【性状】库拉索芦荟  呈不规则块状，常破裂为多角形，大小不一。表面呈暗红褐色或深褐色，无光泽。体轻，质硬，不易破碎，断面粗糙或显麻纹。富吸湿性。有特殊臭气，味极苦。</w:t>
            </w:r>
          </w:p>
        </w:tc>
        <w:tc>
          <w:tcPr>
            <w:tcW w:w="1811" w:type="dxa"/>
            <w:vAlign w:val="center"/>
          </w:tcPr>
          <w:p w14:paraId="382EB11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FC8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87AE53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w:t>
            </w:r>
          </w:p>
        </w:tc>
        <w:tc>
          <w:tcPr>
            <w:tcW w:w="962" w:type="dxa"/>
            <w:vAlign w:val="center"/>
          </w:tcPr>
          <w:p w14:paraId="03320C6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秋水仙</w:t>
            </w:r>
          </w:p>
        </w:tc>
        <w:tc>
          <w:tcPr>
            <w:tcW w:w="761" w:type="dxa"/>
            <w:vAlign w:val="center"/>
          </w:tcPr>
          <w:p w14:paraId="5CB94EB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3E192E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5456" w:type="dxa"/>
            <w:vAlign w:val="center"/>
          </w:tcPr>
          <w:p w14:paraId="01A6649E">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本品呈片状或丝状。表面灰黄白色或淡棕黄色，质稍硬，易断，断面白色或淡灰黄色，粉性。气微芳香，味苦。</w:t>
            </w:r>
          </w:p>
        </w:tc>
        <w:tc>
          <w:tcPr>
            <w:tcW w:w="1811" w:type="dxa"/>
            <w:vAlign w:val="center"/>
          </w:tcPr>
          <w:p w14:paraId="0829F85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198B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13AB7B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962" w:type="dxa"/>
            <w:vAlign w:val="center"/>
          </w:tcPr>
          <w:p w14:paraId="7E8DC00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甘松</w:t>
            </w:r>
          </w:p>
        </w:tc>
        <w:tc>
          <w:tcPr>
            <w:tcW w:w="761" w:type="dxa"/>
            <w:vAlign w:val="center"/>
          </w:tcPr>
          <w:p w14:paraId="512E215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16DA7F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5E30E815">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略呈圆锥形，多弯曲，长5～18cm。根茎短小，上端有茎、叶残基，呈狭长的膜质片状或纤维状。外层黑棕色，内层棕色或黄色。根单一或数条交结、分枝或并列，直径0.3～1cm。表面棕褐色，皱缩，有细根和须根。质松脆，易折断，断面粗糙，皮部深棕色，常成裂片状，木部黄白色。气特异，味苦而辛，有清凉感。</w:t>
            </w:r>
          </w:p>
        </w:tc>
        <w:tc>
          <w:tcPr>
            <w:tcW w:w="1811" w:type="dxa"/>
            <w:vAlign w:val="center"/>
          </w:tcPr>
          <w:p w14:paraId="2E69D9F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862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11D7BC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w:t>
            </w:r>
          </w:p>
        </w:tc>
        <w:tc>
          <w:tcPr>
            <w:tcW w:w="962" w:type="dxa"/>
            <w:vAlign w:val="center"/>
          </w:tcPr>
          <w:p w14:paraId="7A73CA3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番泻叶</w:t>
            </w:r>
          </w:p>
        </w:tc>
        <w:tc>
          <w:tcPr>
            <w:tcW w:w="761" w:type="dxa"/>
            <w:vAlign w:val="center"/>
          </w:tcPr>
          <w:p w14:paraId="3FC7F5F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9318F5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5456" w:type="dxa"/>
            <w:vAlign w:val="center"/>
          </w:tcPr>
          <w:p w14:paraId="1B4075FC">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狭叶番泻    呈长卵形或卵状披针形，长1.5～5cm，宽0.4～2cm，叶端急尖，叶基稍不对称，全缘。上表面黄绿色，下表面浅黄绿色，无毛或近无毛，叶脉稍隆起。革质。气微弱而特异，味微苦，稍有黏性。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尖叶番泻    呈披针形或长卵形，略卷曲，叶端短尖或微突，叶基不对称，两面均有细短毛茸。</w:t>
            </w:r>
          </w:p>
        </w:tc>
        <w:tc>
          <w:tcPr>
            <w:tcW w:w="1811" w:type="dxa"/>
            <w:vAlign w:val="center"/>
          </w:tcPr>
          <w:p w14:paraId="24C4893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355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7BEF2E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w:t>
            </w:r>
          </w:p>
        </w:tc>
        <w:tc>
          <w:tcPr>
            <w:tcW w:w="962" w:type="dxa"/>
            <w:vAlign w:val="center"/>
          </w:tcPr>
          <w:p w14:paraId="4384F8D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艾叶</w:t>
            </w:r>
          </w:p>
        </w:tc>
        <w:tc>
          <w:tcPr>
            <w:tcW w:w="761" w:type="dxa"/>
            <w:vAlign w:val="center"/>
          </w:tcPr>
          <w:p w14:paraId="2451AAE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CB876A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w:t>
            </w:r>
          </w:p>
        </w:tc>
        <w:tc>
          <w:tcPr>
            <w:tcW w:w="5456" w:type="dxa"/>
            <w:vAlign w:val="center"/>
          </w:tcPr>
          <w:p w14:paraId="09530077">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多皱缩、破碎，有短柄。完整叶片展平后呈卵状椭圆形，羽状深裂，裂片椭圆状披针形，边缘有不规则的粗锯齿；上表面灰绿色或深黄绿色，有稀疏的柔毛和腺点；下表面密生灰白色绒毛。质柔软。气清香，味苦。</w:t>
            </w:r>
          </w:p>
        </w:tc>
        <w:tc>
          <w:tcPr>
            <w:tcW w:w="1811" w:type="dxa"/>
            <w:vAlign w:val="center"/>
          </w:tcPr>
          <w:p w14:paraId="122C9B7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C54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92C151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w:t>
            </w:r>
          </w:p>
        </w:tc>
        <w:tc>
          <w:tcPr>
            <w:tcW w:w="962" w:type="dxa"/>
            <w:vAlign w:val="center"/>
          </w:tcPr>
          <w:p w14:paraId="7807854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菟丝草</w:t>
            </w:r>
          </w:p>
        </w:tc>
        <w:tc>
          <w:tcPr>
            <w:tcW w:w="761" w:type="dxa"/>
            <w:vAlign w:val="center"/>
          </w:tcPr>
          <w:p w14:paraId="3B5322C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326A4E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350</w:t>
            </w:r>
          </w:p>
        </w:tc>
        <w:tc>
          <w:tcPr>
            <w:tcW w:w="5456" w:type="dxa"/>
            <w:vAlign w:val="center"/>
          </w:tcPr>
          <w:p w14:paraId="0D8C76D4">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本品茎多缠绕成团，棕黄色，柔细。叶退化成鳞片状，多脱落。花簇生于茎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节，成球形。常有圆形或扁球形的果实，棕黄色。气微，味苦。</w:t>
            </w:r>
          </w:p>
        </w:tc>
        <w:tc>
          <w:tcPr>
            <w:tcW w:w="1811" w:type="dxa"/>
            <w:vAlign w:val="center"/>
          </w:tcPr>
          <w:p w14:paraId="30348A0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0D8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C94791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w:t>
            </w:r>
          </w:p>
        </w:tc>
        <w:tc>
          <w:tcPr>
            <w:tcW w:w="962" w:type="dxa"/>
            <w:vAlign w:val="center"/>
          </w:tcPr>
          <w:p w14:paraId="50A589B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菟丝子</w:t>
            </w:r>
          </w:p>
        </w:tc>
        <w:tc>
          <w:tcPr>
            <w:tcW w:w="761" w:type="dxa"/>
            <w:vAlign w:val="center"/>
          </w:tcPr>
          <w:p w14:paraId="19A95F8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5871B8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5456" w:type="dxa"/>
            <w:vAlign w:val="center"/>
          </w:tcPr>
          <w:p w14:paraId="7407B22E">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本品呈类球形，直径1～1.5mm。表面灰棕色或黄棕色，具细密突起的小点，一端有微凹的线形种脐。质坚实，不易以指甲压碎。气微，味淡</w:t>
            </w:r>
          </w:p>
        </w:tc>
        <w:tc>
          <w:tcPr>
            <w:tcW w:w="1811" w:type="dxa"/>
            <w:vAlign w:val="center"/>
          </w:tcPr>
          <w:p w14:paraId="5F5E2D7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w:t>
            </w:r>
          </w:p>
        </w:tc>
      </w:tr>
      <w:tr w14:paraId="6922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2524565">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w:t>
            </w:r>
          </w:p>
        </w:tc>
        <w:tc>
          <w:tcPr>
            <w:tcW w:w="962" w:type="dxa"/>
            <w:vAlign w:val="center"/>
          </w:tcPr>
          <w:p w14:paraId="4FD7833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阿拉伯胶</w:t>
            </w:r>
          </w:p>
        </w:tc>
        <w:tc>
          <w:tcPr>
            <w:tcW w:w="761" w:type="dxa"/>
            <w:vAlign w:val="center"/>
          </w:tcPr>
          <w:p w14:paraId="5E1E492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8210E2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09D0D914">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本品呈类圆形的颗粒或多角形的碎块，大小不等。无色或淡黄色半透明，通</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常在表面龟裂成众多网纹。质脆易碎，破碎面呈玻璃状，常有珍珠样光泽。气微，味淡有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黏滑感。</w:t>
            </w:r>
          </w:p>
        </w:tc>
        <w:tc>
          <w:tcPr>
            <w:tcW w:w="1811" w:type="dxa"/>
            <w:vAlign w:val="center"/>
          </w:tcPr>
          <w:p w14:paraId="54F1B6D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1742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3EFE6F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w:t>
            </w:r>
          </w:p>
        </w:tc>
        <w:tc>
          <w:tcPr>
            <w:tcW w:w="962" w:type="dxa"/>
            <w:vAlign w:val="center"/>
          </w:tcPr>
          <w:p w14:paraId="7DE11DD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苦艾</w:t>
            </w:r>
          </w:p>
        </w:tc>
        <w:tc>
          <w:tcPr>
            <w:tcW w:w="761" w:type="dxa"/>
            <w:vAlign w:val="center"/>
          </w:tcPr>
          <w:p w14:paraId="3F97A9E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511DC0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3491FADF">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茎与叶为银灰色，外被大量丝状紧贴的柔毛，用手触之有柔软感。茎具纵向明显条棱，横断面白色，有髓。叶互生，下部叶有柄，多破碎，完整叶用水湿润展平后，为2~3回羽状分裂，小叶片三角状圆形，中部叶无柄，2回羽状分裂，上部叶为羽状分裂。苞片3裂或不裂，裂片线状长椭圆形，钝尖，全缘或有锯齿喙。有众多下垂球形头状花序，直径3~4mm。总苞2~3层，覆瓦状排列，外层苞片线状，密被绵毛。内侧苞片椭圆形，膜质。花托具白毛。花黄绿色，中央花两性，杯状；边花雌性，狭筒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气芳香，味苦。</w:t>
            </w:r>
          </w:p>
        </w:tc>
        <w:tc>
          <w:tcPr>
            <w:tcW w:w="1811" w:type="dxa"/>
            <w:vAlign w:val="center"/>
          </w:tcPr>
          <w:p w14:paraId="69D2EE6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FC1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A5E16F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w:t>
            </w:r>
          </w:p>
        </w:tc>
        <w:tc>
          <w:tcPr>
            <w:tcW w:w="962" w:type="dxa"/>
            <w:vAlign w:val="center"/>
          </w:tcPr>
          <w:p w14:paraId="2BE0B5F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野葱</w:t>
            </w:r>
          </w:p>
        </w:tc>
        <w:tc>
          <w:tcPr>
            <w:tcW w:w="761" w:type="dxa"/>
            <w:vAlign w:val="center"/>
          </w:tcPr>
          <w:p w14:paraId="6CA675F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ED10DD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5DAE6948">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本品圆柱形或狭卵状圆柱形，直径0.5~1.5cm,长5~10cm。鳞茎外皮老时曷色或褐色，纤维状或呈不明显网状。薄膜质，常条裂。外被宿存的纤维状叶鞘，有残的须根。气微，味微辛。</w:t>
            </w:r>
          </w:p>
        </w:tc>
        <w:tc>
          <w:tcPr>
            <w:tcW w:w="1811" w:type="dxa"/>
            <w:vAlign w:val="center"/>
          </w:tcPr>
          <w:p w14:paraId="40F0046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F07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BBD5E45">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w:t>
            </w:r>
          </w:p>
        </w:tc>
        <w:tc>
          <w:tcPr>
            <w:tcW w:w="962" w:type="dxa"/>
            <w:vAlign w:val="center"/>
          </w:tcPr>
          <w:p w14:paraId="07941B7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甘草味胶</w:t>
            </w:r>
          </w:p>
        </w:tc>
        <w:tc>
          <w:tcPr>
            <w:tcW w:w="761" w:type="dxa"/>
            <w:vAlign w:val="center"/>
          </w:tcPr>
          <w:p w14:paraId="1C7CE37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7BF8E5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04D18E65">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本品呈不规则团块或细小颗粒状。表面黄白色至深红色，略具玻璃样光泽。质脆，易碎，破碎面不平坦，其色与表面基本一致而较新鲜。气微，味特异，微甜而后苦。</w:t>
            </w:r>
          </w:p>
        </w:tc>
        <w:tc>
          <w:tcPr>
            <w:tcW w:w="1811" w:type="dxa"/>
            <w:vAlign w:val="center"/>
          </w:tcPr>
          <w:p w14:paraId="43A5D9E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D51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BCAD44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w:t>
            </w:r>
          </w:p>
        </w:tc>
        <w:tc>
          <w:tcPr>
            <w:tcW w:w="962" w:type="dxa"/>
            <w:vAlign w:val="center"/>
          </w:tcPr>
          <w:p w14:paraId="52E4B2B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龙葵果</w:t>
            </w:r>
          </w:p>
        </w:tc>
        <w:tc>
          <w:tcPr>
            <w:tcW w:w="761" w:type="dxa"/>
            <w:vAlign w:val="center"/>
          </w:tcPr>
          <w:p w14:paraId="13E23FF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48D8BD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1500</w:t>
            </w:r>
          </w:p>
        </w:tc>
        <w:tc>
          <w:tcPr>
            <w:tcW w:w="5456" w:type="dxa"/>
            <w:vAlign w:val="center"/>
          </w:tcPr>
          <w:p w14:paraId="4954829B">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本品呈类球形，皱缩，直径2~5mm。表面黑褐色、橙红色或黄绿色，顶端有一圆形花柱残痕，下端有一细果柄，体轻易破碎，种子多数圆扁形，黄白色。气微，味甜酸、微苦。</w:t>
            </w:r>
          </w:p>
        </w:tc>
        <w:tc>
          <w:tcPr>
            <w:tcW w:w="1811" w:type="dxa"/>
            <w:vAlign w:val="center"/>
          </w:tcPr>
          <w:p w14:paraId="36745D8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377E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341A72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w:t>
            </w:r>
          </w:p>
        </w:tc>
        <w:tc>
          <w:tcPr>
            <w:tcW w:w="962" w:type="dxa"/>
            <w:vAlign w:val="center"/>
          </w:tcPr>
          <w:p w14:paraId="3AE279D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蚕茧(制）</w:t>
            </w:r>
          </w:p>
        </w:tc>
        <w:tc>
          <w:tcPr>
            <w:tcW w:w="761" w:type="dxa"/>
            <w:vAlign w:val="center"/>
          </w:tcPr>
          <w:p w14:paraId="7E324C0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00F9BD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1DCF331D">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多呈长椭圆形，椭圆束腰形、球形或纺锤形等不同形状，或中部稍缢缩，可见剪开的破口。长3~4cm,直径1.5~2.5cm。表面乳白色或黄白色，有不规则皱纹，并有附着的蚕丝，呈绒毛状。内壁具薄的丝网层，壁的断面稍剥离可见多数明显的茧层。质轻而韧，不易撕破。气微，味淡。</w:t>
            </w:r>
          </w:p>
        </w:tc>
        <w:tc>
          <w:tcPr>
            <w:tcW w:w="1811" w:type="dxa"/>
            <w:vAlign w:val="center"/>
          </w:tcPr>
          <w:p w14:paraId="738F697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AB5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DF2AF1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w:t>
            </w:r>
          </w:p>
        </w:tc>
        <w:tc>
          <w:tcPr>
            <w:tcW w:w="962" w:type="dxa"/>
            <w:vAlign w:val="center"/>
          </w:tcPr>
          <w:p w14:paraId="75B8988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洋甘菊</w:t>
            </w:r>
          </w:p>
        </w:tc>
        <w:tc>
          <w:tcPr>
            <w:tcW w:w="761" w:type="dxa"/>
            <w:vAlign w:val="center"/>
          </w:tcPr>
          <w:p w14:paraId="62B4F63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8CBC5A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1600</w:t>
            </w:r>
          </w:p>
        </w:tc>
        <w:tc>
          <w:tcPr>
            <w:tcW w:w="5456" w:type="dxa"/>
            <w:vAlign w:val="center"/>
          </w:tcPr>
          <w:p w14:paraId="10FE686F">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段，茎枝细弱，具纵棱，直径1~2mm。绿色至红褐色。总苞呈半圆形，2层，边缘宽膜质，长卵形，内外层均绿，外层苞片具绒毛。花托呈圆锥形，宽1.5~2mm。花异形，边花舌状，雌性。花瓣宽卵形，白色，宽2mm,先端浅裂。中央花两性，管状，黄色，顶端4~5齿裂。气芳香，味苦。</w:t>
            </w:r>
          </w:p>
        </w:tc>
        <w:tc>
          <w:tcPr>
            <w:tcW w:w="1811" w:type="dxa"/>
            <w:vAlign w:val="center"/>
          </w:tcPr>
          <w:p w14:paraId="6E8FEFA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296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3ED803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w:t>
            </w:r>
          </w:p>
        </w:tc>
        <w:tc>
          <w:tcPr>
            <w:tcW w:w="962" w:type="dxa"/>
            <w:vAlign w:val="center"/>
          </w:tcPr>
          <w:p w14:paraId="34125C2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菊苣根</w:t>
            </w:r>
          </w:p>
        </w:tc>
        <w:tc>
          <w:tcPr>
            <w:tcW w:w="761" w:type="dxa"/>
            <w:vAlign w:val="center"/>
          </w:tcPr>
          <w:p w14:paraId="1E65E13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95106A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413AABBF">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菊苣根 顶端有时有2～3叉。表面灰棕色至褐色，粗糙，具深纵纹，外皮常脱落，脱落后显棕色至棕褐色，有少数侧根和须根。嚼之有韧性。</w:t>
            </w:r>
          </w:p>
        </w:tc>
        <w:tc>
          <w:tcPr>
            <w:tcW w:w="1811" w:type="dxa"/>
            <w:vAlign w:val="center"/>
          </w:tcPr>
          <w:p w14:paraId="78C312E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《中华本草》168页  </w:t>
            </w:r>
          </w:p>
        </w:tc>
      </w:tr>
      <w:tr w14:paraId="0422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A4D31A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w:t>
            </w:r>
          </w:p>
        </w:tc>
        <w:tc>
          <w:tcPr>
            <w:tcW w:w="962" w:type="dxa"/>
            <w:vAlign w:val="center"/>
          </w:tcPr>
          <w:p w14:paraId="467D6C5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燀巴旦仁</w:t>
            </w:r>
          </w:p>
        </w:tc>
        <w:tc>
          <w:tcPr>
            <w:tcW w:w="761" w:type="dxa"/>
            <w:vAlign w:val="center"/>
          </w:tcPr>
          <w:p w14:paraId="1DAF2D8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9C758E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5456" w:type="dxa"/>
            <w:vAlign w:val="center"/>
          </w:tcPr>
          <w:p w14:paraId="55FFB8C1">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本品呈扁长卵形，长2.2~3.5cm,宽约1.5cm。表面红棕色，顶端稍尖，底部圆形，顶端有线形脐点，底部有合点，由合点处向上具有多数维管束，呈暗色纹理。子叶2枚，乳白色，富油性。气微，味甘</w:t>
            </w:r>
          </w:p>
        </w:tc>
        <w:tc>
          <w:tcPr>
            <w:tcW w:w="1811" w:type="dxa"/>
            <w:vAlign w:val="center"/>
          </w:tcPr>
          <w:p w14:paraId="65F30B1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5D7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D39C8D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w:t>
            </w:r>
          </w:p>
        </w:tc>
        <w:tc>
          <w:tcPr>
            <w:tcW w:w="962" w:type="dxa"/>
            <w:vAlign w:val="center"/>
          </w:tcPr>
          <w:p w14:paraId="71D6B07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檀香</w:t>
            </w:r>
          </w:p>
        </w:tc>
        <w:tc>
          <w:tcPr>
            <w:tcW w:w="761" w:type="dxa"/>
            <w:vAlign w:val="center"/>
          </w:tcPr>
          <w:p w14:paraId="207F709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F7B8AB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w:t>
            </w:r>
          </w:p>
        </w:tc>
        <w:tc>
          <w:tcPr>
            <w:tcW w:w="5456" w:type="dxa"/>
            <w:vAlign w:val="center"/>
          </w:tcPr>
          <w:p w14:paraId="23B0B133">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长短不一的圆柱形木段，有的略弯曲，一般长约1m，直径10～30cm。外表面灰黄色或黄褐色，光滑细腻，有的具疤节或纵裂，横截面呈棕黄色，显油迹；棕色年轮明显或不明显，纵向劈开纹理顺直。质坚实，不易折断。气清香，燃烧时香气更浓；味淡，嚼之微有辛辣感。</w:t>
            </w:r>
          </w:p>
        </w:tc>
        <w:tc>
          <w:tcPr>
            <w:tcW w:w="1811" w:type="dxa"/>
            <w:vAlign w:val="center"/>
          </w:tcPr>
          <w:p w14:paraId="29A64C1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603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B72AC2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w:t>
            </w:r>
          </w:p>
        </w:tc>
        <w:tc>
          <w:tcPr>
            <w:tcW w:w="962" w:type="dxa"/>
            <w:vAlign w:val="center"/>
          </w:tcPr>
          <w:p w14:paraId="14734E7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紫檀香</w:t>
            </w:r>
          </w:p>
        </w:tc>
        <w:tc>
          <w:tcPr>
            <w:tcW w:w="761" w:type="dxa"/>
            <w:vAlign w:val="center"/>
          </w:tcPr>
          <w:p w14:paraId="25984AE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70AC29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250</w:t>
            </w:r>
          </w:p>
        </w:tc>
        <w:tc>
          <w:tcPr>
            <w:tcW w:w="5456" w:type="dxa"/>
            <w:vAlign w:val="center"/>
          </w:tcPr>
          <w:p w14:paraId="751B8A7B">
            <w:pPr>
              <w:keepNext w:val="0"/>
              <w:keepLines w:val="0"/>
              <w:widowControl/>
              <w:suppressLineNumbers w:val="0"/>
              <w:spacing w:after="240" w:afterAutospacing="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长圆柱形，长约100cm，直径7～15cm。红棕色，带绿色光泽，鲜品为鲜红色；质致密而重，但易割断，其横断面可见巨大的孔点，纵切面成细条形。可见红色树脂状物，以水煮，不产生红色溶液，但易溶于乙醇中。气微香，无臭、无味。</w:t>
            </w:r>
          </w:p>
        </w:tc>
        <w:tc>
          <w:tcPr>
            <w:tcW w:w="1811" w:type="dxa"/>
            <w:vAlign w:val="center"/>
          </w:tcPr>
          <w:p w14:paraId="5D6A39C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1998年版藏药分册</w:t>
            </w:r>
          </w:p>
        </w:tc>
      </w:tr>
      <w:tr w14:paraId="5678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7E02A6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w:t>
            </w:r>
          </w:p>
        </w:tc>
        <w:tc>
          <w:tcPr>
            <w:tcW w:w="962" w:type="dxa"/>
            <w:vAlign w:val="center"/>
          </w:tcPr>
          <w:p w14:paraId="4FB0B65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湖蛙</w:t>
            </w:r>
          </w:p>
        </w:tc>
        <w:tc>
          <w:tcPr>
            <w:tcW w:w="761" w:type="dxa"/>
            <w:vAlign w:val="center"/>
          </w:tcPr>
          <w:p w14:paraId="340333E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391D3C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5456" w:type="dxa"/>
            <w:vAlign w:val="center"/>
          </w:tcPr>
          <w:p w14:paraId="239F688C">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全体瘪干萎缩，体长（吻端至后肢趾端）10～15cm，身长（吻端至尾端）3～5cm。头部略呈马蹄形，长与宽几相等，由胸至腹渐狭，两侧呈纵行的棱，脊柱及肋明晰可见。全体背部黑褐色，头部腹面淡灰色至暗灰色，胸、腹、四肢腹面及前肢腋部红褐色至暗褐色。味涩。</w:t>
            </w:r>
          </w:p>
        </w:tc>
        <w:tc>
          <w:tcPr>
            <w:tcW w:w="1811" w:type="dxa"/>
            <w:vAlign w:val="center"/>
          </w:tcPr>
          <w:p w14:paraId="6E3C856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172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EC73D9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w:t>
            </w:r>
          </w:p>
        </w:tc>
        <w:tc>
          <w:tcPr>
            <w:tcW w:w="962" w:type="dxa"/>
            <w:vAlign w:val="center"/>
          </w:tcPr>
          <w:p w14:paraId="6BF6C08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乌梢蛇</w:t>
            </w:r>
          </w:p>
        </w:tc>
        <w:tc>
          <w:tcPr>
            <w:tcW w:w="761" w:type="dxa"/>
            <w:vAlign w:val="center"/>
          </w:tcPr>
          <w:p w14:paraId="5F1E966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CC2A41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5456" w:type="dxa"/>
            <w:vAlign w:val="center"/>
          </w:tcPr>
          <w:p w14:paraId="6C38A1D2">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盘状，盘径约16cm。表面黑褐色或绿黑色，密被菱形鳞片；背鳞行数成双，背中央2～4行鳞片强烈起棱，形成两条纵贯全体的黑线。头盘在中间，扁圆形，眼大而下凹陷，有光泽。上唇鳞8枚，第4、5枚入眶，颊鳞1枚，眼前下鳞1枚，较小，眼后鳞2枚。脊部高耸成屋脊状。腹部剖开边缘向内卷曲，脊肌肉厚，黄白色或淡棕色，可见排列整齐的肋骨。尾部渐细而长，尾下鳞双行。剥皮者仅留头尾之皮鳞，中段较光滑。气腥，味淡。</w:t>
            </w:r>
          </w:p>
        </w:tc>
        <w:tc>
          <w:tcPr>
            <w:tcW w:w="1811" w:type="dxa"/>
            <w:vAlign w:val="center"/>
          </w:tcPr>
          <w:p w14:paraId="0858C7E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D9D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3F0261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w:t>
            </w:r>
          </w:p>
        </w:tc>
        <w:tc>
          <w:tcPr>
            <w:tcW w:w="962" w:type="dxa"/>
            <w:vAlign w:val="center"/>
          </w:tcPr>
          <w:p w14:paraId="70CBCCF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金钱白花蛇</w:t>
            </w:r>
          </w:p>
        </w:tc>
        <w:tc>
          <w:tcPr>
            <w:tcW w:w="761" w:type="dxa"/>
            <w:vAlign w:val="center"/>
          </w:tcPr>
          <w:p w14:paraId="287B15C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7C22DF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12307A5D">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盘状，盘径3～6cm，蛇体直径0.2～0.4cm。头盘在中间，尾细，常纳口内，口腔内上颌骨前端有毒沟牙1对，鼻间鳞2片，无颊鳞，上下唇鳞通常各为7片。背部黑色或灰黑色，有白色环纹45～58个，黑白相间，白环纹在背部宽1～2行鳞片，向腹面渐增宽，黑环纹宽3～5行鳞片，背正中明显突起一条脊棱，脊鳞扩大呈六角形，背鳞细密，通身15行，尾下鳞单行。气微腥，味微咸。</w:t>
            </w:r>
          </w:p>
        </w:tc>
        <w:tc>
          <w:tcPr>
            <w:tcW w:w="1811" w:type="dxa"/>
            <w:vAlign w:val="center"/>
          </w:tcPr>
          <w:p w14:paraId="685C0B8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62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096CDB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w:t>
            </w:r>
          </w:p>
        </w:tc>
        <w:tc>
          <w:tcPr>
            <w:tcW w:w="962" w:type="dxa"/>
            <w:vAlign w:val="center"/>
          </w:tcPr>
          <w:p w14:paraId="2E4A2F5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睡莲花</w:t>
            </w:r>
          </w:p>
        </w:tc>
        <w:tc>
          <w:tcPr>
            <w:tcW w:w="761" w:type="dxa"/>
            <w:vAlign w:val="center"/>
          </w:tcPr>
          <w:p w14:paraId="10C19AB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28CF0A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4169AB94">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锥形或长圆形，花蕾长2.5～4cm，直径约2cm，花托略呈方形。花萼4，革质，近离生，长卵状披针形，无毛，表面绿色或棕黄色。剥去花萼可见白色花瓣15～25，卵圆形。雄蕊30～40枚，花药线形，长约10mm，花丝扁平，几与花药等长。子房球形或椭圆形，无花柱或极短，柱头5～15枚，密排成轮状，中央有一凹陷窝。气微，味淡。</w:t>
            </w:r>
          </w:p>
        </w:tc>
        <w:tc>
          <w:tcPr>
            <w:tcW w:w="1811" w:type="dxa"/>
            <w:vAlign w:val="center"/>
          </w:tcPr>
          <w:p w14:paraId="73604E7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9B2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0A799E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w:t>
            </w:r>
          </w:p>
        </w:tc>
        <w:tc>
          <w:tcPr>
            <w:tcW w:w="962" w:type="dxa"/>
            <w:vAlign w:val="center"/>
          </w:tcPr>
          <w:p w14:paraId="3DFEDD0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奶桃</w:t>
            </w:r>
          </w:p>
        </w:tc>
        <w:tc>
          <w:tcPr>
            <w:tcW w:w="761" w:type="dxa"/>
            <w:vAlign w:val="center"/>
          </w:tcPr>
          <w:p w14:paraId="798E219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383A09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112</w:t>
            </w:r>
          </w:p>
        </w:tc>
        <w:tc>
          <w:tcPr>
            <w:tcW w:w="5456" w:type="dxa"/>
            <w:vAlign w:val="center"/>
          </w:tcPr>
          <w:p w14:paraId="76D34C45">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块状，直径5～15cm，有时纵剖成两瓣。种皮薄，棕紫红色，具众多凹陷的网状纹理，有的有数条纵向条纹。胚乳肥厚，白色，厚7～13mm，内有大形空腔，新鲜食之香而可口，干时较硬，折断面光滑，洁白，富油性。气微，味微苦。</w:t>
            </w:r>
          </w:p>
        </w:tc>
        <w:tc>
          <w:tcPr>
            <w:tcW w:w="1811" w:type="dxa"/>
            <w:vAlign w:val="center"/>
          </w:tcPr>
          <w:p w14:paraId="0692AF3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567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A574B3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w:t>
            </w:r>
          </w:p>
        </w:tc>
        <w:tc>
          <w:tcPr>
            <w:tcW w:w="962" w:type="dxa"/>
            <w:vAlign w:val="center"/>
          </w:tcPr>
          <w:p w14:paraId="503EFD6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大黄</w:t>
            </w:r>
          </w:p>
        </w:tc>
        <w:tc>
          <w:tcPr>
            <w:tcW w:w="761" w:type="dxa"/>
            <w:vAlign w:val="center"/>
          </w:tcPr>
          <w:p w14:paraId="73B9566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7193F3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5456" w:type="dxa"/>
            <w:vAlign w:val="center"/>
          </w:tcPr>
          <w:p w14:paraId="74713AC8">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圆柱形、圆锥形、卵圆形或不规则块状，长3～17cm，直径3～10cm。除尽外皮者表面黄棕色至红棕色，有的可见类白色网状纹理及星点（异型维管束）散在，残留的外皮棕褐色，多具绳孔及粗皱纹。质坚实，有的中心稍松软，断面淡红棕色或黄棕色，显颗粒性；根茎髓部宽广，有星点 环列或散在；根木部发达，具放射状纹理，形成层环明显，无星点。气清香，味苦而微涩，嚼之粘牙，有沙粒感。</w:t>
            </w:r>
          </w:p>
        </w:tc>
        <w:tc>
          <w:tcPr>
            <w:tcW w:w="1811" w:type="dxa"/>
            <w:vAlign w:val="center"/>
          </w:tcPr>
          <w:p w14:paraId="02FE99B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7D5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711206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w:t>
            </w:r>
          </w:p>
        </w:tc>
        <w:tc>
          <w:tcPr>
            <w:tcW w:w="962" w:type="dxa"/>
            <w:vAlign w:val="center"/>
          </w:tcPr>
          <w:p w14:paraId="7E7D707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栀子</w:t>
            </w:r>
          </w:p>
        </w:tc>
        <w:tc>
          <w:tcPr>
            <w:tcW w:w="761" w:type="dxa"/>
            <w:vAlign w:val="center"/>
          </w:tcPr>
          <w:p w14:paraId="08AB789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151D87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5456" w:type="dxa"/>
            <w:vAlign w:val="center"/>
          </w:tcPr>
          <w:p w14:paraId="3E7DF5E8">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卵圆形或椭圆形，长1.5～3.5cm，直径1～1.5cm。表面红黄色或棕红色，具6条翅状纵棱，棱间常有1条明显的纵脉纹，并有分枝。顶端残存萼片，基部稍尖，有残留果梗。果皮薄而脆，略有光泽；内表面色较浅，有光泽，具2～3条隆起的假隔膜。种子多数，扁卵圆形，集结成团，深红色或红黄色，表面密具细小疣状突起。气微，味微酸而苦。</w:t>
            </w:r>
          </w:p>
        </w:tc>
        <w:tc>
          <w:tcPr>
            <w:tcW w:w="1811" w:type="dxa"/>
            <w:vAlign w:val="center"/>
          </w:tcPr>
          <w:p w14:paraId="0BEC97A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CB4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E9FF88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w:t>
            </w:r>
          </w:p>
        </w:tc>
        <w:tc>
          <w:tcPr>
            <w:tcW w:w="962" w:type="dxa"/>
            <w:vAlign w:val="center"/>
          </w:tcPr>
          <w:p w14:paraId="11450E1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干姜</w:t>
            </w:r>
          </w:p>
        </w:tc>
        <w:tc>
          <w:tcPr>
            <w:tcW w:w="761" w:type="dxa"/>
            <w:vAlign w:val="center"/>
          </w:tcPr>
          <w:p w14:paraId="29C116C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E92DF0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1481</w:t>
            </w:r>
          </w:p>
        </w:tc>
        <w:tc>
          <w:tcPr>
            <w:tcW w:w="5456" w:type="dxa"/>
            <w:vAlign w:val="center"/>
          </w:tcPr>
          <w:p w14:paraId="411191F6">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干姜　呈扁平块状，具指状分枝，长3～7cm，厚1～2cm。表面灰黄色或浅灰棕色，粗糙，具纵皱纹和明显的环节。分枝处常有鳞叶残存，分枝顶端有茎痕或芽。质坚实，断面黄白色或灰白色，粉性或颗粒性，内皮层环纹明显，维管束及黄色油点散在。气香、特异，味辛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干姜片　本品呈不规则纵切片或斜切片，具指状分枝，长1～6cm，宽1～2cm，厚0.2～0.4cm。外皮灰黄色或浅黄棕色，粗糙，具纵皱纹及明显的环节。切面灰黄色或灰白色，略显粉性，可见较多的纵向纤维，有的呈毛状。质坚实，断面纤维性。气香、特异，味辛辣。</w:t>
            </w:r>
          </w:p>
        </w:tc>
        <w:tc>
          <w:tcPr>
            <w:tcW w:w="1811" w:type="dxa"/>
            <w:vAlign w:val="center"/>
          </w:tcPr>
          <w:p w14:paraId="031AC72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2CD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D8FB15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28</w:t>
            </w:r>
          </w:p>
        </w:tc>
        <w:tc>
          <w:tcPr>
            <w:tcW w:w="962" w:type="dxa"/>
            <w:vAlign w:val="center"/>
          </w:tcPr>
          <w:p w14:paraId="67EC5CC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郁金</w:t>
            </w:r>
          </w:p>
        </w:tc>
        <w:tc>
          <w:tcPr>
            <w:tcW w:w="761" w:type="dxa"/>
            <w:vAlign w:val="center"/>
          </w:tcPr>
          <w:p w14:paraId="7EFC450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2A0399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270</w:t>
            </w:r>
          </w:p>
        </w:tc>
        <w:tc>
          <w:tcPr>
            <w:tcW w:w="5456" w:type="dxa"/>
            <w:vAlign w:val="center"/>
          </w:tcPr>
          <w:p w14:paraId="0A1C6134">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温郁金  呈长圆形或卵圆形，稍扁，有的微弯曲，两端渐尖，长3.5～7cm，直径1.2～2.5cm。表面灰褐色或灰棕色，具不规则的纵皱纹，纵纹隆起处色较浅。质坚实，断面灰棕色，角质样；内皮层环明显。气微香，味微苦。　黄丝郁金  呈纺锤形，有的一端细长，长2.5～4.5cm，直径1～1.5cm。表面棕灰色或灰黄色，具细皱纹。断面橙黄色，外周棕黄色至棕红色。气芳香，味辛辣。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桂郁金  呈长圆锥形或长圆形，长2～6.5cm，直径1～1.8cm。表面具疏浅纵纹或较粗糙网状皱纹。气微，味微辛苦。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绿丝郁金  呈长椭圆形，较粗壮，长1.5-3.5cm，直径1～l.2cm。气微，味淡。</w:t>
            </w:r>
          </w:p>
        </w:tc>
        <w:tc>
          <w:tcPr>
            <w:tcW w:w="1811" w:type="dxa"/>
            <w:vAlign w:val="center"/>
          </w:tcPr>
          <w:p w14:paraId="5A06CD1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2F7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4F000C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29</w:t>
            </w:r>
          </w:p>
        </w:tc>
        <w:tc>
          <w:tcPr>
            <w:tcW w:w="962" w:type="dxa"/>
            <w:vAlign w:val="center"/>
          </w:tcPr>
          <w:p w14:paraId="00305CF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刺山柑根皮</w:t>
            </w:r>
          </w:p>
        </w:tc>
        <w:tc>
          <w:tcPr>
            <w:tcW w:w="761" w:type="dxa"/>
            <w:vAlign w:val="center"/>
          </w:tcPr>
          <w:p w14:paraId="2A92219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ED1348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5456" w:type="dxa"/>
            <w:vAlign w:val="center"/>
          </w:tcPr>
          <w:p w14:paraId="6182875C">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本品呈短筒状或槽状，厚0.1~0.9cm。表面灰白色或淡灰黄色，具细密的纹及多数突起的皮孔。内表面类白色，较光滑，有的有细纵纹。质硬脆，断面不平坦，呈层片状。气微，味苦而后甘</w:t>
            </w:r>
          </w:p>
        </w:tc>
        <w:tc>
          <w:tcPr>
            <w:tcW w:w="1811" w:type="dxa"/>
            <w:vAlign w:val="center"/>
          </w:tcPr>
          <w:p w14:paraId="6AF0EA7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226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A24CC6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30</w:t>
            </w:r>
          </w:p>
        </w:tc>
        <w:tc>
          <w:tcPr>
            <w:tcW w:w="962" w:type="dxa"/>
            <w:vAlign w:val="center"/>
          </w:tcPr>
          <w:p w14:paraId="6CAC644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鸢尾根</w:t>
            </w:r>
          </w:p>
        </w:tc>
        <w:tc>
          <w:tcPr>
            <w:tcW w:w="761" w:type="dxa"/>
            <w:vAlign w:val="center"/>
          </w:tcPr>
          <w:p w14:paraId="13559A8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F86DCB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5456" w:type="dxa"/>
            <w:vAlign w:val="center"/>
          </w:tcPr>
          <w:p w14:paraId="2F818DD9">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本品呈短段，直径1~1.5cm。表面浅棕黄色至棕褐色，质稍坚硬，结节处易折断，断面不平坦，黄白色。气微，味微苦而辛。</w:t>
            </w:r>
          </w:p>
        </w:tc>
        <w:tc>
          <w:tcPr>
            <w:tcW w:w="1811" w:type="dxa"/>
            <w:vAlign w:val="center"/>
          </w:tcPr>
          <w:p w14:paraId="643166C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91E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D4BD66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31</w:t>
            </w:r>
          </w:p>
        </w:tc>
        <w:tc>
          <w:tcPr>
            <w:tcW w:w="962" w:type="dxa"/>
            <w:vAlign w:val="center"/>
          </w:tcPr>
          <w:p w14:paraId="74D9D72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肉豆蔻衣</w:t>
            </w:r>
          </w:p>
        </w:tc>
        <w:tc>
          <w:tcPr>
            <w:tcW w:w="761" w:type="dxa"/>
            <w:vAlign w:val="center"/>
          </w:tcPr>
          <w:p w14:paraId="3F5A88F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2F94FD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456" w:type="dxa"/>
            <w:vAlign w:val="center"/>
          </w:tcPr>
          <w:p w14:paraId="60E68B87">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本品为扁平的裂瓣，分枝状或半筒状，常常折叠压扁，长约25mm,厚约1mm。表面淡红棕色或橙红棕色，半透明状，微具白霜，肉质油润。气香，味辛辣。</w:t>
            </w:r>
          </w:p>
        </w:tc>
        <w:tc>
          <w:tcPr>
            <w:tcW w:w="1811" w:type="dxa"/>
            <w:vAlign w:val="center"/>
          </w:tcPr>
          <w:p w14:paraId="171CC50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C55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BB81185">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32</w:t>
            </w:r>
          </w:p>
        </w:tc>
        <w:tc>
          <w:tcPr>
            <w:tcW w:w="962" w:type="dxa"/>
            <w:vAlign w:val="center"/>
          </w:tcPr>
          <w:p w14:paraId="3AA5CA7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艾菊</w:t>
            </w:r>
          </w:p>
        </w:tc>
        <w:tc>
          <w:tcPr>
            <w:tcW w:w="761" w:type="dxa"/>
            <w:vAlign w:val="center"/>
          </w:tcPr>
          <w:p w14:paraId="482B6E4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B5153C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64435AAB">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旋覆花:</w:t>
            </w:r>
            <w:r>
              <w:rPr>
                <w:rFonts w:hint="eastAsia" w:ascii="宋体" w:hAnsi="宋体" w:eastAsia="宋体" w:cs="宋体"/>
                <w:i w:val="0"/>
                <w:iCs w:val="0"/>
                <w:snapToGrid w:val="0"/>
                <w:color w:val="000000"/>
                <w:kern w:val="0"/>
                <w:sz w:val="22"/>
                <w:szCs w:val="22"/>
                <w:u w:val="none"/>
                <w:lang w:val="en-US" w:eastAsia="zh-CN" w:bidi="ar"/>
              </w:rPr>
              <w:t>本品呈扁球形或类球形，直径1～2cm。总苞由多数苞片组成，呈覆瓦状排列，苞片披针形或条形，灰黄色，长4～11mm；总苞基部有时残留花梗，苞片及花梗表面被白色茸毛，舌状花1列，黄色，长约1cm，多卷曲，常脱落，先端3齿裂；管状花多数，棕黄色，长约5mm，先端5齿裂；子房顶端有多数白色冠毛，长5～6mm。有的可见椭圆形小瘦果。体轻，易散碎。气微，味微苦。</w:t>
            </w:r>
          </w:p>
        </w:tc>
        <w:tc>
          <w:tcPr>
            <w:tcW w:w="1811" w:type="dxa"/>
            <w:vAlign w:val="center"/>
          </w:tcPr>
          <w:p w14:paraId="453FE7B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喀什地区维吾尔医医院内部控制标准</w:t>
            </w:r>
          </w:p>
        </w:tc>
      </w:tr>
      <w:tr w14:paraId="5A15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FCE53A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33</w:t>
            </w:r>
          </w:p>
        </w:tc>
        <w:tc>
          <w:tcPr>
            <w:tcW w:w="962" w:type="dxa"/>
            <w:vAlign w:val="center"/>
          </w:tcPr>
          <w:p w14:paraId="1791966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蒿柳花</w:t>
            </w:r>
          </w:p>
        </w:tc>
        <w:tc>
          <w:tcPr>
            <w:tcW w:w="761" w:type="dxa"/>
            <w:vAlign w:val="center"/>
          </w:tcPr>
          <w:p w14:paraId="719389D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EAEE62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5456" w:type="dxa"/>
            <w:vAlign w:val="center"/>
          </w:tcPr>
          <w:p w14:paraId="28579DF0">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本品为杨柳科植物蒿柳Salix viminalisL.的干燥雄花序。春季初花期采收,晒干【性状】 本品呈圆柱形,略弯曲,下端具圆形花序柱痕,上端略膨大,长1.0-~2.5cm,直径 0.3~0.5cm。整个花序黄灰色,密集绒毛和黄色花药。质柔软。气微香,味涩、微苦。</w:t>
            </w:r>
          </w:p>
        </w:tc>
        <w:tc>
          <w:tcPr>
            <w:tcW w:w="1811" w:type="dxa"/>
            <w:vAlign w:val="center"/>
          </w:tcPr>
          <w:p w14:paraId="0CB517B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w:t>
            </w:r>
          </w:p>
        </w:tc>
      </w:tr>
      <w:tr w14:paraId="246C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89EB0E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34</w:t>
            </w:r>
          </w:p>
        </w:tc>
        <w:tc>
          <w:tcPr>
            <w:tcW w:w="962" w:type="dxa"/>
            <w:vAlign w:val="center"/>
          </w:tcPr>
          <w:p w14:paraId="5EB666E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紫苏子</w:t>
            </w:r>
          </w:p>
        </w:tc>
        <w:tc>
          <w:tcPr>
            <w:tcW w:w="761" w:type="dxa"/>
            <w:vAlign w:val="center"/>
          </w:tcPr>
          <w:p w14:paraId="1967E42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7F3C6E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456" w:type="dxa"/>
            <w:vAlign w:val="center"/>
          </w:tcPr>
          <w:p w14:paraId="183112F8">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呈卵圆形或类球形，直径约1.5mm。表面灰棕色或灰褐色，有微隆起的暗紫色网纹，基部稍尖，有灰白色点状果梗痕。果皮薄而脆，易压碎。种子黄白色，种皮膜质，子叶2，类白色，有油性。压碎有香气，味微辛。</w:t>
            </w:r>
          </w:p>
        </w:tc>
        <w:tc>
          <w:tcPr>
            <w:tcW w:w="1811" w:type="dxa"/>
            <w:vAlign w:val="center"/>
          </w:tcPr>
          <w:p w14:paraId="4CFF0D1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0EF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4F85E7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35</w:t>
            </w:r>
          </w:p>
        </w:tc>
        <w:tc>
          <w:tcPr>
            <w:tcW w:w="962" w:type="dxa"/>
            <w:vAlign w:val="center"/>
          </w:tcPr>
          <w:p w14:paraId="33AFB84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苜蓿子</w:t>
            </w:r>
          </w:p>
        </w:tc>
        <w:tc>
          <w:tcPr>
            <w:tcW w:w="761" w:type="dxa"/>
            <w:vAlign w:val="center"/>
          </w:tcPr>
          <w:p w14:paraId="1155FF3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894631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6208604C">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本品呈肾形，长2.0~2.7mm,宽约1.5mm。表面黄褐或黄绿色，在较大一端有斜截面，凹处有点状种脐。种皮薄，光滑具光泽。无臭，有豆腥味。</w:t>
            </w:r>
          </w:p>
        </w:tc>
        <w:tc>
          <w:tcPr>
            <w:tcW w:w="1811" w:type="dxa"/>
            <w:vAlign w:val="center"/>
          </w:tcPr>
          <w:p w14:paraId="7C4853B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50D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575A10F">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962" w:type="dxa"/>
            <w:vAlign w:val="center"/>
          </w:tcPr>
          <w:p w14:paraId="037AA06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木瓜子</w:t>
            </w:r>
          </w:p>
        </w:tc>
        <w:tc>
          <w:tcPr>
            <w:tcW w:w="761" w:type="dxa"/>
            <w:vAlign w:val="center"/>
          </w:tcPr>
          <w:p w14:paraId="5AA3F46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FA12AB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2FC72797">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本品呈扁心形，长6.5~7.5mm,宽3.5~4.5mm。表面紫红色或紫褐色，较平滑略有光泽。一端尖，另一端钝圆，左右不对称，脉纹不明显。种皮较厚而硬，子叶2枚，乳白色，富油性。气微，味淡。</w:t>
            </w:r>
          </w:p>
        </w:tc>
        <w:tc>
          <w:tcPr>
            <w:tcW w:w="1811" w:type="dxa"/>
            <w:vAlign w:val="center"/>
          </w:tcPr>
          <w:p w14:paraId="4E28C46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2C5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8E8828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37</w:t>
            </w:r>
          </w:p>
        </w:tc>
        <w:tc>
          <w:tcPr>
            <w:tcW w:w="962" w:type="dxa"/>
            <w:vAlign w:val="center"/>
          </w:tcPr>
          <w:p w14:paraId="5C475E6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毛诃子</w:t>
            </w:r>
          </w:p>
        </w:tc>
        <w:tc>
          <w:tcPr>
            <w:tcW w:w="761" w:type="dxa"/>
            <w:vAlign w:val="center"/>
          </w:tcPr>
          <w:p w14:paraId="598A51D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2678C8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5456" w:type="dxa"/>
            <w:vAlign w:val="center"/>
          </w:tcPr>
          <w:p w14:paraId="10631456">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卵形或椭圆形，长2～3.8cm，直径1.5～3cm。表面棕褐色，被细密绒毛，基部有残留果柄或果柄痕。具5棱脊，棱脊间平滑或有不规则皱纹。质坚硬。果肉厚2～5mm，暗棕色或浅绿黄色，果核淡棕黄色。种子1，种皮棕黄色，种仁黄白色，有油性。气微，味涩、苦。</w:t>
            </w:r>
          </w:p>
        </w:tc>
        <w:tc>
          <w:tcPr>
            <w:tcW w:w="1811" w:type="dxa"/>
            <w:vAlign w:val="center"/>
          </w:tcPr>
          <w:p w14:paraId="124F019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DC1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9675CB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38</w:t>
            </w:r>
          </w:p>
        </w:tc>
        <w:tc>
          <w:tcPr>
            <w:tcW w:w="962" w:type="dxa"/>
            <w:vAlign w:val="center"/>
          </w:tcPr>
          <w:p w14:paraId="2B9547E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 香青兰</w:t>
            </w:r>
          </w:p>
        </w:tc>
        <w:tc>
          <w:tcPr>
            <w:tcW w:w="761" w:type="dxa"/>
            <w:vAlign w:val="center"/>
          </w:tcPr>
          <w:p w14:paraId="6BC9E26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FE05C4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850</w:t>
            </w:r>
          </w:p>
        </w:tc>
        <w:tc>
          <w:tcPr>
            <w:tcW w:w="5456" w:type="dxa"/>
            <w:vAlign w:val="center"/>
          </w:tcPr>
          <w:p w14:paraId="0CABAB22">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茎方形，四棱。表面黄绿色或紫红色。被倒向疏柔毛，体轻，质泡，折断面白色，中空。叶对生，有柄，多脱落或破碎；完整者披针形或狭披针形，长2~5cm,边缘有三角形锯齿，基部2齿常具芒刺，两面叶脉疏被细毛，叶背面有凹陷的棕色腺点。轮伞花序顶生，苞片长圆形，每侧有3~4个长刺齿，背面有腺点；花萼筒状，长约1cm,有纵向纹理，先端5齿裂，齿间具疣状突起，花多萎缩，蓝紫色。气清香，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微辛。</w:t>
            </w:r>
          </w:p>
        </w:tc>
        <w:tc>
          <w:tcPr>
            <w:tcW w:w="1811" w:type="dxa"/>
            <w:vAlign w:val="center"/>
          </w:tcPr>
          <w:p w14:paraId="772CCC4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122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E628B1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39</w:t>
            </w:r>
          </w:p>
        </w:tc>
        <w:tc>
          <w:tcPr>
            <w:tcW w:w="962" w:type="dxa"/>
            <w:vAlign w:val="center"/>
          </w:tcPr>
          <w:p w14:paraId="1DE6018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珊瑚</w:t>
            </w:r>
          </w:p>
        </w:tc>
        <w:tc>
          <w:tcPr>
            <w:tcW w:w="761" w:type="dxa"/>
            <w:vAlign w:val="center"/>
          </w:tcPr>
          <w:p w14:paraId="6FFDA09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7FF699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456" w:type="dxa"/>
            <w:vAlign w:val="center"/>
          </w:tcPr>
          <w:p w14:paraId="60AEF4DE">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珊瑚完整者呈小树枝状，一般多破碎成短棒状或颗粒状，长0.5~3cm，直径0.2~0.5cm，具分枝或小突起。表面橘红色至红色，具莹润光泽。质坚硬，不易折断，断面实心或具多数小孔，有的中轴为白色。无臭，无味。</w:t>
            </w:r>
          </w:p>
        </w:tc>
        <w:tc>
          <w:tcPr>
            <w:tcW w:w="1811" w:type="dxa"/>
            <w:vAlign w:val="center"/>
          </w:tcPr>
          <w:p w14:paraId="4604377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湖南省中药饮片炮制规范2010年版</w:t>
            </w:r>
          </w:p>
        </w:tc>
      </w:tr>
      <w:tr w14:paraId="713B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55B686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40</w:t>
            </w:r>
          </w:p>
        </w:tc>
        <w:tc>
          <w:tcPr>
            <w:tcW w:w="962" w:type="dxa"/>
            <w:vAlign w:val="center"/>
          </w:tcPr>
          <w:p w14:paraId="0E4BC55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水龙骨</w:t>
            </w:r>
          </w:p>
        </w:tc>
        <w:tc>
          <w:tcPr>
            <w:tcW w:w="761" w:type="dxa"/>
            <w:vAlign w:val="center"/>
          </w:tcPr>
          <w:p w14:paraId="23F0127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500E3D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5456" w:type="dxa"/>
            <w:vAlign w:val="center"/>
          </w:tcPr>
          <w:p w14:paraId="69F43E38">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本品呈短段，茎细圆柱状，直径3~4mm,稍弯曲，有的有分枝。表面棕黄色至棕褐色，有纵皱纹，一侧有须根痕或少数残留的须根。质硬而脆，易折断，断面较平滑，黄色至黄绿色。气味微，味甜。</w:t>
            </w:r>
          </w:p>
        </w:tc>
        <w:tc>
          <w:tcPr>
            <w:tcW w:w="1811" w:type="dxa"/>
            <w:vAlign w:val="center"/>
          </w:tcPr>
          <w:p w14:paraId="57E4E02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3BB8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E48A74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41</w:t>
            </w:r>
          </w:p>
        </w:tc>
        <w:tc>
          <w:tcPr>
            <w:tcW w:w="962" w:type="dxa"/>
            <w:vAlign w:val="center"/>
          </w:tcPr>
          <w:p w14:paraId="25D3573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苦豆子</w:t>
            </w:r>
          </w:p>
        </w:tc>
        <w:tc>
          <w:tcPr>
            <w:tcW w:w="761" w:type="dxa"/>
            <w:vAlign w:val="center"/>
          </w:tcPr>
          <w:p w14:paraId="54AF819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A94217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5456" w:type="dxa"/>
            <w:vAlign w:val="center"/>
          </w:tcPr>
          <w:p w14:paraId="7ED26FA0">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本品为豆科植物苦豆子Sophora alopecuroidesL的干燥成熟种子。秋季果实成熟时采收果序,晒干,打下种子,除去杂质。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本品呈扁卵形或扁椭圆形,长0.3~0.5cm,表面黄色、黄棕色或棕褐色,光滑。一侧有棕色条形中脐和凹陷的圆形珠孔。质坚,不易破碎,子叶2枚,黄色。气微,味极苦。</w:t>
            </w:r>
          </w:p>
        </w:tc>
        <w:tc>
          <w:tcPr>
            <w:tcW w:w="1811" w:type="dxa"/>
            <w:vAlign w:val="center"/>
          </w:tcPr>
          <w:p w14:paraId="4E49A27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《新疆维吾尔自治区维吾尔药材标准》2010年版第一册</w:t>
            </w:r>
          </w:p>
        </w:tc>
      </w:tr>
      <w:tr w14:paraId="5ECA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3EB3B5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42</w:t>
            </w:r>
          </w:p>
        </w:tc>
        <w:tc>
          <w:tcPr>
            <w:tcW w:w="962" w:type="dxa"/>
            <w:vAlign w:val="center"/>
          </w:tcPr>
          <w:p w14:paraId="6CACCBB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肉桂子</w:t>
            </w:r>
          </w:p>
        </w:tc>
        <w:tc>
          <w:tcPr>
            <w:tcW w:w="761" w:type="dxa"/>
            <w:vAlign w:val="center"/>
          </w:tcPr>
          <w:p w14:paraId="74FA6822">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F3FF68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5456" w:type="dxa"/>
            <w:vAlign w:val="center"/>
          </w:tcPr>
          <w:p w14:paraId="4BF8FE50">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【性状】  本品呈倒圆锥形，长4～18mm，直径4～7mm。宿萼杯状，长5～11mm，直径4～7mm，边缘有不明显的6浅齿裂；表面褐色至黑褐色，有皱纹，下部延长成萼筒，有的连有果柄。宿萼内有未成熟的果实，椭圆形或类圆形，直径2～5mm。黄棕色至棕褐色，略有光泽，有皱纹；顶端稍平截，上部有一微凸起的花柱残基，下部圆钝，可见凸起的子房柄。质松软，易压碎。气香，味甜而辛辣。 </w:t>
            </w:r>
          </w:p>
        </w:tc>
        <w:tc>
          <w:tcPr>
            <w:tcW w:w="1811" w:type="dxa"/>
            <w:vAlign w:val="center"/>
          </w:tcPr>
          <w:p w14:paraId="660F4E7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1998年版中药材分册</w:t>
            </w:r>
          </w:p>
        </w:tc>
      </w:tr>
      <w:tr w14:paraId="34A6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48AC41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43</w:t>
            </w:r>
          </w:p>
        </w:tc>
        <w:tc>
          <w:tcPr>
            <w:tcW w:w="962" w:type="dxa"/>
            <w:vAlign w:val="center"/>
          </w:tcPr>
          <w:p w14:paraId="3A4FE29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天山堇菜</w:t>
            </w:r>
          </w:p>
        </w:tc>
        <w:tc>
          <w:tcPr>
            <w:tcW w:w="761" w:type="dxa"/>
            <w:vAlign w:val="center"/>
          </w:tcPr>
          <w:p w14:paraId="2284EED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9B54CB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051304ED">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主根较粗壮，圆锥形。表面浅褐色至灰白色，有不规则的纵皱纹。根茎具环纹及叶柄残基。叶皱缩，多破碎，完整叶湿润展开后呈匙形或椭圆形，灰绿色，顶端钝圆，基部楔形，下延，有长柄。花灰蓝色，萼片5，披针形，花瓣5，倒卵形，两侧对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灰蓝色。气微芳香，味微苦辛。</w:t>
            </w:r>
          </w:p>
        </w:tc>
        <w:tc>
          <w:tcPr>
            <w:tcW w:w="1811" w:type="dxa"/>
            <w:vAlign w:val="center"/>
          </w:tcPr>
          <w:p w14:paraId="43B1A6C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2BF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759446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44</w:t>
            </w:r>
          </w:p>
        </w:tc>
        <w:tc>
          <w:tcPr>
            <w:tcW w:w="962" w:type="dxa"/>
            <w:vAlign w:val="center"/>
          </w:tcPr>
          <w:p w14:paraId="3F2C5A3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蓝薊花</w:t>
            </w:r>
          </w:p>
        </w:tc>
        <w:tc>
          <w:tcPr>
            <w:tcW w:w="761" w:type="dxa"/>
            <w:vAlign w:val="center"/>
          </w:tcPr>
          <w:p w14:paraId="6012EB5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AE7D1B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5456" w:type="dxa"/>
            <w:vAlign w:val="center"/>
          </w:tcPr>
          <w:p w14:paraId="121E6BB6">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略呈扁圆锥形，上宽下窄，长1.5~3.0cm，表面具纵棱及短柔毛。下端细，棕色，直径1~2mm，上端不整齐，蓝色至紫红色，宽3~10mm。水浸泡后完整花冠斜钟状，两侧对称。檐部不等浅裂，上方一个裂片较大。内具雄蕊五枚，花丝长1~2.5cm，花药长圆形；花柱多伸出或脱离，长1.2~2.5cm，顶端2裂。气微，味淡。</w:t>
            </w:r>
          </w:p>
        </w:tc>
        <w:tc>
          <w:tcPr>
            <w:tcW w:w="1811" w:type="dxa"/>
            <w:vAlign w:val="center"/>
          </w:tcPr>
          <w:p w14:paraId="319073C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新疆中药维吾尔药饮片炮制规范2010年版</w:t>
            </w:r>
          </w:p>
        </w:tc>
      </w:tr>
      <w:tr w14:paraId="4875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3732E7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45</w:t>
            </w:r>
          </w:p>
        </w:tc>
        <w:tc>
          <w:tcPr>
            <w:tcW w:w="962" w:type="dxa"/>
            <w:vAlign w:val="center"/>
          </w:tcPr>
          <w:p w14:paraId="4BAFA74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牛舌草</w:t>
            </w:r>
          </w:p>
        </w:tc>
        <w:tc>
          <w:tcPr>
            <w:tcW w:w="761" w:type="dxa"/>
            <w:vAlign w:val="center"/>
          </w:tcPr>
          <w:p w14:paraId="46BF71F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85A8B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5456" w:type="dxa"/>
            <w:vAlign w:val="center"/>
          </w:tcPr>
          <w:p w14:paraId="65851E57">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茎具棱，表面淡绿色，有纵皱纹，具白硬刺和刺落后微凸起的白色刺痕，质坚脆，断面黄白色，多中空。叶多破碎，卷曲或皱缩，上表面黄绿色，下表面淡黄绿色微灰白，上下表面均具众多的白色坚硬刺，或刺落后的白色斑痕。叶柄三棱形，多扭曲，上具白刺和刺痕，叶脉两边多向上表面皱卷，完整叶片展开后，先端钝圆，叶片厚，全缘，形似牛舌。气微芳香，味淡，具黏性</w:t>
            </w:r>
          </w:p>
        </w:tc>
        <w:tc>
          <w:tcPr>
            <w:tcW w:w="1811" w:type="dxa"/>
            <w:vAlign w:val="center"/>
          </w:tcPr>
          <w:p w14:paraId="1651BB0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630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1E326C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46</w:t>
            </w:r>
          </w:p>
        </w:tc>
        <w:tc>
          <w:tcPr>
            <w:tcW w:w="962" w:type="dxa"/>
            <w:vAlign w:val="center"/>
          </w:tcPr>
          <w:p w14:paraId="7FF5260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黄诃子</w:t>
            </w:r>
          </w:p>
        </w:tc>
        <w:tc>
          <w:tcPr>
            <w:tcW w:w="761" w:type="dxa"/>
            <w:vAlign w:val="center"/>
          </w:tcPr>
          <w:p w14:paraId="0C32CE1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8C4D84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5456" w:type="dxa"/>
            <w:vAlign w:val="center"/>
          </w:tcPr>
          <w:p w14:paraId="5B03A4E8">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长圆形或卵圆形，长2～4cm，直径2～2.5cm。表面黄棕色或暗棕色，略具光泽，有5～6条纵棱线和不规则的皱纹，基部有圆形果梗痕。质坚实。果肉厚0.2～0.4cm，黄棕色或黄褐色。果核长1.5～2.5cm，直径1～1.5cm，浅黄色，粗糙，坚硬。种子狭长纺锤形，长约1cm，直径0.2～0.4cm，种皮黄棕色，子叶2，白色，相互重叠卷旋。气微，味酸涩后甜。</w:t>
            </w:r>
          </w:p>
        </w:tc>
        <w:tc>
          <w:tcPr>
            <w:tcW w:w="1811" w:type="dxa"/>
            <w:vAlign w:val="center"/>
          </w:tcPr>
          <w:p w14:paraId="7EC3071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5DF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E76846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47</w:t>
            </w:r>
          </w:p>
        </w:tc>
        <w:tc>
          <w:tcPr>
            <w:tcW w:w="962" w:type="dxa"/>
            <w:vAlign w:val="center"/>
          </w:tcPr>
          <w:p w14:paraId="418D218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相思子</w:t>
            </w:r>
          </w:p>
        </w:tc>
        <w:tc>
          <w:tcPr>
            <w:tcW w:w="761" w:type="dxa"/>
            <w:vAlign w:val="center"/>
          </w:tcPr>
          <w:p w14:paraId="2BE77D8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EA51EE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319668AE">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  本品呈椭圆形或类球形，长5～7mm，直径4～6mm。一端约2/3为鲜红色，另一端约1/3为黑色，少数为全黑色，平滑有光泽。种脐白色，呈椭圆形凹陷，位于黑色端侧面。质坚硬，不易破碎，击碎后可见黄白色子叶两枚。具豆腥气，味微苦、涩。</w:t>
            </w:r>
          </w:p>
        </w:tc>
        <w:tc>
          <w:tcPr>
            <w:tcW w:w="1811" w:type="dxa"/>
            <w:vAlign w:val="center"/>
          </w:tcPr>
          <w:p w14:paraId="0E257DA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1998年版中药材分册</w:t>
            </w:r>
          </w:p>
        </w:tc>
      </w:tr>
      <w:tr w14:paraId="4231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13B065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48</w:t>
            </w:r>
          </w:p>
        </w:tc>
        <w:tc>
          <w:tcPr>
            <w:tcW w:w="962" w:type="dxa"/>
            <w:vAlign w:val="center"/>
          </w:tcPr>
          <w:p w14:paraId="1FAB4FF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冬葵果</w:t>
            </w:r>
          </w:p>
        </w:tc>
        <w:tc>
          <w:tcPr>
            <w:tcW w:w="761" w:type="dxa"/>
            <w:vAlign w:val="center"/>
          </w:tcPr>
          <w:p w14:paraId="200F48F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9F7C4F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5456" w:type="dxa"/>
            <w:vAlign w:val="center"/>
          </w:tcPr>
          <w:p w14:paraId="042D763D">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呈扁球状盘形，直径4～7mm。外被膜质宿萼，宿萼钟状，黄绿色或黄棕色，有的微带紫色，先端5齿裂，裂片内卷，其外有条状披针形的小苞片3片。果梗细短。果实由分果瓣10-12枚组成，在圆锥形中轴周围排成1轮，分果类扁圆形，直径1.4～2.5mm。表面黄白色或黄棕色，具隆起的环向细脉纹。种子肾形，棕黄色或黑褐色。气微，味涩。</w:t>
            </w:r>
          </w:p>
        </w:tc>
        <w:tc>
          <w:tcPr>
            <w:tcW w:w="1811" w:type="dxa"/>
            <w:vAlign w:val="center"/>
          </w:tcPr>
          <w:p w14:paraId="1ACC027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4D9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8278E6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49</w:t>
            </w:r>
          </w:p>
        </w:tc>
        <w:tc>
          <w:tcPr>
            <w:tcW w:w="962" w:type="dxa"/>
            <w:vAlign w:val="center"/>
          </w:tcPr>
          <w:p w14:paraId="6676515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诃子</w:t>
            </w:r>
          </w:p>
        </w:tc>
        <w:tc>
          <w:tcPr>
            <w:tcW w:w="761" w:type="dxa"/>
            <w:vAlign w:val="center"/>
          </w:tcPr>
          <w:p w14:paraId="1D45641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C2C455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5456" w:type="dxa"/>
            <w:vAlign w:val="center"/>
          </w:tcPr>
          <w:p w14:paraId="3B538C3F">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长圆形或卵圆形，长2～4cm，直径2～2.5cm。表面黄棕色或暗棕色，略具光泽，有5～6条纵棱线和不规则的皱纹，基部有圆形果梗痕。质坚实。果肉厚0.2～0.4cm，黄棕色或黄褐色。果核长1.5～2.5cm，直径1～1.5cm，浅黄色，粗糙，坚硬。种子狭长纺锤形，长约1cm，直径0.2～0.4cm，种皮黄棕色，子叶2，白色，相互重叠卷旋。气微，味酸涩后甜。</w:t>
            </w:r>
          </w:p>
        </w:tc>
        <w:tc>
          <w:tcPr>
            <w:tcW w:w="1811" w:type="dxa"/>
            <w:vAlign w:val="center"/>
          </w:tcPr>
          <w:p w14:paraId="2D80A70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35E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C8E645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50</w:t>
            </w:r>
          </w:p>
        </w:tc>
        <w:tc>
          <w:tcPr>
            <w:tcW w:w="962" w:type="dxa"/>
            <w:vAlign w:val="center"/>
          </w:tcPr>
          <w:p w14:paraId="356D87C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芝麻油</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(50ml)</w:t>
            </w:r>
          </w:p>
        </w:tc>
        <w:tc>
          <w:tcPr>
            <w:tcW w:w="761" w:type="dxa"/>
            <w:vAlign w:val="center"/>
          </w:tcPr>
          <w:p w14:paraId="48233D2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50ml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（瓶）</w:t>
            </w:r>
          </w:p>
        </w:tc>
        <w:tc>
          <w:tcPr>
            <w:tcW w:w="977" w:type="dxa"/>
            <w:vAlign w:val="center"/>
          </w:tcPr>
          <w:p w14:paraId="7C80C65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28C2728E">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【性状】本品为淡黄色或棕黄色的澄明液体；气微或带有熟芝麻的香气，味淡。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本品与三氯甲烷、乙醚、石油醚或二硫化碳能任意混溶，在乙醇中微溶。</w:t>
            </w:r>
          </w:p>
        </w:tc>
        <w:tc>
          <w:tcPr>
            <w:tcW w:w="1811" w:type="dxa"/>
            <w:vAlign w:val="center"/>
          </w:tcPr>
          <w:p w14:paraId="6D28046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9FA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A09700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51</w:t>
            </w:r>
          </w:p>
        </w:tc>
        <w:tc>
          <w:tcPr>
            <w:tcW w:w="962" w:type="dxa"/>
            <w:vAlign w:val="center"/>
          </w:tcPr>
          <w:p w14:paraId="6F725D0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海螵蛸</w:t>
            </w:r>
          </w:p>
        </w:tc>
        <w:tc>
          <w:tcPr>
            <w:tcW w:w="761" w:type="dxa"/>
            <w:vAlign w:val="center"/>
          </w:tcPr>
          <w:p w14:paraId="40F4063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634F174">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456" w:type="dxa"/>
            <w:vAlign w:val="center"/>
          </w:tcPr>
          <w:p w14:paraId="20363DB1">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无针乌贼  呈扁长椭圆形，中间厚，边缘薄，长9～14cm，宽2.5～3.5cm，厚约1.3cm。背面有磁白色脊状隆起，两侧略显微红色，有不甚明显的细小疣点；腹面白色，自尾端到中部有细密波状横层纹；角质缘半透明，尾部较宽平，无骨针。体轻，质松，易折断，断面粉质，显疏松层纹。气微腥，味微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金乌贼  长13～23cm，宽约6.5cm。背面疣点明显，略呈层状排列;腹面的细密波状横层纹占全体大部分，中间有纵向浅槽;尾部角质缘渐宽，向腹面翘起，末端有1骨针，多已断落。</w:t>
            </w:r>
          </w:p>
        </w:tc>
        <w:tc>
          <w:tcPr>
            <w:tcW w:w="1811" w:type="dxa"/>
            <w:vAlign w:val="center"/>
          </w:tcPr>
          <w:p w14:paraId="7C7091A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47D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9CF5A5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52</w:t>
            </w:r>
          </w:p>
        </w:tc>
        <w:tc>
          <w:tcPr>
            <w:tcW w:w="962" w:type="dxa"/>
            <w:vAlign w:val="center"/>
          </w:tcPr>
          <w:p w14:paraId="54913DD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南瓜子仁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（制）</w:t>
            </w:r>
          </w:p>
        </w:tc>
        <w:tc>
          <w:tcPr>
            <w:tcW w:w="761" w:type="dxa"/>
            <w:vAlign w:val="center"/>
          </w:tcPr>
          <w:p w14:paraId="3EC4FD9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8D9025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1700698A">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本品为葫芦科植物南瓜Cucurbita moschata(Duch.)Poiret.的干燥成熟种子。夏秋果实成熟时摘取,除去果壳,取出种子,洗净,晒干。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【炮制】 剥取种仁,除去杂质,干燥。</w:t>
            </w:r>
          </w:p>
        </w:tc>
        <w:tc>
          <w:tcPr>
            <w:tcW w:w="1811" w:type="dxa"/>
            <w:vAlign w:val="center"/>
          </w:tcPr>
          <w:p w14:paraId="565A5F2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新疆维吾尔自治区中药维吾尔药饮片炮制规范</w:t>
            </w:r>
          </w:p>
        </w:tc>
      </w:tr>
      <w:tr w14:paraId="3E76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DC260C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53</w:t>
            </w:r>
          </w:p>
        </w:tc>
        <w:tc>
          <w:tcPr>
            <w:tcW w:w="962" w:type="dxa"/>
            <w:vAlign w:val="center"/>
          </w:tcPr>
          <w:p w14:paraId="475D19C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棉花花</w:t>
            </w:r>
          </w:p>
        </w:tc>
        <w:tc>
          <w:tcPr>
            <w:tcW w:w="761" w:type="dxa"/>
            <w:vAlign w:val="center"/>
          </w:tcPr>
          <w:p w14:paraId="162BC69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A946EE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211484D8">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筒状，多皱缩，长2.5～5.0cm。花萼杯状，5齿裂，三角形，具散在的点状黑腺点。花瓣5片，紧密抱合；基部圆筒状黄白色，延伸到顶端渐变成紫色。有时可见未脱落的苞片，苞片3枚，基部分离，心形，边缘有7～9细长齿裂。雄蕊多数，花丝连合成筒状。质脆，气微，味微苦涩。</w:t>
            </w:r>
          </w:p>
        </w:tc>
        <w:tc>
          <w:tcPr>
            <w:tcW w:w="1811" w:type="dxa"/>
            <w:vAlign w:val="center"/>
          </w:tcPr>
          <w:p w14:paraId="767C0D7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168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286A405">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54</w:t>
            </w:r>
          </w:p>
        </w:tc>
        <w:tc>
          <w:tcPr>
            <w:tcW w:w="962" w:type="dxa"/>
            <w:vAlign w:val="center"/>
          </w:tcPr>
          <w:p w14:paraId="34A3B16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儿茶</w:t>
            </w:r>
          </w:p>
        </w:tc>
        <w:tc>
          <w:tcPr>
            <w:tcW w:w="761" w:type="dxa"/>
            <w:vAlign w:val="center"/>
          </w:tcPr>
          <w:p w14:paraId="40AD1B9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7B1D30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73C63F8B">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本品呈方形或不规则块状，大小不一。表面棕褐色或黑褐色，光滑而稍有光泽。质硬，易碎，断面不整齐，具光泽，有细孔，遇潮有黏性。气微，味涩、苦，略回甜。</w:t>
            </w:r>
          </w:p>
        </w:tc>
        <w:tc>
          <w:tcPr>
            <w:tcW w:w="1811" w:type="dxa"/>
            <w:vAlign w:val="center"/>
          </w:tcPr>
          <w:p w14:paraId="1DA5004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9BE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822613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55</w:t>
            </w:r>
          </w:p>
        </w:tc>
        <w:tc>
          <w:tcPr>
            <w:tcW w:w="962" w:type="dxa"/>
            <w:vAlign w:val="center"/>
          </w:tcPr>
          <w:p w14:paraId="1187000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海狸香</w:t>
            </w:r>
          </w:p>
        </w:tc>
        <w:tc>
          <w:tcPr>
            <w:tcW w:w="761" w:type="dxa"/>
            <w:vAlign w:val="center"/>
          </w:tcPr>
          <w:p w14:paraId="500D41D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E604398">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49568763">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欧亚海狸香：本品呈扁梨状或略呈圆的棒形，成对连接，稍压扁，不皱缩或稍具纵皱纹，长6～12cm，宽3～7cm，其外部皮膜极易剥落，内含分泌物，新鲜时为乳黄色，糊状，放置时间越长则颜色越深，多呈土棕黄色至土棕褐色，并渐变硬，剖开后可见麦粒状结块，外被以白色薄膜一般重30～200g。气特异芳香，味辛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加拿大海狸香：本品呈扁梨状或长卵形，成对连接，表面呈暗棕色或棕色至红棕色，皱缩有数条纵纹，长约8～10cm，宽约3cm，于连接处有一小开口；内含树脂状分泌物，鲜时糊状，颜色呈浅黄棕色，后渐变硬，颜色呈棕色或红棕褐色，剖开后可见麦粒状或粘结成块，其中杂有白色薄膜状皮膜。一般重为25～70g。气芳香特异，味辛辣。</w:t>
            </w:r>
          </w:p>
        </w:tc>
        <w:tc>
          <w:tcPr>
            <w:tcW w:w="1811" w:type="dxa"/>
            <w:vAlign w:val="center"/>
          </w:tcPr>
          <w:p w14:paraId="373944B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w:t>
            </w:r>
          </w:p>
        </w:tc>
      </w:tr>
      <w:tr w14:paraId="2CBE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6F2317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56</w:t>
            </w:r>
          </w:p>
        </w:tc>
        <w:tc>
          <w:tcPr>
            <w:tcW w:w="962" w:type="dxa"/>
            <w:vAlign w:val="center"/>
          </w:tcPr>
          <w:p w14:paraId="551B1C43">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酸梅</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（新疆酸李）</w:t>
            </w:r>
          </w:p>
        </w:tc>
        <w:tc>
          <w:tcPr>
            <w:tcW w:w="761" w:type="dxa"/>
            <w:vAlign w:val="center"/>
          </w:tcPr>
          <w:p w14:paraId="41706B4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69259C9">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54F24D7F">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本品呈卵形或长卵形，长1.5～2.5cm。表面紫黑色皱缩不平，肉质，基部有圆形果梗痕。果核坚硬，椭圆形，略扁，黄色。破开后内有淡黄色种子1粒。气微，味酸甜。</w:t>
            </w:r>
          </w:p>
        </w:tc>
        <w:tc>
          <w:tcPr>
            <w:tcW w:w="1811" w:type="dxa"/>
            <w:vAlign w:val="center"/>
          </w:tcPr>
          <w:p w14:paraId="08D74E9F">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9F5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7B95BF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57</w:t>
            </w:r>
          </w:p>
        </w:tc>
        <w:tc>
          <w:tcPr>
            <w:tcW w:w="962" w:type="dxa"/>
            <w:vAlign w:val="center"/>
          </w:tcPr>
          <w:p w14:paraId="19B2888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玫瑰花瓣</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（干）</w:t>
            </w:r>
          </w:p>
        </w:tc>
        <w:tc>
          <w:tcPr>
            <w:tcW w:w="761" w:type="dxa"/>
            <w:vAlign w:val="center"/>
          </w:tcPr>
          <w:p w14:paraId="2445375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026F19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2000</w:t>
            </w:r>
          </w:p>
        </w:tc>
        <w:tc>
          <w:tcPr>
            <w:tcW w:w="5456" w:type="dxa"/>
            <w:vAlign w:val="center"/>
          </w:tcPr>
          <w:p w14:paraId="2615AF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略呈半球形或不规则团状，直径0.7~1.5cm。残留花梗上被细柔毛，花半球形，与花萼基部合生;萼片5，披针形，黄绿色或棕绿色，被有细柔毛;花瓣多皱缩，展平后宽卵形，呈覆瓦状排列，紫红色，有的黄棕色;雄蕊多数，黄褐色;花柱多数，柱头在花托口集成头状，略突出，短于雄蕊。体轻，质脆。气芳香浓郁，味微苦涩。</w:t>
            </w:r>
          </w:p>
        </w:tc>
        <w:tc>
          <w:tcPr>
            <w:tcW w:w="1811" w:type="dxa"/>
            <w:vAlign w:val="center"/>
          </w:tcPr>
          <w:p w14:paraId="7654697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B92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E1460B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58</w:t>
            </w:r>
          </w:p>
        </w:tc>
        <w:tc>
          <w:tcPr>
            <w:tcW w:w="962" w:type="dxa"/>
            <w:vAlign w:val="center"/>
          </w:tcPr>
          <w:p w14:paraId="0265CC6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红芥子</w:t>
            </w:r>
          </w:p>
        </w:tc>
        <w:tc>
          <w:tcPr>
            <w:tcW w:w="761" w:type="dxa"/>
            <w:vAlign w:val="center"/>
          </w:tcPr>
          <w:p w14:paraId="67C4C76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9682FB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68FBAF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较小，直径1～2mm。表面棕红色，少数呈暗红棕色。研碎后加水浸湿，则产生辛烈的特异臭气。</w:t>
            </w:r>
          </w:p>
        </w:tc>
        <w:tc>
          <w:tcPr>
            <w:tcW w:w="1811" w:type="dxa"/>
            <w:vAlign w:val="center"/>
          </w:tcPr>
          <w:p w14:paraId="19233B2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喀什地区维吾尔医医院内部控制标准</w:t>
            </w:r>
          </w:p>
        </w:tc>
      </w:tr>
      <w:tr w14:paraId="76B0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0B93DD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59</w:t>
            </w:r>
          </w:p>
        </w:tc>
        <w:tc>
          <w:tcPr>
            <w:tcW w:w="962" w:type="dxa"/>
            <w:vAlign w:val="center"/>
          </w:tcPr>
          <w:p w14:paraId="5DAC0F1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甜瓜子仁</w:t>
            </w:r>
          </w:p>
        </w:tc>
        <w:tc>
          <w:tcPr>
            <w:tcW w:w="761" w:type="dxa"/>
            <w:vAlign w:val="center"/>
          </w:tcPr>
          <w:p w14:paraId="61DA1C1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E5D577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120</w:t>
            </w:r>
          </w:p>
        </w:tc>
        <w:tc>
          <w:tcPr>
            <w:tcW w:w="5456" w:type="dxa"/>
            <w:vAlign w:val="center"/>
          </w:tcPr>
          <w:p w14:paraId="44AB59A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本品为葫芦科植物甜瓜Cucumis melo!,的干燥成熟种子。夏秋果实成熟时,收集种子,洗净,晒干。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【炮制】甜瓜子仁除去杂质。用时剥去外壳,取仁备用,炒甜瓜子仁 取净选甜瓜子仁,置锅中,文火炒至微黄色,香气逸出,取出,晾凉</w:t>
            </w:r>
          </w:p>
        </w:tc>
        <w:tc>
          <w:tcPr>
            <w:tcW w:w="1811" w:type="dxa"/>
            <w:vAlign w:val="center"/>
          </w:tcPr>
          <w:p w14:paraId="54A1E2D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新疆维吾尔自治区中药维吾尔药饮片炮制规范</w:t>
            </w:r>
          </w:p>
        </w:tc>
      </w:tr>
      <w:tr w14:paraId="7C77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0FC1C5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60</w:t>
            </w:r>
          </w:p>
        </w:tc>
        <w:tc>
          <w:tcPr>
            <w:tcW w:w="962" w:type="dxa"/>
            <w:vAlign w:val="center"/>
          </w:tcPr>
          <w:p w14:paraId="13A1598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葫芦巴</w:t>
            </w:r>
          </w:p>
        </w:tc>
        <w:tc>
          <w:tcPr>
            <w:tcW w:w="761" w:type="dxa"/>
            <w:vAlign w:val="center"/>
          </w:tcPr>
          <w:p w14:paraId="5A94D0E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AE8CC5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2100</w:t>
            </w:r>
          </w:p>
        </w:tc>
        <w:tc>
          <w:tcPr>
            <w:tcW w:w="5456" w:type="dxa"/>
            <w:vAlign w:val="center"/>
          </w:tcPr>
          <w:p w14:paraId="548E5F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本品为豆科植物胡芦巴(Trigonellafoenum-graecumL.)的干燥成熟种子。夏季果实成熟时采割植珠，晒干，打下种子，除去杂质。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略呈斜方形或矩形，长3~4mm，宽2~3mm，厚约2mm，表面黄绿色或黄棕色，平滑，两侧各具深斜沟1条，相交处有点状种脐。质坚硬，不易破碎。种皮，胚乳呈半透明状，其粘性:子叶2，淡黄色，根弯曲，肥大而长。气香，苦。</w:t>
            </w:r>
          </w:p>
        </w:tc>
        <w:tc>
          <w:tcPr>
            <w:tcW w:w="1811" w:type="dxa"/>
            <w:vAlign w:val="center"/>
          </w:tcPr>
          <w:p w14:paraId="74E88D4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《新疆维吾尔自治区药材标准》1992年版  213页</w:t>
            </w:r>
          </w:p>
        </w:tc>
      </w:tr>
      <w:tr w14:paraId="1591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A70DA0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61</w:t>
            </w:r>
          </w:p>
        </w:tc>
        <w:tc>
          <w:tcPr>
            <w:tcW w:w="962" w:type="dxa"/>
            <w:vAlign w:val="center"/>
          </w:tcPr>
          <w:p w14:paraId="41968ED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星色草</w:t>
            </w:r>
          </w:p>
        </w:tc>
        <w:tc>
          <w:tcPr>
            <w:tcW w:w="761" w:type="dxa"/>
            <w:vAlign w:val="center"/>
          </w:tcPr>
          <w:p w14:paraId="0517DCD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6DD296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5EFCCE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本品为石竹科植物白鼓针Polycarpaea corymbosa(L.)Lam。的于燥全草。夏秋季采收，晒干。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根呈类圆锥形，表面浅棕黄色。茎圆锥状，坚硬，长10~30cm，直径1~2mm，近基部有密生的叶片和托叶，上部二歧分，表面被自色绒毛。叶对生或轮生，叶片狭线形，长7~20mm，宽1mm，顶端渐尖，基部圆形，色，两面近无毛，无柄。托叶白色，质，披针形，长为叶之1/2或略长。果序伞房状，白色，长宽各约1cm。苞片和萼片白色，状，比果实长。果褐色，卵形。种子卵形。气微，味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【炮制】除去杂质，切段。</w:t>
            </w:r>
          </w:p>
        </w:tc>
        <w:tc>
          <w:tcPr>
            <w:tcW w:w="1811" w:type="dxa"/>
            <w:vAlign w:val="center"/>
          </w:tcPr>
          <w:p w14:paraId="1C02250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广西中药材标准1990年版  </w:t>
            </w:r>
          </w:p>
        </w:tc>
      </w:tr>
      <w:tr w14:paraId="2A05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6E3375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62</w:t>
            </w:r>
          </w:p>
        </w:tc>
        <w:tc>
          <w:tcPr>
            <w:tcW w:w="962" w:type="dxa"/>
            <w:vAlign w:val="center"/>
          </w:tcPr>
          <w:p w14:paraId="3EFDFB1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土木香</w:t>
            </w:r>
          </w:p>
        </w:tc>
        <w:tc>
          <w:tcPr>
            <w:tcW w:w="761" w:type="dxa"/>
            <w:vAlign w:val="center"/>
          </w:tcPr>
          <w:p w14:paraId="06A15B4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DD55EF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719866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本品为菊科植物土木香 Inula heleniuul.的干燥根。秋季采挖,除去泥沙,晒干。【炮制】土木香 取干燥根,除去杂质,洗净,润透,切片,晒干。蜜制土木香取净土木香根,切片,置锅中炒热,加炼蜜适量,趁热炒止不黏手,取,放凉。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【性状】土木香本品呈圆形厚片,表面黄白色至浅灰黄色,有凹点状油室,周边黄色或暗棕色。质坚硬,气微香,味苦、辛</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蜜制土木香形如土木香,表面黄色,味先甜后苦、辛</w:t>
            </w:r>
          </w:p>
        </w:tc>
        <w:tc>
          <w:tcPr>
            <w:tcW w:w="1811" w:type="dxa"/>
            <w:vAlign w:val="center"/>
          </w:tcPr>
          <w:p w14:paraId="08286DF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7B43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6163F2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63</w:t>
            </w:r>
          </w:p>
        </w:tc>
        <w:tc>
          <w:tcPr>
            <w:tcW w:w="962" w:type="dxa"/>
            <w:vAlign w:val="center"/>
          </w:tcPr>
          <w:p w14:paraId="60FA619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穆库没药</w:t>
            </w:r>
          </w:p>
        </w:tc>
        <w:tc>
          <w:tcPr>
            <w:tcW w:w="761" w:type="dxa"/>
            <w:vAlign w:val="center"/>
          </w:tcPr>
          <w:p w14:paraId="76ECC04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77CF34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580</w:t>
            </w:r>
          </w:p>
        </w:tc>
        <w:tc>
          <w:tcPr>
            <w:tcW w:w="5456" w:type="dxa"/>
            <w:vAlign w:val="center"/>
          </w:tcPr>
          <w:p w14:paraId="715282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本品呈大小不等的团块状，常黏有原植物树皮或残枝。表面黄棕色至棕褐色，半透明或不透明。破碎面有蜡样或玻璃样光泽。遇热软化变黏，冷时质脆。具特异香气，味苦。</w:t>
            </w:r>
          </w:p>
        </w:tc>
        <w:tc>
          <w:tcPr>
            <w:tcW w:w="1811" w:type="dxa"/>
            <w:vAlign w:val="center"/>
          </w:tcPr>
          <w:p w14:paraId="1C9F8D0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3A1B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8A5A89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64</w:t>
            </w:r>
          </w:p>
        </w:tc>
        <w:tc>
          <w:tcPr>
            <w:tcW w:w="962" w:type="dxa"/>
            <w:vAlign w:val="center"/>
          </w:tcPr>
          <w:p w14:paraId="2062FC0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牛至</w:t>
            </w:r>
          </w:p>
        </w:tc>
        <w:tc>
          <w:tcPr>
            <w:tcW w:w="761" w:type="dxa"/>
            <w:vAlign w:val="center"/>
          </w:tcPr>
          <w:p w14:paraId="409DCBD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B0AF1D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359FE1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根较细小，直径2~4mm。表面灰棕色，稍弯曲而略有韧性，断面黄白色。茎四棱形，上部稍有分枝，表面紫棕色或黄棕色，密被下伏细绒毛。叶对生，稍皱缩，展平后叶片卵形至宽卵形，长0.6~1.8cm，宽0.4~1.2cm，黄绿色或灰绿色，全缘，两面被棕黑色腺点。叶柄长1.5~2.5mm，被毛。轮伞花序顶生，花萼钟状，5裂。小坚果扁卵形，红棕色。气芳香，味微苦。</w:t>
            </w:r>
          </w:p>
        </w:tc>
        <w:tc>
          <w:tcPr>
            <w:tcW w:w="1811" w:type="dxa"/>
            <w:vAlign w:val="center"/>
          </w:tcPr>
          <w:p w14:paraId="6857B84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4A5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B3CF3C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65</w:t>
            </w:r>
          </w:p>
        </w:tc>
        <w:tc>
          <w:tcPr>
            <w:tcW w:w="962" w:type="dxa"/>
            <w:vAlign w:val="center"/>
          </w:tcPr>
          <w:p w14:paraId="402BBA1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珍珠粉</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（制煅）</w:t>
            </w:r>
          </w:p>
        </w:tc>
        <w:tc>
          <w:tcPr>
            <w:tcW w:w="761" w:type="dxa"/>
            <w:vAlign w:val="center"/>
          </w:tcPr>
          <w:p w14:paraId="63D2268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15"/>
                <w:szCs w:val="15"/>
                <w:u w:val="none"/>
                <w:lang w:val="en-US" w:eastAsia="zh-CN" w:bidi="ar"/>
              </w:rPr>
              <w:t>500g（瓶)</w:t>
            </w:r>
          </w:p>
        </w:tc>
        <w:tc>
          <w:tcPr>
            <w:tcW w:w="977" w:type="dxa"/>
            <w:vAlign w:val="center"/>
          </w:tcPr>
          <w:p w14:paraId="54228BD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324F0B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珍珠粉  取净珍珠，碾细，照水飞法（通则0213）制成最细粉</w:t>
            </w:r>
          </w:p>
        </w:tc>
        <w:tc>
          <w:tcPr>
            <w:tcW w:w="1811" w:type="dxa"/>
            <w:vAlign w:val="center"/>
          </w:tcPr>
          <w:p w14:paraId="42FDD18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949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A24C67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66</w:t>
            </w:r>
          </w:p>
        </w:tc>
        <w:tc>
          <w:tcPr>
            <w:tcW w:w="962" w:type="dxa"/>
            <w:vAlign w:val="center"/>
          </w:tcPr>
          <w:p w14:paraId="6D777C4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芹菜子</w:t>
            </w:r>
          </w:p>
        </w:tc>
        <w:tc>
          <w:tcPr>
            <w:tcW w:w="761" w:type="dxa"/>
            <w:vAlign w:val="center"/>
          </w:tcPr>
          <w:p w14:paraId="1CFEDDF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A6D86D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w:t>
            </w:r>
          </w:p>
        </w:tc>
        <w:tc>
          <w:tcPr>
            <w:tcW w:w="5456" w:type="dxa"/>
            <w:vAlign w:val="center"/>
          </w:tcPr>
          <w:p w14:paraId="68DF139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双悬果，椭圆形。多已分裂为分果，扁长卵形，稍向腹面弯曲，长1～5m，直径1mm。表面灰绿色至黄棕色，先端稍尖，有花柱基残留，底端钝圆，背具黄白色纵棱3条，腹面具纵棱2条。质松脆。具特异的香气，味辛，微有麻舌感。</w:t>
            </w:r>
          </w:p>
        </w:tc>
        <w:tc>
          <w:tcPr>
            <w:tcW w:w="1811" w:type="dxa"/>
            <w:vAlign w:val="center"/>
          </w:tcPr>
          <w:p w14:paraId="75D14B7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D30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102A56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67</w:t>
            </w:r>
          </w:p>
        </w:tc>
        <w:tc>
          <w:tcPr>
            <w:tcW w:w="962" w:type="dxa"/>
            <w:vAlign w:val="center"/>
          </w:tcPr>
          <w:p w14:paraId="71B650C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白皮松子仁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（去皮）</w:t>
            </w:r>
          </w:p>
        </w:tc>
        <w:tc>
          <w:tcPr>
            <w:tcW w:w="761" w:type="dxa"/>
            <w:vAlign w:val="center"/>
          </w:tcPr>
          <w:p w14:paraId="7D07F85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6531D7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5456" w:type="dxa"/>
            <w:vAlign w:val="center"/>
          </w:tcPr>
          <w:p w14:paraId="12F09C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本品呈长椭圆或长卵形，略扁，长1～2cm，直径4～8mm。表面白色至淡棕色，残留外包膜质内种皮，淡棕色。顶端略尖，基部钝圆。胚乳中央可见淡黄色的胚；具多个子叶，6～9居多。气微，味微甘。</w:t>
            </w:r>
          </w:p>
        </w:tc>
        <w:tc>
          <w:tcPr>
            <w:tcW w:w="1811" w:type="dxa"/>
            <w:vAlign w:val="center"/>
          </w:tcPr>
          <w:p w14:paraId="3EA55EE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DCA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B73CCE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68</w:t>
            </w:r>
          </w:p>
        </w:tc>
        <w:tc>
          <w:tcPr>
            <w:tcW w:w="962" w:type="dxa"/>
            <w:vAlign w:val="center"/>
          </w:tcPr>
          <w:p w14:paraId="351E9C5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铁线蕨</w:t>
            </w:r>
          </w:p>
        </w:tc>
        <w:tc>
          <w:tcPr>
            <w:tcW w:w="761" w:type="dxa"/>
            <w:vAlign w:val="center"/>
          </w:tcPr>
          <w:p w14:paraId="7B4B336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0ADD6B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26D7050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长15~40cm。根茎横生，密被棕色披针形鳞片及较疏纤细须根。叶近生，一至三回羽状复叶，叶柄长9~15cm，棕褐色，稍有光泽。羽片及小羽片均为互生，微皱缩，展平后呈扇形或倒三角形，长0.5~1cm，灰绿色或棕黄色，顶端圆形或略平，有细齿，基部短楔形，叶脉细。羽片及小羽片均有细柄。可育羽片有孢子囊群1~2枚，矩圆形，棕色，膜质。气微，味淡。</w:t>
            </w:r>
          </w:p>
        </w:tc>
        <w:tc>
          <w:tcPr>
            <w:tcW w:w="1811" w:type="dxa"/>
            <w:vAlign w:val="center"/>
          </w:tcPr>
          <w:p w14:paraId="0518481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新疆维吾尔自治区维吾尔药饮片炮制规范2010年版</w:t>
            </w:r>
          </w:p>
        </w:tc>
      </w:tr>
      <w:tr w14:paraId="15FE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372EBC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69</w:t>
            </w:r>
          </w:p>
        </w:tc>
        <w:tc>
          <w:tcPr>
            <w:tcW w:w="962" w:type="dxa"/>
            <w:vAlign w:val="center"/>
          </w:tcPr>
          <w:p w14:paraId="14094F0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茴香根皮</w:t>
            </w:r>
          </w:p>
        </w:tc>
        <w:tc>
          <w:tcPr>
            <w:tcW w:w="761" w:type="dxa"/>
            <w:vAlign w:val="center"/>
          </w:tcPr>
          <w:p w14:paraId="616F529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0E8D47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160</w:t>
            </w:r>
          </w:p>
        </w:tc>
        <w:tc>
          <w:tcPr>
            <w:tcW w:w="5456" w:type="dxa"/>
            <w:vAlign w:val="center"/>
          </w:tcPr>
          <w:p w14:paraId="1ED117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本品呈短段，卷筒状，表面灰白色至浅灰黄色，具纵向皱缩条纹和突起的横向类圆形皮孔；内表面颜色较深，呈黄棕色，略平滑，有的残留有木心。质脆易折断，断面不整齐，白色。气微香，味淡。</w:t>
            </w:r>
          </w:p>
        </w:tc>
        <w:tc>
          <w:tcPr>
            <w:tcW w:w="1811" w:type="dxa"/>
            <w:vAlign w:val="center"/>
          </w:tcPr>
          <w:p w14:paraId="66E7C8D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2E8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DD3369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70</w:t>
            </w:r>
          </w:p>
        </w:tc>
        <w:tc>
          <w:tcPr>
            <w:tcW w:w="962" w:type="dxa"/>
            <w:vAlign w:val="center"/>
          </w:tcPr>
          <w:p w14:paraId="7B649B9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车前子</w:t>
            </w:r>
          </w:p>
        </w:tc>
        <w:tc>
          <w:tcPr>
            <w:tcW w:w="761" w:type="dxa"/>
            <w:vAlign w:val="center"/>
          </w:tcPr>
          <w:p w14:paraId="6701043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4879B0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5456" w:type="dxa"/>
            <w:vAlign w:val="center"/>
          </w:tcPr>
          <w:p w14:paraId="3E53186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本品呈椭圆形、不规则长圆形或三角状长圆形，略扁，长约2mm，宽约1mm，表面黄棕色至黑褐色，有细皱纹，一面有灰白色凹点状种脐，质硬。以粒大、色黑、饱满者为佳，气微，味淡。</w:t>
            </w:r>
          </w:p>
        </w:tc>
        <w:tc>
          <w:tcPr>
            <w:tcW w:w="1811" w:type="dxa"/>
            <w:vAlign w:val="center"/>
          </w:tcPr>
          <w:p w14:paraId="2A4BC23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w:t>
            </w:r>
          </w:p>
        </w:tc>
      </w:tr>
      <w:tr w14:paraId="3E0B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6AA1D4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71</w:t>
            </w:r>
          </w:p>
        </w:tc>
        <w:tc>
          <w:tcPr>
            <w:tcW w:w="962" w:type="dxa"/>
            <w:vAlign w:val="center"/>
          </w:tcPr>
          <w:p w14:paraId="402F840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阿月浑子</w:t>
            </w:r>
          </w:p>
        </w:tc>
        <w:tc>
          <w:tcPr>
            <w:tcW w:w="761" w:type="dxa"/>
            <w:vAlign w:val="center"/>
          </w:tcPr>
          <w:p w14:paraId="03E90D9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997695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5130A0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本品为漆树科植物阿月浑子Pisiaciavera..除去果肉的干燥果实。秋季果实成熟时采收果实,除去果肉,晒干。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本品呈卵圆形,长 1.5~2.5cm,宽1.0~1.5cm。果核表面类白色,具纵向突起的棱线,多开裂;上端略呈芒尖,下端宽,具棕色或类白色椭圆形果梗痕。除去果核,种子卵形或椭圆形,皱缩,种皮黄白色至黄棕色,膜质,质脆易剥离。子叶2枚,黄绿色,富油性。气微,味微甜。</w:t>
            </w:r>
          </w:p>
        </w:tc>
        <w:tc>
          <w:tcPr>
            <w:tcW w:w="1811" w:type="dxa"/>
            <w:vAlign w:val="center"/>
          </w:tcPr>
          <w:p w14:paraId="520E428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w:t>
            </w:r>
          </w:p>
        </w:tc>
      </w:tr>
      <w:tr w14:paraId="4FBC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C88D5B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72</w:t>
            </w:r>
          </w:p>
        </w:tc>
        <w:tc>
          <w:tcPr>
            <w:tcW w:w="962" w:type="dxa"/>
            <w:vAlign w:val="center"/>
          </w:tcPr>
          <w:p w14:paraId="738E585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菠菜子</w:t>
            </w:r>
          </w:p>
        </w:tc>
        <w:tc>
          <w:tcPr>
            <w:tcW w:w="761" w:type="dxa"/>
            <w:vAlign w:val="center"/>
          </w:tcPr>
          <w:p w14:paraId="55917C8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6BEA9C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3752F4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本品呈三角状类圆形，直径2～3mm。表面灰白色，略粗糙，在两端常各有1枚角刺。果皮坚硬，破碎后可见种皮深棕色，胚乳粉质，白色。无臭，味淡。</w:t>
            </w:r>
          </w:p>
        </w:tc>
        <w:tc>
          <w:tcPr>
            <w:tcW w:w="1811" w:type="dxa"/>
            <w:vAlign w:val="center"/>
          </w:tcPr>
          <w:p w14:paraId="6E1349E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ADD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2CA89D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73</w:t>
            </w:r>
          </w:p>
        </w:tc>
        <w:tc>
          <w:tcPr>
            <w:tcW w:w="962" w:type="dxa"/>
            <w:vAlign w:val="center"/>
          </w:tcPr>
          <w:p w14:paraId="71C4395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丁香罗勒</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（子）</w:t>
            </w:r>
          </w:p>
        </w:tc>
        <w:tc>
          <w:tcPr>
            <w:tcW w:w="761" w:type="dxa"/>
            <w:vAlign w:val="center"/>
          </w:tcPr>
          <w:p w14:paraId="38515B0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AEF0E6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456" w:type="dxa"/>
            <w:vAlign w:val="center"/>
          </w:tcPr>
          <w:p w14:paraId="4238EE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呈椭圆形或长卵形，略扁，长1.3～1.5mm，宽0.6～0.8mm，果皮黑褐色或棕色，略有光泽，解剖镜下可见密布细小颗粒状突起，水浸后强烈粘液化。先端钝圆，基部具三棱，中心有灰白色果脐。种子黄白色，种皮薄膜质，子叶2，类白色，有油性。气微，味微辛，有清凉感。</w:t>
            </w:r>
          </w:p>
        </w:tc>
        <w:tc>
          <w:tcPr>
            <w:tcW w:w="1811" w:type="dxa"/>
            <w:vAlign w:val="center"/>
          </w:tcPr>
          <w:p w14:paraId="4B4ADA1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新疆维吾尔自治区药检所</w:t>
            </w:r>
          </w:p>
        </w:tc>
      </w:tr>
      <w:tr w14:paraId="768D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75AF74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74</w:t>
            </w:r>
          </w:p>
        </w:tc>
        <w:tc>
          <w:tcPr>
            <w:tcW w:w="962" w:type="dxa"/>
            <w:vAlign w:val="center"/>
          </w:tcPr>
          <w:p w14:paraId="164EE72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洋葱子</w:t>
            </w:r>
          </w:p>
        </w:tc>
        <w:tc>
          <w:tcPr>
            <w:tcW w:w="761" w:type="dxa"/>
            <w:vAlign w:val="center"/>
          </w:tcPr>
          <w:p w14:paraId="7AD2887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6754E3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2C6AE3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类半圆形或半卵圆形，略扁，长3～4mm，宽2～3mm，表面黑色，一面突起，皱缩，有细密的网状皱纹，另一面微凹，皱纹不甚明显，顶端钝，基部稍尖，种脐多为点状，种子剖开后可见类白色种仁。质硬。嚼之有洋葱的特异辛味。</w:t>
            </w:r>
          </w:p>
        </w:tc>
        <w:tc>
          <w:tcPr>
            <w:tcW w:w="1811" w:type="dxa"/>
            <w:vAlign w:val="center"/>
          </w:tcPr>
          <w:p w14:paraId="5A0DFB2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3409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C9613B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75</w:t>
            </w:r>
          </w:p>
        </w:tc>
        <w:tc>
          <w:tcPr>
            <w:tcW w:w="962" w:type="dxa"/>
            <w:vAlign w:val="center"/>
          </w:tcPr>
          <w:p w14:paraId="008F49C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盒果藤根皮</w:t>
            </w:r>
          </w:p>
        </w:tc>
        <w:tc>
          <w:tcPr>
            <w:tcW w:w="761" w:type="dxa"/>
            <w:vAlign w:val="center"/>
          </w:tcPr>
          <w:p w14:paraId="0B36DFE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F6D958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5456" w:type="dxa"/>
            <w:vAlign w:val="center"/>
          </w:tcPr>
          <w:p w14:paraId="647D7C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类圆柱形的根或根皮，表皮棕色或棕褐色，具横向纹理，易折断，断面略平坦，皮部白色略呈粉性，木部黄白色质坚，木部与皮部连接处多呈裂隙，木部具细小空隙。除去木心后，成筒状或半筒状，有纵剖开的裂缝。气微，味苦。</w:t>
            </w:r>
          </w:p>
        </w:tc>
        <w:tc>
          <w:tcPr>
            <w:tcW w:w="1811" w:type="dxa"/>
            <w:vAlign w:val="center"/>
          </w:tcPr>
          <w:p w14:paraId="0788B4F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w:t>
            </w:r>
          </w:p>
        </w:tc>
      </w:tr>
      <w:tr w14:paraId="0DB3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FCF345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76</w:t>
            </w:r>
          </w:p>
        </w:tc>
        <w:tc>
          <w:tcPr>
            <w:tcW w:w="962" w:type="dxa"/>
            <w:vAlign w:val="center"/>
          </w:tcPr>
          <w:p w14:paraId="1296CE7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马齿苋子</w:t>
            </w:r>
          </w:p>
        </w:tc>
        <w:tc>
          <w:tcPr>
            <w:tcW w:w="761" w:type="dxa"/>
            <w:vAlign w:val="center"/>
          </w:tcPr>
          <w:p w14:paraId="7649270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FF183E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5456" w:type="dxa"/>
            <w:vAlign w:val="center"/>
          </w:tcPr>
          <w:p w14:paraId="1E3EB09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本品扁圆形或圆肾形，直径0.7～1.1mm，厚0.4mm。表面黑色或棕黑色，稍有光泽。解剖镜下可见表面密布排列整齐的颗粒状突起。侧边微凹处有一灰白色种脐。胚乳白色，半透明。气微，味淡。</w:t>
            </w:r>
          </w:p>
        </w:tc>
        <w:tc>
          <w:tcPr>
            <w:tcW w:w="1811" w:type="dxa"/>
            <w:vAlign w:val="center"/>
          </w:tcPr>
          <w:p w14:paraId="0D5E623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5EA3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7A1556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77</w:t>
            </w:r>
          </w:p>
        </w:tc>
        <w:tc>
          <w:tcPr>
            <w:tcW w:w="962" w:type="dxa"/>
            <w:vAlign w:val="center"/>
          </w:tcPr>
          <w:p w14:paraId="6D5F580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时萝子</w:t>
            </w:r>
          </w:p>
        </w:tc>
        <w:tc>
          <w:tcPr>
            <w:tcW w:w="761" w:type="dxa"/>
            <w:vAlign w:val="center"/>
          </w:tcPr>
          <w:p w14:paraId="7C28473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AF2469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456" w:type="dxa"/>
            <w:vAlign w:val="center"/>
          </w:tcPr>
          <w:p w14:paraId="48C352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莳萝子，中药名。为伞形科植物莳萝Anethum graveolens L.的果实。分布于中国东北、甘肃、四川、广东、广西等地有栽培。原产欧洲南部。具有温脾开胃，散寒暖肝，理气止痛之功效。用于腹中冷痛，胁肋胀满，呃逆食少，寒疝。</w:t>
            </w:r>
          </w:p>
        </w:tc>
        <w:tc>
          <w:tcPr>
            <w:tcW w:w="1811" w:type="dxa"/>
            <w:vAlign w:val="center"/>
          </w:tcPr>
          <w:p w14:paraId="588614B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喀什地区维吾尔医医院内部控制标准</w:t>
            </w:r>
          </w:p>
        </w:tc>
      </w:tr>
      <w:tr w14:paraId="77A7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AE9D8C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78</w:t>
            </w:r>
          </w:p>
        </w:tc>
        <w:tc>
          <w:tcPr>
            <w:tcW w:w="962" w:type="dxa"/>
            <w:vAlign w:val="center"/>
          </w:tcPr>
          <w:p w14:paraId="5C98E54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中亚白及</w:t>
            </w:r>
          </w:p>
        </w:tc>
        <w:tc>
          <w:tcPr>
            <w:tcW w:w="761" w:type="dxa"/>
            <w:vAlign w:val="center"/>
          </w:tcPr>
          <w:p w14:paraId="12EFB5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5DBE17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5456" w:type="dxa"/>
            <w:vAlign w:val="center"/>
          </w:tcPr>
          <w:p w14:paraId="7AE0F50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本品呈卵圆形、椭圆形、类圆形或掌形，长1.5～4cm，直径0.5～2cm。表面黄白色至淡灰色，有少数的细皱纹，时有粗皱缩；质坚实，沉重，致密，微半透明，断面角质样。无臭，味淡。</w:t>
            </w:r>
          </w:p>
        </w:tc>
        <w:tc>
          <w:tcPr>
            <w:tcW w:w="1811" w:type="dxa"/>
            <w:vAlign w:val="center"/>
          </w:tcPr>
          <w:p w14:paraId="0857F6D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1998年版维吾尔药分册</w:t>
            </w:r>
          </w:p>
        </w:tc>
      </w:tr>
      <w:tr w14:paraId="4867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ECCC46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79</w:t>
            </w:r>
          </w:p>
        </w:tc>
        <w:tc>
          <w:tcPr>
            <w:tcW w:w="962" w:type="dxa"/>
            <w:vAlign w:val="center"/>
          </w:tcPr>
          <w:p w14:paraId="5F08F49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毛甘松</w:t>
            </w:r>
          </w:p>
        </w:tc>
        <w:tc>
          <w:tcPr>
            <w:tcW w:w="761" w:type="dxa"/>
            <w:vAlign w:val="center"/>
          </w:tcPr>
          <w:p w14:paraId="1712C63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B68855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w:t>
            </w:r>
          </w:p>
        </w:tc>
        <w:tc>
          <w:tcPr>
            <w:tcW w:w="5456" w:type="dxa"/>
            <w:vAlign w:val="center"/>
          </w:tcPr>
          <w:p w14:paraId="6DD7DA7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药用根茎。本品略呈扁圆锥形，稍弯曲，长4～15厘米。根茎短，上端常有2～4个茎残基，外被多数细线形叶基纤维，外层棕褐色，内层较浅呈黄棕色。主根粗壮但商品中少见，棕褐色，其上着生众多粗细较为均一的须根，折断面呈黄白色至灰白色，香气浓烈，须根直径约1毫米，味苦而辛有清凉感。</w:t>
            </w:r>
          </w:p>
        </w:tc>
        <w:tc>
          <w:tcPr>
            <w:tcW w:w="1811" w:type="dxa"/>
            <w:vAlign w:val="center"/>
          </w:tcPr>
          <w:p w14:paraId="534298E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维吾尔药志上册</w:t>
            </w:r>
          </w:p>
        </w:tc>
      </w:tr>
      <w:tr w14:paraId="1373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3315E7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80</w:t>
            </w:r>
          </w:p>
        </w:tc>
        <w:tc>
          <w:tcPr>
            <w:tcW w:w="962" w:type="dxa"/>
            <w:vAlign w:val="center"/>
          </w:tcPr>
          <w:p w14:paraId="57BBA9E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破布木果</w:t>
            </w:r>
          </w:p>
        </w:tc>
        <w:tc>
          <w:tcPr>
            <w:tcW w:w="761" w:type="dxa"/>
            <w:vAlign w:val="center"/>
          </w:tcPr>
          <w:p w14:paraId="4EC651C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D67BE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w:t>
            </w:r>
          </w:p>
        </w:tc>
        <w:tc>
          <w:tcPr>
            <w:tcW w:w="5456" w:type="dxa"/>
            <w:vAlign w:val="center"/>
          </w:tcPr>
          <w:p w14:paraId="2B8F48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锥状卵形，常皱缩显纵纹或网状不规则之棱角，长1～1.5cm，中部直径0.5～1cm。表面棕色或棕褐色，先端尖，可见花柱脱落残迹，底部平截或微凸起，有的可见残留浅杯状宿萼，萼灰黄棕色。果皮薄。内果皮骨质，4室，通常为1～2室，发育完全，每室有1粒种子，稀见3粒，几无4粒者。气微或无，味酸而微甘。</w:t>
            </w:r>
          </w:p>
        </w:tc>
        <w:tc>
          <w:tcPr>
            <w:tcW w:w="1811" w:type="dxa"/>
            <w:vAlign w:val="center"/>
          </w:tcPr>
          <w:p w14:paraId="05BAF12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E40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56C274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81</w:t>
            </w:r>
          </w:p>
        </w:tc>
        <w:tc>
          <w:tcPr>
            <w:tcW w:w="962" w:type="dxa"/>
            <w:vAlign w:val="center"/>
          </w:tcPr>
          <w:p w14:paraId="2FC0EC8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陈醋</w:t>
            </w:r>
          </w:p>
        </w:tc>
        <w:tc>
          <w:tcPr>
            <w:tcW w:w="761" w:type="dxa"/>
            <w:vAlign w:val="center"/>
          </w:tcPr>
          <w:p w14:paraId="0526974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64AC5E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2C763AF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陈年的醋。 [1]酿成后存放较久的醋。浓褐色，液态清亮，醋味醇厚，具有少沉淀，贮放时间长，不易变质等特点。山西老陈醋是中国四大名醋之一。以高粱为主料。先加入多量酒曲，采用低温酒精进行发酵，然后再拌入谷糠麸皮经醋酸发酵。一半醋醅进行熏醅，另一半醋醅进行淋醋，以所得醋液再浸泡熏醅，淋得新醋。新醋再经夏日伏晒、冬季捞冰的长期陈酿和浓缩工序制成。</w:t>
            </w:r>
          </w:p>
        </w:tc>
        <w:tc>
          <w:tcPr>
            <w:tcW w:w="1811" w:type="dxa"/>
            <w:vAlign w:val="center"/>
          </w:tcPr>
          <w:p w14:paraId="69469D5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喀什地区维吾尔医医院内部控制标准</w:t>
            </w:r>
          </w:p>
        </w:tc>
      </w:tr>
      <w:tr w14:paraId="6154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5284F0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82</w:t>
            </w:r>
          </w:p>
        </w:tc>
        <w:tc>
          <w:tcPr>
            <w:tcW w:w="962" w:type="dxa"/>
            <w:vAlign w:val="center"/>
          </w:tcPr>
          <w:p w14:paraId="7B69191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香附</w:t>
            </w:r>
          </w:p>
        </w:tc>
        <w:tc>
          <w:tcPr>
            <w:tcW w:w="761" w:type="dxa"/>
            <w:vAlign w:val="center"/>
          </w:tcPr>
          <w:p w14:paraId="419999B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A107B2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w:t>
            </w:r>
          </w:p>
        </w:tc>
        <w:tc>
          <w:tcPr>
            <w:tcW w:w="5456" w:type="dxa"/>
            <w:vAlign w:val="center"/>
          </w:tcPr>
          <w:p w14:paraId="45B4292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本品为莎草科植物莎草Cyperus rotundus L.的干燥根茎。秋季采挖，燎去毛须，置沸水中略煮或蒸透后晒干，或燎后直接晒干。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多呈纺锤形，有的略弯曲，长2～3.5cm，直径0.5～1cm。表面棕褐色或黑褐色，有纵皱纹，并有6～10个略隆起的环节，节上有未除净的棕色毛须和须根断痕；去净毛须者较光滑，环节不明显。质硬，经蒸煮者断面黄棕色或红棕色，角质样；生晒者断面色白而显粉性，内皮层环纹明显，中柱色较深，点状维管束散在。气香，味微苦。</w:t>
            </w:r>
          </w:p>
        </w:tc>
        <w:tc>
          <w:tcPr>
            <w:tcW w:w="1811" w:type="dxa"/>
            <w:vAlign w:val="center"/>
          </w:tcPr>
          <w:p w14:paraId="6BF91DF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D39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5E65E9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83</w:t>
            </w:r>
          </w:p>
        </w:tc>
        <w:tc>
          <w:tcPr>
            <w:tcW w:w="962" w:type="dxa"/>
            <w:vAlign w:val="center"/>
          </w:tcPr>
          <w:p w14:paraId="62114C1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三条筋</w:t>
            </w:r>
          </w:p>
        </w:tc>
        <w:tc>
          <w:tcPr>
            <w:tcW w:w="761" w:type="dxa"/>
            <w:vAlign w:val="center"/>
          </w:tcPr>
          <w:p w14:paraId="32BAD20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5E59DB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5456" w:type="dxa"/>
            <w:vAlign w:val="center"/>
          </w:tcPr>
          <w:p w14:paraId="0ACD15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本品为樟科植物柴桂 Cinnamomum lamala(Ham.)Nees etEherm.的干燥叶,夏秋季叶茂盛期采摘,晒干。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本品呈广披针形或长圆形,长 7~15cm,宽 2.5~9em。先端渐尖,基部楔形,全缘。上表面黄绿色或黄棕色,光滑,有光泽;下表面稀被柔毛,叶脉3条显著凸起,细脉略呈横向平行。叶柄长0.5~1.3cm,略呈四棱形。革质稍。气香,味微甜、辛。</w:t>
            </w:r>
          </w:p>
        </w:tc>
        <w:tc>
          <w:tcPr>
            <w:tcW w:w="1811" w:type="dxa"/>
            <w:vAlign w:val="center"/>
          </w:tcPr>
          <w:p w14:paraId="06F1FF3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新疆维吾尔自治区维吾尔药饮片炮制规范2010年版</w:t>
            </w:r>
          </w:p>
        </w:tc>
      </w:tr>
      <w:tr w14:paraId="3450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01DED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84</w:t>
            </w:r>
          </w:p>
        </w:tc>
        <w:tc>
          <w:tcPr>
            <w:tcW w:w="962" w:type="dxa"/>
            <w:vAlign w:val="center"/>
          </w:tcPr>
          <w:p w14:paraId="67A8B18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胡萝卜子</w:t>
            </w:r>
          </w:p>
        </w:tc>
        <w:tc>
          <w:tcPr>
            <w:tcW w:w="761" w:type="dxa"/>
            <w:vAlign w:val="center"/>
          </w:tcPr>
          <w:p w14:paraId="6BF4698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38DA0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5456" w:type="dxa"/>
            <w:vAlign w:val="center"/>
          </w:tcPr>
          <w:p w14:paraId="27317D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双悬果，呈椭圆形，多裂为分果。分果长3~5mm,宽1.2～2.5mm；表面黄棕色，顶端有花柱残基，基部钝圆，背面隆起，具4条窄翅状次棱，翅上密生1列黄白色刺，刺基部较宽，刺长1～2mm，次棱间凹下处有不明显的主棱，其上散生短绒毛，接合面平坦，有3条脉纹，上具柔毛。种仁类白色，有油性。体轻。搓碎时有特异香气，味苦、微辛。</w:t>
            </w:r>
          </w:p>
        </w:tc>
        <w:tc>
          <w:tcPr>
            <w:tcW w:w="1811" w:type="dxa"/>
            <w:vAlign w:val="center"/>
          </w:tcPr>
          <w:p w14:paraId="71A2F12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BE8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53B942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85</w:t>
            </w:r>
          </w:p>
        </w:tc>
        <w:tc>
          <w:tcPr>
            <w:tcW w:w="962" w:type="dxa"/>
            <w:vAlign w:val="center"/>
          </w:tcPr>
          <w:p w14:paraId="4FD334B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司卡磨尼亚脂</w:t>
            </w:r>
          </w:p>
        </w:tc>
        <w:tc>
          <w:tcPr>
            <w:tcW w:w="761" w:type="dxa"/>
            <w:vAlign w:val="center"/>
          </w:tcPr>
          <w:p w14:paraId="38DE729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9566F0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2A2A5B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表面暗灰色至棕黑色，有灰色粉尘，质脆，易破碎，新鲜破碎面带有光泽，树脂状并具有细孔，呈暗棕色至褐黑色。气似乳酪，味淡。</w:t>
            </w:r>
          </w:p>
        </w:tc>
        <w:tc>
          <w:tcPr>
            <w:tcW w:w="1811" w:type="dxa"/>
            <w:vAlign w:val="center"/>
          </w:tcPr>
          <w:p w14:paraId="4DD1602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5EF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C7D1B2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86</w:t>
            </w:r>
          </w:p>
        </w:tc>
        <w:tc>
          <w:tcPr>
            <w:tcW w:w="962" w:type="dxa"/>
            <w:vAlign w:val="center"/>
          </w:tcPr>
          <w:p w14:paraId="0C7657E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螃蟹壳（制）</w:t>
            </w:r>
          </w:p>
        </w:tc>
        <w:tc>
          <w:tcPr>
            <w:tcW w:w="761" w:type="dxa"/>
            <w:vAlign w:val="center"/>
          </w:tcPr>
          <w:p w14:paraId="267580F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10B1A0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62DB645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【别名】 蟹壳。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【来源】本品为蟹科动物中华绒毛鳌蟹 Eriocheir sinensis H.Miline-Edwards的甲壳。主产于河北、江苏、浙江等地。秋季捕捉,蒸熟后将壳揭开,去掉肉,干燥。药材以片大、质坚硬、无残肉者为佳。【炮制】 取原药材,除去杂质,洗净,于燥,捣碎。</w:t>
            </w:r>
          </w:p>
        </w:tc>
        <w:tc>
          <w:tcPr>
            <w:tcW w:w="1811" w:type="dxa"/>
            <w:vAlign w:val="center"/>
          </w:tcPr>
          <w:p w14:paraId="4CE08FF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（天津市中药饮片炮制规范 - 2012年版） </w:t>
            </w:r>
          </w:p>
        </w:tc>
      </w:tr>
      <w:tr w14:paraId="0910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6F9CC6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87</w:t>
            </w:r>
          </w:p>
        </w:tc>
        <w:tc>
          <w:tcPr>
            <w:tcW w:w="962" w:type="dxa"/>
            <w:vAlign w:val="center"/>
          </w:tcPr>
          <w:p w14:paraId="3B0891E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安息香</w:t>
            </w:r>
          </w:p>
        </w:tc>
        <w:tc>
          <w:tcPr>
            <w:tcW w:w="761" w:type="dxa"/>
            <w:vAlign w:val="center"/>
          </w:tcPr>
          <w:p w14:paraId="3815EC2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3E898A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1CF5BA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小块，稍扁平，常黏结成团块。表面橙黄色，具蜡样光泽（自然出脂）；或为不规则的圆柱状、扁平块状。表面灰白色至淡黄白色（人工割脂）。质脆，易碎，断面平坦，白色，放置后逐渐变为淡黄棕色至红棕色。加热则软化熔融。气芳香，味微辛，嚼之有沙粒感。</w:t>
            </w:r>
          </w:p>
        </w:tc>
        <w:tc>
          <w:tcPr>
            <w:tcW w:w="1811" w:type="dxa"/>
            <w:vAlign w:val="center"/>
          </w:tcPr>
          <w:p w14:paraId="6F477A2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68E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3C74EB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88</w:t>
            </w:r>
          </w:p>
        </w:tc>
        <w:tc>
          <w:tcPr>
            <w:tcW w:w="962" w:type="dxa"/>
            <w:vAlign w:val="center"/>
          </w:tcPr>
          <w:p w14:paraId="0D1A858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珍珠母（制）</w:t>
            </w:r>
          </w:p>
        </w:tc>
        <w:tc>
          <w:tcPr>
            <w:tcW w:w="761" w:type="dxa"/>
            <w:vAlign w:val="center"/>
          </w:tcPr>
          <w:p w14:paraId="260D2E6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B53DCA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51D1F22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三角帆蚌 略呈不等边四角形。壳面生长轮呈同心环状排列。后背缘向上突起，形成大的三角形帆状后翼。壳内面外套痕明显；前闭壳肌痕呈卵圆形，后闭壳肌痕略呈三角形。左右壳均具两枚拟主齿，左壳具两枚长条形侧齿，右壳具一枚长条形侧齿；具光泽。质坚硬。气微腥，味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褶纹冠蚌 呈不等边三角形。后背缘向上伸展成大形的冠。壳内面外套痕略明显；前闭壳肌痕大呈楔形，后闭壳肌痕呈不规则卵圆形，在后侧齿下方有与壳面相应的纵肋和凹沟。左、右壳均具一枚短而略粗后侧齿和一枚细弱的前侧齿，均无拟主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马氏珍珠贝  呈斜四方形，后耳大，前耳小，背缘平直，腹缘圆，生长线极细密，成片状。闭壳肌痕大，长圆形。具一凸起的长形主齿。</w:t>
            </w:r>
          </w:p>
        </w:tc>
        <w:tc>
          <w:tcPr>
            <w:tcW w:w="1811" w:type="dxa"/>
            <w:vAlign w:val="center"/>
          </w:tcPr>
          <w:p w14:paraId="4C29739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E34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6E3EA2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89</w:t>
            </w:r>
          </w:p>
        </w:tc>
        <w:tc>
          <w:tcPr>
            <w:tcW w:w="962" w:type="dxa"/>
            <w:vAlign w:val="center"/>
          </w:tcPr>
          <w:p w14:paraId="216B20C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鞣漆树果</w:t>
            </w:r>
          </w:p>
        </w:tc>
        <w:tc>
          <w:tcPr>
            <w:tcW w:w="761" w:type="dxa"/>
            <w:vAlign w:val="center"/>
          </w:tcPr>
          <w:p w14:paraId="4252020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A6DFCF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56" w:type="dxa"/>
            <w:vAlign w:val="center"/>
          </w:tcPr>
          <w:p w14:paraId="702E30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本品为扁圆形，直径3～5mm。表面棕色或暗红色，外果皮粗糙，质脆。果核扁圆形或肾形，直径2～3mm。表面黄绿色或绿褐色，光滑，坚硬。断面黄白色，有油性。气微，味酸。</w:t>
            </w:r>
          </w:p>
        </w:tc>
        <w:tc>
          <w:tcPr>
            <w:tcW w:w="1811" w:type="dxa"/>
            <w:vAlign w:val="center"/>
          </w:tcPr>
          <w:p w14:paraId="2317EA2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CB6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5E3012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90</w:t>
            </w:r>
          </w:p>
        </w:tc>
        <w:tc>
          <w:tcPr>
            <w:tcW w:w="962" w:type="dxa"/>
            <w:vAlign w:val="center"/>
          </w:tcPr>
          <w:p w14:paraId="0328469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阿育魏果</w:t>
            </w:r>
          </w:p>
        </w:tc>
        <w:tc>
          <w:tcPr>
            <w:tcW w:w="761" w:type="dxa"/>
            <w:vAlign w:val="center"/>
          </w:tcPr>
          <w:p w14:paraId="59E256C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93A450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5456" w:type="dxa"/>
            <w:vAlign w:val="center"/>
          </w:tcPr>
          <w:p w14:paraId="7744EC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双悬果，呈卵圆形或广卵形，略扁，长约2mm，直径1.5～2.0mm。表面浅灰棕色或黄绿色，顶端残留有小突起的花柱基，圆锥形，基部有时有纤细的果柄。分果呈长卵形，背面有具纵棱线5条，棱间凹陷处色泽较深，表面密被乳突状毛，结合面平坦，中部色较深。横切面略呈五角形。气特异，味辛、有麻舌感。</w:t>
            </w:r>
          </w:p>
        </w:tc>
        <w:tc>
          <w:tcPr>
            <w:tcW w:w="1811" w:type="dxa"/>
            <w:vAlign w:val="center"/>
          </w:tcPr>
          <w:p w14:paraId="76A6CC7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EBA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7D902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91</w:t>
            </w:r>
          </w:p>
        </w:tc>
        <w:tc>
          <w:tcPr>
            <w:tcW w:w="962" w:type="dxa"/>
            <w:vAlign w:val="center"/>
          </w:tcPr>
          <w:p w14:paraId="0BA0879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鹰嘴豆</w:t>
            </w:r>
          </w:p>
        </w:tc>
        <w:tc>
          <w:tcPr>
            <w:tcW w:w="761" w:type="dxa"/>
            <w:vAlign w:val="center"/>
          </w:tcPr>
          <w:p w14:paraId="6126E8A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5456EB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456" w:type="dxa"/>
            <w:vAlign w:val="center"/>
          </w:tcPr>
          <w:p w14:paraId="7D3A9FC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或圆锥形，基部尖如鹰嘴。长5～9mm，直径4～7mm。表面白色、傲红色、淡灰白色、黄白色、棕黄色或红褐色。光滑或有蜂窝状的皱纹，微被短绒毛，种脐处密集。种脐微尖，点状，种孔在喙的腹面。由种脐向下经背部有明显的人字形分叉纹脉。质坚硬。子叶2枚，肥厚，黄白色或淡黄色。气微，味淡，嚼之有豆腥气。</w:t>
            </w:r>
          </w:p>
        </w:tc>
        <w:tc>
          <w:tcPr>
            <w:tcW w:w="1811" w:type="dxa"/>
            <w:vAlign w:val="center"/>
          </w:tcPr>
          <w:p w14:paraId="31BC1AA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467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0F8D33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92</w:t>
            </w:r>
          </w:p>
        </w:tc>
        <w:tc>
          <w:tcPr>
            <w:tcW w:w="962" w:type="dxa"/>
            <w:vAlign w:val="center"/>
          </w:tcPr>
          <w:p w14:paraId="5E0FC76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非洲防己根</w:t>
            </w:r>
          </w:p>
        </w:tc>
        <w:tc>
          <w:tcPr>
            <w:tcW w:w="761" w:type="dxa"/>
            <w:vAlign w:val="center"/>
          </w:tcPr>
          <w:p w14:paraId="4B28A53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FC3AF0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5456" w:type="dxa"/>
            <w:vAlign w:val="center"/>
          </w:tcPr>
          <w:p w14:paraId="2DC944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只有防己 ---防己的形状为;本品呈不规则圆柱形、半圆柱形或块状，多弯曲，长5～10cm，直径1～5cm。表面淡灰黄色，在弯曲处常有深陷横沟而成结节状的瘤块样。体重，质坚实，断面平坦，灰白色，富粉性，有排列较稀疏的放射状纹理。气微，味苦。</w:t>
            </w:r>
          </w:p>
        </w:tc>
        <w:tc>
          <w:tcPr>
            <w:tcW w:w="1811" w:type="dxa"/>
            <w:vAlign w:val="center"/>
          </w:tcPr>
          <w:p w14:paraId="3123AA9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bl>
    <w:p w14:paraId="23A6988B">
      <w:pPr>
        <w:numPr>
          <w:ilvl w:val="0"/>
          <w:numId w:val="0"/>
        </w:numPr>
        <w:kinsoku w:val="0"/>
        <w:autoSpaceDE w:val="0"/>
        <w:autoSpaceDN w:val="0"/>
        <w:adjustRightInd w:val="0"/>
        <w:snapToGrid w:val="0"/>
        <w:spacing w:line="240" w:lineRule="auto"/>
        <w:ind w:leftChars="-200"/>
        <w:jc w:val="both"/>
        <w:textAlignment w:val="baseline"/>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注：以上各药品的数量为预估数量，投标供应商参考使用，并不代表实际配送全部种类及数量（具体数量以实际订购数量为准）。中标供应商不得以此为由要求采购人进货及补偿。本采购明细不作为最终的结算依据。</w:t>
      </w:r>
    </w:p>
    <w:p w14:paraId="7DD01DAB">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4"/>
          <w:szCs w:val="24"/>
          <w:highlight w:val="none"/>
          <w:lang w:val="en-US" w:eastAsia="zh-CN" w:bidi="ar-SA"/>
        </w:rPr>
      </w:pPr>
    </w:p>
    <w:p w14:paraId="5FDD2E16">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4"/>
          <w:szCs w:val="24"/>
          <w:highlight w:val="none"/>
          <w:lang w:val="en-US" w:eastAsia="zh-CN" w:bidi="ar-SA"/>
        </w:rPr>
      </w:pPr>
    </w:p>
    <w:p w14:paraId="75BD7F5E">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4"/>
          <w:szCs w:val="24"/>
          <w:highlight w:val="none"/>
          <w:lang w:val="en-US" w:eastAsia="zh-CN" w:bidi="ar-SA"/>
        </w:rPr>
      </w:pPr>
    </w:p>
    <w:p w14:paraId="24B8366B">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4"/>
          <w:szCs w:val="24"/>
          <w:highlight w:val="none"/>
          <w:lang w:val="en-US" w:eastAsia="zh-CN" w:bidi="ar-SA"/>
        </w:rPr>
      </w:pPr>
    </w:p>
    <w:p w14:paraId="595D6F92">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4"/>
          <w:szCs w:val="24"/>
          <w:highlight w:val="none"/>
          <w:lang w:val="en-US" w:eastAsia="zh-CN" w:bidi="ar-SA"/>
        </w:rPr>
      </w:pPr>
    </w:p>
    <w:p w14:paraId="4EF88D84">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4"/>
          <w:szCs w:val="24"/>
          <w:highlight w:val="none"/>
          <w:lang w:val="en-US" w:eastAsia="zh-CN" w:bidi="ar-SA"/>
        </w:rPr>
      </w:pPr>
    </w:p>
    <w:p w14:paraId="07DCB1AB">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4"/>
          <w:szCs w:val="24"/>
          <w:highlight w:val="none"/>
          <w:lang w:val="en-US" w:eastAsia="zh-CN" w:bidi="ar-SA"/>
        </w:rPr>
      </w:pPr>
    </w:p>
    <w:p w14:paraId="6D91597D">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xml:space="preserve">  包2  需要提供样品的目录</w:t>
      </w:r>
    </w:p>
    <w:tbl>
      <w:tblPr>
        <w:tblStyle w:val="26"/>
        <w:tblpPr w:leftFromText="180" w:rightFromText="180" w:vertAnchor="text" w:horzAnchor="page" w:tblpX="2251" w:tblpY="340"/>
        <w:tblOverlap w:val="never"/>
        <w:tblW w:w="7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2512"/>
        <w:gridCol w:w="1660"/>
        <w:gridCol w:w="2166"/>
      </w:tblGrid>
      <w:tr w14:paraId="03B2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A932">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2E7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芦荟（粉）</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B6D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FB6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578F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D2C0">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DBE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秋水仙</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F5B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BAF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267F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1C0A">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221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湖蛙</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12E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761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2E0E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8A80">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F8A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乌梢蛇</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E39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552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0A0D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5CB9">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F23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天山堇菜</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40B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94A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7D81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3C09">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E4C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蓝薊花</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045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66A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2069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BB32">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15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黄诃子</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D37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95A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1010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8A65">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BAE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诃子</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03D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885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15ED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EB11">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9</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AE5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玫瑰花瓣</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（干）</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9AB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377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r w14:paraId="0E79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71D0">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B23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甜瓜子仁</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210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2BB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第二包</w:t>
            </w:r>
          </w:p>
        </w:tc>
      </w:tr>
    </w:tbl>
    <w:p w14:paraId="4E6EFD21">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8"/>
          <w:szCs w:val="28"/>
          <w:lang w:val="en-US" w:eastAsia="zh-CN" w:bidi="ar-SA"/>
        </w:rPr>
      </w:pPr>
    </w:p>
    <w:p w14:paraId="000708E1">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7460EA15">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18C5090F">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277C5E8E">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61070EE6">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6943ED77">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612EAEC4">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772D4E27">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59CB0387">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74C20D3D">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3BBFC8A5">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053DD7FC">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465A5F76">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685C76EA">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68952F0D">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086095CD">
      <w:pPr>
        <w:pStyle w:val="21"/>
        <w:rPr>
          <w:rFonts w:hint="default" w:ascii="宋体" w:hAnsi="宋体" w:cs="宋体"/>
          <w:kern w:val="2"/>
          <w:sz w:val="28"/>
          <w:szCs w:val="28"/>
          <w:lang w:val="en-US" w:eastAsia="zh-CN" w:bidi="ar-SA"/>
        </w:rPr>
      </w:pPr>
    </w:p>
    <w:p w14:paraId="4300B7D4">
      <w:pPr>
        <w:pStyle w:val="9"/>
        <w:rPr>
          <w:rFonts w:hint="default" w:ascii="宋体" w:hAnsi="宋体" w:cs="宋体"/>
          <w:kern w:val="2"/>
          <w:sz w:val="28"/>
          <w:szCs w:val="28"/>
          <w:lang w:val="en-US" w:eastAsia="zh-CN" w:bidi="ar-SA"/>
        </w:rPr>
      </w:pPr>
    </w:p>
    <w:p w14:paraId="67773540">
      <w:pPr>
        <w:pStyle w:val="10"/>
        <w:rPr>
          <w:rFonts w:hint="default" w:ascii="宋体" w:hAnsi="宋体" w:cs="宋体"/>
          <w:kern w:val="2"/>
          <w:sz w:val="28"/>
          <w:szCs w:val="28"/>
          <w:lang w:val="en-US" w:eastAsia="zh-CN" w:bidi="ar-SA"/>
        </w:rPr>
      </w:pPr>
    </w:p>
    <w:p w14:paraId="6F5C9D81">
      <w:pPr>
        <w:rPr>
          <w:rFonts w:hint="default" w:ascii="宋体" w:hAnsi="宋体" w:cs="宋体"/>
          <w:kern w:val="2"/>
          <w:sz w:val="28"/>
          <w:szCs w:val="28"/>
          <w:lang w:val="en-US" w:eastAsia="zh-CN" w:bidi="ar-SA"/>
        </w:rPr>
      </w:pPr>
    </w:p>
    <w:p w14:paraId="63347455">
      <w:pPr>
        <w:rPr>
          <w:rFonts w:hint="default" w:ascii="宋体" w:hAnsi="宋体" w:cs="宋体"/>
          <w:kern w:val="2"/>
          <w:sz w:val="28"/>
          <w:szCs w:val="28"/>
          <w:lang w:val="en-US" w:eastAsia="zh-CN" w:bidi="ar-SA"/>
        </w:rPr>
      </w:pPr>
    </w:p>
    <w:p w14:paraId="1E208EA7">
      <w:pPr>
        <w:rPr>
          <w:rFonts w:hint="default" w:ascii="宋体" w:hAnsi="宋体" w:cs="宋体"/>
          <w:kern w:val="2"/>
          <w:sz w:val="28"/>
          <w:szCs w:val="28"/>
          <w:lang w:val="en-US" w:eastAsia="zh-CN" w:bidi="ar-SA"/>
        </w:rPr>
      </w:pPr>
    </w:p>
    <w:p w14:paraId="165429DD">
      <w:pPr>
        <w:rPr>
          <w:rFonts w:hint="default" w:ascii="宋体" w:hAnsi="宋体" w:cs="宋体"/>
          <w:kern w:val="2"/>
          <w:sz w:val="28"/>
          <w:szCs w:val="28"/>
          <w:lang w:val="en-US" w:eastAsia="zh-CN" w:bidi="ar-SA"/>
        </w:rPr>
      </w:pPr>
    </w:p>
    <w:p w14:paraId="69A3E60F">
      <w:pPr>
        <w:rPr>
          <w:rFonts w:hint="default" w:ascii="宋体" w:hAnsi="宋体" w:cs="宋体"/>
          <w:kern w:val="2"/>
          <w:sz w:val="28"/>
          <w:szCs w:val="28"/>
          <w:lang w:val="en-US" w:eastAsia="zh-CN" w:bidi="ar-SA"/>
        </w:rPr>
      </w:pPr>
    </w:p>
    <w:p w14:paraId="68A8A231">
      <w:pPr>
        <w:rPr>
          <w:rFonts w:hint="default" w:ascii="宋体" w:hAnsi="宋体" w:cs="宋体"/>
          <w:kern w:val="2"/>
          <w:sz w:val="28"/>
          <w:szCs w:val="28"/>
          <w:lang w:val="en-US" w:eastAsia="zh-CN" w:bidi="ar-SA"/>
        </w:rPr>
      </w:pPr>
    </w:p>
    <w:p w14:paraId="22E36B67">
      <w:pPr>
        <w:rPr>
          <w:rFonts w:hint="default" w:ascii="宋体" w:hAnsi="宋体" w:cs="宋体"/>
          <w:kern w:val="2"/>
          <w:sz w:val="28"/>
          <w:szCs w:val="28"/>
          <w:lang w:val="en-US" w:eastAsia="zh-CN" w:bidi="ar-SA"/>
        </w:rPr>
      </w:pPr>
    </w:p>
    <w:p w14:paraId="713F8903">
      <w:pPr>
        <w:rPr>
          <w:rFonts w:hint="default" w:ascii="宋体" w:hAnsi="宋体" w:cs="宋体"/>
          <w:kern w:val="2"/>
          <w:sz w:val="28"/>
          <w:szCs w:val="28"/>
          <w:lang w:val="en-US" w:eastAsia="zh-CN" w:bidi="ar-SA"/>
        </w:rPr>
      </w:pPr>
    </w:p>
    <w:p w14:paraId="5D9AAE76">
      <w:pPr>
        <w:rPr>
          <w:rFonts w:hint="default" w:ascii="宋体" w:hAnsi="宋体" w:cs="宋体"/>
          <w:kern w:val="2"/>
          <w:sz w:val="28"/>
          <w:szCs w:val="28"/>
          <w:lang w:val="en-US" w:eastAsia="zh-CN" w:bidi="ar-SA"/>
        </w:rPr>
      </w:pPr>
    </w:p>
    <w:p w14:paraId="5DFF73FD">
      <w:pPr>
        <w:rPr>
          <w:rFonts w:hint="default" w:ascii="宋体" w:hAnsi="宋体" w:cs="宋体"/>
          <w:kern w:val="2"/>
          <w:sz w:val="28"/>
          <w:szCs w:val="28"/>
          <w:lang w:val="en-US" w:eastAsia="zh-CN" w:bidi="ar-SA"/>
        </w:rPr>
      </w:pPr>
    </w:p>
    <w:p w14:paraId="22046951">
      <w:pPr>
        <w:rPr>
          <w:rFonts w:hint="default" w:ascii="宋体" w:hAnsi="宋体" w:cs="宋体"/>
          <w:kern w:val="2"/>
          <w:sz w:val="28"/>
          <w:szCs w:val="28"/>
          <w:lang w:val="en-US" w:eastAsia="zh-CN" w:bidi="ar-SA"/>
        </w:rPr>
      </w:pPr>
    </w:p>
    <w:p w14:paraId="6333A800">
      <w:pPr>
        <w:rPr>
          <w:rFonts w:hint="default" w:ascii="宋体" w:hAnsi="宋体" w:cs="宋体"/>
          <w:kern w:val="2"/>
          <w:sz w:val="28"/>
          <w:szCs w:val="28"/>
          <w:lang w:val="en-US" w:eastAsia="zh-CN" w:bidi="ar-SA"/>
        </w:rPr>
      </w:pPr>
    </w:p>
    <w:p w14:paraId="51A9FF91">
      <w:pPr>
        <w:rPr>
          <w:rFonts w:hint="default" w:ascii="宋体" w:hAnsi="宋体" w:cs="宋体"/>
          <w:kern w:val="2"/>
          <w:sz w:val="28"/>
          <w:szCs w:val="28"/>
          <w:lang w:val="en-US" w:eastAsia="zh-CN" w:bidi="ar-SA"/>
        </w:rPr>
      </w:pPr>
    </w:p>
    <w:p w14:paraId="1C8E115F">
      <w:pPr>
        <w:rPr>
          <w:rFonts w:hint="default" w:ascii="宋体" w:hAnsi="宋体" w:cs="宋体"/>
          <w:kern w:val="2"/>
          <w:sz w:val="28"/>
          <w:szCs w:val="28"/>
          <w:lang w:val="en-US" w:eastAsia="zh-CN" w:bidi="ar-SA"/>
        </w:rPr>
      </w:pPr>
    </w:p>
    <w:p w14:paraId="2D862EA3">
      <w:pPr>
        <w:rPr>
          <w:rFonts w:hint="default" w:ascii="宋体" w:hAnsi="宋体" w:cs="宋体"/>
          <w:kern w:val="2"/>
          <w:sz w:val="28"/>
          <w:szCs w:val="28"/>
          <w:lang w:val="en-US" w:eastAsia="zh-CN" w:bidi="ar-SA"/>
        </w:rPr>
      </w:pPr>
    </w:p>
    <w:p w14:paraId="0A113004">
      <w:pPr>
        <w:rPr>
          <w:rFonts w:hint="default" w:ascii="宋体" w:hAnsi="宋体" w:cs="宋体"/>
          <w:kern w:val="2"/>
          <w:sz w:val="28"/>
          <w:szCs w:val="28"/>
          <w:lang w:val="en-US" w:eastAsia="zh-CN" w:bidi="ar-SA"/>
        </w:rPr>
      </w:pPr>
    </w:p>
    <w:p w14:paraId="51FB6FEF">
      <w:pPr>
        <w:pStyle w:val="9"/>
        <w:rPr>
          <w:rFonts w:hint="default"/>
          <w:lang w:val="en-US" w:eastAsia="zh-CN"/>
        </w:rPr>
      </w:pPr>
    </w:p>
    <w:p w14:paraId="3133E53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包 3</w:t>
      </w:r>
    </w:p>
    <w:tbl>
      <w:tblPr>
        <w:tblStyle w:val="27"/>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78"/>
        <w:gridCol w:w="845"/>
        <w:gridCol w:w="977"/>
        <w:gridCol w:w="5329"/>
        <w:gridCol w:w="1938"/>
      </w:tblGrid>
      <w:tr w14:paraId="094D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DF627D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序号</w:t>
            </w:r>
          </w:p>
        </w:tc>
        <w:tc>
          <w:tcPr>
            <w:tcW w:w="878" w:type="dxa"/>
            <w:vAlign w:val="center"/>
          </w:tcPr>
          <w:p w14:paraId="4CDC541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kern w:val="2"/>
                <w:sz w:val="28"/>
                <w:szCs w:val="28"/>
                <w:lang w:val="en-US" w:eastAsia="zh-CN" w:bidi="ar-SA"/>
              </w:rPr>
              <w:t>★</w:t>
            </w:r>
            <w:r>
              <w:rPr>
                <w:rFonts w:hint="eastAsia" w:ascii="宋体" w:hAnsi="宋体" w:eastAsia="宋体" w:cs="宋体"/>
                <w:i w:val="0"/>
                <w:iCs w:val="0"/>
                <w:snapToGrid w:val="0"/>
                <w:color w:val="000000"/>
                <w:kern w:val="0"/>
                <w:sz w:val="21"/>
                <w:szCs w:val="21"/>
                <w:u w:val="none"/>
                <w:lang w:val="en-US" w:eastAsia="zh-CN" w:bidi="ar"/>
              </w:rPr>
              <w:t>药名</w:t>
            </w:r>
          </w:p>
        </w:tc>
        <w:tc>
          <w:tcPr>
            <w:tcW w:w="845" w:type="dxa"/>
            <w:vAlign w:val="center"/>
          </w:tcPr>
          <w:p w14:paraId="3060139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kern w:val="2"/>
                <w:sz w:val="28"/>
                <w:szCs w:val="28"/>
                <w:lang w:val="en-US" w:eastAsia="zh-CN" w:bidi="ar-SA"/>
              </w:rPr>
              <w:t>★</w:t>
            </w:r>
            <w:r>
              <w:rPr>
                <w:rFonts w:hint="eastAsia" w:ascii="宋体" w:hAnsi="宋体" w:eastAsia="宋体" w:cs="宋体"/>
                <w:i w:val="0"/>
                <w:iCs w:val="0"/>
                <w:snapToGrid w:val="0"/>
                <w:color w:val="000000"/>
                <w:kern w:val="0"/>
                <w:sz w:val="21"/>
                <w:szCs w:val="21"/>
                <w:u w:val="none"/>
                <w:lang w:val="en-US" w:eastAsia="zh-CN" w:bidi="ar"/>
              </w:rPr>
              <w:t>规格/单位</w:t>
            </w:r>
          </w:p>
        </w:tc>
        <w:tc>
          <w:tcPr>
            <w:tcW w:w="977" w:type="dxa"/>
            <w:vAlign w:val="center"/>
          </w:tcPr>
          <w:p w14:paraId="1A471FC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年使用量(kg)</w:t>
            </w:r>
          </w:p>
        </w:tc>
        <w:tc>
          <w:tcPr>
            <w:tcW w:w="5329" w:type="dxa"/>
            <w:vAlign w:val="center"/>
          </w:tcPr>
          <w:p w14:paraId="5E05F26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性能说明</w:t>
            </w:r>
          </w:p>
        </w:tc>
        <w:tc>
          <w:tcPr>
            <w:tcW w:w="1938" w:type="dxa"/>
            <w:vAlign w:val="center"/>
          </w:tcPr>
          <w:p w14:paraId="1355D45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执行标准</w:t>
            </w:r>
          </w:p>
        </w:tc>
      </w:tr>
      <w:tr w14:paraId="618B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4EB5255">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878" w:type="dxa"/>
            <w:vAlign w:val="center"/>
          </w:tcPr>
          <w:p w14:paraId="6208A58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蜘蛛香</w:t>
            </w:r>
          </w:p>
        </w:tc>
        <w:tc>
          <w:tcPr>
            <w:tcW w:w="845" w:type="dxa"/>
            <w:vAlign w:val="center"/>
          </w:tcPr>
          <w:p w14:paraId="0815099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FA0B75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2200</w:t>
            </w:r>
          </w:p>
        </w:tc>
        <w:tc>
          <w:tcPr>
            <w:tcW w:w="5329" w:type="dxa"/>
            <w:vAlign w:val="center"/>
          </w:tcPr>
          <w:p w14:paraId="165DC67F">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根茎呈圆柱形，略扁，稍弯曲，少分枝，长1.5～8cm，直径0.5～2cm；表面暗棕色或灰褐色，有紧密隆起的环节和突起的点状根痕，有的顶端略膨大，具茎、叶残基；质坚实，不易折断，折断面略平坦，黄棕色或灰棕色，可见筋脉点（维管束）断续排列成环。根细长，稍弯曲，长3～15cm，直径约0.2cm，有浅纵皱纹，质脆。气特异，味微苦、辛。</w:t>
            </w:r>
          </w:p>
        </w:tc>
        <w:tc>
          <w:tcPr>
            <w:tcW w:w="1938" w:type="dxa"/>
            <w:vAlign w:val="center"/>
          </w:tcPr>
          <w:p w14:paraId="2E93FCA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B46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BB5C35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878" w:type="dxa"/>
            <w:vAlign w:val="center"/>
          </w:tcPr>
          <w:p w14:paraId="62B707A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芹菜根</w:t>
            </w:r>
          </w:p>
        </w:tc>
        <w:tc>
          <w:tcPr>
            <w:tcW w:w="845" w:type="dxa"/>
            <w:vAlign w:val="center"/>
          </w:tcPr>
          <w:p w14:paraId="3022657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915077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329" w:type="dxa"/>
            <w:vAlign w:val="center"/>
          </w:tcPr>
          <w:p w14:paraId="71ACD140">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本品为伞形科植物旱芹 Apium graveolensL,的干燥根及根茎。夏、秋季成熟期采挖晒干,除去残茎等杂质。【性状】 主根长圆锥形或略呈类纺锤形,长 2～15 cm,直径 0.5～2.5cm,表面棕灰色，具明显纵纹。下部常有支根2至数条,多着生多数细长的须根,细根上常有细小的疣状突起。有的根茎部膨大,顶部具茎残基或呈凹窝状,直径0.5～4em,表面粗糙,灰棕色。质硬断面黄白色,形成层环纹黄棕色。气微,味微威。</w:t>
            </w:r>
          </w:p>
        </w:tc>
        <w:tc>
          <w:tcPr>
            <w:tcW w:w="1938" w:type="dxa"/>
            <w:vAlign w:val="center"/>
          </w:tcPr>
          <w:p w14:paraId="7E0F6B7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《新疆维吾尔自治区维吾尔药材标准》2010年版第一册</w:t>
            </w:r>
          </w:p>
        </w:tc>
      </w:tr>
      <w:tr w14:paraId="7DB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4FA085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w:t>
            </w:r>
          </w:p>
        </w:tc>
        <w:tc>
          <w:tcPr>
            <w:tcW w:w="878" w:type="dxa"/>
            <w:vAlign w:val="center"/>
          </w:tcPr>
          <w:p w14:paraId="6EF7C84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甘草（片）</w:t>
            </w:r>
          </w:p>
        </w:tc>
        <w:tc>
          <w:tcPr>
            <w:tcW w:w="845" w:type="dxa"/>
            <w:vAlign w:val="center"/>
          </w:tcPr>
          <w:p w14:paraId="7D5E7AA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342A92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700</w:t>
            </w:r>
          </w:p>
        </w:tc>
        <w:tc>
          <w:tcPr>
            <w:tcW w:w="5329" w:type="dxa"/>
            <w:vAlign w:val="center"/>
          </w:tcPr>
          <w:p w14:paraId="3F98FE25">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本品呈类圆形或椭圆形的厚片。外表皮红棕色或灰棕色，具纵皱纹。切面略显纤维性，中心黄白色，有明显放射状纹理及形成层环。质坚实，具粉性。气微，味甜而特殊。</w:t>
            </w:r>
          </w:p>
        </w:tc>
        <w:tc>
          <w:tcPr>
            <w:tcW w:w="1938" w:type="dxa"/>
            <w:vAlign w:val="center"/>
          </w:tcPr>
          <w:p w14:paraId="4E23091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A15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AA4C76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878" w:type="dxa"/>
            <w:vAlign w:val="center"/>
          </w:tcPr>
          <w:p w14:paraId="03692F6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甘草浸膏</w:t>
            </w:r>
          </w:p>
        </w:tc>
        <w:tc>
          <w:tcPr>
            <w:tcW w:w="845" w:type="dxa"/>
            <w:vAlign w:val="center"/>
          </w:tcPr>
          <w:p w14:paraId="1906901B">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030C5A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17964933">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本品为棕褐色的块状固体或粉末；有微弱的特殊臭气和持久的特殊甜味。</w:t>
            </w:r>
          </w:p>
        </w:tc>
        <w:tc>
          <w:tcPr>
            <w:tcW w:w="1938" w:type="dxa"/>
            <w:vAlign w:val="center"/>
          </w:tcPr>
          <w:p w14:paraId="42F2AEA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FA5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D4F3C7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w:t>
            </w:r>
          </w:p>
        </w:tc>
        <w:tc>
          <w:tcPr>
            <w:tcW w:w="878" w:type="dxa"/>
            <w:vAlign w:val="center"/>
          </w:tcPr>
          <w:p w14:paraId="47D8E48B">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西青果</w:t>
            </w:r>
          </w:p>
        </w:tc>
        <w:tc>
          <w:tcPr>
            <w:tcW w:w="845" w:type="dxa"/>
            <w:vAlign w:val="center"/>
          </w:tcPr>
          <w:p w14:paraId="716991F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476E3B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600</w:t>
            </w:r>
          </w:p>
        </w:tc>
        <w:tc>
          <w:tcPr>
            <w:tcW w:w="5329" w:type="dxa"/>
            <w:vAlign w:val="center"/>
          </w:tcPr>
          <w:p w14:paraId="3F148B2A">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卵形，略扁，长1.5～3cm，直径0.5～1.2cm。表面黑褐色，具有明显的纵皱纹，一端较大，另一端略小，钝尖，下部有果梗痕。质坚硬。断面褐色，有胶质样光泽，果核不明显，常有空心，小者黑褐色，无空心。气微，味苦涩，微甘。</w:t>
            </w:r>
          </w:p>
        </w:tc>
        <w:tc>
          <w:tcPr>
            <w:tcW w:w="1938" w:type="dxa"/>
            <w:vAlign w:val="center"/>
          </w:tcPr>
          <w:p w14:paraId="30C8C5B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CD3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EC3A1C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w:t>
            </w:r>
          </w:p>
        </w:tc>
        <w:tc>
          <w:tcPr>
            <w:tcW w:w="878" w:type="dxa"/>
            <w:vAlign w:val="center"/>
          </w:tcPr>
          <w:p w14:paraId="2CFB4F3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银箔</w:t>
            </w:r>
          </w:p>
        </w:tc>
        <w:tc>
          <w:tcPr>
            <w:tcW w:w="845" w:type="dxa"/>
            <w:vAlign w:val="center"/>
          </w:tcPr>
          <w:p w14:paraId="08C0C7E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片</w:t>
            </w:r>
          </w:p>
        </w:tc>
        <w:tc>
          <w:tcPr>
            <w:tcW w:w="977" w:type="dxa"/>
            <w:vAlign w:val="center"/>
          </w:tcPr>
          <w:p w14:paraId="7AE508C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25000</w:t>
            </w:r>
          </w:p>
        </w:tc>
        <w:tc>
          <w:tcPr>
            <w:tcW w:w="5329" w:type="dxa"/>
            <w:vAlign w:val="center"/>
          </w:tcPr>
          <w:p w14:paraId="723D3738">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本品为菲薄的片状，类圆形或方形摊铺于软纸上，银白色，具强的金属光泽，面积大小不等，正方形者边长一般为4～8cm；质极软，易漂浮、破碎或贴敷于手指上，无气床。</w:t>
            </w:r>
          </w:p>
        </w:tc>
        <w:tc>
          <w:tcPr>
            <w:tcW w:w="1938" w:type="dxa"/>
            <w:vAlign w:val="center"/>
          </w:tcPr>
          <w:p w14:paraId="46C7A7A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《新疆维吾尔自治区药材标准》1992年版</w:t>
            </w:r>
          </w:p>
        </w:tc>
      </w:tr>
      <w:tr w14:paraId="4B24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5FF11B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w:t>
            </w:r>
          </w:p>
        </w:tc>
        <w:tc>
          <w:tcPr>
            <w:tcW w:w="878" w:type="dxa"/>
            <w:vAlign w:val="center"/>
          </w:tcPr>
          <w:p w14:paraId="715C101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硇砂</w:t>
            </w:r>
          </w:p>
        </w:tc>
        <w:tc>
          <w:tcPr>
            <w:tcW w:w="845" w:type="dxa"/>
            <w:vAlign w:val="center"/>
          </w:tcPr>
          <w:p w14:paraId="27CB5B6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8250F3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329" w:type="dxa"/>
            <w:vAlign w:val="center"/>
          </w:tcPr>
          <w:p w14:paraId="7877EB84">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【性状】本品呈柱状、纤维状、钟乳状、粒状或粉末状，透明或微透明；白色，有的稍带淡黄色；质较脆,易碎,用指甲即可刮下白色粉末，断面呈针状纹理，有光泽。微臭，味咸苦而刺舌。</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1938" w:type="dxa"/>
            <w:vAlign w:val="center"/>
          </w:tcPr>
          <w:p w14:paraId="68E34F0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1998年版维吾尔藏药分册</w:t>
            </w:r>
          </w:p>
        </w:tc>
      </w:tr>
      <w:tr w14:paraId="0B8F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768F19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w:t>
            </w:r>
          </w:p>
        </w:tc>
        <w:tc>
          <w:tcPr>
            <w:tcW w:w="878" w:type="dxa"/>
            <w:vAlign w:val="center"/>
          </w:tcPr>
          <w:p w14:paraId="14F272F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铁力木</w:t>
            </w:r>
          </w:p>
        </w:tc>
        <w:tc>
          <w:tcPr>
            <w:tcW w:w="845" w:type="dxa"/>
            <w:vAlign w:val="center"/>
          </w:tcPr>
          <w:p w14:paraId="23A2D2E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FB4CD3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FB851AC">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直径0.5～0.7cm，先端有尖，长约1mm，花柄长0.5～2.5cm，花柄尾端呈盔帽状，多数残留。花萼表面浅棕至棕红色，可见细纵纹理。花瓣4枚，红棕色，倒卵状楔形，覆瓦状排列，外方2枚较内方2枚略大。雄蕊极多数，丝状，黄棕色；子房圆锥形，2室，柱头盾形；亦有无雌蕊的单性花。体轻，质脆。气清香，味淡、微苦。</w:t>
            </w:r>
          </w:p>
        </w:tc>
        <w:tc>
          <w:tcPr>
            <w:tcW w:w="1938" w:type="dxa"/>
            <w:vAlign w:val="center"/>
          </w:tcPr>
          <w:p w14:paraId="0047242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270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5224FD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w:t>
            </w:r>
          </w:p>
        </w:tc>
        <w:tc>
          <w:tcPr>
            <w:tcW w:w="878" w:type="dxa"/>
            <w:vAlign w:val="center"/>
          </w:tcPr>
          <w:p w14:paraId="7BFE57B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天竺黄</w:t>
            </w:r>
          </w:p>
        </w:tc>
        <w:tc>
          <w:tcPr>
            <w:tcW w:w="845" w:type="dxa"/>
            <w:vAlign w:val="center"/>
          </w:tcPr>
          <w:p w14:paraId="7CDCB5A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A4EDE1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7548E8B7">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本品为不规则的片块或颗粒，大小不一。表面灰蓝色、灰黄色或灰白色，有的洁白色，半透明，略带光泽。体轻，质硬而脆，易破碎，吸湿性强。气微，味淡。</w:t>
            </w:r>
          </w:p>
        </w:tc>
        <w:tc>
          <w:tcPr>
            <w:tcW w:w="1938" w:type="dxa"/>
            <w:vAlign w:val="center"/>
          </w:tcPr>
          <w:p w14:paraId="65C8D34B">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171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E8141A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w:t>
            </w:r>
          </w:p>
        </w:tc>
        <w:tc>
          <w:tcPr>
            <w:tcW w:w="878" w:type="dxa"/>
            <w:vAlign w:val="center"/>
          </w:tcPr>
          <w:p w14:paraId="0897A14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罗望子</w:t>
            </w:r>
          </w:p>
        </w:tc>
        <w:tc>
          <w:tcPr>
            <w:tcW w:w="845" w:type="dxa"/>
            <w:vAlign w:val="center"/>
          </w:tcPr>
          <w:p w14:paraId="0084CE7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531E39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120</w:t>
            </w:r>
          </w:p>
        </w:tc>
        <w:tc>
          <w:tcPr>
            <w:tcW w:w="5329" w:type="dxa"/>
            <w:vAlign w:val="center"/>
          </w:tcPr>
          <w:p w14:paraId="0A3DF98E">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开荚果，类长圆形，稍扁，长3～6cm，微弯曲。外果皮棕褐色，稍坚脆；中果皮棕黄色或棕黑色，较厚，味酸，外侧有数条纤维状筋脉；内果皮革质状。种子形状多样，呈类圆形，近方形或规则形，长7～14mm，宽6～11mm，较扁，表面呈红棕色，光滑，有光泽，稍具指纹样纹理，压扁，两侧各具一近圆形疤痕，脐点呈圆点状，微凹入，合点亦为点状而微突起，位于脐点对侧，子叶白色。气芳香，味酸甜。</w:t>
            </w:r>
          </w:p>
        </w:tc>
        <w:tc>
          <w:tcPr>
            <w:tcW w:w="1938" w:type="dxa"/>
            <w:vAlign w:val="center"/>
          </w:tcPr>
          <w:p w14:paraId="4FA8C7E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64E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D12E9B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w:t>
            </w:r>
          </w:p>
        </w:tc>
        <w:tc>
          <w:tcPr>
            <w:tcW w:w="878" w:type="dxa"/>
            <w:vAlign w:val="center"/>
          </w:tcPr>
          <w:p w14:paraId="0699C8B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刺糖</w:t>
            </w:r>
          </w:p>
        </w:tc>
        <w:tc>
          <w:tcPr>
            <w:tcW w:w="845" w:type="dxa"/>
            <w:vAlign w:val="center"/>
          </w:tcPr>
          <w:p w14:paraId="5B3DC43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00059E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1400</w:t>
            </w:r>
          </w:p>
        </w:tc>
        <w:tc>
          <w:tcPr>
            <w:tcW w:w="5329" w:type="dxa"/>
            <w:vAlign w:val="center"/>
          </w:tcPr>
          <w:p w14:paraId="0F836F26">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本品呈颗粒状或泪滴状。外表面淡黄白色至棕黄色，内部呈乳白色至淡黄色，略有黏性。气微，味甜</w:t>
            </w:r>
          </w:p>
        </w:tc>
        <w:tc>
          <w:tcPr>
            <w:tcW w:w="1938" w:type="dxa"/>
            <w:vAlign w:val="center"/>
          </w:tcPr>
          <w:p w14:paraId="6C6A9EE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442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8E9565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w:t>
            </w:r>
          </w:p>
        </w:tc>
        <w:tc>
          <w:tcPr>
            <w:tcW w:w="878" w:type="dxa"/>
            <w:vAlign w:val="center"/>
          </w:tcPr>
          <w:p w14:paraId="358B119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铁落（制）</w:t>
            </w:r>
          </w:p>
        </w:tc>
        <w:tc>
          <w:tcPr>
            <w:tcW w:w="845" w:type="dxa"/>
            <w:vAlign w:val="center"/>
          </w:tcPr>
          <w:p w14:paraId="4DE173CB">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4713FB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F3588F0">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【炮制】煅铁落 取原药材，除去杂质，照煅淬法（附录【）煅透。醋淬，陈干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每100kg净铁落，用醋20kg.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成品性状： 为黑色不规则小碎片或粉末状。质重。有醋酸气味。</w:t>
            </w:r>
          </w:p>
        </w:tc>
        <w:tc>
          <w:tcPr>
            <w:tcW w:w="1938" w:type="dxa"/>
            <w:vAlign w:val="center"/>
          </w:tcPr>
          <w:p w14:paraId="37D9887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湖南省中药饮片炮制规范2010年版    </w:t>
            </w:r>
          </w:p>
        </w:tc>
      </w:tr>
      <w:tr w14:paraId="1FA4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C6A137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w:t>
            </w:r>
          </w:p>
        </w:tc>
        <w:tc>
          <w:tcPr>
            <w:tcW w:w="878" w:type="dxa"/>
            <w:vAlign w:val="center"/>
          </w:tcPr>
          <w:p w14:paraId="4701A2C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西瓜子仁</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（去皮）</w:t>
            </w:r>
          </w:p>
        </w:tc>
        <w:tc>
          <w:tcPr>
            <w:tcW w:w="845" w:type="dxa"/>
            <w:vAlign w:val="center"/>
          </w:tcPr>
          <w:p w14:paraId="0C4EE67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0AC8DD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1B90B17">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西瓜子;【性状】本品呈扁平的广卵形或卵形，长7～15mm，宽5～10 mm，厚2～3 mm。表面黑色、棕药色，光滑，上端钝圆；种皮坚硬，白色。气微，味微甜而香。</w:t>
            </w:r>
          </w:p>
        </w:tc>
        <w:tc>
          <w:tcPr>
            <w:tcW w:w="1938" w:type="dxa"/>
            <w:vAlign w:val="center"/>
          </w:tcPr>
          <w:p w14:paraId="2FCD710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1998年版维吾尔药分册</w:t>
            </w:r>
          </w:p>
        </w:tc>
      </w:tr>
      <w:tr w14:paraId="7B79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164042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w:t>
            </w:r>
          </w:p>
        </w:tc>
        <w:tc>
          <w:tcPr>
            <w:tcW w:w="878" w:type="dxa"/>
            <w:vAlign w:val="center"/>
          </w:tcPr>
          <w:p w14:paraId="53B5721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肉苁蓉</w:t>
            </w:r>
          </w:p>
        </w:tc>
        <w:tc>
          <w:tcPr>
            <w:tcW w:w="845" w:type="dxa"/>
            <w:vAlign w:val="center"/>
          </w:tcPr>
          <w:p w14:paraId="70DDB91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657DFF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715FB34">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呈扁圆柱形，稍弯曲，长3～15cm，直径2～8cm。表面棕褐色或灰棕色，密被覆瓦状排列的肉质鳞叶，通常鳞叶先端已断。体重，质硬，微有柔性，不易折断，断面棕褐色，有淡棕色点状维管束，排列成波状环纹。气微，味甜、微苦。</w:t>
            </w:r>
          </w:p>
        </w:tc>
        <w:tc>
          <w:tcPr>
            <w:tcW w:w="1938" w:type="dxa"/>
            <w:vAlign w:val="center"/>
          </w:tcPr>
          <w:p w14:paraId="58B6B92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8D1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D5ED8C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w:t>
            </w:r>
          </w:p>
        </w:tc>
        <w:tc>
          <w:tcPr>
            <w:tcW w:w="878" w:type="dxa"/>
            <w:vAlign w:val="center"/>
          </w:tcPr>
          <w:p w14:paraId="4709910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黄瓜子仁</w:t>
            </w:r>
          </w:p>
        </w:tc>
        <w:tc>
          <w:tcPr>
            <w:tcW w:w="845" w:type="dxa"/>
            <w:vAlign w:val="center"/>
          </w:tcPr>
          <w:p w14:paraId="3891E60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FB42A5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w:t>
            </w:r>
          </w:p>
        </w:tc>
        <w:tc>
          <w:tcPr>
            <w:tcW w:w="5329" w:type="dxa"/>
            <w:vAlign w:val="center"/>
          </w:tcPr>
          <w:p w14:paraId="7E1DDEA2">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本品为葫芦科植物黄瓜Cucumis sarivus!,的干燥成熟种子。秋季果实成熟时,摘下果实,收取种子。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【炮制】黄瓜子 除去杂质,洗净,晒干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炒黄瓜子 剥去种子外壳,文火微炒,取出,晾凉。</w:t>
            </w:r>
          </w:p>
        </w:tc>
        <w:tc>
          <w:tcPr>
            <w:tcW w:w="1938" w:type="dxa"/>
            <w:vAlign w:val="center"/>
          </w:tcPr>
          <w:p w14:paraId="66EFDBC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EDD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90353D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w:t>
            </w:r>
          </w:p>
        </w:tc>
        <w:tc>
          <w:tcPr>
            <w:tcW w:w="878" w:type="dxa"/>
            <w:vAlign w:val="center"/>
          </w:tcPr>
          <w:p w14:paraId="710559F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硼砂</w:t>
            </w:r>
          </w:p>
        </w:tc>
        <w:tc>
          <w:tcPr>
            <w:tcW w:w="845" w:type="dxa"/>
            <w:vAlign w:val="center"/>
          </w:tcPr>
          <w:p w14:paraId="18CC400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0A8A98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820AC8E">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呈棱形、柱形或粒状结晶，大小不一。无色透明或白色半透明，具玻璃样光，质较重，易破碎。气无，味苦咸。日久则分化成白色粉末，微有脂肪样光泽。</w:t>
            </w:r>
          </w:p>
        </w:tc>
        <w:tc>
          <w:tcPr>
            <w:tcW w:w="1938" w:type="dxa"/>
            <w:vAlign w:val="center"/>
          </w:tcPr>
          <w:p w14:paraId="7170FF8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42C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1BEF38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w:t>
            </w:r>
          </w:p>
        </w:tc>
        <w:tc>
          <w:tcPr>
            <w:tcW w:w="878" w:type="dxa"/>
            <w:vAlign w:val="center"/>
          </w:tcPr>
          <w:p w14:paraId="619582F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茴芹果</w:t>
            </w:r>
          </w:p>
        </w:tc>
        <w:tc>
          <w:tcPr>
            <w:tcW w:w="845" w:type="dxa"/>
            <w:vAlign w:val="center"/>
          </w:tcPr>
          <w:p w14:paraId="4CF2811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B28893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160</w:t>
            </w:r>
          </w:p>
        </w:tc>
        <w:tc>
          <w:tcPr>
            <w:tcW w:w="5329" w:type="dxa"/>
            <w:vAlign w:val="center"/>
          </w:tcPr>
          <w:p w14:paraId="6FCD3FB7">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双悬果，多连接而少分离，呈卵圆形，长25～4mm，直径约1.5mm。表面灰绿色或灰棕色，顶端狭细，基部宽圆，果柄长1～3mm或无。分果具5条明显的肋线，微隆起，肋间具有短刚毛。分果横切面置解剖镜下观察，背面具20～30个细小的油室，结合面存有较大的油室2～3个。气芳香，味甜。</w:t>
            </w:r>
          </w:p>
        </w:tc>
        <w:tc>
          <w:tcPr>
            <w:tcW w:w="1938" w:type="dxa"/>
            <w:vAlign w:val="center"/>
          </w:tcPr>
          <w:p w14:paraId="6017DF6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5BE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5DABD6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w:t>
            </w:r>
          </w:p>
        </w:tc>
        <w:tc>
          <w:tcPr>
            <w:tcW w:w="878" w:type="dxa"/>
            <w:vAlign w:val="center"/>
          </w:tcPr>
          <w:p w14:paraId="311FB07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橄榄油</w:t>
            </w:r>
          </w:p>
        </w:tc>
        <w:tc>
          <w:tcPr>
            <w:tcW w:w="845" w:type="dxa"/>
            <w:vAlign w:val="center"/>
          </w:tcPr>
          <w:p w14:paraId="20940FB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50ml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（瓶）</w:t>
            </w:r>
          </w:p>
        </w:tc>
        <w:tc>
          <w:tcPr>
            <w:tcW w:w="977" w:type="dxa"/>
            <w:vAlign w:val="center"/>
          </w:tcPr>
          <w:p w14:paraId="2DA3D48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15000</w:t>
            </w:r>
          </w:p>
        </w:tc>
        <w:tc>
          <w:tcPr>
            <w:tcW w:w="5329" w:type="dxa"/>
            <w:vAlign w:val="center"/>
          </w:tcPr>
          <w:p w14:paraId="1751C3F0">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本品为无色至黄色或黄绿色的澄清液体。</w:t>
            </w:r>
          </w:p>
        </w:tc>
        <w:tc>
          <w:tcPr>
            <w:tcW w:w="1938" w:type="dxa"/>
            <w:vAlign w:val="center"/>
          </w:tcPr>
          <w:p w14:paraId="74B651F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《中国药典》2020年版四部</w:t>
            </w:r>
          </w:p>
        </w:tc>
      </w:tr>
      <w:tr w14:paraId="1FE3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091035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w:t>
            </w:r>
          </w:p>
        </w:tc>
        <w:tc>
          <w:tcPr>
            <w:tcW w:w="878" w:type="dxa"/>
            <w:vAlign w:val="center"/>
          </w:tcPr>
          <w:p w14:paraId="1C48B08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姜黄</w:t>
            </w:r>
          </w:p>
        </w:tc>
        <w:tc>
          <w:tcPr>
            <w:tcW w:w="845" w:type="dxa"/>
            <w:vAlign w:val="center"/>
          </w:tcPr>
          <w:p w14:paraId="5B3BE29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2F6948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5329" w:type="dxa"/>
            <w:vAlign w:val="center"/>
          </w:tcPr>
          <w:p w14:paraId="699E272A">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卵圆形、圆柱形或纺锤形，常弯曲，有的具短叉状分枝，长2～5cm，直径1～3cm。表面深黄色，粗糙，有皱缩纹理和明显环节，并有圆形分枝痕及须根痕。质坚实，不易折断，断面棕黄色至金黄色，角质样，有蜡样光泽，内皮层环纹明显，维管束呈点状散在。气香特异，味苦、辛。</w:t>
            </w:r>
          </w:p>
        </w:tc>
        <w:tc>
          <w:tcPr>
            <w:tcW w:w="1938" w:type="dxa"/>
            <w:vAlign w:val="center"/>
          </w:tcPr>
          <w:p w14:paraId="5F5189E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9FF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78DFED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w:t>
            </w:r>
          </w:p>
        </w:tc>
        <w:tc>
          <w:tcPr>
            <w:tcW w:w="878" w:type="dxa"/>
            <w:vAlign w:val="center"/>
          </w:tcPr>
          <w:p w14:paraId="7319134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神香草</w:t>
            </w:r>
          </w:p>
        </w:tc>
        <w:tc>
          <w:tcPr>
            <w:tcW w:w="845" w:type="dxa"/>
            <w:vAlign w:val="center"/>
          </w:tcPr>
          <w:p w14:paraId="06FDAC6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2C619B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w:t>
            </w:r>
          </w:p>
        </w:tc>
        <w:tc>
          <w:tcPr>
            <w:tcW w:w="5329" w:type="dxa"/>
            <w:vAlign w:val="center"/>
          </w:tcPr>
          <w:p w14:paraId="7D906A3E">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段。当年枝黄绿色，茎具不明显四棱，光滑。叶对生，多破碎，偶见完整者条形，长1.3～4cm，宽2～3mm，边缘内卷，密被腺点。花蓝紫色，花冠二唇形，长约10mm。果矩圆状三角形。气芳香，味辛苦。</w:t>
            </w:r>
          </w:p>
        </w:tc>
        <w:tc>
          <w:tcPr>
            <w:tcW w:w="1938" w:type="dxa"/>
            <w:vAlign w:val="center"/>
          </w:tcPr>
          <w:p w14:paraId="1605B71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C8E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760456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w:t>
            </w:r>
          </w:p>
        </w:tc>
        <w:tc>
          <w:tcPr>
            <w:tcW w:w="878" w:type="dxa"/>
            <w:vAlign w:val="center"/>
          </w:tcPr>
          <w:p w14:paraId="3B84F5C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亚麻子</w:t>
            </w:r>
          </w:p>
        </w:tc>
        <w:tc>
          <w:tcPr>
            <w:tcW w:w="845" w:type="dxa"/>
            <w:vAlign w:val="center"/>
          </w:tcPr>
          <w:p w14:paraId="433CC7D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C6A963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5329" w:type="dxa"/>
            <w:vAlign w:val="center"/>
          </w:tcPr>
          <w:p w14:paraId="7B1AD0A0">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呈扁平卵圆形，长4～6mm，宽2～3mm，厚1mm。表面红棕色，平滑而有光泽，扩大镜下可见微小凹点。一端钝圆，另一端尖而略偏斜。种脐位于尖端凹入处，种脊浅棕色，位于凹侧边缘。无臭，嚼之有豆腥味。千粒重57g。</w:t>
            </w:r>
          </w:p>
        </w:tc>
        <w:tc>
          <w:tcPr>
            <w:tcW w:w="1938" w:type="dxa"/>
            <w:vAlign w:val="center"/>
          </w:tcPr>
          <w:p w14:paraId="5FC043A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新疆维吾尔自治区1992年版维吾尔药材标准</w:t>
            </w:r>
          </w:p>
        </w:tc>
      </w:tr>
      <w:tr w14:paraId="2B8C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043D49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w:t>
            </w:r>
          </w:p>
        </w:tc>
        <w:tc>
          <w:tcPr>
            <w:tcW w:w="878" w:type="dxa"/>
            <w:vAlign w:val="center"/>
          </w:tcPr>
          <w:p w14:paraId="1648C48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白帆</w:t>
            </w:r>
          </w:p>
        </w:tc>
        <w:tc>
          <w:tcPr>
            <w:tcW w:w="845" w:type="dxa"/>
            <w:vAlign w:val="center"/>
          </w:tcPr>
          <w:p w14:paraId="71E56B7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C359A3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5329" w:type="dxa"/>
            <w:vAlign w:val="center"/>
          </w:tcPr>
          <w:p w14:paraId="5A1E1A4B">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本品呈不规则的块状或粒状。无色或淡黄白色，透明或半透明。表面略平滑或凹凸不平，具细密纵棱，有玻璃样光泽。质硬而脆。气微，味酸、微甘而极涩。</w:t>
            </w:r>
          </w:p>
        </w:tc>
        <w:tc>
          <w:tcPr>
            <w:tcW w:w="1938" w:type="dxa"/>
            <w:vAlign w:val="center"/>
          </w:tcPr>
          <w:p w14:paraId="1BB16C4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DCF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67DAE9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w:t>
            </w:r>
          </w:p>
        </w:tc>
        <w:tc>
          <w:tcPr>
            <w:tcW w:w="878" w:type="dxa"/>
            <w:vAlign w:val="center"/>
          </w:tcPr>
          <w:p w14:paraId="7382EC8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小檗果</w:t>
            </w:r>
          </w:p>
        </w:tc>
        <w:tc>
          <w:tcPr>
            <w:tcW w:w="845" w:type="dxa"/>
            <w:vAlign w:val="center"/>
          </w:tcPr>
          <w:p w14:paraId="19B5F5D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A2D2DE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DA5F6FE">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广卵形、椭圆形或近球形，长7～12mm，宽5～8mm。外表面光滑或微显皱缩，紫黑色，常被灰白色粉霜。果皮薄而脆，极易破碎，破碎面紫黑色。有时可见果柄，长约5mm，果柄着生处可见种子3～6粒，棕褐色，先端稍弯曲，底端钝圆，长约5mm，光滑。气微，味微酸。</w:t>
            </w:r>
          </w:p>
        </w:tc>
        <w:tc>
          <w:tcPr>
            <w:tcW w:w="1938" w:type="dxa"/>
            <w:vAlign w:val="center"/>
          </w:tcPr>
          <w:p w14:paraId="68EF95E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3EF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4EFB12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w:t>
            </w:r>
          </w:p>
        </w:tc>
        <w:tc>
          <w:tcPr>
            <w:tcW w:w="878" w:type="dxa"/>
            <w:vAlign w:val="center"/>
          </w:tcPr>
          <w:p w14:paraId="556911F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红豆杉</w:t>
            </w:r>
          </w:p>
        </w:tc>
        <w:tc>
          <w:tcPr>
            <w:tcW w:w="845" w:type="dxa"/>
            <w:vAlign w:val="center"/>
          </w:tcPr>
          <w:p w14:paraId="421F597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B5F381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66D5D98">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多切成小段，长3～15cm。老枝树皮灰棕色或浅灰褐色，稍糙，易成小片状剥离，木部与树皮接触的表面呈淡黄白色或白色，内部淡黄白色，内部淡黄白色，不易折断。二年生树枝表皮棕色，新的当年枝棕绿色，可见叶序排列的突起残茎，茎粗，老枝直径0.5～2 cm，二年枝1～2 mm，当年枝与二枝几近等粗或略细。叶线形，通常较直，上下几乎等宽或上端稍渐狭，先端具凸起的尖头，基部两侧对称，长2～3 cm，宽约1.5 mm，主脉在背面隆重起，边缘反曲。气芳香，味微苦涩。</w:t>
            </w:r>
          </w:p>
        </w:tc>
        <w:tc>
          <w:tcPr>
            <w:tcW w:w="1938" w:type="dxa"/>
            <w:vAlign w:val="center"/>
          </w:tcPr>
          <w:p w14:paraId="7F27647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1998年版维吾尔药分册</w:t>
            </w:r>
          </w:p>
        </w:tc>
      </w:tr>
      <w:tr w14:paraId="10F7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7A7BFA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w:t>
            </w:r>
          </w:p>
        </w:tc>
        <w:tc>
          <w:tcPr>
            <w:tcW w:w="878" w:type="dxa"/>
            <w:vAlign w:val="center"/>
          </w:tcPr>
          <w:p w14:paraId="11E5BC7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红花子</w:t>
            </w:r>
          </w:p>
        </w:tc>
        <w:tc>
          <w:tcPr>
            <w:tcW w:w="845" w:type="dxa"/>
            <w:vAlign w:val="center"/>
          </w:tcPr>
          <w:p w14:paraId="3325245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D2574E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0EC74E4">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倒卵形，略扁，长7.0~9.0mm，宽3.5~5.5mm。外表面白色，上端淡棕色,稍有光泽，具4条纵棱，前端截形，四角凸起，中央微凸，基部钝圆，果脐小圆点状。果皮坚硬，内含种子1枚。种子倒卵形，略扁，长5.0~7.0mm，宽3.0~4.0mm。表面淡棕色，顶端钝圆，下端尖，种皮薄。子叶2枚，肥厚，富油性。气微，微辛。</w:t>
            </w:r>
          </w:p>
        </w:tc>
        <w:tc>
          <w:tcPr>
            <w:tcW w:w="1938" w:type="dxa"/>
            <w:vAlign w:val="center"/>
          </w:tcPr>
          <w:p w14:paraId="5794F88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966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0AF5F8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w:t>
            </w:r>
          </w:p>
        </w:tc>
        <w:tc>
          <w:tcPr>
            <w:tcW w:w="878" w:type="dxa"/>
            <w:vAlign w:val="center"/>
          </w:tcPr>
          <w:p w14:paraId="51D5E71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急性子</w:t>
            </w:r>
          </w:p>
        </w:tc>
        <w:tc>
          <w:tcPr>
            <w:tcW w:w="845" w:type="dxa"/>
            <w:vAlign w:val="center"/>
          </w:tcPr>
          <w:p w14:paraId="2D9F9D4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99A466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1A51D09">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本品为凤仙花科植物凤仙花(Impatiens balsamina...)的干燥成熟种子。夏、秋季果实即将戒熟时采收，晒干，除去果皮及杂质。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木品呈椭圆形、扁圆形或卵圆形，长2~3mm，宽1.5-2.5mm。表面棕褐色或灰褐色，粗糙，有稀疏的白色或浅黄棕色小点。除去表皮，则显光泽。种脐位于狭端，突出。质坚实，种皮薄，子叶灰白色，半透明，油质、无臭，味，微苦。</w:t>
            </w:r>
          </w:p>
        </w:tc>
        <w:tc>
          <w:tcPr>
            <w:tcW w:w="1938" w:type="dxa"/>
            <w:vAlign w:val="center"/>
          </w:tcPr>
          <w:p w14:paraId="5A45A2B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  272页</w:t>
            </w:r>
          </w:p>
        </w:tc>
      </w:tr>
      <w:tr w14:paraId="4784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73F680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w:t>
            </w:r>
          </w:p>
        </w:tc>
        <w:tc>
          <w:tcPr>
            <w:tcW w:w="878" w:type="dxa"/>
            <w:vAlign w:val="center"/>
          </w:tcPr>
          <w:p w14:paraId="43EBE19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阿勃勒</w:t>
            </w:r>
          </w:p>
        </w:tc>
        <w:tc>
          <w:tcPr>
            <w:tcW w:w="845" w:type="dxa"/>
            <w:vAlign w:val="center"/>
          </w:tcPr>
          <w:p w14:paraId="5C1AE0E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CBF113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900</w:t>
            </w:r>
          </w:p>
        </w:tc>
        <w:tc>
          <w:tcPr>
            <w:tcW w:w="5329" w:type="dxa"/>
            <w:vAlign w:val="center"/>
          </w:tcPr>
          <w:p w14:paraId="42F5ED72">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干燥荚果圆柱形，长30～60cm，直径1.5～2cm，顶端尖，基部有时具木质状的果柄。表面暗褐色，平滑而带光泽，腹缝、背缝明显。果皮薄，硬而木质状，内有多数横隔，每隔有种子1粒，具长而暗色的珠柄，附着于腹缝。种子扁卵圆形，长约8mm，宽约6mm，厚约4mm，赤褐色，光滑而质坚，内为淡黄色，胚乳角质状，胚弯曲。味甜而微酸，有特异臭味。</w:t>
            </w:r>
          </w:p>
        </w:tc>
        <w:tc>
          <w:tcPr>
            <w:tcW w:w="1938" w:type="dxa"/>
            <w:vAlign w:val="center"/>
          </w:tcPr>
          <w:p w14:paraId="70A825A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9B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908E73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28</w:t>
            </w:r>
          </w:p>
        </w:tc>
        <w:tc>
          <w:tcPr>
            <w:tcW w:w="878" w:type="dxa"/>
            <w:vAlign w:val="center"/>
          </w:tcPr>
          <w:p w14:paraId="78A18A8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奇诺</w:t>
            </w:r>
          </w:p>
        </w:tc>
        <w:tc>
          <w:tcPr>
            <w:tcW w:w="845" w:type="dxa"/>
            <w:vAlign w:val="center"/>
          </w:tcPr>
          <w:p w14:paraId="0C090B6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75080A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6794AB19">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本品为细小棱角状颗粒，直径多在10mm以下，暗红色至近黑红色。薄片或颗粒边缘透明，呈暗宝石红色。质硬而脆，破碎面呈玻璃样光泽。无臭，咀嚼之有收敛的涩味。本品在醇中几乎全溶，醚中几乎不溶。</w:t>
            </w:r>
          </w:p>
        </w:tc>
        <w:tc>
          <w:tcPr>
            <w:tcW w:w="1938" w:type="dxa"/>
            <w:vAlign w:val="center"/>
          </w:tcPr>
          <w:p w14:paraId="5AABA6E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1F04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93CE25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29</w:t>
            </w:r>
          </w:p>
        </w:tc>
        <w:tc>
          <w:tcPr>
            <w:tcW w:w="878" w:type="dxa"/>
            <w:vAlign w:val="center"/>
          </w:tcPr>
          <w:p w14:paraId="2685D2A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茜草</w:t>
            </w:r>
          </w:p>
        </w:tc>
        <w:tc>
          <w:tcPr>
            <w:tcW w:w="845" w:type="dxa"/>
            <w:vAlign w:val="center"/>
          </w:tcPr>
          <w:p w14:paraId="494F53B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524A7F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250</w:t>
            </w:r>
          </w:p>
        </w:tc>
        <w:tc>
          <w:tcPr>
            <w:tcW w:w="5329" w:type="dxa"/>
            <w:vAlign w:val="center"/>
          </w:tcPr>
          <w:p w14:paraId="668314D1">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根茎呈结节状，丛生粗细不等的根。根呈圆柱形，直径0.5～1.5cm。曲或作扭曲状，长10～25cm，直径0.2～1cm，表面棕色或暗紫红色，有纵细皱纹，皮部老皮和皮部都易脱落，脱落处显深紫红色或黄红色，质脆，易折断，断面平坦，木部占主要部分，显黄红色。直径较大者可察见多数的小孔。无臭，味微甜。</w:t>
            </w:r>
          </w:p>
        </w:tc>
        <w:tc>
          <w:tcPr>
            <w:tcW w:w="1938" w:type="dxa"/>
            <w:vAlign w:val="center"/>
          </w:tcPr>
          <w:p w14:paraId="2D37CCB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w:t>
            </w:r>
          </w:p>
        </w:tc>
      </w:tr>
      <w:tr w14:paraId="22EC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859EA6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30</w:t>
            </w:r>
          </w:p>
        </w:tc>
        <w:tc>
          <w:tcPr>
            <w:tcW w:w="878" w:type="dxa"/>
            <w:vAlign w:val="center"/>
          </w:tcPr>
          <w:p w14:paraId="3BA6F07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葡萄干</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（无核葡萄干）</w:t>
            </w:r>
          </w:p>
        </w:tc>
        <w:tc>
          <w:tcPr>
            <w:tcW w:w="845" w:type="dxa"/>
            <w:vAlign w:val="center"/>
          </w:tcPr>
          <w:p w14:paraId="157175B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0F4668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1600</w:t>
            </w:r>
          </w:p>
        </w:tc>
        <w:tc>
          <w:tcPr>
            <w:tcW w:w="5329" w:type="dxa"/>
            <w:vAlign w:val="center"/>
          </w:tcPr>
          <w:p w14:paraId="6DFF1E0E">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马奶子葡萄干：【性状】：本品呈短圆柱形或纺锤形，长2～3cm，宽1～1.5cm。表面黄绿色或红综色，有众多的纵皱纹。果皮薄而柔韧，肉质，易于撕碎，内常含种子1~3枚，三角状卵形。气味微甜微酸。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w:t>
            </w:r>
          </w:p>
        </w:tc>
        <w:tc>
          <w:tcPr>
            <w:tcW w:w="1938" w:type="dxa"/>
            <w:vAlign w:val="center"/>
          </w:tcPr>
          <w:p w14:paraId="75DD875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1998年版维吾尔药分册</w:t>
            </w:r>
          </w:p>
        </w:tc>
      </w:tr>
      <w:tr w14:paraId="33C6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C27576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31</w:t>
            </w:r>
          </w:p>
        </w:tc>
        <w:tc>
          <w:tcPr>
            <w:tcW w:w="878" w:type="dxa"/>
            <w:vAlign w:val="center"/>
          </w:tcPr>
          <w:p w14:paraId="3A24CAA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欧菝葜根</w:t>
            </w:r>
          </w:p>
        </w:tc>
        <w:tc>
          <w:tcPr>
            <w:tcW w:w="845" w:type="dxa"/>
            <w:vAlign w:val="center"/>
          </w:tcPr>
          <w:p w14:paraId="076D36F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48667F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5329" w:type="dxa"/>
            <w:vAlign w:val="center"/>
          </w:tcPr>
          <w:p w14:paraId="2CAD77C0">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短段，直径3～5mm。表面黄棕色至棕红色，具纵沟棱，并有稀疏须根痕。有时可见残留的根状茎和地上茎。地上茎节部膨大，淡黄棕色，有纵条纹。质略脆，易折断，断面皮部淡黄色，木质部色略深，并具多数细孔，髓部白色，木部与皮部易分离，粉性微黏滑。气微，味辛淡。</w:t>
            </w:r>
          </w:p>
        </w:tc>
        <w:tc>
          <w:tcPr>
            <w:tcW w:w="1938" w:type="dxa"/>
            <w:vAlign w:val="center"/>
          </w:tcPr>
          <w:p w14:paraId="0970F03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3EB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750CD4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32</w:t>
            </w:r>
          </w:p>
        </w:tc>
        <w:tc>
          <w:tcPr>
            <w:tcW w:w="878" w:type="dxa"/>
            <w:vAlign w:val="center"/>
          </w:tcPr>
          <w:p w14:paraId="72C6141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蒺藜</w:t>
            </w:r>
          </w:p>
        </w:tc>
        <w:tc>
          <w:tcPr>
            <w:tcW w:w="845" w:type="dxa"/>
            <w:vAlign w:val="center"/>
          </w:tcPr>
          <w:p w14:paraId="691DABD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1DAC6B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250</w:t>
            </w:r>
          </w:p>
        </w:tc>
        <w:tc>
          <w:tcPr>
            <w:tcW w:w="5329" w:type="dxa"/>
            <w:vAlign w:val="center"/>
          </w:tcPr>
          <w:p w14:paraId="4FD9C594">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由5个分果瓣组成，呈放射状排列，直径7～12mm。常裂为单一的分果瓣，分果瓣呈斧状，长3～6mm；背部黄绿色，隆起，有纵棱和多数小刺，并有对称的长刺和短刺各1对，两侧面粗糙，有网纹，灰白色。质坚硬。气微，味苦</w:t>
            </w:r>
          </w:p>
        </w:tc>
        <w:tc>
          <w:tcPr>
            <w:tcW w:w="1938" w:type="dxa"/>
            <w:vAlign w:val="center"/>
          </w:tcPr>
          <w:p w14:paraId="24126FE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CEF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12192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33</w:t>
            </w:r>
          </w:p>
        </w:tc>
        <w:tc>
          <w:tcPr>
            <w:tcW w:w="878" w:type="dxa"/>
            <w:vAlign w:val="center"/>
          </w:tcPr>
          <w:p w14:paraId="185145F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薰衣草</w:t>
            </w:r>
          </w:p>
        </w:tc>
        <w:tc>
          <w:tcPr>
            <w:tcW w:w="845" w:type="dxa"/>
            <w:vAlign w:val="center"/>
          </w:tcPr>
          <w:p w14:paraId="0E18AB3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ED1C8A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1000</w:t>
            </w:r>
          </w:p>
        </w:tc>
        <w:tc>
          <w:tcPr>
            <w:tcW w:w="5329" w:type="dxa"/>
            <w:vAlign w:val="center"/>
          </w:tcPr>
          <w:p w14:paraId="1E4BB165">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段状。茎方形，密被白色茸毛，折断面淡黄白色或灰白色，有时可见中央有细小的空腔。轮伞花序生于枝的上部，花萼二唇形，筒状，长约5mm，具5齿，其中1齿特肥大；花二唇形，蓝色，长6～10mm。气芳香，味辛凉。</w:t>
            </w:r>
          </w:p>
        </w:tc>
        <w:tc>
          <w:tcPr>
            <w:tcW w:w="1938" w:type="dxa"/>
            <w:vAlign w:val="center"/>
          </w:tcPr>
          <w:p w14:paraId="6CC802E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169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12C33F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34</w:t>
            </w:r>
          </w:p>
        </w:tc>
        <w:tc>
          <w:tcPr>
            <w:tcW w:w="878" w:type="dxa"/>
            <w:vAlign w:val="center"/>
          </w:tcPr>
          <w:p w14:paraId="2AD5940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松萝</w:t>
            </w:r>
          </w:p>
        </w:tc>
        <w:tc>
          <w:tcPr>
            <w:tcW w:w="845" w:type="dxa"/>
            <w:vAlign w:val="center"/>
          </w:tcPr>
          <w:p w14:paraId="34722C3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D9B97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569F7D5">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本品为丝状，常缠绕成团，二歧分枝，基部分枝少，末梢细如丝。表面黄白色、灰绿色或黄绿色，有明显的环状裂纹，拉之略能伸长，并露出强韧的白色线状的中轴。体轻，质柔软气微，味淡而微苦涩。</w:t>
            </w:r>
          </w:p>
        </w:tc>
        <w:tc>
          <w:tcPr>
            <w:tcW w:w="1938" w:type="dxa"/>
            <w:vAlign w:val="center"/>
          </w:tcPr>
          <w:p w14:paraId="3FFDA0B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AC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0C1707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35</w:t>
            </w:r>
          </w:p>
        </w:tc>
        <w:tc>
          <w:tcPr>
            <w:tcW w:w="878" w:type="dxa"/>
            <w:vAlign w:val="center"/>
          </w:tcPr>
          <w:p w14:paraId="49673A2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赤芍</w:t>
            </w:r>
          </w:p>
        </w:tc>
        <w:tc>
          <w:tcPr>
            <w:tcW w:w="845" w:type="dxa"/>
            <w:vAlign w:val="center"/>
          </w:tcPr>
          <w:p w14:paraId="7B45B4C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FEF910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160</w:t>
            </w:r>
          </w:p>
        </w:tc>
        <w:tc>
          <w:tcPr>
            <w:tcW w:w="5329" w:type="dxa"/>
            <w:vAlign w:val="center"/>
          </w:tcPr>
          <w:p w14:paraId="4E2EAF12">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柱形，稍弯曲，长5～40cm，直径0.5～3cm。表面棕褐色，粗糙，有纵沟和皱纹，并有须根痕和横长的皮孔样突起，有的外皮易脱落。质硬而脆，易折断，断面粉白色或粉红色，皮部窄，木部放射状纹理明显，有的有裂隙。气微香，味微苦、酸涩。</w:t>
            </w:r>
          </w:p>
        </w:tc>
        <w:tc>
          <w:tcPr>
            <w:tcW w:w="1938" w:type="dxa"/>
            <w:vAlign w:val="center"/>
          </w:tcPr>
          <w:p w14:paraId="1F0C58D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759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1F9BBE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878" w:type="dxa"/>
            <w:vAlign w:val="center"/>
          </w:tcPr>
          <w:p w14:paraId="03B589F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沉香</w:t>
            </w:r>
          </w:p>
        </w:tc>
        <w:tc>
          <w:tcPr>
            <w:tcW w:w="845" w:type="dxa"/>
            <w:vAlign w:val="center"/>
          </w:tcPr>
          <w:p w14:paraId="667392E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51B735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671DD8B4">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本品呈不规则块、片状或盔帽状，有的为小碎块。表面凹凸不平，有刀痕，偶有孔洞，可见黑褐色树脂与黄白色木部相间的斑纹，孔洞及凹窝表面多呈朽木状。质较坚实，断面刺状。气芳香，味苦。</w:t>
            </w:r>
          </w:p>
        </w:tc>
        <w:tc>
          <w:tcPr>
            <w:tcW w:w="1938" w:type="dxa"/>
            <w:vAlign w:val="center"/>
          </w:tcPr>
          <w:p w14:paraId="5B1FE4D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AAC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004DE7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37</w:t>
            </w:r>
          </w:p>
        </w:tc>
        <w:tc>
          <w:tcPr>
            <w:tcW w:w="878" w:type="dxa"/>
            <w:vAlign w:val="center"/>
          </w:tcPr>
          <w:p w14:paraId="4B57E72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地锦草</w:t>
            </w:r>
          </w:p>
        </w:tc>
        <w:tc>
          <w:tcPr>
            <w:tcW w:w="845" w:type="dxa"/>
            <w:vAlign w:val="center"/>
          </w:tcPr>
          <w:p w14:paraId="00426E8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73CED0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1800</w:t>
            </w:r>
          </w:p>
        </w:tc>
        <w:tc>
          <w:tcPr>
            <w:tcW w:w="5329" w:type="dxa"/>
            <w:vAlign w:val="center"/>
          </w:tcPr>
          <w:p w14:paraId="17B9F329">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常皱缩卷曲，根细小。茎细，呈叉状分枝，表面带紫红色，光滑无毛或疏生白色细柔毛；质脆，易折断，断面黄白色，中空。单叶对生，具淡红色短柄或几无柄；叶片多皱缩或已脱落，展平后呈长椭圆形，长5～10mm，宽4～6mm；绿色或带紫红色，通常无毛或疏生细柔毛；先端钝圆，基部偏斜，边缘具小锯齿或呈微波状。杯状聚伞花序腋生，细小。蒴果三棱状球形，表面光滑。种子细小，卵形，褐色。气微，味微涩。</w:t>
            </w:r>
          </w:p>
        </w:tc>
        <w:tc>
          <w:tcPr>
            <w:tcW w:w="1938" w:type="dxa"/>
            <w:vAlign w:val="center"/>
          </w:tcPr>
          <w:p w14:paraId="454A3F8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E3D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52CB6E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38</w:t>
            </w:r>
          </w:p>
        </w:tc>
        <w:tc>
          <w:tcPr>
            <w:tcW w:w="878" w:type="dxa"/>
            <w:vAlign w:val="center"/>
          </w:tcPr>
          <w:p w14:paraId="7E9A163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胡芦巴</w:t>
            </w:r>
          </w:p>
        </w:tc>
        <w:tc>
          <w:tcPr>
            <w:tcW w:w="845" w:type="dxa"/>
            <w:vAlign w:val="center"/>
          </w:tcPr>
          <w:p w14:paraId="0674040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1BEB9A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w:t>
            </w:r>
          </w:p>
        </w:tc>
        <w:tc>
          <w:tcPr>
            <w:tcW w:w="5329" w:type="dxa"/>
            <w:vAlign w:val="center"/>
          </w:tcPr>
          <w:p w14:paraId="2CC10FA5">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略呈斜方形或矩形，长3～4mm，宽2～3mm，厚约2mm，表面黄绿色或黄棕色，平滑，两侧各具深斜沟1条，相交处有点状种脐。质坚硬，不易破碎。种皮薄，胚乳呈半透明状，具粘性；子叶2，淡黄色，胚根弯曲，肥大而长。气香，味微苦。</w:t>
            </w:r>
          </w:p>
        </w:tc>
        <w:tc>
          <w:tcPr>
            <w:tcW w:w="1938" w:type="dxa"/>
            <w:vAlign w:val="center"/>
          </w:tcPr>
          <w:p w14:paraId="4253800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w:t>
            </w:r>
          </w:p>
        </w:tc>
      </w:tr>
      <w:tr w14:paraId="4DEF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67F5AFD">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39</w:t>
            </w:r>
          </w:p>
        </w:tc>
        <w:tc>
          <w:tcPr>
            <w:tcW w:w="878" w:type="dxa"/>
            <w:vAlign w:val="center"/>
          </w:tcPr>
          <w:p w14:paraId="4F71AB3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白花丹</w:t>
            </w:r>
          </w:p>
        </w:tc>
        <w:tc>
          <w:tcPr>
            <w:tcW w:w="845" w:type="dxa"/>
            <w:vAlign w:val="center"/>
          </w:tcPr>
          <w:p w14:paraId="3369466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162291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180</w:t>
            </w:r>
          </w:p>
        </w:tc>
        <w:tc>
          <w:tcPr>
            <w:tcW w:w="5329" w:type="dxa"/>
            <w:vAlign w:val="center"/>
          </w:tcPr>
          <w:p w14:paraId="20BF513F">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本品呈圆柱形不规则短段，直径0.2～0.7cm，表面黄绿色至淡棕褐色，节明显，具细纵棱。体轻，质硬，易折断，断面皮部纤维状，内层颗粒状，髓部白色，松软如海绵状，气微，味淡。</w:t>
            </w:r>
          </w:p>
        </w:tc>
        <w:tc>
          <w:tcPr>
            <w:tcW w:w="1938" w:type="dxa"/>
            <w:vAlign w:val="center"/>
          </w:tcPr>
          <w:p w14:paraId="482B18D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0910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9BC040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40</w:t>
            </w:r>
          </w:p>
        </w:tc>
        <w:tc>
          <w:tcPr>
            <w:tcW w:w="878" w:type="dxa"/>
            <w:vAlign w:val="center"/>
          </w:tcPr>
          <w:p w14:paraId="3CF861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橡子</w:t>
            </w:r>
          </w:p>
        </w:tc>
        <w:tc>
          <w:tcPr>
            <w:tcW w:w="845" w:type="dxa"/>
            <w:vAlign w:val="center"/>
          </w:tcPr>
          <w:p w14:paraId="40E2B2F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E86DE7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B75C122">
            <w:pPr>
              <w:keepNext w:val="0"/>
              <w:keepLines w:val="0"/>
              <w:widowControl/>
              <w:suppressLineNumbers w:val="0"/>
              <w:spacing w:after="240" w:afterAutospacing="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呈椭圆形或卵状长圆形。表面上半部棕褐色，下半部灰白色。顶端有稍尖的花柱残基，基部有近圆形果实脱落后的疤痕。果皮坚硬，破开后，内果皮膜质，棕褐色。种子1粒，近圆球形，长1.2～1.5cm，宽0.5～1.2cm，表面棕红色至棕褐色，有不规则的凸起或纵皱纹，顶端微凸起，基部稍平坦，子叶2，肥厚。气微，味淡、涩。</w:t>
            </w:r>
          </w:p>
        </w:tc>
        <w:tc>
          <w:tcPr>
            <w:tcW w:w="1938" w:type="dxa"/>
            <w:vAlign w:val="center"/>
          </w:tcPr>
          <w:p w14:paraId="100A4E5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1998年版蒙药分册</w:t>
            </w:r>
          </w:p>
        </w:tc>
      </w:tr>
      <w:tr w14:paraId="6A7C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EF2ADD8">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41</w:t>
            </w:r>
          </w:p>
        </w:tc>
        <w:tc>
          <w:tcPr>
            <w:tcW w:w="878" w:type="dxa"/>
            <w:vAlign w:val="center"/>
          </w:tcPr>
          <w:p w14:paraId="630BB5C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八角茴香</w:t>
            </w:r>
          </w:p>
        </w:tc>
        <w:tc>
          <w:tcPr>
            <w:tcW w:w="845" w:type="dxa"/>
            <w:vAlign w:val="center"/>
          </w:tcPr>
          <w:p w14:paraId="65CD31D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B88243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EBEF602">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药材性状】药用果实。本品多由8个蓇葖果排列于中轴上，组成放射状聚合果，直径3～4厘米，果柄由中轴背面伸出，长3～4厘米，弯曲呈钩状。分果呈舟状，长1～2厘米，宽约5毫米，高5～10毫米，腹缝线多开裂，先端钝尖或钝，另端平截，内有种子1枚，果皮表面棕褐色或红褐色，背面有不规则皱纹，内面光滑，淡红棕色至淡黄棕色，有光泽。种子扁卵形，长约8毫米，宽约5毫米，一端有种脐及珠孔，另端有合点，中间有狭长的种脊，种皮红棕色或黄棕色，平滑有光泽，质脆，胚乳白色，富油性。气浓郁香甜，味甜或微酸。</w:t>
            </w:r>
          </w:p>
        </w:tc>
        <w:tc>
          <w:tcPr>
            <w:tcW w:w="1938" w:type="dxa"/>
            <w:vAlign w:val="center"/>
          </w:tcPr>
          <w:p w14:paraId="46E68AF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维吾尔药志下册/上海市中药饮片炮制规范-2018年版   </w:t>
            </w:r>
          </w:p>
        </w:tc>
      </w:tr>
      <w:tr w14:paraId="315F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29A61B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42</w:t>
            </w:r>
          </w:p>
        </w:tc>
        <w:tc>
          <w:tcPr>
            <w:tcW w:w="878" w:type="dxa"/>
            <w:vAlign w:val="center"/>
          </w:tcPr>
          <w:p w14:paraId="7B884D8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桃仁</w:t>
            </w:r>
          </w:p>
        </w:tc>
        <w:tc>
          <w:tcPr>
            <w:tcW w:w="845" w:type="dxa"/>
            <w:vAlign w:val="center"/>
          </w:tcPr>
          <w:p w14:paraId="59D14E6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822A48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7A3BD7ED">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药材性状】药用种子。本品呈扁椭圆形，顶端尖，中部略膨大，基部较钝而偏斜.边缘较薄，长1～1.8厘米，宽0.7～1.2厘米，厚2～4毫米。表面黄棕色至红棕色，有细小颗粒状突起；尖端一侧有1条棱线状种脐，基部有合点，并自该处散出多条维管束脉纹，形成布满种皮的纵向纹理。种皮薄，易破，水煮后易于剥离；子叶2枚，白色，富油性。气微，嚼之有杏仁样芳香，味微苦。</w:t>
            </w:r>
          </w:p>
        </w:tc>
        <w:tc>
          <w:tcPr>
            <w:tcW w:w="1938" w:type="dxa"/>
            <w:vAlign w:val="center"/>
          </w:tcPr>
          <w:p w14:paraId="21774ED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维吾尔药志下册</w:t>
            </w:r>
          </w:p>
        </w:tc>
      </w:tr>
      <w:tr w14:paraId="6B65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90824A5">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43</w:t>
            </w:r>
          </w:p>
        </w:tc>
        <w:tc>
          <w:tcPr>
            <w:tcW w:w="878" w:type="dxa"/>
            <w:vAlign w:val="center"/>
          </w:tcPr>
          <w:p w14:paraId="763FF6B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药西瓜</w:t>
            </w:r>
          </w:p>
        </w:tc>
        <w:tc>
          <w:tcPr>
            <w:tcW w:w="845" w:type="dxa"/>
            <w:vAlign w:val="center"/>
          </w:tcPr>
          <w:p w14:paraId="39B3FD1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ADEA16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5329" w:type="dxa"/>
            <w:vAlign w:val="center"/>
          </w:tcPr>
          <w:p w14:paraId="38F20CB5">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球形。表面黄色、浅黄色至类黄白色，无毛。果皮薄，皱缩，顶端有残存的柱基，另一端有果梗残迹。中果皮内果皮干缩成空腔状。心皮结合处的胎座肥厚，干时呈海绵状，其上有多数种子。种子扁卵形，长5～6mm，棕黄色，略有光泽。种皮较硬，内有灰白色子叶。质轻脆而易碎。味极苦。</w:t>
            </w:r>
          </w:p>
        </w:tc>
        <w:tc>
          <w:tcPr>
            <w:tcW w:w="1938" w:type="dxa"/>
            <w:vAlign w:val="center"/>
          </w:tcPr>
          <w:p w14:paraId="3B9375D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94D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312A47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44</w:t>
            </w:r>
          </w:p>
        </w:tc>
        <w:tc>
          <w:tcPr>
            <w:tcW w:w="878" w:type="dxa"/>
            <w:vAlign w:val="center"/>
          </w:tcPr>
          <w:p w14:paraId="3417CDC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朱砂</w:t>
            </w:r>
          </w:p>
        </w:tc>
        <w:tc>
          <w:tcPr>
            <w:tcW w:w="845" w:type="dxa"/>
            <w:vAlign w:val="center"/>
          </w:tcPr>
          <w:p w14:paraId="5843DD3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C4D00D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8F07303">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本品为粒状或块状集合体，呈颗粒状或块片状。鲜红色或暗红色，条痕红色至褐红色，具光泽。体重，质脆，片状者易破碎，粉末状者有闪烁的光泽。气微，味淡。</w:t>
            </w:r>
          </w:p>
        </w:tc>
        <w:tc>
          <w:tcPr>
            <w:tcW w:w="1938" w:type="dxa"/>
            <w:vAlign w:val="center"/>
          </w:tcPr>
          <w:p w14:paraId="02C9F8E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055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E5E42A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45</w:t>
            </w:r>
          </w:p>
        </w:tc>
        <w:tc>
          <w:tcPr>
            <w:tcW w:w="878" w:type="dxa"/>
            <w:vAlign w:val="center"/>
          </w:tcPr>
          <w:p w14:paraId="143FAE9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芒硝</w:t>
            </w:r>
          </w:p>
        </w:tc>
        <w:tc>
          <w:tcPr>
            <w:tcW w:w="845" w:type="dxa"/>
            <w:vAlign w:val="center"/>
          </w:tcPr>
          <w:p w14:paraId="5635BCD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315B4C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0A4F8C0B">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本品为棱柱状、长方形或不规则块状及粒状。无色透明或类白色半透明。质脆，易碎，断面呈玻璃样光泽。气微，味咸。</w:t>
            </w:r>
          </w:p>
        </w:tc>
        <w:tc>
          <w:tcPr>
            <w:tcW w:w="1938" w:type="dxa"/>
            <w:vAlign w:val="center"/>
          </w:tcPr>
          <w:p w14:paraId="3297FE0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1F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C01DB5F">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46</w:t>
            </w:r>
          </w:p>
        </w:tc>
        <w:tc>
          <w:tcPr>
            <w:tcW w:w="878" w:type="dxa"/>
            <w:vAlign w:val="center"/>
          </w:tcPr>
          <w:p w14:paraId="7E8E5997">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龙胆</w:t>
            </w:r>
          </w:p>
        </w:tc>
        <w:tc>
          <w:tcPr>
            <w:tcW w:w="845" w:type="dxa"/>
            <w:vAlign w:val="center"/>
          </w:tcPr>
          <w:p w14:paraId="535F0F9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2214D4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13FB1F36">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根茎呈不规则的块状，长1～3cm，直径0.3～1cm；表面暗灰棕色或深棕色，上端有茎痕或残留茎基，周围和下端着生多数细长的根。根圆柱形，略扭曲，长10～20cm，直径0.2～0.5cm；表面淡黄色或黄棕色，上部多有显著的横皱纹，下部较细，有纵皱纹及支根痕。质脆，易折断，断面略平坦，皮部黄白色或淡黄棕色，木部色较浅，呈点状环列。气微，味甚苦。</w:t>
            </w:r>
          </w:p>
        </w:tc>
        <w:tc>
          <w:tcPr>
            <w:tcW w:w="1938" w:type="dxa"/>
            <w:vAlign w:val="center"/>
          </w:tcPr>
          <w:p w14:paraId="4A63EF0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F4F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6DDCCB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47</w:t>
            </w:r>
          </w:p>
        </w:tc>
        <w:tc>
          <w:tcPr>
            <w:tcW w:w="878" w:type="dxa"/>
            <w:vAlign w:val="center"/>
          </w:tcPr>
          <w:p w14:paraId="36859A4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格蓬脂</w:t>
            </w:r>
          </w:p>
        </w:tc>
        <w:tc>
          <w:tcPr>
            <w:tcW w:w="845" w:type="dxa"/>
            <w:vAlign w:val="center"/>
          </w:tcPr>
          <w:p w14:paraId="400238E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B96D3A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621A635B">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呈类圆形、乳滴状或块状物，颗粒状者如豌豆大或稍大。表面棕黄色或橙棕色，粗糙、质软，有粘性、延长性。破折面不规则，不透明，类黄色。颗粒状者多少有些半透明，呈类蓝绿色。气芳香而特异，味苦，令人不快。有时杂有植物碎片及果实等杂质。</w:t>
            </w:r>
          </w:p>
        </w:tc>
        <w:tc>
          <w:tcPr>
            <w:tcW w:w="1938" w:type="dxa"/>
            <w:vAlign w:val="center"/>
          </w:tcPr>
          <w:p w14:paraId="07B3B4A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维吾尔药志上册</w:t>
            </w:r>
          </w:p>
        </w:tc>
      </w:tr>
      <w:tr w14:paraId="21C0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706A465">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48</w:t>
            </w:r>
          </w:p>
        </w:tc>
        <w:tc>
          <w:tcPr>
            <w:tcW w:w="878" w:type="dxa"/>
            <w:vAlign w:val="center"/>
          </w:tcPr>
          <w:p w14:paraId="28A89C9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野苜蓿</w:t>
            </w:r>
          </w:p>
        </w:tc>
        <w:tc>
          <w:tcPr>
            <w:tcW w:w="845" w:type="dxa"/>
            <w:vAlign w:val="center"/>
          </w:tcPr>
          <w:p w14:paraId="32D59FA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B35CECB">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c>
          <w:tcPr>
            <w:tcW w:w="5329" w:type="dxa"/>
            <w:vAlign w:val="center"/>
          </w:tcPr>
          <w:p w14:paraId="37AB03C0">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苜蓿子：本品呈肾形，长2.0～2.7mm。宽约1.5mm。表面黄褐或黄绿色，在较大一端有斜截面，凹处有点状种脐。种皮薄，光滑具光泽。无臭，有豆腥味。     花苜蓿：本品皱缩卷曲。根细长,少分枝，淡黄色至褐色。茎近四棱，疏被白毛,质脆，易折。叶多皱缩，湿展后小叶3片，叶片绿色，倒卵形或宽椭圆形，长0.3～1cm,宽2～8mm，先端微凹，上部边缘具不规则疏锯齿。花蝶形，淡黄色，具紫色条纹。荚果椭圆形，长约1cm，表面有横纹，顶端具短尖；种子2～4粒，黄褐色。气微香</w:t>
            </w:r>
          </w:p>
        </w:tc>
        <w:tc>
          <w:tcPr>
            <w:tcW w:w="1938" w:type="dxa"/>
            <w:vAlign w:val="center"/>
          </w:tcPr>
          <w:p w14:paraId="06BCC7A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1998年版维吾尔药分册，藏药分册</w:t>
            </w:r>
          </w:p>
        </w:tc>
      </w:tr>
      <w:tr w14:paraId="4D88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8E5C34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49</w:t>
            </w:r>
          </w:p>
        </w:tc>
        <w:tc>
          <w:tcPr>
            <w:tcW w:w="878" w:type="dxa"/>
            <w:vAlign w:val="center"/>
          </w:tcPr>
          <w:p w14:paraId="29BB8A0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香茅</w:t>
            </w:r>
          </w:p>
        </w:tc>
        <w:tc>
          <w:tcPr>
            <w:tcW w:w="845" w:type="dxa"/>
            <w:vAlign w:val="center"/>
          </w:tcPr>
          <w:p w14:paraId="3984FCCB">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F82ACD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329" w:type="dxa"/>
            <w:vAlign w:val="center"/>
          </w:tcPr>
          <w:p w14:paraId="15494B2C">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本品茎长20～60cm，直径2～3mm。表面淡黄棕色或微绿色，节处膨大。质脆，易折断，断面中空。叶片狭条形或长线形，长7～20cm，宽1～1.5mm。叶鞘基部多破碎，上部叶鞘短于节间。叶舌长1～1.5mm，黄白色，膜质。有时可见稀疏的圆锥花序。果实淡黄棕色，骨质，长约5mm。有特异香气，嚼之有麻舌感。</w:t>
            </w:r>
          </w:p>
        </w:tc>
        <w:tc>
          <w:tcPr>
            <w:tcW w:w="1938" w:type="dxa"/>
            <w:vAlign w:val="center"/>
          </w:tcPr>
          <w:p w14:paraId="33ECF5D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1998年版维吾尔药分册</w:t>
            </w:r>
          </w:p>
        </w:tc>
      </w:tr>
      <w:tr w14:paraId="6035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DEA9A2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50</w:t>
            </w:r>
          </w:p>
        </w:tc>
        <w:tc>
          <w:tcPr>
            <w:tcW w:w="878" w:type="dxa"/>
            <w:vAlign w:val="center"/>
          </w:tcPr>
          <w:p w14:paraId="1877833B">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蚤状车前子</w:t>
            </w:r>
          </w:p>
        </w:tc>
        <w:tc>
          <w:tcPr>
            <w:tcW w:w="845" w:type="dxa"/>
            <w:vAlign w:val="center"/>
          </w:tcPr>
          <w:p w14:paraId="4A003C7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2B48E1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450</w:t>
            </w:r>
          </w:p>
        </w:tc>
        <w:tc>
          <w:tcPr>
            <w:tcW w:w="5329" w:type="dxa"/>
            <w:vAlign w:val="center"/>
          </w:tcPr>
          <w:p w14:paraId="142B4098">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舟状椭圆形，长2～3mm，宽1～1.5mm。表面黄棕色至棕褐色，常覆盖有灰白色膜状物，背面隆起，中央有一纵向狭长棕色色带，腹面凹陷成纵沟，沟底呈棕褐色。沟底近中央处有一椭圆形种脐，色更深，两端钝圆而渐狭，靠近较宽一端腹面有圆点状珠孔。气微，味淡。</w:t>
            </w:r>
          </w:p>
        </w:tc>
        <w:tc>
          <w:tcPr>
            <w:tcW w:w="1938" w:type="dxa"/>
            <w:vAlign w:val="center"/>
          </w:tcPr>
          <w:p w14:paraId="19059DBA">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3541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CC26D4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51</w:t>
            </w:r>
          </w:p>
        </w:tc>
        <w:tc>
          <w:tcPr>
            <w:tcW w:w="878" w:type="dxa"/>
            <w:vAlign w:val="center"/>
          </w:tcPr>
          <w:p w14:paraId="22F0F29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柠檬</w:t>
            </w:r>
          </w:p>
        </w:tc>
        <w:tc>
          <w:tcPr>
            <w:tcW w:w="845" w:type="dxa"/>
            <w:vAlign w:val="center"/>
          </w:tcPr>
          <w:p w14:paraId="6694CE9B">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A959BB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CE872B4">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本品为圆形或类圆形的厚片，直径3~7cm。外果皮橙黄色至棕黄色，有颗粒状突起，突起的顶端有凹点状油室；有的残存有明显花柱残基或果梗痕。切面中果皮黄白色而稍隆起，果皮厚0.2~0.7cm, 边缘散有1~2列油室，瓤囊7~12个, 汁粪干缩呈棕色至棕褐色，内藏种子。质坚硬，不易被折断。气清香，味极酸， 微苦。</w:t>
            </w:r>
          </w:p>
        </w:tc>
        <w:tc>
          <w:tcPr>
            <w:tcW w:w="1938" w:type="dxa"/>
            <w:vAlign w:val="center"/>
          </w:tcPr>
          <w:p w14:paraId="026A63A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安徽省中药饮片炮制规范2019年版</w:t>
            </w:r>
          </w:p>
        </w:tc>
      </w:tr>
      <w:tr w14:paraId="24E7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FBC770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52</w:t>
            </w:r>
          </w:p>
        </w:tc>
        <w:tc>
          <w:tcPr>
            <w:tcW w:w="878" w:type="dxa"/>
            <w:vAlign w:val="center"/>
          </w:tcPr>
          <w:p w14:paraId="2D7782D6">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小豆蔻</w:t>
            </w:r>
          </w:p>
        </w:tc>
        <w:tc>
          <w:tcPr>
            <w:tcW w:w="845" w:type="dxa"/>
            <w:vAlign w:val="center"/>
          </w:tcPr>
          <w:p w14:paraId="32F41EA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2BC436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329" w:type="dxa"/>
            <w:vAlign w:val="center"/>
          </w:tcPr>
          <w:p w14:paraId="52D4E751">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卵圆形，两端尖，具三钝棱，长10～20mm，直径5～10mm。表面淡棕色至灰白色，有细密的纵纹，顶端有突起的柱基，基部有凹入的果柄痕，果皮质韧，不易开裂。子房3室，中轴胎座，每室含种子5～9粒。种子呈长卵形或3～4面形，长3～4mm，厚约3mm，表面淡橙色或暗红棕色，背面微隆起，腹面有沟纹，外被无色薄膜状假种皮。断面白色。气芳香而浓烈，味辣、微苦。</w:t>
            </w:r>
          </w:p>
        </w:tc>
        <w:tc>
          <w:tcPr>
            <w:tcW w:w="1938" w:type="dxa"/>
            <w:vAlign w:val="center"/>
          </w:tcPr>
          <w:p w14:paraId="7E470CB1">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1E2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D401FE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53</w:t>
            </w:r>
          </w:p>
        </w:tc>
        <w:tc>
          <w:tcPr>
            <w:tcW w:w="878" w:type="dxa"/>
            <w:vAlign w:val="center"/>
          </w:tcPr>
          <w:p w14:paraId="2E82CB59">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曼陀罗子</w:t>
            </w:r>
          </w:p>
        </w:tc>
        <w:tc>
          <w:tcPr>
            <w:tcW w:w="845" w:type="dxa"/>
            <w:vAlign w:val="center"/>
          </w:tcPr>
          <w:p w14:paraId="6D6822F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2FEBABE">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650</w:t>
            </w:r>
          </w:p>
        </w:tc>
        <w:tc>
          <w:tcPr>
            <w:tcW w:w="5329" w:type="dxa"/>
            <w:vAlign w:val="center"/>
          </w:tcPr>
          <w:p w14:paraId="0FB35E19">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本品呈肾形，略扁，长3~4mm,宽2.5~3.2mm。表面黑色或棕黑色起的网纹，遍布小凹点。种脐位于一侧，平坦。气微，味辛辣。</w:t>
            </w:r>
          </w:p>
        </w:tc>
        <w:tc>
          <w:tcPr>
            <w:tcW w:w="1938" w:type="dxa"/>
            <w:vAlign w:val="center"/>
          </w:tcPr>
          <w:p w14:paraId="014B022F">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46B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640012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54</w:t>
            </w:r>
          </w:p>
        </w:tc>
        <w:tc>
          <w:tcPr>
            <w:tcW w:w="878" w:type="dxa"/>
            <w:vAlign w:val="center"/>
          </w:tcPr>
          <w:p w14:paraId="177237C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阿里红</w:t>
            </w:r>
          </w:p>
        </w:tc>
        <w:tc>
          <w:tcPr>
            <w:tcW w:w="845" w:type="dxa"/>
            <w:vAlign w:val="center"/>
          </w:tcPr>
          <w:p w14:paraId="55814A85">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0D2C15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5329" w:type="dxa"/>
            <w:vAlign w:val="center"/>
          </w:tcPr>
          <w:p w14:paraId="017E32BF">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菌体内部白色或淡黄色，折断时有粉尘飞出。菌肉软，石棉样。气微，味苦，有的微甜。</w:t>
            </w:r>
          </w:p>
        </w:tc>
        <w:tc>
          <w:tcPr>
            <w:tcW w:w="1938" w:type="dxa"/>
            <w:vAlign w:val="center"/>
          </w:tcPr>
          <w:p w14:paraId="085C3AF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BCB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EE7A36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55</w:t>
            </w:r>
          </w:p>
        </w:tc>
        <w:tc>
          <w:tcPr>
            <w:tcW w:w="878" w:type="dxa"/>
            <w:vAlign w:val="center"/>
          </w:tcPr>
          <w:p w14:paraId="5F2F1240">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拳参</w:t>
            </w:r>
          </w:p>
        </w:tc>
        <w:tc>
          <w:tcPr>
            <w:tcW w:w="845" w:type="dxa"/>
            <w:vAlign w:val="center"/>
          </w:tcPr>
          <w:p w14:paraId="7D944C33">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2B2AB4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03C58692">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扁长条形或扁圆柱形，弯曲，有的对卷弯曲，两端略尖，或一端渐细，长6～13cm，直径1～2.5cm。表面紫褐色或紫黑色，粗糙，一面隆起，一面稍平坦或略具凹槽，全体密具粗环纹，有残留须根或根痕。质硬，断面浅棕红色或棕红色，维管束呈黄白色点状，排列成环。气微，味苦、涩。</w:t>
            </w:r>
          </w:p>
        </w:tc>
        <w:tc>
          <w:tcPr>
            <w:tcW w:w="1938" w:type="dxa"/>
            <w:vAlign w:val="center"/>
          </w:tcPr>
          <w:p w14:paraId="54DEAD4D">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9DD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6EE474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56</w:t>
            </w:r>
          </w:p>
        </w:tc>
        <w:tc>
          <w:tcPr>
            <w:tcW w:w="878" w:type="dxa"/>
            <w:vAlign w:val="center"/>
          </w:tcPr>
          <w:p w14:paraId="58F51B14">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莱菔子</w:t>
            </w:r>
          </w:p>
        </w:tc>
        <w:tc>
          <w:tcPr>
            <w:tcW w:w="845" w:type="dxa"/>
            <w:vAlign w:val="center"/>
          </w:tcPr>
          <w:p w14:paraId="3C4303B2">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5399538">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645104EC">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本品为十字花科植物萝卜RaphanussalivusL,的干燥成熟种子。夏季果实成熟时采割植株,搓出种子,晒干。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【炮制】莱菔子 除去杂质,洗净,干燥。用时捣碎。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炒莱菔子 取净菜菔子,置锅内,用文火加热,炒至微鼓起,爆鸣声减弱,手捻易碎断面浅黄色,有香气逸出,取出,晾凉,用时捣碎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【性状】莱菔子 本品呈类卵圆形或椭圆形,稍扁,长2.5~4mm,宽 2~3mm。表面黄棕色、红棕色或灰棕色。一端有深棕色圆形种脐,一侧有数条纵沟,种皮薄而脆,子叶2.黄白色,有油性。气微,味淡、微苦辛。</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炒莱菔子 形如莱菔子,形体鼓起,色泽加深,质酥脆,气微香。</w:t>
            </w:r>
          </w:p>
        </w:tc>
        <w:tc>
          <w:tcPr>
            <w:tcW w:w="1938" w:type="dxa"/>
            <w:vAlign w:val="center"/>
          </w:tcPr>
          <w:p w14:paraId="6A76505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18B0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D601FD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57</w:t>
            </w:r>
          </w:p>
        </w:tc>
        <w:tc>
          <w:tcPr>
            <w:tcW w:w="878" w:type="dxa"/>
            <w:vAlign w:val="center"/>
          </w:tcPr>
          <w:p w14:paraId="61F330F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香桃木果</w:t>
            </w:r>
          </w:p>
        </w:tc>
        <w:tc>
          <w:tcPr>
            <w:tcW w:w="845" w:type="dxa"/>
            <w:vAlign w:val="center"/>
          </w:tcPr>
          <w:p w14:paraId="5FFC029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953AD2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5329" w:type="dxa"/>
            <w:vAlign w:val="center"/>
          </w:tcPr>
          <w:p w14:paraId="276B75A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矩圆形或卵形，长5～9mm，直径4～6mm。成熟果实表面紫褐色或棕红色，嫩者淡黄棕色。顶端有5裂宿存萼片，下端有圆点状果柄痕，有时可见残留的细果柄，柄长1～1.5cm。果皮薄而脆，外表皱缩，易破碎。切开后可见2～3室（罕见4室），每室具种子2～3枚，白色，肾形，光滑。气微香，味微酸甜而辛。</w:t>
            </w:r>
          </w:p>
        </w:tc>
        <w:tc>
          <w:tcPr>
            <w:tcW w:w="1938" w:type="dxa"/>
            <w:vAlign w:val="center"/>
          </w:tcPr>
          <w:p w14:paraId="7A4C9A9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3DDE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E840EE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58</w:t>
            </w:r>
          </w:p>
        </w:tc>
        <w:tc>
          <w:tcPr>
            <w:tcW w:w="878" w:type="dxa"/>
            <w:vAlign w:val="center"/>
          </w:tcPr>
          <w:p w14:paraId="4A04713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海马</w:t>
            </w:r>
          </w:p>
        </w:tc>
        <w:tc>
          <w:tcPr>
            <w:tcW w:w="845" w:type="dxa"/>
            <w:vAlign w:val="center"/>
          </w:tcPr>
          <w:p w14:paraId="62F00CA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7D4DDE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3330781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线纹海马：体呈扁长形而弯曲，体长约30cm。黄白色。头略似马头，有完状突起，前方有一管状长物，口小，无牙，两眼深陷。躯干部七棱形，尾部四棱形，渐曲着曲，体上有瓦楞形的节纹并具短棘。体轻，骨质，坚硬。气微腥，味微咸。    2．刺海马：体形较大体可达24cm。背鳍18；臀鳍4；胸鳍18。体环11＋35~36。头完不高，尖端具4～5细而尖锐的小棘。吻长大于或等于眶后之头长。体上各骨环接结处及头的小棘特别发达，仅后部尾环的小棘不明显。体淡黄褐色，背鳍近尖端具1纵列斑点，臀，鳍色淡。体上小棘尖端呈黑色。    3．大海马：体上无发达的棘，背鳍17，胸鳍16。体长20～30cm，黑褐色。       4．三斑海马：背鳍20～21，胸鳍17～18；体环11+40~41～41，体侧背方第1、4、7节的短棘基部各具1大黑色圆斑。         5．小海马（海蛆）：体形小，长7～10cm，黑褐色节纹及短棘均较细小，不具硬而长剌。</w:t>
            </w:r>
          </w:p>
        </w:tc>
        <w:tc>
          <w:tcPr>
            <w:tcW w:w="1938" w:type="dxa"/>
            <w:vAlign w:val="center"/>
          </w:tcPr>
          <w:p w14:paraId="0A408AC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新疆维吾尔自治区1992年版药材标准</w:t>
            </w:r>
          </w:p>
        </w:tc>
      </w:tr>
      <w:tr w14:paraId="6701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14036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59</w:t>
            </w:r>
          </w:p>
        </w:tc>
        <w:tc>
          <w:tcPr>
            <w:tcW w:w="878" w:type="dxa"/>
            <w:vAlign w:val="center"/>
          </w:tcPr>
          <w:p w14:paraId="251CB50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板蓝根</w:t>
            </w:r>
          </w:p>
        </w:tc>
        <w:tc>
          <w:tcPr>
            <w:tcW w:w="845" w:type="dxa"/>
            <w:vAlign w:val="center"/>
          </w:tcPr>
          <w:p w14:paraId="7D1594B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A495DB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1C4E8BD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柱形，稍扭曲，长10～20cm，直径0.5～1cm。表面淡灰黄色或淡棕黄色，有纵皱纹、横长皮孔样突起及支根痕。根头略膨大，可见暗绿色或暗棕色轮状排列的叶柄残基和密集的疣状突起。体实，质略软，断面皮部黄白色，木部黄色。气微，味微甜后苦涩。</w:t>
            </w:r>
          </w:p>
        </w:tc>
        <w:tc>
          <w:tcPr>
            <w:tcW w:w="1938" w:type="dxa"/>
            <w:vAlign w:val="center"/>
          </w:tcPr>
          <w:p w14:paraId="3EDA28D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604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5AF5FF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60</w:t>
            </w:r>
          </w:p>
        </w:tc>
        <w:tc>
          <w:tcPr>
            <w:tcW w:w="878" w:type="dxa"/>
            <w:vAlign w:val="center"/>
          </w:tcPr>
          <w:p w14:paraId="3862B62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铁筷子</w:t>
            </w:r>
          </w:p>
        </w:tc>
        <w:tc>
          <w:tcPr>
            <w:tcW w:w="845" w:type="dxa"/>
            <w:vAlign w:val="center"/>
          </w:tcPr>
          <w:p w14:paraId="051A795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FD4029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F38BAA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本品为毛莨科植物铁筷子Helleborusthibetanus Franch.的干燥根和根茎。夏季倒苗前采挖,除去泥沙,干燥。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略卷曲成团。根茎呈结节状圆柱形,稍扁,略弯曲,长3~6cmm,直径0.4~0.8cm;较粗的通常有分枝,分枝顶端有凹窝状茎痕或浅褐色干燥的小芽苞;表面黑褐色或灰黑色;质坚硬,折断面不平坦,灰白色至灰棕色。根细圆柱形,长5~12cm,直径0.1~0.2cm;多数簇状集生,略卷曲呈团状,有的断落;表面灰褐色至黑褐色,平滑或具纵皱纹。质硬脆,易折断,断面平坦,灰白色,显粉性。气微,味苦,微有麻舌感。</w:t>
            </w:r>
          </w:p>
        </w:tc>
        <w:tc>
          <w:tcPr>
            <w:tcW w:w="1938" w:type="dxa"/>
            <w:vAlign w:val="center"/>
          </w:tcPr>
          <w:p w14:paraId="6285525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陕西省药材标准(2015年版)/中华本草313   </w:t>
            </w:r>
          </w:p>
        </w:tc>
      </w:tr>
      <w:tr w14:paraId="0D2B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22F554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61</w:t>
            </w:r>
          </w:p>
        </w:tc>
        <w:tc>
          <w:tcPr>
            <w:tcW w:w="878" w:type="dxa"/>
            <w:vAlign w:val="center"/>
          </w:tcPr>
          <w:p w14:paraId="3830A7B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蔗糖</w:t>
            </w:r>
          </w:p>
        </w:tc>
        <w:tc>
          <w:tcPr>
            <w:tcW w:w="845" w:type="dxa"/>
            <w:vAlign w:val="center"/>
          </w:tcPr>
          <w:p w14:paraId="3072233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F9345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5000</w:t>
            </w:r>
          </w:p>
        </w:tc>
        <w:tc>
          <w:tcPr>
            <w:tcW w:w="5329" w:type="dxa"/>
            <w:vAlign w:val="center"/>
          </w:tcPr>
          <w:p w14:paraId="0D48438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本品为无色结晶或白色结晶性的松散粉末。</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本品在水中极易溶解，在乙醇中微溶，在无水乙醇中几乎不溶。</w:t>
            </w:r>
          </w:p>
        </w:tc>
        <w:tc>
          <w:tcPr>
            <w:tcW w:w="1938" w:type="dxa"/>
            <w:vAlign w:val="center"/>
          </w:tcPr>
          <w:p w14:paraId="00307EF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120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D02965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62</w:t>
            </w:r>
          </w:p>
        </w:tc>
        <w:tc>
          <w:tcPr>
            <w:tcW w:w="878" w:type="dxa"/>
            <w:vAlign w:val="center"/>
          </w:tcPr>
          <w:p w14:paraId="0C91ED6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蜂蜜</w:t>
            </w:r>
          </w:p>
        </w:tc>
        <w:tc>
          <w:tcPr>
            <w:tcW w:w="845" w:type="dxa"/>
            <w:vAlign w:val="center"/>
          </w:tcPr>
          <w:p w14:paraId="0F12B1B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瓶</w:t>
            </w:r>
          </w:p>
        </w:tc>
        <w:tc>
          <w:tcPr>
            <w:tcW w:w="977" w:type="dxa"/>
            <w:vAlign w:val="center"/>
          </w:tcPr>
          <w:p w14:paraId="2DD4BE4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14000</w:t>
            </w:r>
          </w:p>
        </w:tc>
        <w:tc>
          <w:tcPr>
            <w:tcW w:w="5329" w:type="dxa"/>
            <w:vAlign w:val="center"/>
          </w:tcPr>
          <w:p w14:paraId="5DEC1F8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本品为半透明、带光泽、浓稠的液体，白色至淡黄色或橘黄色至黄褐色，放久或遇冷渐有白色颗粒状结晶析岀。气芳香，味极甜。</w:t>
            </w:r>
          </w:p>
        </w:tc>
        <w:tc>
          <w:tcPr>
            <w:tcW w:w="1938" w:type="dxa"/>
            <w:vAlign w:val="center"/>
          </w:tcPr>
          <w:p w14:paraId="286D126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A45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541DB8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63</w:t>
            </w:r>
          </w:p>
        </w:tc>
        <w:tc>
          <w:tcPr>
            <w:tcW w:w="878" w:type="dxa"/>
            <w:vAlign w:val="center"/>
          </w:tcPr>
          <w:p w14:paraId="13AF4E2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蜂蜜</w:t>
            </w:r>
          </w:p>
        </w:tc>
        <w:tc>
          <w:tcPr>
            <w:tcW w:w="845" w:type="dxa"/>
            <w:vAlign w:val="center"/>
          </w:tcPr>
          <w:p w14:paraId="0C7B1F9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250g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（瓶)</w:t>
            </w:r>
          </w:p>
        </w:tc>
        <w:tc>
          <w:tcPr>
            <w:tcW w:w="977" w:type="dxa"/>
            <w:vAlign w:val="center"/>
          </w:tcPr>
          <w:p w14:paraId="59D332A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5329" w:type="dxa"/>
            <w:vAlign w:val="center"/>
          </w:tcPr>
          <w:p w14:paraId="5927E2E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本品为半透明、带光泽、浓稠的液体，白色至淡黄色或橘黄色至黄褐色，放久或遇冷渐有白色颗粒状结晶析岀。气芳香，味极甜。</w:t>
            </w:r>
          </w:p>
        </w:tc>
        <w:tc>
          <w:tcPr>
            <w:tcW w:w="1938" w:type="dxa"/>
            <w:vAlign w:val="center"/>
          </w:tcPr>
          <w:p w14:paraId="68E7845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213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528EA0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64</w:t>
            </w:r>
          </w:p>
        </w:tc>
        <w:tc>
          <w:tcPr>
            <w:tcW w:w="878" w:type="dxa"/>
            <w:vAlign w:val="center"/>
          </w:tcPr>
          <w:p w14:paraId="0183375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芜菁子</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（恰玛古子）</w:t>
            </w:r>
          </w:p>
        </w:tc>
        <w:tc>
          <w:tcPr>
            <w:tcW w:w="845" w:type="dxa"/>
            <w:vAlign w:val="center"/>
          </w:tcPr>
          <w:p w14:paraId="244E296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2A2E75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3F590CA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本品呈圆球形，直径1~1.5mm，种皮红棕色至棕黑色，薄而脆，一端有黑色圆形种脐，一侧有纵沟。子叶2枚，乳黄色。气微，味微辛。</w:t>
            </w:r>
          </w:p>
        </w:tc>
        <w:tc>
          <w:tcPr>
            <w:tcW w:w="1938" w:type="dxa"/>
            <w:vAlign w:val="center"/>
          </w:tcPr>
          <w:p w14:paraId="267CFEB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1E8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9B6E10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65</w:t>
            </w:r>
          </w:p>
        </w:tc>
        <w:tc>
          <w:tcPr>
            <w:tcW w:w="878" w:type="dxa"/>
            <w:vAlign w:val="center"/>
          </w:tcPr>
          <w:p w14:paraId="4F470AA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洋乳香</w:t>
            </w:r>
          </w:p>
        </w:tc>
        <w:tc>
          <w:tcPr>
            <w:tcW w:w="845" w:type="dxa"/>
            <w:vAlign w:val="center"/>
          </w:tcPr>
          <w:p w14:paraId="6291410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C45E79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329" w:type="dxa"/>
            <w:vAlign w:val="center"/>
          </w:tcPr>
          <w:p w14:paraId="04FC203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本品呈泪滴状或卵圆形，直径3~8mm。新鲜品外表近于无色，有光泽，半透明，质脆，断面透明，玻璃样；陈旧者灰黄色而无光泽，质脆，破碎面呈贝壳状，有玻璃样光泽。气微芳香，味苦。</w:t>
            </w:r>
          </w:p>
        </w:tc>
        <w:tc>
          <w:tcPr>
            <w:tcW w:w="1938" w:type="dxa"/>
            <w:vAlign w:val="center"/>
          </w:tcPr>
          <w:p w14:paraId="36B03D3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AA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5291A5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66</w:t>
            </w:r>
          </w:p>
        </w:tc>
        <w:tc>
          <w:tcPr>
            <w:tcW w:w="878" w:type="dxa"/>
            <w:vAlign w:val="center"/>
          </w:tcPr>
          <w:p w14:paraId="681F70E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西黄蓍胶</w:t>
            </w:r>
          </w:p>
        </w:tc>
        <w:tc>
          <w:tcPr>
            <w:tcW w:w="845" w:type="dxa"/>
            <w:vAlign w:val="center"/>
          </w:tcPr>
          <w:p w14:paraId="1564A46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F3528B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E04694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本品系豆科植物西黄蓍胶树Astragalus gummifer Labillardiere或小亚细亚产紫云英属其他植物的树干中得到的干燥树脂。</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呈带状、不规则的片状或螺旋状的不规则块状，大小不一；表面白色、淡黄色至浅褐色，半透明，有的具层纹，破碎面角质状，质坚脆，易粉碎成白色或类白色粉末。微有特异气味，味微咸。遇水溶胀成胶体黏液。</w:t>
            </w:r>
          </w:p>
        </w:tc>
        <w:tc>
          <w:tcPr>
            <w:tcW w:w="1938" w:type="dxa"/>
            <w:vAlign w:val="center"/>
          </w:tcPr>
          <w:p w14:paraId="3F26823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新疆维吾尔自治区地区性民间习用药材（中药饮片）质量标准  标准号：2024YC-0013</w:t>
            </w:r>
          </w:p>
        </w:tc>
      </w:tr>
      <w:tr w14:paraId="31D5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2A2EB1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67</w:t>
            </w:r>
          </w:p>
        </w:tc>
        <w:tc>
          <w:tcPr>
            <w:tcW w:w="878" w:type="dxa"/>
            <w:vAlign w:val="center"/>
          </w:tcPr>
          <w:p w14:paraId="5A72CEA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天仙子</w:t>
            </w:r>
          </w:p>
        </w:tc>
        <w:tc>
          <w:tcPr>
            <w:tcW w:w="845" w:type="dxa"/>
            <w:vAlign w:val="center"/>
          </w:tcPr>
          <w:p w14:paraId="5D51EEB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3E768F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41996EE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本品呈类扁肾形或扁卵形，直径约1mm。表面棕黄色或灰黄色，有细密的网纹，略尖的一端有点状种脐。切面灰白色，油质，有胚乳，胚弯曲。气微，味微辛。</w:t>
            </w:r>
          </w:p>
        </w:tc>
        <w:tc>
          <w:tcPr>
            <w:tcW w:w="1938" w:type="dxa"/>
            <w:vAlign w:val="center"/>
          </w:tcPr>
          <w:p w14:paraId="46EE3AD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058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1617DE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68</w:t>
            </w:r>
          </w:p>
        </w:tc>
        <w:tc>
          <w:tcPr>
            <w:tcW w:w="878" w:type="dxa"/>
            <w:vAlign w:val="center"/>
          </w:tcPr>
          <w:p w14:paraId="55D0FFE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大戟脂</w:t>
            </w:r>
          </w:p>
        </w:tc>
        <w:tc>
          <w:tcPr>
            <w:tcW w:w="845" w:type="dxa"/>
            <w:vAlign w:val="center"/>
          </w:tcPr>
          <w:p w14:paraId="0DD1D4F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CADEB7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588595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本品为不规则块状或滴状物。大小不等，直径可达3cm,暗黄色或黄棕</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色新鲜者色略浅，质脆。有时可见含有本植物的破碎叶、花和果实。气微，加热则有香</w:t>
            </w:r>
          </w:p>
        </w:tc>
        <w:tc>
          <w:tcPr>
            <w:tcW w:w="1938" w:type="dxa"/>
            <w:vAlign w:val="center"/>
          </w:tcPr>
          <w:p w14:paraId="77C74D2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E95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135154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69</w:t>
            </w:r>
          </w:p>
        </w:tc>
        <w:tc>
          <w:tcPr>
            <w:tcW w:w="878" w:type="dxa"/>
            <w:vAlign w:val="center"/>
          </w:tcPr>
          <w:p w14:paraId="4DA88EB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赤石脂</w:t>
            </w:r>
          </w:p>
        </w:tc>
        <w:tc>
          <w:tcPr>
            <w:tcW w:w="845" w:type="dxa"/>
            <w:vAlign w:val="center"/>
          </w:tcPr>
          <w:p w14:paraId="61ADDDD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1CADD2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1BB7784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本品为块状集合体，呈不规则的块状。粉红色、红色至紫红色，或有红白相间的花纹。质软，易碎，断面有的具蜡样光泽。吸水性强。具黏土气，味淡，嚼之无沙粒感。</w:t>
            </w:r>
          </w:p>
        </w:tc>
        <w:tc>
          <w:tcPr>
            <w:tcW w:w="1938" w:type="dxa"/>
            <w:vAlign w:val="center"/>
          </w:tcPr>
          <w:p w14:paraId="3F2AB9B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8F4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560D82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70</w:t>
            </w:r>
          </w:p>
        </w:tc>
        <w:tc>
          <w:tcPr>
            <w:tcW w:w="878" w:type="dxa"/>
            <w:vAlign w:val="center"/>
          </w:tcPr>
          <w:p w14:paraId="170349B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阿莫尼亚脂</w:t>
            </w:r>
          </w:p>
        </w:tc>
        <w:tc>
          <w:tcPr>
            <w:tcW w:w="845" w:type="dxa"/>
            <w:vAlign w:val="center"/>
          </w:tcPr>
          <w:p w14:paraId="0DACC24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117647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4E0C15E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本品为滴乳状或节状团块，直径0.3~3cm。淡黄色，放置色泽变深。冷时变脆，受热软而黏，但不融化。新破碎面乳白色至淡棕色，略带蜡样光泽。气特异，味苦而辛。</w:t>
            </w:r>
          </w:p>
        </w:tc>
        <w:tc>
          <w:tcPr>
            <w:tcW w:w="1938" w:type="dxa"/>
            <w:vAlign w:val="center"/>
          </w:tcPr>
          <w:p w14:paraId="2B33EF7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6443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134A67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71</w:t>
            </w:r>
          </w:p>
        </w:tc>
        <w:tc>
          <w:tcPr>
            <w:tcW w:w="878" w:type="dxa"/>
            <w:vAlign w:val="center"/>
          </w:tcPr>
          <w:p w14:paraId="06D588D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牵牛子</w:t>
            </w:r>
          </w:p>
        </w:tc>
        <w:tc>
          <w:tcPr>
            <w:tcW w:w="845" w:type="dxa"/>
            <w:vAlign w:val="center"/>
          </w:tcPr>
          <w:p w14:paraId="3F71676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A41410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37DA9A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本品似橘瓣状，长4～8mm，宽3～5mm。表面灰黑色或淡黄白色，背面有一条浅纵沟，腹面棱线的下端有一点状种脐，微凹。质硬，横切面可见淡黄色或黄绿色皱缩折叠的子叶，微显油性。气微，味辛、苦，有麻感。</w:t>
            </w:r>
          </w:p>
        </w:tc>
        <w:tc>
          <w:tcPr>
            <w:tcW w:w="1938" w:type="dxa"/>
            <w:vAlign w:val="center"/>
          </w:tcPr>
          <w:p w14:paraId="1EBD283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FAE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F9B48B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72</w:t>
            </w:r>
          </w:p>
        </w:tc>
        <w:tc>
          <w:tcPr>
            <w:tcW w:w="878" w:type="dxa"/>
            <w:vAlign w:val="center"/>
          </w:tcPr>
          <w:p w14:paraId="081D76C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孜然</w:t>
            </w:r>
          </w:p>
        </w:tc>
        <w:tc>
          <w:tcPr>
            <w:tcW w:w="845" w:type="dxa"/>
            <w:vAlign w:val="center"/>
          </w:tcPr>
          <w:p w14:paraId="282DA14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D4D12C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600</w:t>
            </w:r>
          </w:p>
        </w:tc>
        <w:tc>
          <w:tcPr>
            <w:tcW w:w="5329" w:type="dxa"/>
            <w:vAlign w:val="center"/>
          </w:tcPr>
          <w:p w14:paraId="3509B75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双悬果，狭梭形或狭长卵形，长4~6mm，直径约1mm，表面呈灰黄色至灰棕色，两端狭窄，密被白色刺毛，具5明显纵棱。两端尖，顶端残留黄棕色突起的柱基，基部有时有细小的果梗。分果长卵形，背有黄白色纵棱3条，结合面2条，略凹陷呈舟状。具特异的香气，味微辛麻。</w:t>
            </w:r>
          </w:p>
        </w:tc>
        <w:tc>
          <w:tcPr>
            <w:tcW w:w="1938" w:type="dxa"/>
            <w:vAlign w:val="center"/>
          </w:tcPr>
          <w:p w14:paraId="66C953D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751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FBB1B4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73</w:t>
            </w:r>
          </w:p>
        </w:tc>
        <w:tc>
          <w:tcPr>
            <w:tcW w:w="878" w:type="dxa"/>
            <w:vAlign w:val="center"/>
          </w:tcPr>
          <w:p w14:paraId="258CCB9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平纳</w:t>
            </w:r>
          </w:p>
        </w:tc>
        <w:tc>
          <w:tcPr>
            <w:tcW w:w="845" w:type="dxa"/>
            <w:vAlign w:val="center"/>
          </w:tcPr>
          <w:p w14:paraId="23AF2A8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48BB09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329" w:type="dxa"/>
            <w:vAlign w:val="center"/>
          </w:tcPr>
          <w:p w14:paraId="71003DB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茎呈方柱形，长30~90cm，直径0.2~1cm。表面绿色或黄绿色，常有对生的分枝，四角有棱脊，四面平坦或凹入成宽沟；质脆，易折断，断面白色，髓部中空；叶对生，叶片较薄，多皱缩，破碎，完整者展开后呈卵形或长卵形，长2~8cm,宽1~6cm，上表面深绿色，下表面浅绿色，先端尖或短渐尖，基部圆形或心形，边缘有钝锯齿，叶柄长1~4cm。轮伞花序顶生。气香而特异，味淡、微凉。</w:t>
            </w:r>
          </w:p>
        </w:tc>
        <w:tc>
          <w:tcPr>
            <w:tcW w:w="1938" w:type="dxa"/>
            <w:vAlign w:val="center"/>
          </w:tcPr>
          <w:p w14:paraId="276C780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喀什地区维吾尔医医院内部控制标准</w:t>
            </w:r>
          </w:p>
        </w:tc>
      </w:tr>
      <w:tr w14:paraId="18BB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D754BE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74</w:t>
            </w:r>
          </w:p>
        </w:tc>
        <w:tc>
          <w:tcPr>
            <w:tcW w:w="878" w:type="dxa"/>
            <w:vAlign w:val="center"/>
          </w:tcPr>
          <w:p w14:paraId="6409B2C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香青兰子</w:t>
            </w:r>
          </w:p>
        </w:tc>
        <w:tc>
          <w:tcPr>
            <w:tcW w:w="845" w:type="dxa"/>
            <w:vAlign w:val="center"/>
          </w:tcPr>
          <w:p w14:paraId="3351036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064B38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5D04162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香青兰：本品呈短段，茎方形，四棱。表面黄绿色或紫红色。被倒向疏柔毛，体轻，质泡，折断面白色，中空。叶对生，有柄，多脱落或破碎；完整者披针形或狭披针形，长2~5cm,边缘有三角形锯齿，基部2齿常具芒刺，两面叶脉疏被细毛，叶背面有凹陷的棕色腺点。轮伞花序顶生，苞片长圆形，每侧有3~4个长刺齿，背面有腺点；花萼筒状，长约1cm,有纵向纹理，先端5齿裂，齿间具疣状突起，花多萎缩，蓝紫色。气清香，味微辛。</w:t>
            </w:r>
          </w:p>
        </w:tc>
        <w:tc>
          <w:tcPr>
            <w:tcW w:w="1938" w:type="dxa"/>
            <w:vAlign w:val="center"/>
          </w:tcPr>
          <w:p w14:paraId="1264FDB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800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953B97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75</w:t>
            </w:r>
          </w:p>
        </w:tc>
        <w:tc>
          <w:tcPr>
            <w:tcW w:w="878" w:type="dxa"/>
            <w:vAlign w:val="center"/>
          </w:tcPr>
          <w:p w14:paraId="69D46EC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蛋黄油</w:t>
            </w:r>
          </w:p>
        </w:tc>
        <w:tc>
          <w:tcPr>
            <w:tcW w:w="845" w:type="dxa"/>
            <w:vAlign w:val="center"/>
          </w:tcPr>
          <w:p w14:paraId="4241A1C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50ml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（瓶）</w:t>
            </w:r>
          </w:p>
        </w:tc>
        <w:tc>
          <w:tcPr>
            <w:tcW w:w="977" w:type="dxa"/>
            <w:vAlign w:val="center"/>
          </w:tcPr>
          <w:p w14:paraId="489E0E6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4000</w:t>
            </w:r>
          </w:p>
        </w:tc>
        <w:tc>
          <w:tcPr>
            <w:tcW w:w="5329" w:type="dxa"/>
            <w:vAlign w:val="center"/>
          </w:tcPr>
          <w:p w14:paraId="68A15E6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本品为雉科动物家鸡 Gallus gallus domesticus Brisson的卵黄【炮制】将鸡蛋煮熟，取蛋黄，揉碎、烤干或烘干至出油。</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本品为大小不等的块状物，表面黄色或棕黄色，细腻而稍有光泽，富油性，质松，手捻易碎，断面黄色或棕黄色。气清香、微腥，味淡。</w:t>
            </w:r>
          </w:p>
        </w:tc>
        <w:tc>
          <w:tcPr>
            <w:tcW w:w="1938" w:type="dxa"/>
            <w:vAlign w:val="center"/>
          </w:tcPr>
          <w:p w14:paraId="7F8C790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1DE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BA469C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76</w:t>
            </w:r>
          </w:p>
        </w:tc>
        <w:tc>
          <w:tcPr>
            <w:tcW w:w="878" w:type="dxa"/>
            <w:vAlign w:val="center"/>
          </w:tcPr>
          <w:p w14:paraId="0E82E09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丁香油</w:t>
            </w:r>
          </w:p>
        </w:tc>
        <w:tc>
          <w:tcPr>
            <w:tcW w:w="845" w:type="dxa"/>
            <w:vAlign w:val="center"/>
          </w:tcPr>
          <w:p w14:paraId="5498C45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50ml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（瓶）</w:t>
            </w:r>
          </w:p>
        </w:tc>
        <w:tc>
          <w:tcPr>
            <w:tcW w:w="977" w:type="dxa"/>
            <w:vAlign w:val="center"/>
          </w:tcPr>
          <w:p w14:paraId="0A557CE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3200</w:t>
            </w:r>
          </w:p>
        </w:tc>
        <w:tc>
          <w:tcPr>
            <w:tcW w:w="5329" w:type="dxa"/>
            <w:vAlign w:val="center"/>
          </w:tcPr>
          <w:p w14:paraId="5532273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本品为微黄色至黄色的澄清液体；有丁香的香气。</w:t>
            </w:r>
          </w:p>
        </w:tc>
        <w:tc>
          <w:tcPr>
            <w:tcW w:w="1938" w:type="dxa"/>
            <w:vAlign w:val="center"/>
          </w:tcPr>
          <w:p w14:paraId="5FEB796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D3F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5C92DB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77</w:t>
            </w:r>
          </w:p>
        </w:tc>
        <w:tc>
          <w:tcPr>
            <w:tcW w:w="878" w:type="dxa"/>
            <w:vAlign w:val="center"/>
          </w:tcPr>
          <w:p w14:paraId="779ED46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红花子油</w:t>
            </w:r>
          </w:p>
        </w:tc>
        <w:tc>
          <w:tcPr>
            <w:tcW w:w="845" w:type="dxa"/>
            <w:vAlign w:val="center"/>
          </w:tcPr>
          <w:p w14:paraId="4C3E681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50ml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（瓶）</w:t>
            </w:r>
          </w:p>
        </w:tc>
        <w:tc>
          <w:tcPr>
            <w:tcW w:w="977" w:type="dxa"/>
            <w:vAlign w:val="center"/>
          </w:tcPr>
          <w:p w14:paraId="32BDA3B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5329" w:type="dxa"/>
            <w:vAlign w:val="center"/>
          </w:tcPr>
          <w:p w14:paraId="5369E04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本品为黄色或金黄色的澄清液体；气香，无味道。</w:t>
            </w:r>
          </w:p>
        </w:tc>
        <w:tc>
          <w:tcPr>
            <w:tcW w:w="1938" w:type="dxa"/>
            <w:vAlign w:val="center"/>
          </w:tcPr>
          <w:p w14:paraId="16D66D5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3BD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9FEB89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78</w:t>
            </w:r>
          </w:p>
        </w:tc>
        <w:tc>
          <w:tcPr>
            <w:tcW w:w="878" w:type="dxa"/>
            <w:vAlign w:val="center"/>
          </w:tcPr>
          <w:p w14:paraId="5E6F463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密陀僧</w:t>
            </w:r>
          </w:p>
        </w:tc>
        <w:tc>
          <w:tcPr>
            <w:tcW w:w="845" w:type="dxa"/>
            <w:vAlign w:val="center"/>
          </w:tcPr>
          <w:p w14:paraId="3C06E14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3AA56B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95E08D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药物之园》载：“密陀僧，是一种矿石样物质，可由除了铁以外的矿物提炼制成，多由铅、锡等矿物经烧焦后提炼而成；以黄色，无杂物，光泽，最重者为佳品。”根据上述维吾尔医本草所述药物特征和实物对照，与现代维吾尔医所用密陀僧一致。</w:t>
            </w:r>
          </w:p>
        </w:tc>
        <w:tc>
          <w:tcPr>
            <w:tcW w:w="1938" w:type="dxa"/>
            <w:vAlign w:val="center"/>
          </w:tcPr>
          <w:p w14:paraId="654641C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中华本草34页</w:t>
            </w:r>
          </w:p>
        </w:tc>
      </w:tr>
      <w:tr w14:paraId="283E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196181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79</w:t>
            </w:r>
          </w:p>
        </w:tc>
        <w:tc>
          <w:tcPr>
            <w:tcW w:w="878" w:type="dxa"/>
            <w:vAlign w:val="center"/>
          </w:tcPr>
          <w:p w14:paraId="73274B1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野孜然</w:t>
            </w:r>
          </w:p>
        </w:tc>
        <w:tc>
          <w:tcPr>
            <w:tcW w:w="845" w:type="dxa"/>
            <w:vAlign w:val="center"/>
          </w:tcPr>
          <w:p w14:paraId="13BD567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607D90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00E8E3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孜然：【性状】本品为双悬果，狭梭形或狭长卵形，长4～6mm，直径约1mm，表面呈灰黄色至灰棕色，两端狭窄，密被白色刺毛，具5明显纵棱。两端尖，顶端残留黄棕色突起的柱基，基部有时有细小的果梗。分果长卵形，背有黄白色纵棱3条，结合面2条，略凹陷呈舟状。具特异的香气，味微辛麻。</w:t>
            </w:r>
          </w:p>
        </w:tc>
        <w:tc>
          <w:tcPr>
            <w:tcW w:w="1938" w:type="dxa"/>
            <w:vAlign w:val="center"/>
          </w:tcPr>
          <w:p w14:paraId="3F421A9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7229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3AAADA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80</w:t>
            </w:r>
          </w:p>
        </w:tc>
        <w:tc>
          <w:tcPr>
            <w:tcW w:w="878" w:type="dxa"/>
            <w:vAlign w:val="center"/>
          </w:tcPr>
          <w:p w14:paraId="79A7513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芸香子</w:t>
            </w:r>
          </w:p>
        </w:tc>
        <w:tc>
          <w:tcPr>
            <w:tcW w:w="845" w:type="dxa"/>
            <w:vAlign w:val="center"/>
          </w:tcPr>
          <w:p w14:paraId="6B69B75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1C2695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DF5C14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本品为芸香科植物芸香Ruta graveolens..的干燥种子。夏、秋二季采割地上部分，除去泥土，阴干。《药物之园》载：“芸香子，芸香草的种子，原植物分家生、野生、山生三种，家生者高约3尺，叶小，深蓝色，具有很浓的异味，表面常有灰尘感；花黄色，种子三角梭形；以家生者，长在无花果树底下者为住品。全草气味较强，野生者气味更强。”根据维吾尔医本草所述药物特征和实物对照，与现代维吾尔医所用芸香子一致。</w:t>
            </w:r>
          </w:p>
        </w:tc>
        <w:tc>
          <w:tcPr>
            <w:tcW w:w="1938" w:type="dxa"/>
            <w:vAlign w:val="center"/>
          </w:tcPr>
          <w:p w14:paraId="6A29495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中华本草164页</w:t>
            </w:r>
          </w:p>
        </w:tc>
      </w:tr>
      <w:tr w14:paraId="1C86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B48826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81</w:t>
            </w:r>
          </w:p>
        </w:tc>
        <w:tc>
          <w:tcPr>
            <w:tcW w:w="878" w:type="dxa"/>
            <w:vAlign w:val="center"/>
          </w:tcPr>
          <w:p w14:paraId="478B76E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芸香草</w:t>
            </w:r>
          </w:p>
        </w:tc>
        <w:tc>
          <w:tcPr>
            <w:tcW w:w="845" w:type="dxa"/>
            <w:vAlign w:val="center"/>
          </w:tcPr>
          <w:p w14:paraId="23A4E21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A88EB7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B9D028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为中段。茎直径约3mm，表面灰绿色或棕绿色，有的带紫色，节处膨大，质脆。叶片狭条形、宽1~6mm.叶鞘包茎，茎基的叶鞘多破裂，离茎内卷，上部的叶鞘短于节间，叶舌钝圆，长2~4mm，膜质，先端多不规则破裂。气香特异，味辛辣，有麻凉感。</w:t>
            </w:r>
          </w:p>
        </w:tc>
        <w:tc>
          <w:tcPr>
            <w:tcW w:w="1938" w:type="dxa"/>
            <w:vAlign w:val="center"/>
          </w:tcPr>
          <w:p w14:paraId="150A81C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湖南省中药饮片炮制规范2010年版   </w:t>
            </w:r>
          </w:p>
        </w:tc>
      </w:tr>
      <w:tr w14:paraId="663A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5F4090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82</w:t>
            </w:r>
          </w:p>
        </w:tc>
        <w:tc>
          <w:tcPr>
            <w:tcW w:w="878" w:type="dxa"/>
            <w:vAlign w:val="center"/>
          </w:tcPr>
          <w:p w14:paraId="56980C5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红独行菜子</w:t>
            </w:r>
          </w:p>
        </w:tc>
        <w:tc>
          <w:tcPr>
            <w:tcW w:w="845" w:type="dxa"/>
            <w:vAlign w:val="center"/>
          </w:tcPr>
          <w:p w14:paraId="3BD0AA6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4E7309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5FB86B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家独行菜子：【性状】本品呈扁，卵形，长2～2.5mm，宽1～1.5mm。表面棕红色，有细微的颗粒状突起，一端钝圆，另一端有纵沟2条，在浅沟外被短柔毛，种脐位于凹陷处。气微，味辛、微苦。遇水有粘滑性。</w:t>
            </w:r>
          </w:p>
        </w:tc>
        <w:tc>
          <w:tcPr>
            <w:tcW w:w="1938" w:type="dxa"/>
            <w:vAlign w:val="center"/>
          </w:tcPr>
          <w:p w14:paraId="78947F4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卫生部药品标准1998年版维吾尔药分册</w:t>
            </w:r>
          </w:p>
        </w:tc>
      </w:tr>
      <w:tr w14:paraId="059C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2511A7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83</w:t>
            </w:r>
          </w:p>
        </w:tc>
        <w:tc>
          <w:tcPr>
            <w:tcW w:w="878" w:type="dxa"/>
            <w:vAlign w:val="center"/>
          </w:tcPr>
          <w:p w14:paraId="730020C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吉多果化石</w:t>
            </w:r>
          </w:p>
        </w:tc>
        <w:tc>
          <w:tcPr>
            <w:tcW w:w="845" w:type="dxa"/>
            <w:vAlign w:val="center"/>
          </w:tcPr>
          <w:p w14:paraId="0252475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BD5A39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E7D63F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药材性状】1．吉多果化石（冠状镰头帕海胆棘）：长卵形、倒卵形或椭圆形，长1～5厘米，中部直径0.6～2厘米，表面灰黄色或灰棕色，一端具短果柄（棘柄），柄长2～5毫米，顶部钝圆或微尖，基部楔形，具纵间细条棱35～45条，在条棱上有众多椭圆形小点，小点15～30个；质坚脆，易击碎，断面黄绿色，平滑，具玻璃样光泽；少数有纵向中央圆孔，多为实心；条痕白色，硬度1～2。用嘴嚼之初呈砂粒感，后渐减少，有土腥气，味淡。</w:t>
            </w:r>
          </w:p>
        </w:tc>
        <w:tc>
          <w:tcPr>
            <w:tcW w:w="1938" w:type="dxa"/>
            <w:vAlign w:val="center"/>
          </w:tcPr>
          <w:p w14:paraId="79CB804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维吾尔药志上册</w:t>
            </w:r>
          </w:p>
        </w:tc>
      </w:tr>
      <w:tr w14:paraId="575F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53F0D3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84</w:t>
            </w:r>
          </w:p>
        </w:tc>
        <w:tc>
          <w:tcPr>
            <w:tcW w:w="878" w:type="dxa"/>
            <w:vAlign w:val="center"/>
          </w:tcPr>
          <w:p w14:paraId="4DA31B4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无花果叶</w:t>
            </w:r>
          </w:p>
        </w:tc>
        <w:tc>
          <w:tcPr>
            <w:tcW w:w="845" w:type="dxa"/>
            <w:vAlign w:val="center"/>
          </w:tcPr>
          <w:p w14:paraId="439D719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96CE4C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6574F1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无花果：本品多呈扁圆形，有的呈类圆形、梨状或挤压成不规则形，直径2.5~4.5cm，厚0.5~3cm。上端中央有脐状凸起，并有孔隙;下端亦微凸起，有托梗相连，基部有3枚三角形伏贴的苞片或托梗脱落及苞片的残痕。表面淡黄棕色至暗紫褐色，有10余条微隆起的纵皱和脉纹，加糖者皱纹不明显。切面黄白色、肉红色或黄棕色，肉壁着生众多卵圆形黄棕色小瘦果，果长1~2mm,以及枯萎的小花。质柔软。气微，嚼之微甜而有黏滑感。</w:t>
            </w:r>
          </w:p>
        </w:tc>
        <w:tc>
          <w:tcPr>
            <w:tcW w:w="1938" w:type="dxa"/>
            <w:vAlign w:val="center"/>
          </w:tcPr>
          <w:p w14:paraId="33E12F5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47E8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B08C8A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85</w:t>
            </w:r>
          </w:p>
        </w:tc>
        <w:tc>
          <w:tcPr>
            <w:tcW w:w="878" w:type="dxa"/>
            <w:vAlign w:val="center"/>
          </w:tcPr>
          <w:p w14:paraId="5A8DF46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玉米须</w:t>
            </w:r>
          </w:p>
        </w:tc>
        <w:tc>
          <w:tcPr>
            <w:tcW w:w="845" w:type="dxa"/>
            <w:vAlign w:val="center"/>
          </w:tcPr>
          <w:p w14:paraId="1B2C75C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F3896A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81CE29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【性状】  本品呈绒状或须状，常集结成团。花柱长达30cm，淡黄色至棕红色，有光泽，柱头短，2裂。质柔软，气微，味微甜。</w:t>
            </w:r>
          </w:p>
        </w:tc>
        <w:tc>
          <w:tcPr>
            <w:tcW w:w="1938" w:type="dxa"/>
            <w:vAlign w:val="center"/>
          </w:tcPr>
          <w:p w14:paraId="54E1137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1998年版中药材分册</w:t>
            </w:r>
          </w:p>
        </w:tc>
      </w:tr>
      <w:tr w14:paraId="0FDF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502F57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86</w:t>
            </w:r>
          </w:p>
        </w:tc>
        <w:tc>
          <w:tcPr>
            <w:tcW w:w="878" w:type="dxa"/>
            <w:vAlign w:val="center"/>
          </w:tcPr>
          <w:p w14:paraId="5CB1A4B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茯苓</w:t>
            </w:r>
          </w:p>
        </w:tc>
        <w:tc>
          <w:tcPr>
            <w:tcW w:w="845" w:type="dxa"/>
            <w:vAlign w:val="center"/>
          </w:tcPr>
          <w:p w14:paraId="4FB4FB0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EAC4D0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5038C0A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茯苓个  呈类球形、椭圆形、扁圆形或不规则团块，大小不一。外皮薄而粗糙，棕褐色至黑褐色，有明显的皱缩纹理。体重，质坚实，断面颗粒性，有的具裂隙，外层淡棕色，内部白色，少数淡红色，有的中间抱有松根。气微，味淡，嚼之粘牙。</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茯苓块  为去皮后切制的茯苓，呈立方块状或方块状厚片，大小不一。白色、淡红色或淡棕色。茯苓片  为去皮后切制的茯苓，呈不规则厚片，厚薄不一。白色、淡红色或淡棕色。</w:t>
            </w:r>
          </w:p>
        </w:tc>
        <w:tc>
          <w:tcPr>
            <w:tcW w:w="1938" w:type="dxa"/>
            <w:vAlign w:val="center"/>
          </w:tcPr>
          <w:p w14:paraId="67D9965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9A0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40627D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87</w:t>
            </w:r>
          </w:p>
        </w:tc>
        <w:tc>
          <w:tcPr>
            <w:tcW w:w="878" w:type="dxa"/>
            <w:vAlign w:val="center"/>
          </w:tcPr>
          <w:p w14:paraId="54FA7AB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石决明</w:t>
            </w:r>
          </w:p>
        </w:tc>
        <w:tc>
          <w:tcPr>
            <w:tcW w:w="845" w:type="dxa"/>
            <w:vAlign w:val="center"/>
          </w:tcPr>
          <w:p w14:paraId="79FE464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1FFD4B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BEAA08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本品为不规则的碎块。灰白色，有珍珠样彩色光泽。质坚硬。气微，味微咸。</w:t>
            </w:r>
          </w:p>
        </w:tc>
        <w:tc>
          <w:tcPr>
            <w:tcW w:w="1938" w:type="dxa"/>
            <w:vAlign w:val="center"/>
          </w:tcPr>
          <w:p w14:paraId="34FCF7D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63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849A87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88</w:t>
            </w:r>
          </w:p>
        </w:tc>
        <w:tc>
          <w:tcPr>
            <w:tcW w:w="878" w:type="dxa"/>
            <w:vAlign w:val="center"/>
          </w:tcPr>
          <w:p w14:paraId="0F20AA1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桑寄生</w:t>
            </w:r>
          </w:p>
        </w:tc>
        <w:tc>
          <w:tcPr>
            <w:tcW w:w="845" w:type="dxa"/>
            <w:vAlign w:val="center"/>
          </w:tcPr>
          <w:p w14:paraId="3E1EA8D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E98D92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06EA2DB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本品茎枝呈圆柱形，长3～4cm，直径0.2～1cm；表面红褐色或灰褐色，具细纵纹，并有多数细小突起</w:t>
            </w:r>
          </w:p>
        </w:tc>
        <w:tc>
          <w:tcPr>
            <w:tcW w:w="1938" w:type="dxa"/>
            <w:vAlign w:val="center"/>
          </w:tcPr>
          <w:p w14:paraId="1836384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207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528B06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89</w:t>
            </w:r>
          </w:p>
        </w:tc>
        <w:tc>
          <w:tcPr>
            <w:tcW w:w="878" w:type="dxa"/>
            <w:vAlign w:val="center"/>
          </w:tcPr>
          <w:p w14:paraId="70AACB1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蜀葵花</w:t>
            </w:r>
          </w:p>
        </w:tc>
        <w:tc>
          <w:tcPr>
            <w:tcW w:w="845" w:type="dxa"/>
            <w:vAlign w:val="center"/>
          </w:tcPr>
          <w:p w14:paraId="756A162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150CD5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329" w:type="dxa"/>
            <w:vAlign w:val="center"/>
          </w:tcPr>
          <w:p w14:paraId="5F92B6A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本品为锦葵科植物蜀葵Alhaearosea(L.)Gavan.的干燥花。夏季采摘,晒干【炮制】 除去花梗等杂质,筛去尘屑。</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【性状】本品呈不规则圆柱状或长卵形,长3~5em,少数带有花尊的残片。花冠5 瓣或重瓣,多黏结成团,用水湿润展开后呈倒卵形,先端边缘具不规则齿裂或全缘,基部爪的两侧有成簇密集的茸毛。花瓣白色、黄色、紫色或红色,质柔韧而薄,干时稍脆。雄蕊多数,花丝联合成筒状,花药黄色。气微芳香,味淡。</w:t>
            </w:r>
          </w:p>
        </w:tc>
        <w:tc>
          <w:tcPr>
            <w:tcW w:w="1938" w:type="dxa"/>
            <w:vAlign w:val="center"/>
          </w:tcPr>
          <w:p w14:paraId="5C558C3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新疆维吾尔自治区维吾尔药饮片炮制规范2020年版</w:t>
            </w:r>
          </w:p>
        </w:tc>
      </w:tr>
      <w:tr w14:paraId="2360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29043B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90</w:t>
            </w:r>
          </w:p>
        </w:tc>
        <w:tc>
          <w:tcPr>
            <w:tcW w:w="878" w:type="dxa"/>
            <w:vAlign w:val="center"/>
          </w:tcPr>
          <w:p w14:paraId="03B5F62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三棱</w:t>
            </w:r>
          </w:p>
        </w:tc>
        <w:tc>
          <w:tcPr>
            <w:tcW w:w="845" w:type="dxa"/>
            <w:vAlign w:val="center"/>
          </w:tcPr>
          <w:p w14:paraId="46FFFC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FCCE49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AC4C42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本品呈圆锥形，略扁，长2～6cm，直径2～4cm。表面黄白色或灰黄色，有刀削痕，须根痕小点状，略呈</w:t>
            </w:r>
          </w:p>
        </w:tc>
        <w:tc>
          <w:tcPr>
            <w:tcW w:w="1938" w:type="dxa"/>
            <w:vAlign w:val="center"/>
          </w:tcPr>
          <w:p w14:paraId="70DA2AC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29C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FDC387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91</w:t>
            </w:r>
          </w:p>
        </w:tc>
        <w:tc>
          <w:tcPr>
            <w:tcW w:w="878" w:type="dxa"/>
            <w:vAlign w:val="center"/>
          </w:tcPr>
          <w:p w14:paraId="053509E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莳萝子</w:t>
            </w:r>
          </w:p>
        </w:tc>
        <w:tc>
          <w:tcPr>
            <w:tcW w:w="845" w:type="dxa"/>
            <w:vAlign w:val="center"/>
          </w:tcPr>
          <w:p w14:paraId="097D3B9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100C47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260</w:t>
            </w:r>
          </w:p>
        </w:tc>
        <w:tc>
          <w:tcPr>
            <w:tcW w:w="5329" w:type="dxa"/>
            <w:vAlign w:val="center"/>
          </w:tcPr>
          <w:p w14:paraId="1029B0F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本品为双悬果，大多裂为分果，呈扁广椭圆形，长3~4mm，宽2~3mm。表面棕色，背部有3条不明显的肋线，</w:t>
            </w:r>
          </w:p>
        </w:tc>
        <w:tc>
          <w:tcPr>
            <w:tcW w:w="1938" w:type="dxa"/>
            <w:vAlign w:val="center"/>
          </w:tcPr>
          <w:p w14:paraId="6C868CE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580A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F1D0E6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92</w:t>
            </w:r>
          </w:p>
        </w:tc>
        <w:tc>
          <w:tcPr>
            <w:tcW w:w="878" w:type="dxa"/>
            <w:vAlign w:val="center"/>
          </w:tcPr>
          <w:p w14:paraId="17BEEEA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升麻</w:t>
            </w:r>
          </w:p>
        </w:tc>
        <w:tc>
          <w:tcPr>
            <w:tcW w:w="845" w:type="dxa"/>
            <w:vAlign w:val="center"/>
          </w:tcPr>
          <w:p w14:paraId="2255DCF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461946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AE3569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本品为不规则的长形块状，多分枝，呈结节状，长10～20cm，直径2～4cm。表面黑褐色或棕褐色，粗糙</w:t>
            </w:r>
          </w:p>
        </w:tc>
        <w:tc>
          <w:tcPr>
            <w:tcW w:w="1938" w:type="dxa"/>
            <w:vAlign w:val="center"/>
          </w:tcPr>
          <w:p w14:paraId="1EC606F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57E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A007D3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93</w:t>
            </w:r>
          </w:p>
        </w:tc>
        <w:tc>
          <w:tcPr>
            <w:tcW w:w="878" w:type="dxa"/>
            <w:vAlign w:val="center"/>
          </w:tcPr>
          <w:p w14:paraId="4D620AB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山麦冬</w:t>
            </w:r>
          </w:p>
        </w:tc>
        <w:tc>
          <w:tcPr>
            <w:tcW w:w="845" w:type="dxa"/>
            <w:vAlign w:val="center"/>
          </w:tcPr>
          <w:p w14:paraId="46B8DD0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C464FE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85FADB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湖北麦冬</w:t>
            </w:r>
            <w:r>
              <w:rPr>
                <w:rFonts w:hint="eastAsia" w:ascii="宋体" w:hAnsi="宋体" w:eastAsia="宋体" w:cs="宋体"/>
                <w:i w:val="0"/>
                <w:iCs w:val="0"/>
                <w:snapToGrid w:val="0"/>
                <w:color w:val="000000"/>
                <w:kern w:val="0"/>
                <w:sz w:val="22"/>
                <w:szCs w:val="22"/>
                <w:u w:val="none"/>
                <w:lang w:val="en-US" w:eastAsia="zh-CN" w:bidi="ar"/>
              </w:rPr>
              <w:t>　呈纺锤形，两端略尖，长1.2～3cm， 直径0.4～0. 7cm，表面淡黄色至棕黄色，具不规则纵皱纹。 质柔韧，干后质硬脆，易折断，断面淡黄色至棕黄色，角质样， 中柱细小。气微，味甜，嚼之发黏。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b/>
                <w:bCs/>
                <w:i w:val="0"/>
                <w:iCs w:val="0"/>
                <w:snapToGrid w:val="0"/>
                <w:color w:val="000000"/>
                <w:kern w:val="0"/>
                <w:sz w:val="22"/>
                <w:szCs w:val="22"/>
                <w:u w:val="none"/>
                <w:lang w:val="en-US" w:eastAsia="zh-CN" w:bidi="ar"/>
              </w:rPr>
              <w:t>短葶山麦冬</w:t>
            </w:r>
            <w:r>
              <w:rPr>
                <w:rFonts w:hint="eastAsia" w:ascii="宋体" w:hAnsi="宋体" w:eastAsia="宋体" w:cs="宋体"/>
                <w:i w:val="0"/>
                <w:iCs w:val="0"/>
                <w:snapToGrid w:val="0"/>
                <w:color w:val="000000"/>
                <w:kern w:val="0"/>
                <w:sz w:val="22"/>
                <w:szCs w:val="22"/>
                <w:u w:val="none"/>
                <w:lang w:val="en-US" w:eastAsia="zh-CN" w:bidi="ar"/>
              </w:rPr>
              <w:t>　稍扁，长2～5cm，直径0.3～0.8cm，具粗纵纹。味甘、微苦。</w:t>
            </w:r>
          </w:p>
        </w:tc>
        <w:tc>
          <w:tcPr>
            <w:tcW w:w="1938" w:type="dxa"/>
            <w:vAlign w:val="center"/>
          </w:tcPr>
          <w:p w14:paraId="218B34F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EAB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99CD12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94</w:t>
            </w:r>
          </w:p>
        </w:tc>
        <w:tc>
          <w:tcPr>
            <w:tcW w:w="878" w:type="dxa"/>
            <w:vAlign w:val="center"/>
          </w:tcPr>
          <w:p w14:paraId="2A50E45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三七粉</w:t>
            </w:r>
          </w:p>
        </w:tc>
        <w:tc>
          <w:tcPr>
            <w:tcW w:w="845" w:type="dxa"/>
            <w:vAlign w:val="center"/>
          </w:tcPr>
          <w:p w14:paraId="34D4432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C1B401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C88573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三七</w:t>
            </w:r>
            <w:r>
              <w:rPr>
                <w:rFonts w:hint="eastAsia" w:ascii="宋体" w:hAnsi="宋体" w:eastAsia="宋体" w:cs="宋体"/>
                <w:i w:val="0"/>
                <w:iCs w:val="0"/>
                <w:snapToGrid w:val="0"/>
                <w:color w:val="000000"/>
                <w:kern w:val="0"/>
                <w:sz w:val="22"/>
                <w:szCs w:val="22"/>
                <w:u w:val="none"/>
                <w:lang w:val="en-US" w:eastAsia="zh-CN" w:bidi="ar"/>
              </w:rPr>
              <w:t xml:space="preserve">   主根呈类圆锥形或圆柱形，长1～6cm，直径 1～4cm。表面灰褐色或灰黄色，有断续的纵皱纹和支根痕。顶端有茎痕，周围有瘤状突起。体重，质坚实，断面灰绿色、黄 绿色或灰白色，木部微呈放射状排列。气微，味苦回甜。</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筋条呈圆柱形或圆锥形，长2～6cm，上端直径约0.8cm，下端直径约0.3cm。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剪口呈不规则的皱缩块状或条状，表面有数个明显的茎痕及环纹，断面中心灰绿色或白色，边缘深绿色或灰色。</w:t>
            </w:r>
            <w:r>
              <w:rPr>
                <w:rFonts w:hint="eastAsia" w:ascii="宋体" w:hAnsi="宋体" w:eastAsia="宋体" w:cs="宋体"/>
                <w:b/>
                <w:bCs/>
                <w:i w:val="0"/>
                <w:iCs w:val="0"/>
                <w:snapToGrid w:val="0"/>
                <w:color w:val="000000"/>
                <w:kern w:val="0"/>
                <w:sz w:val="22"/>
                <w:szCs w:val="22"/>
                <w:u w:val="none"/>
                <w:lang w:val="en-US" w:eastAsia="zh-CN" w:bidi="ar"/>
              </w:rPr>
              <w:t>【炮制】</w:t>
            </w:r>
            <w:r>
              <w:rPr>
                <w:rFonts w:hint="eastAsia" w:ascii="宋体" w:hAnsi="宋体" w:eastAsia="宋体" w:cs="宋体"/>
                <w:i w:val="0"/>
                <w:iCs w:val="0"/>
                <w:snapToGrid w:val="0"/>
                <w:color w:val="000000"/>
                <w:kern w:val="0"/>
                <w:sz w:val="22"/>
                <w:szCs w:val="22"/>
                <w:u w:val="none"/>
                <w:lang w:val="en-US" w:eastAsia="zh-CN" w:bidi="ar"/>
              </w:rPr>
              <w:t>三七粉　取三七，洗净，干燥，碾成细粉。</w:t>
            </w:r>
          </w:p>
        </w:tc>
        <w:tc>
          <w:tcPr>
            <w:tcW w:w="1938" w:type="dxa"/>
            <w:vAlign w:val="center"/>
          </w:tcPr>
          <w:p w14:paraId="5B44C05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9F2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335DC7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95</w:t>
            </w:r>
          </w:p>
        </w:tc>
        <w:tc>
          <w:tcPr>
            <w:tcW w:w="878" w:type="dxa"/>
            <w:vAlign w:val="center"/>
          </w:tcPr>
          <w:p w14:paraId="5AA9414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砂仁</w:t>
            </w:r>
          </w:p>
        </w:tc>
        <w:tc>
          <w:tcPr>
            <w:tcW w:w="845" w:type="dxa"/>
            <w:vAlign w:val="center"/>
          </w:tcPr>
          <w:p w14:paraId="289C14D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7C1D8A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6D5DFA5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阳春砂、绿壳砂 呈椭圆形或卵圆形，有不明显的三棱，长1.5～2cm，直径1～1.5cm。表面棕褐色，密生刺状突起，顶端有花被残基，基部常有果梗。果皮薄而软。种子集结成团，具三钝棱，中有白色隔膜，将种子团分成3瓣，每瓣有种子5～26粒。种子为不规则多面体，直径2～3mm；表面棕红色或暗褐色，有细皱纹，外被淡棕色膜质假种皮；质硬，胚乳灰白色。气芳香而浓烈，味辛凉、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海南砂 呈长椭圆形或卵圆形，有明显的三棱，长1.5～2cm，直径0.8～1.2cm。表面被片状、分枝的软刺，基部具果梗痕。果皮厚而硬。种子团较小，每瓣有种子3～24粒；种子直径1.5～2mm。气味稍淡。</w:t>
            </w:r>
          </w:p>
        </w:tc>
        <w:tc>
          <w:tcPr>
            <w:tcW w:w="1938" w:type="dxa"/>
            <w:vAlign w:val="center"/>
          </w:tcPr>
          <w:p w14:paraId="1419BCB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8A3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9E989F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96</w:t>
            </w:r>
          </w:p>
        </w:tc>
        <w:tc>
          <w:tcPr>
            <w:tcW w:w="878" w:type="dxa"/>
            <w:vAlign w:val="center"/>
          </w:tcPr>
          <w:p w14:paraId="0FE7ED9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声色草</w:t>
            </w:r>
          </w:p>
        </w:tc>
        <w:tc>
          <w:tcPr>
            <w:tcW w:w="845" w:type="dxa"/>
            <w:vAlign w:val="center"/>
          </w:tcPr>
          <w:p w14:paraId="4AB876A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90EEAE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7F2BCD4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本品茎呈圆柱形，有棱，灰棕色，无毛或疏被毛。叶互生，羽状深裂，边缘有疏锯齿，有叶柄，</w:t>
            </w:r>
          </w:p>
        </w:tc>
        <w:tc>
          <w:tcPr>
            <w:tcW w:w="1938" w:type="dxa"/>
            <w:vAlign w:val="center"/>
          </w:tcPr>
          <w:p w14:paraId="4970325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广东省中药炮制规范1984年版</w:t>
            </w:r>
          </w:p>
        </w:tc>
      </w:tr>
      <w:tr w14:paraId="7D3E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F6A810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97</w:t>
            </w:r>
          </w:p>
        </w:tc>
        <w:tc>
          <w:tcPr>
            <w:tcW w:w="878" w:type="dxa"/>
            <w:vAlign w:val="center"/>
          </w:tcPr>
          <w:p w14:paraId="3EE5AB5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生石膏</w:t>
            </w:r>
          </w:p>
        </w:tc>
        <w:tc>
          <w:tcPr>
            <w:tcW w:w="845" w:type="dxa"/>
            <w:vAlign w:val="center"/>
          </w:tcPr>
          <w:p w14:paraId="5269BAB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14B9BD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D0CFDE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本品为石膏的炮制加工品。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【药材来源】 本品为硫酸盐类矿物硬石膏族石膏，主含含水硫酸钙(CaSO2HO)，采挖后，除去泥沙及杂石。以色白、半透明、纵断面如丝者为佳。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【制法】取原药材，除去杂质:或洗净，干燥，除去杂石，打碎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【性状】本品为不规则块状。白色、灰白色或淡黄色。体重，质软，纵面具绢丝样光泽。气微，味淡。</w:t>
            </w:r>
          </w:p>
        </w:tc>
        <w:tc>
          <w:tcPr>
            <w:tcW w:w="1938" w:type="dxa"/>
            <w:vAlign w:val="center"/>
          </w:tcPr>
          <w:p w14:paraId="3208C1C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北京市中药饮片炮制规范2005年版</w:t>
            </w:r>
          </w:p>
        </w:tc>
      </w:tr>
      <w:tr w14:paraId="78C1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7799A1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98</w:t>
            </w:r>
          </w:p>
        </w:tc>
        <w:tc>
          <w:tcPr>
            <w:tcW w:w="878" w:type="dxa"/>
            <w:vAlign w:val="center"/>
          </w:tcPr>
          <w:p w14:paraId="4152482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山桃仁</w:t>
            </w:r>
          </w:p>
        </w:tc>
        <w:tc>
          <w:tcPr>
            <w:tcW w:w="845" w:type="dxa"/>
            <w:vAlign w:val="center"/>
          </w:tcPr>
          <w:p w14:paraId="055A262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9FBD2D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C06BF3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蔷薇科植物山毛桃的干燥成熟种子山桃仁为蔷薇科植物山毛桃的干燥成熟种子的名称，又称榹桃、山毛桃、野桃、花桃。始载于《神农本草经》，原名桃核仁，列为下品。它对气候条件要求不严，除极热极冷地区，但以冷凉温和气候生长最佳，可以入药，主治活血祛痰，润肠通便。用于经闭，痛经，跌扑损伤，肠燥便秘。</w:t>
            </w:r>
          </w:p>
        </w:tc>
        <w:tc>
          <w:tcPr>
            <w:tcW w:w="1938" w:type="dxa"/>
            <w:vAlign w:val="center"/>
          </w:tcPr>
          <w:p w14:paraId="04BAD56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喀什地区维吾尔医医院内部控制标准</w:t>
            </w:r>
          </w:p>
        </w:tc>
      </w:tr>
      <w:tr w14:paraId="410F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53808D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99</w:t>
            </w:r>
          </w:p>
        </w:tc>
        <w:tc>
          <w:tcPr>
            <w:tcW w:w="878" w:type="dxa"/>
            <w:vAlign w:val="center"/>
          </w:tcPr>
          <w:p w14:paraId="1B93758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首乌藤</w:t>
            </w:r>
          </w:p>
        </w:tc>
        <w:tc>
          <w:tcPr>
            <w:tcW w:w="845" w:type="dxa"/>
            <w:vAlign w:val="center"/>
          </w:tcPr>
          <w:p w14:paraId="0AECA90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DA425D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4632362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本品呈长圆柱形，稍扭曲，具分枝，长短不一，直径4～7mm。表面紫红色或紫褐色，粗糙，具扭曲的</w:t>
            </w:r>
          </w:p>
        </w:tc>
        <w:tc>
          <w:tcPr>
            <w:tcW w:w="1938" w:type="dxa"/>
            <w:vAlign w:val="center"/>
          </w:tcPr>
          <w:p w14:paraId="39EB39C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245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A1C9A9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100</w:t>
            </w:r>
          </w:p>
        </w:tc>
        <w:tc>
          <w:tcPr>
            <w:tcW w:w="878" w:type="dxa"/>
            <w:vAlign w:val="center"/>
          </w:tcPr>
          <w:p w14:paraId="263749B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水蛭</w:t>
            </w:r>
          </w:p>
        </w:tc>
        <w:tc>
          <w:tcPr>
            <w:tcW w:w="845" w:type="dxa"/>
            <w:vAlign w:val="center"/>
          </w:tcPr>
          <w:p w14:paraId="24A1149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DBAEC5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4DE529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水蛭</w:t>
            </w:r>
            <w:r>
              <w:rPr>
                <w:rFonts w:hint="eastAsia" w:ascii="宋体" w:hAnsi="宋体" w:eastAsia="宋体" w:cs="宋体"/>
                <w:i w:val="0"/>
                <w:iCs w:val="0"/>
                <w:snapToGrid w:val="0"/>
                <w:color w:val="000000"/>
                <w:kern w:val="0"/>
                <w:sz w:val="22"/>
                <w:szCs w:val="22"/>
                <w:u w:val="none"/>
                <w:lang w:val="en-US" w:eastAsia="zh-CN" w:bidi="ar"/>
              </w:rPr>
              <w:t xml:space="preserve"> 扁长圆柱形，体多弯曲扭转，长2～5cm，宽0.2～0.3cm。</w:t>
            </w:r>
          </w:p>
        </w:tc>
        <w:tc>
          <w:tcPr>
            <w:tcW w:w="1938" w:type="dxa"/>
            <w:vAlign w:val="center"/>
          </w:tcPr>
          <w:p w14:paraId="64217C4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0DA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7DECB4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101</w:t>
            </w:r>
          </w:p>
        </w:tc>
        <w:tc>
          <w:tcPr>
            <w:tcW w:w="878" w:type="dxa"/>
            <w:vAlign w:val="center"/>
          </w:tcPr>
          <w:p w14:paraId="0FAD4C0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酸枣仁</w:t>
            </w:r>
          </w:p>
        </w:tc>
        <w:tc>
          <w:tcPr>
            <w:tcW w:w="845" w:type="dxa"/>
            <w:vAlign w:val="center"/>
          </w:tcPr>
          <w:p w14:paraId="19FC6FC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BF36FA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39B5A01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本品呈扁圆形或扁椭圆形，长5～9mm，宽5～7mm，厚约3mm。表面紫红色或紫褐色，平滑有光泽，</w:t>
            </w:r>
          </w:p>
        </w:tc>
        <w:tc>
          <w:tcPr>
            <w:tcW w:w="1938" w:type="dxa"/>
            <w:vAlign w:val="center"/>
          </w:tcPr>
          <w:p w14:paraId="199A68B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937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EA6686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102</w:t>
            </w:r>
          </w:p>
        </w:tc>
        <w:tc>
          <w:tcPr>
            <w:tcW w:w="878" w:type="dxa"/>
            <w:vAlign w:val="center"/>
          </w:tcPr>
          <w:p w14:paraId="6A2B140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山栀子</w:t>
            </w:r>
          </w:p>
        </w:tc>
        <w:tc>
          <w:tcPr>
            <w:tcW w:w="845" w:type="dxa"/>
            <w:vAlign w:val="center"/>
          </w:tcPr>
          <w:p w14:paraId="7D38927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3351D1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03CC98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山栀子，为茜草科植物山栀的果实，是中药名。主治：热病心烦、肝火目赤、头痛、湿热黄疳、淋证、血痢尿血、口舌生疮、疮疡肿毒、扭伤肿痛。</w:t>
            </w:r>
          </w:p>
        </w:tc>
        <w:tc>
          <w:tcPr>
            <w:tcW w:w="1938" w:type="dxa"/>
            <w:vAlign w:val="center"/>
          </w:tcPr>
          <w:p w14:paraId="5CAEC95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喀什地区维吾尔医医院内部控制标准</w:t>
            </w:r>
          </w:p>
        </w:tc>
      </w:tr>
      <w:tr w14:paraId="7784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054E55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103</w:t>
            </w:r>
          </w:p>
        </w:tc>
        <w:tc>
          <w:tcPr>
            <w:tcW w:w="878" w:type="dxa"/>
            <w:vAlign w:val="center"/>
          </w:tcPr>
          <w:p w14:paraId="1A443FB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土鳖虫</w:t>
            </w:r>
          </w:p>
        </w:tc>
        <w:tc>
          <w:tcPr>
            <w:tcW w:w="845" w:type="dxa"/>
            <w:vAlign w:val="center"/>
          </w:tcPr>
          <w:p w14:paraId="7C48D14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E9E3C6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8C1ED9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地鳖　呈扁平卵形，长1.3～3cm，宽1.2～ 2.4cm。前端较窄，后端较宽，背部紫褐色，具光泽，无翅。前胸背板较发达，盖住头部；腹背板9节，呈覆瓦状排列。腹面红棕色，头部较小，有丝状触角1对，常脱落，胸部有足3 对，具细毛和刺。腹部有横环节。质松脆，易碎。气腥臭，味微咸。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冀地鳖　长2.2～3.7cm，宽1.4～2.5cm。背部黑棕色，通常在边缘带有淡黄褐色斑块及黑色小点。</w:t>
            </w:r>
          </w:p>
        </w:tc>
        <w:tc>
          <w:tcPr>
            <w:tcW w:w="1938" w:type="dxa"/>
            <w:vAlign w:val="center"/>
          </w:tcPr>
          <w:p w14:paraId="26D6567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ADD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DEB350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104</w:t>
            </w:r>
          </w:p>
        </w:tc>
        <w:tc>
          <w:tcPr>
            <w:tcW w:w="878" w:type="dxa"/>
            <w:vAlign w:val="center"/>
          </w:tcPr>
          <w:p w14:paraId="14B916B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透骨草</w:t>
            </w:r>
          </w:p>
        </w:tc>
        <w:tc>
          <w:tcPr>
            <w:tcW w:w="845" w:type="dxa"/>
            <w:vAlign w:val="center"/>
          </w:tcPr>
          <w:p w14:paraId="13D68FF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FFAB74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0ADAB9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茎呈四棱形，细长盘绕，直径1~3mm，表面灰棕色、灰绿色、灰黄色或棕紫色，无毛或被毛。质轻脆，易折断。羽状复叶互生，小时片多已脱落散在，先端具有卷须，小时片呈椭圆形、长椭圆形、卵形、线状披针形或线形。长1-5.5cm，宽0.2-2.5cm。先端棘尖形，基部圆形，全缘。上表面暗绿色、黄绿色、灰黄色或灰褐色，无毛或被毛。下表面灰绿色、灰黄色或灰棕色，无毛或被毛。总状花序腋生，小花蝶形，紫色，花柱圆柱形，上端周围被柔毛或腺毛。荧果长2~3cm，内有种子呈圆球形，黑褐色或褐黑色。气微，味淡。</w:t>
            </w:r>
          </w:p>
        </w:tc>
        <w:tc>
          <w:tcPr>
            <w:tcW w:w="1938" w:type="dxa"/>
            <w:vAlign w:val="center"/>
          </w:tcPr>
          <w:p w14:paraId="4AB7014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黑龙江省中药材标准2001年版</w:t>
            </w:r>
          </w:p>
        </w:tc>
      </w:tr>
      <w:tr w14:paraId="0EF3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0D7DF7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105</w:t>
            </w:r>
          </w:p>
        </w:tc>
        <w:tc>
          <w:tcPr>
            <w:tcW w:w="878" w:type="dxa"/>
            <w:vAlign w:val="center"/>
          </w:tcPr>
          <w:p w14:paraId="2D985C9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土茯苓</w:t>
            </w:r>
          </w:p>
        </w:tc>
        <w:tc>
          <w:tcPr>
            <w:tcW w:w="845" w:type="dxa"/>
            <w:vAlign w:val="center"/>
          </w:tcPr>
          <w:p w14:paraId="5219122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3094D6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1C7D70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本品略呈圆柱形，稍扁或呈不规则条块，有结节状隆起，具短分枝，长5～22cm，直径2～5cm。</w:t>
            </w:r>
          </w:p>
        </w:tc>
        <w:tc>
          <w:tcPr>
            <w:tcW w:w="1938" w:type="dxa"/>
            <w:vAlign w:val="center"/>
          </w:tcPr>
          <w:p w14:paraId="6FD6683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2DF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65178A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106</w:t>
            </w:r>
          </w:p>
        </w:tc>
        <w:tc>
          <w:tcPr>
            <w:tcW w:w="878" w:type="dxa"/>
            <w:vAlign w:val="center"/>
          </w:tcPr>
          <w:p w14:paraId="67A76E2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天花粉</w:t>
            </w:r>
          </w:p>
        </w:tc>
        <w:tc>
          <w:tcPr>
            <w:tcW w:w="845" w:type="dxa"/>
            <w:vAlign w:val="center"/>
          </w:tcPr>
          <w:p w14:paraId="223F848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BE1FFA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0609AD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本品呈不规则圆柱形、纺锤形或瓣块状，长8～16cm，直径1.5～5.5cm。表面黄白色或淡棕黄色，</w:t>
            </w:r>
          </w:p>
        </w:tc>
        <w:tc>
          <w:tcPr>
            <w:tcW w:w="1938" w:type="dxa"/>
            <w:vAlign w:val="center"/>
          </w:tcPr>
          <w:p w14:paraId="5C433F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5C1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7C4225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107</w:t>
            </w:r>
          </w:p>
        </w:tc>
        <w:tc>
          <w:tcPr>
            <w:tcW w:w="878" w:type="dxa"/>
            <w:vAlign w:val="center"/>
          </w:tcPr>
          <w:p w14:paraId="581755E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葶苈子</w:t>
            </w:r>
          </w:p>
        </w:tc>
        <w:tc>
          <w:tcPr>
            <w:tcW w:w="845" w:type="dxa"/>
            <w:vAlign w:val="center"/>
          </w:tcPr>
          <w:p w14:paraId="0E44C5C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81E9D4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0AABD94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圆柱形、纺锤形或瓣块状，长8～16cm，直径1.5～5.5cm。表面黄白色或淡棕黄色，有纵皱纹、细根痕及略凹陷的横长皮孔，有的有黄棕色外皮残留。质坚实，断面白色或淡黄色，富粉性，横切面可见黄色木质部，略呈放射状排列，纵切面可见黄色条纹状木质部。气微，味微苦。</w:t>
            </w:r>
          </w:p>
        </w:tc>
        <w:tc>
          <w:tcPr>
            <w:tcW w:w="1938" w:type="dxa"/>
            <w:vAlign w:val="center"/>
          </w:tcPr>
          <w:p w14:paraId="62B7CD2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C15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42C02D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108</w:t>
            </w:r>
          </w:p>
        </w:tc>
        <w:tc>
          <w:tcPr>
            <w:tcW w:w="878" w:type="dxa"/>
            <w:vAlign w:val="center"/>
          </w:tcPr>
          <w:p w14:paraId="017E90A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天麻</w:t>
            </w:r>
          </w:p>
        </w:tc>
        <w:tc>
          <w:tcPr>
            <w:tcW w:w="845" w:type="dxa"/>
            <w:vAlign w:val="center"/>
          </w:tcPr>
          <w:p w14:paraId="2CA45C4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BA37A4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C595F7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本品呈椭圆形或长条形，略扁，皱缩而稍弯曲，长3～15cm，宽1.5～6cm，厚0.5～2cm。</w:t>
            </w:r>
          </w:p>
        </w:tc>
        <w:tc>
          <w:tcPr>
            <w:tcW w:w="1938" w:type="dxa"/>
            <w:vAlign w:val="center"/>
          </w:tcPr>
          <w:p w14:paraId="207DB85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350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B3AF84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109</w:t>
            </w:r>
          </w:p>
        </w:tc>
        <w:tc>
          <w:tcPr>
            <w:tcW w:w="878" w:type="dxa"/>
            <w:vAlign w:val="center"/>
          </w:tcPr>
          <w:p w14:paraId="3BC8871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太子参</w:t>
            </w:r>
          </w:p>
        </w:tc>
        <w:tc>
          <w:tcPr>
            <w:tcW w:w="845" w:type="dxa"/>
            <w:vAlign w:val="center"/>
          </w:tcPr>
          <w:p w14:paraId="48888D5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8DA487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AA3B99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本品呈细长纺锤形或细长条形，稍弯曲，长3～10cm，直径0.2～0.6cm。表面灰黄色</w:t>
            </w:r>
          </w:p>
        </w:tc>
        <w:tc>
          <w:tcPr>
            <w:tcW w:w="1938" w:type="dxa"/>
            <w:vAlign w:val="center"/>
          </w:tcPr>
          <w:p w14:paraId="20CC36E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753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110590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110</w:t>
            </w:r>
          </w:p>
        </w:tc>
        <w:tc>
          <w:tcPr>
            <w:tcW w:w="878" w:type="dxa"/>
            <w:vAlign w:val="center"/>
          </w:tcPr>
          <w:p w14:paraId="56369B4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五加皮</w:t>
            </w:r>
          </w:p>
        </w:tc>
        <w:tc>
          <w:tcPr>
            <w:tcW w:w="845" w:type="dxa"/>
            <w:vAlign w:val="center"/>
          </w:tcPr>
          <w:p w14:paraId="3A46B60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A45B63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76AB68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本品呈不规则卷筒状，长5～15cm，直径0.4～1.4cm，厚约0.2cm。外表面灰褐色，</w:t>
            </w:r>
          </w:p>
        </w:tc>
        <w:tc>
          <w:tcPr>
            <w:tcW w:w="1938" w:type="dxa"/>
            <w:vAlign w:val="center"/>
          </w:tcPr>
          <w:p w14:paraId="209A97C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98C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643CC1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111</w:t>
            </w:r>
          </w:p>
        </w:tc>
        <w:tc>
          <w:tcPr>
            <w:tcW w:w="878" w:type="dxa"/>
            <w:vAlign w:val="center"/>
          </w:tcPr>
          <w:p w14:paraId="2C71497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莴苣子</w:t>
            </w:r>
          </w:p>
        </w:tc>
        <w:tc>
          <w:tcPr>
            <w:tcW w:w="845" w:type="dxa"/>
            <w:vAlign w:val="center"/>
          </w:tcPr>
          <w:p w14:paraId="51F7016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C22170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5329" w:type="dxa"/>
            <w:vAlign w:val="center"/>
          </w:tcPr>
          <w:p w14:paraId="749F813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果实呈长椭圆形或倒狭卵形而扁，先端钝圆，底端渐尖，长约2~3mm。外表灰白色、棕褐色至黑褐色。瘦果的每面具6-9条纵棱肋。用手擦下外皮，揉碎或研成粉末即成细毛状，除去外皮后可见棕色的种子，富油性。气微，味微甘辛。</w:t>
            </w:r>
          </w:p>
        </w:tc>
        <w:tc>
          <w:tcPr>
            <w:tcW w:w="1938" w:type="dxa"/>
            <w:vAlign w:val="center"/>
          </w:tcPr>
          <w:p w14:paraId="392AA97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4309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EE486D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112</w:t>
            </w:r>
          </w:p>
        </w:tc>
        <w:tc>
          <w:tcPr>
            <w:tcW w:w="878" w:type="dxa"/>
            <w:vAlign w:val="center"/>
          </w:tcPr>
          <w:p w14:paraId="72CB36A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威灵仙</w:t>
            </w:r>
          </w:p>
        </w:tc>
        <w:tc>
          <w:tcPr>
            <w:tcW w:w="845" w:type="dxa"/>
            <w:vAlign w:val="center"/>
          </w:tcPr>
          <w:p w14:paraId="06892DC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36D599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5FA2F0C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威灵仙 根茎呈柱状，长1.5-10cm，直径0.3～1.5cm；表面淡棕黄色；顶端残留茎基；</w:t>
            </w:r>
          </w:p>
        </w:tc>
        <w:tc>
          <w:tcPr>
            <w:tcW w:w="1938" w:type="dxa"/>
            <w:vAlign w:val="center"/>
          </w:tcPr>
          <w:p w14:paraId="6C4F17F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9A8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99C6CE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113</w:t>
            </w:r>
          </w:p>
        </w:tc>
        <w:tc>
          <w:tcPr>
            <w:tcW w:w="878" w:type="dxa"/>
            <w:vAlign w:val="center"/>
          </w:tcPr>
          <w:p w14:paraId="51AD7E8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五灵脂</w:t>
            </w:r>
          </w:p>
        </w:tc>
        <w:tc>
          <w:tcPr>
            <w:tcW w:w="845" w:type="dxa"/>
            <w:vAlign w:val="center"/>
          </w:tcPr>
          <w:p w14:paraId="19F4E0B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5B91A3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1BA6FE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 xml:space="preserve">五灵脂 </w:t>
            </w:r>
            <w:r>
              <w:rPr>
                <w:rFonts w:hint="eastAsia" w:ascii="宋体" w:hAnsi="宋体" w:eastAsia="宋体" w:cs="宋体"/>
                <w:i w:val="0"/>
                <w:iCs w:val="0"/>
                <w:snapToGrid w:val="0"/>
                <w:color w:val="000000"/>
                <w:kern w:val="0"/>
                <w:sz w:val="22"/>
                <w:szCs w:val="22"/>
                <w:u w:val="none"/>
                <w:lang w:val="en-US" w:eastAsia="zh-CN" w:bidi="ar"/>
              </w:rPr>
              <w:t>灵脂块呈不规则块状，大小不一，表面黑棕色、红棕色或灰棕色，凹凸不平有油润样光泽。粘附的颗粒呈长椭圆形，表面常碎裂，显纤维性。质硬，断面黄棕色或棕褐色，不来单，有的可见颗粒，间或有黄棕色树脂状物质。气腥臭。</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灵脂米为长椭圆形颗粒，长5~15mm，直径3~6mm。表面黑棕色、红棕色或灰棕色&gt;位了滑或微粗糙，常见淡黄色的纤维，有的略具光泽。体轻，质松，易折断，断面黄绿色或黄褐色，不平、纤维性气微</w:t>
            </w:r>
          </w:p>
        </w:tc>
        <w:tc>
          <w:tcPr>
            <w:tcW w:w="1938" w:type="dxa"/>
            <w:vAlign w:val="center"/>
          </w:tcPr>
          <w:p w14:paraId="444710A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湖南省中药饮片炮制规范2010年版</w:t>
            </w:r>
          </w:p>
        </w:tc>
      </w:tr>
      <w:tr w14:paraId="076E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4AEA95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114</w:t>
            </w:r>
          </w:p>
        </w:tc>
        <w:tc>
          <w:tcPr>
            <w:tcW w:w="878" w:type="dxa"/>
            <w:vAlign w:val="center"/>
          </w:tcPr>
          <w:p w14:paraId="096983C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乌药</w:t>
            </w:r>
          </w:p>
        </w:tc>
        <w:tc>
          <w:tcPr>
            <w:tcW w:w="845" w:type="dxa"/>
            <w:vAlign w:val="center"/>
          </w:tcPr>
          <w:p w14:paraId="763B05E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40160F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38670E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多呈纺锤状，略弯曲，有的中部收缩成连珠状，长6～15cm，直径1～3cm。表面黄棕色或黄褐色，有纵皱纹及稀疏的细根痕。质坚硬。切片厚0.2～2mm，切面黄白色或淡黄棕色，射线放射状，可见年轮环纹，中心颜色较深。气香，味微苦、辛，有清凉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质老、不呈纺锤状的直根，不可供药用。</w:t>
            </w:r>
          </w:p>
        </w:tc>
        <w:tc>
          <w:tcPr>
            <w:tcW w:w="1938" w:type="dxa"/>
            <w:vAlign w:val="center"/>
          </w:tcPr>
          <w:p w14:paraId="79D5F4C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C1D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716C91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115</w:t>
            </w:r>
          </w:p>
        </w:tc>
        <w:tc>
          <w:tcPr>
            <w:tcW w:w="878" w:type="dxa"/>
            <w:vAlign w:val="center"/>
          </w:tcPr>
          <w:p w14:paraId="3CE5468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吴茱萸</w:t>
            </w:r>
          </w:p>
        </w:tc>
        <w:tc>
          <w:tcPr>
            <w:tcW w:w="845" w:type="dxa"/>
            <w:vAlign w:val="center"/>
          </w:tcPr>
          <w:p w14:paraId="412123E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40A103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D88C8D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本品呈球形或略呈五角状扁球形，直径2～ 5mm。表面暗黄绿色至褐色，粗糙，</w:t>
            </w:r>
          </w:p>
        </w:tc>
        <w:tc>
          <w:tcPr>
            <w:tcW w:w="1938" w:type="dxa"/>
            <w:vAlign w:val="center"/>
          </w:tcPr>
          <w:p w14:paraId="4A6CE05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683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109A3A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116</w:t>
            </w:r>
          </w:p>
        </w:tc>
        <w:tc>
          <w:tcPr>
            <w:tcW w:w="878" w:type="dxa"/>
            <w:vAlign w:val="center"/>
          </w:tcPr>
          <w:p w14:paraId="273EA29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薤白</w:t>
            </w:r>
          </w:p>
        </w:tc>
        <w:tc>
          <w:tcPr>
            <w:tcW w:w="845" w:type="dxa"/>
            <w:vAlign w:val="center"/>
          </w:tcPr>
          <w:p w14:paraId="712CA39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3905D8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8F2CC0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小根蒜   呈不规则卵圆形，高0.5～1.5cm，直径0.5～1.8cm。表面黄白色或淡黄棕色，</w:t>
            </w:r>
          </w:p>
        </w:tc>
        <w:tc>
          <w:tcPr>
            <w:tcW w:w="1938" w:type="dxa"/>
            <w:vAlign w:val="center"/>
          </w:tcPr>
          <w:p w14:paraId="3DE4B99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02F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F263AA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117</w:t>
            </w:r>
          </w:p>
        </w:tc>
        <w:tc>
          <w:tcPr>
            <w:tcW w:w="878" w:type="dxa"/>
            <w:vAlign w:val="center"/>
          </w:tcPr>
          <w:p w14:paraId="6C7EE91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淅贝母</w:t>
            </w:r>
          </w:p>
        </w:tc>
        <w:tc>
          <w:tcPr>
            <w:tcW w:w="845" w:type="dxa"/>
            <w:vAlign w:val="center"/>
          </w:tcPr>
          <w:p w14:paraId="124CB81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D776CF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ED9C70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浙贝母 为类圆形的厚片或碎块，有的具心芽。外皮黄褐色或灰褐色，略皱缩；</w:t>
            </w:r>
          </w:p>
        </w:tc>
        <w:tc>
          <w:tcPr>
            <w:tcW w:w="1938" w:type="dxa"/>
            <w:vAlign w:val="center"/>
          </w:tcPr>
          <w:p w14:paraId="1957F7B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B28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F50FE0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118</w:t>
            </w:r>
          </w:p>
        </w:tc>
        <w:tc>
          <w:tcPr>
            <w:tcW w:w="878" w:type="dxa"/>
            <w:vAlign w:val="center"/>
          </w:tcPr>
          <w:p w14:paraId="000F84E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小檗实</w:t>
            </w:r>
          </w:p>
        </w:tc>
        <w:tc>
          <w:tcPr>
            <w:tcW w:w="845" w:type="dxa"/>
            <w:vAlign w:val="center"/>
          </w:tcPr>
          <w:p w14:paraId="3FFE7E8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7A4A65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A14616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广卵形、椭圆形或近球形，长7~12mm，宽5~8mm。外表面光滑或微显皱缩，紫黑色，常被灰白色粉霜。果皮薄而脆，极易破碎，破碎面紫黑色。有时可见果柄，长约5mm，果柄着生处可见种子3~6粒，棕褐色，先端稍弯曲，底端钝圆，长约5mm，光滑。气微，味微酸。</w:t>
            </w:r>
          </w:p>
        </w:tc>
        <w:tc>
          <w:tcPr>
            <w:tcW w:w="1938" w:type="dxa"/>
            <w:vAlign w:val="center"/>
          </w:tcPr>
          <w:p w14:paraId="0515B90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新疆维吾尔自治区维吾尔药饮片炮制规范2010年版</w:t>
            </w:r>
          </w:p>
        </w:tc>
      </w:tr>
      <w:tr w14:paraId="3932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A3F79C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119</w:t>
            </w:r>
          </w:p>
        </w:tc>
        <w:tc>
          <w:tcPr>
            <w:tcW w:w="878" w:type="dxa"/>
            <w:vAlign w:val="center"/>
          </w:tcPr>
          <w:p w14:paraId="7F5B498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续断片</w:t>
            </w:r>
          </w:p>
        </w:tc>
        <w:tc>
          <w:tcPr>
            <w:tcW w:w="845" w:type="dxa"/>
            <w:vAlign w:val="center"/>
          </w:tcPr>
          <w:p w14:paraId="1AF8B0C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A6C356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6AB33A5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本品呈类圆形或椭圆形的厚片。外表皮灰褐色至黄褐色，有纵皱。切面皮部墨绿色</w:t>
            </w:r>
          </w:p>
        </w:tc>
        <w:tc>
          <w:tcPr>
            <w:tcW w:w="1938" w:type="dxa"/>
            <w:vAlign w:val="center"/>
          </w:tcPr>
          <w:p w14:paraId="036C885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0D1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6FC282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120</w:t>
            </w:r>
          </w:p>
        </w:tc>
        <w:tc>
          <w:tcPr>
            <w:tcW w:w="878" w:type="dxa"/>
            <w:vAlign w:val="center"/>
          </w:tcPr>
          <w:p w14:paraId="6CCD09D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旋覆花</w:t>
            </w:r>
          </w:p>
        </w:tc>
        <w:tc>
          <w:tcPr>
            <w:tcW w:w="845" w:type="dxa"/>
            <w:vAlign w:val="center"/>
          </w:tcPr>
          <w:p w14:paraId="5BAE58F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D8D2A7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5F9521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本品呈扁球形或类球形，直径1～2cm。总苞由多数苞片组成，呈覆瓦状排列。</w:t>
            </w:r>
          </w:p>
        </w:tc>
        <w:tc>
          <w:tcPr>
            <w:tcW w:w="1938" w:type="dxa"/>
            <w:vAlign w:val="center"/>
          </w:tcPr>
          <w:p w14:paraId="5BF6152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F4C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CDD34F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121</w:t>
            </w:r>
          </w:p>
        </w:tc>
        <w:tc>
          <w:tcPr>
            <w:tcW w:w="878" w:type="dxa"/>
            <w:vAlign w:val="center"/>
          </w:tcPr>
          <w:p w14:paraId="63334E0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新疆酸李</w:t>
            </w:r>
          </w:p>
        </w:tc>
        <w:tc>
          <w:tcPr>
            <w:tcW w:w="845" w:type="dxa"/>
            <w:vAlign w:val="center"/>
          </w:tcPr>
          <w:p w14:paraId="1C7A244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200F6F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9A109E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本品呈卵形或长卵形，长1.5~2.5cm。表面紫黑色，皱缩不平，肉质，基部有圆形果梗痕。果肉肉质。果核椭圆形，略扁，黄色，坚硬，破开后内有淡黄色种子1粒。气微，味酸甜。</w:t>
            </w:r>
          </w:p>
        </w:tc>
        <w:tc>
          <w:tcPr>
            <w:tcW w:w="1938" w:type="dxa"/>
            <w:vAlign w:val="center"/>
          </w:tcPr>
          <w:p w14:paraId="59F7D80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112D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C80632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122</w:t>
            </w:r>
          </w:p>
        </w:tc>
        <w:tc>
          <w:tcPr>
            <w:tcW w:w="878" w:type="dxa"/>
            <w:vAlign w:val="center"/>
          </w:tcPr>
          <w:p w14:paraId="5856730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新疆紫草</w:t>
            </w:r>
          </w:p>
        </w:tc>
        <w:tc>
          <w:tcPr>
            <w:tcW w:w="845" w:type="dxa"/>
            <w:vAlign w:val="center"/>
          </w:tcPr>
          <w:p w14:paraId="42A2DE2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39C583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E13DBF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本品为紫草科植物新疆紫草(Arnebiaeuchroma(Royle)Johnst.〕的干燥根。夏秋采挖抖去泥沙，除去杂质，晒干。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呈不规则的长圆柱形，多扭曲，长7～20cm，直径1~2.5cm。表面紫红色或紫褐色，皮部疏松，呈条形片状，常10余层重叠，易剥落。顶端有的可见分歧的茎残基体轻，质松软，易折断，断面不整齐，木质部较小，黄白色或黄色。气特异，味苦、涩。</w:t>
            </w:r>
          </w:p>
        </w:tc>
        <w:tc>
          <w:tcPr>
            <w:tcW w:w="1938" w:type="dxa"/>
            <w:vAlign w:val="center"/>
          </w:tcPr>
          <w:p w14:paraId="097475B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《新疆维吾尔自治区药材标准》1992年版  374页</w:t>
            </w:r>
          </w:p>
        </w:tc>
      </w:tr>
      <w:tr w14:paraId="4B42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8E2E50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123</w:t>
            </w:r>
          </w:p>
        </w:tc>
        <w:tc>
          <w:tcPr>
            <w:tcW w:w="878" w:type="dxa"/>
            <w:vAlign w:val="center"/>
          </w:tcPr>
          <w:p w14:paraId="5F83049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香没药树子</w:t>
            </w:r>
          </w:p>
        </w:tc>
        <w:tc>
          <w:tcPr>
            <w:tcW w:w="845" w:type="dxa"/>
            <w:vAlign w:val="center"/>
          </w:tcPr>
          <w:p w14:paraId="06078F8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BC308C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82D00A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卵形或类球形，两端略尖，长3~8mm，宽3~6mm，顶端见有不甚明显的4枚萼片，下端有果柄残痕，有时可见存留的果梗，长2-6mm，直径约2mm，粗糙。果皮棕红色，皱缩，较薄，似革质而脆，易于与果核分离。核卵形或类三棱形，卵形者略扁，先端尖，浅棕色或黑色，核内含1~3粒种子，或因幼嫩缺如。气芳香，味微辛苦。</w:t>
            </w:r>
          </w:p>
        </w:tc>
        <w:tc>
          <w:tcPr>
            <w:tcW w:w="1938" w:type="dxa"/>
            <w:vAlign w:val="center"/>
          </w:tcPr>
          <w:p w14:paraId="752B766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w:t>
            </w:r>
          </w:p>
        </w:tc>
      </w:tr>
      <w:tr w14:paraId="2532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2BB198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124</w:t>
            </w:r>
          </w:p>
        </w:tc>
        <w:tc>
          <w:tcPr>
            <w:tcW w:w="878" w:type="dxa"/>
            <w:vAlign w:val="center"/>
          </w:tcPr>
          <w:p w14:paraId="4F4AE3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绣球小通草</w:t>
            </w:r>
          </w:p>
        </w:tc>
        <w:tc>
          <w:tcPr>
            <w:tcW w:w="845" w:type="dxa"/>
            <w:vAlign w:val="center"/>
          </w:tcPr>
          <w:p w14:paraId="7C766AA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66F2E3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5FD116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本品呈段状，表面淡黄白色，无纹理。体轻，质柔韧，捏之能变形。切面实心，平坦，呈银白色光泽。水浸后无黏滑感。气微，无味。</w:t>
            </w:r>
          </w:p>
        </w:tc>
        <w:tc>
          <w:tcPr>
            <w:tcW w:w="1938" w:type="dxa"/>
            <w:vAlign w:val="center"/>
          </w:tcPr>
          <w:p w14:paraId="01159BA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四川省中药饮片炮制规范2015年版</w:t>
            </w:r>
          </w:p>
        </w:tc>
      </w:tr>
      <w:tr w14:paraId="7AC2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D19DA3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125</w:t>
            </w:r>
          </w:p>
        </w:tc>
        <w:tc>
          <w:tcPr>
            <w:tcW w:w="878" w:type="dxa"/>
            <w:vAlign w:val="center"/>
          </w:tcPr>
          <w:p w14:paraId="0C7F7DD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辛夷</w:t>
            </w:r>
          </w:p>
        </w:tc>
        <w:tc>
          <w:tcPr>
            <w:tcW w:w="845" w:type="dxa"/>
            <w:vAlign w:val="center"/>
          </w:tcPr>
          <w:p w14:paraId="032E300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1E2AD2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BE5973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望春花    呈长卵形，似毛笔头，长1.2～2.5cm, 直径0.8～1.5cm。基部常具短梗，</w:t>
            </w:r>
          </w:p>
        </w:tc>
        <w:tc>
          <w:tcPr>
            <w:tcW w:w="1938" w:type="dxa"/>
            <w:vAlign w:val="center"/>
          </w:tcPr>
          <w:p w14:paraId="10403EA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D12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3DAFFB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126</w:t>
            </w:r>
          </w:p>
        </w:tc>
        <w:tc>
          <w:tcPr>
            <w:tcW w:w="878" w:type="dxa"/>
            <w:vAlign w:val="center"/>
          </w:tcPr>
          <w:p w14:paraId="744EA8D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西洋参</w:t>
            </w:r>
          </w:p>
        </w:tc>
        <w:tc>
          <w:tcPr>
            <w:tcW w:w="845" w:type="dxa"/>
            <w:vAlign w:val="center"/>
          </w:tcPr>
          <w:p w14:paraId="238E869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A630DC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EDDA71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本品呈纺锤形、圆柱形或圆锥形，长3～12cm，直径0.8～2cm。表面浅黄褐色或黄白色，</w:t>
            </w:r>
          </w:p>
        </w:tc>
        <w:tc>
          <w:tcPr>
            <w:tcW w:w="1938" w:type="dxa"/>
            <w:vAlign w:val="center"/>
          </w:tcPr>
          <w:p w14:paraId="2436E0B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306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6A88F7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127</w:t>
            </w:r>
          </w:p>
        </w:tc>
        <w:tc>
          <w:tcPr>
            <w:tcW w:w="878" w:type="dxa"/>
            <w:vAlign w:val="center"/>
          </w:tcPr>
          <w:p w14:paraId="0080E2F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野菊花</w:t>
            </w:r>
          </w:p>
        </w:tc>
        <w:tc>
          <w:tcPr>
            <w:tcW w:w="845" w:type="dxa"/>
            <w:vAlign w:val="center"/>
          </w:tcPr>
          <w:p w14:paraId="3F0CF07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79C483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9F432B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本品呈类球形，直径0.3～1cm，棕黄色。总苞由4～5层苞片组成，外层苞片卵形或条形，</w:t>
            </w:r>
          </w:p>
        </w:tc>
        <w:tc>
          <w:tcPr>
            <w:tcW w:w="1938" w:type="dxa"/>
            <w:vAlign w:val="center"/>
          </w:tcPr>
          <w:p w14:paraId="6A0F3E7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3D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59926A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128</w:t>
            </w:r>
          </w:p>
        </w:tc>
        <w:tc>
          <w:tcPr>
            <w:tcW w:w="878" w:type="dxa"/>
            <w:vAlign w:val="center"/>
          </w:tcPr>
          <w:p w14:paraId="34A9D81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芫荽子</w:t>
            </w:r>
          </w:p>
        </w:tc>
        <w:tc>
          <w:tcPr>
            <w:tcW w:w="845" w:type="dxa"/>
            <w:vAlign w:val="center"/>
          </w:tcPr>
          <w:p w14:paraId="2980C33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B45B7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591DBA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类圆球形，直径2~4mm。表面浅黄棕色至黄棕色，有不甚明显而呈波浪形弯曲的初生楼脊10条及较为明显而纵直的次生棱脊10条，两者相间排列，顶端残存极短的桂头及尊齿5片；基部有时可见短果或果柄痕。质较坚硬。气香，味微辣。</w:t>
            </w:r>
          </w:p>
        </w:tc>
        <w:tc>
          <w:tcPr>
            <w:tcW w:w="1938" w:type="dxa"/>
            <w:vAlign w:val="center"/>
          </w:tcPr>
          <w:p w14:paraId="2D9FF0B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江苏省中药材标准1989年版</w:t>
            </w:r>
          </w:p>
        </w:tc>
      </w:tr>
      <w:tr w14:paraId="56C6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964554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129</w:t>
            </w:r>
          </w:p>
        </w:tc>
        <w:tc>
          <w:tcPr>
            <w:tcW w:w="878" w:type="dxa"/>
            <w:vAlign w:val="center"/>
          </w:tcPr>
          <w:p w14:paraId="7135014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淫羊藿</w:t>
            </w:r>
          </w:p>
        </w:tc>
        <w:tc>
          <w:tcPr>
            <w:tcW w:w="845" w:type="dxa"/>
            <w:vAlign w:val="center"/>
          </w:tcPr>
          <w:p w14:paraId="165A810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83B30C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44F0D9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淫羊藿 二回三出复叶；小叶片卵圆形，长3～8cm，宽2～6cm；先端微尖，</w:t>
            </w:r>
          </w:p>
        </w:tc>
        <w:tc>
          <w:tcPr>
            <w:tcW w:w="1938" w:type="dxa"/>
            <w:vAlign w:val="center"/>
          </w:tcPr>
          <w:p w14:paraId="23784A1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84F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A8145D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130</w:t>
            </w:r>
          </w:p>
        </w:tc>
        <w:tc>
          <w:tcPr>
            <w:tcW w:w="878" w:type="dxa"/>
            <w:vAlign w:val="center"/>
          </w:tcPr>
          <w:p w14:paraId="0AA2108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薏苡仁</w:t>
            </w:r>
          </w:p>
        </w:tc>
        <w:tc>
          <w:tcPr>
            <w:tcW w:w="845" w:type="dxa"/>
            <w:vAlign w:val="center"/>
          </w:tcPr>
          <w:p w14:paraId="45291CD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974126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6568530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本品呈宽卵形或长椭圆形，长4～8mm，宽3～6mm。表面乳白色，光滑，</w:t>
            </w:r>
          </w:p>
        </w:tc>
        <w:tc>
          <w:tcPr>
            <w:tcW w:w="1938" w:type="dxa"/>
            <w:vAlign w:val="center"/>
          </w:tcPr>
          <w:p w14:paraId="715DA3E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38B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44E803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131</w:t>
            </w:r>
          </w:p>
        </w:tc>
        <w:tc>
          <w:tcPr>
            <w:tcW w:w="878" w:type="dxa"/>
            <w:vAlign w:val="center"/>
          </w:tcPr>
          <w:p w14:paraId="47B5C56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远志</w:t>
            </w:r>
          </w:p>
        </w:tc>
        <w:tc>
          <w:tcPr>
            <w:tcW w:w="845" w:type="dxa"/>
            <w:vAlign w:val="center"/>
          </w:tcPr>
          <w:p w14:paraId="3EC2EBE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9D30A2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5D81B42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本品呈圆柱形，略弯曲，长2～30cm，直径0.2～1cm。表面灰黄色至灰棕色，</w:t>
            </w:r>
          </w:p>
        </w:tc>
        <w:tc>
          <w:tcPr>
            <w:tcW w:w="1938" w:type="dxa"/>
            <w:vAlign w:val="center"/>
          </w:tcPr>
          <w:p w14:paraId="3E7EA37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FD7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E37A08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132</w:t>
            </w:r>
          </w:p>
        </w:tc>
        <w:tc>
          <w:tcPr>
            <w:tcW w:w="878" w:type="dxa"/>
            <w:vAlign w:val="center"/>
          </w:tcPr>
          <w:p w14:paraId="2ADF084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益智仁</w:t>
            </w:r>
          </w:p>
        </w:tc>
        <w:tc>
          <w:tcPr>
            <w:tcW w:w="845" w:type="dxa"/>
            <w:vAlign w:val="center"/>
          </w:tcPr>
          <w:p w14:paraId="104F43C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F3438C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FF055A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种子呈不规则的扁圆形，略有钝核。直径约3mm，表面灰褐色或灰黄色，外被淡棕色膜质的假种皮，</w:t>
            </w:r>
          </w:p>
        </w:tc>
        <w:tc>
          <w:tcPr>
            <w:tcW w:w="1938" w:type="dxa"/>
            <w:vAlign w:val="center"/>
          </w:tcPr>
          <w:p w14:paraId="708CCE2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山东省中药炮制规范1990年版</w:t>
            </w:r>
          </w:p>
        </w:tc>
      </w:tr>
      <w:tr w14:paraId="7B54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C47359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133</w:t>
            </w:r>
          </w:p>
        </w:tc>
        <w:tc>
          <w:tcPr>
            <w:tcW w:w="878" w:type="dxa"/>
            <w:vAlign w:val="center"/>
          </w:tcPr>
          <w:p w14:paraId="2068086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浙贝母</w:t>
            </w:r>
          </w:p>
        </w:tc>
        <w:tc>
          <w:tcPr>
            <w:tcW w:w="845" w:type="dxa"/>
            <w:vAlign w:val="center"/>
          </w:tcPr>
          <w:p w14:paraId="5B9A7BE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A83ECA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AEACA5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浙贝母 为类圆形的厚片或碎块，有的具心芽。外皮黄褐色或灰褐色，略皱缩；</w:t>
            </w:r>
          </w:p>
        </w:tc>
        <w:tc>
          <w:tcPr>
            <w:tcW w:w="1938" w:type="dxa"/>
            <w:vAlign w:val="center"/>
          </w:tcPr>
          <w:p w14:paraId="30559A2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C82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52543F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134</w:t>
            </w:r>
          </w:p>
        </w:tc>
        <w:tc>
          <w:tcPr>
            <w:tcW w:w="878" w:type="dxa"/>
            <w:vAlign w:val="center"/>
          </w:tcPr>
          <w:p w14:paraId="3C1A2C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炙黄芪</w:t>
            </w:r>
          </w:p>
        </w:tc>
        <w:tc>
          <w:tcPr>
            <w:tcW w:w="845" w:type="dxa"/>
            <w:vAlign w:val="center"/>
          </w:tcPr>
          <w:p w14:paraId="5816D2E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2D7C99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4917D05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圆形或椭圆形的片，直径0.8～3.5cm，厚0.1～0.4cm。外表皮浅棕黄或棕褐色，略有光泽，可见纵皱纹或纵沟。切面皮部浅黄色，木质部黄色，有放射状纹理及裂隙，有的中心偶有枯朽状，黑褐色或呈空洞。具蜜香气，味甜，略带黏性，喘之微有豆腥味。</w:t>
            </w:r>
          </w:p>
        </w:tc>
        <w:tc>
          <w:tcPr>
            <w:tcW w:w="1938" w:type="dxa"/>
            <w:vAlign w:val="center"/>
          </w:tcPr>
          <w:p w14:paraId="5D94689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北京市中药饮片炮制规范2005年版</w:t>
            </w:r>
          </w:p>
        </w:tc>
      </w:tr>
      <w:tr w14:paraId="1768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930991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135</w:t>
            </w:r>
          </w:p>
        </w:tc>
        <w:tc>
          <w:tcPr>
            <w:tcW w:w="878" w:type="dxa"/>
            <w:vAlign w:val="center"/>
          </w:tcPr>
          <w:p w14:paraId="658D60A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枳壳</w:t>
            </w:r>
          </w:p>
        </w:tc>
        <w:tc>
          <w:tcPr>
            <w:tcW w:w="845" w:type="dxa"/>
            <w:vAlign w:val="center"/>
          </w:tcPr>
          <w:p w14:paraId="235BEF7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F3E831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3B029D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本品为芸香科植物酸橙Citrus  aurantium L.及其栽培变种的干燥未成熟果实。7月果皮尚绿时采收，自中部横切为两半，晒干或低温干燥。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呈半球形，直径3～5cm。外果皮棕褐色至褐色，有颗粒状突起，突起的顶端有凹点状油室；有明显的花柱残迹或果梗痕。切面中果皮黄白色，光滑而稍隆起，厚0.4～1.3cm，边缘散有1～2列油室，瓤囊7～12瓣，少数至15瓣，汁囊干缩呈棕色至棕褐色，内藏种子。质坚硬，不易折断。气清香，味苦、微酸。</w:t>
            </w:r>
          </w:p>
        </w:tc>
        <w:tc>
          <w:tcPr>
            <w:tcW w:w="1938" w:type="dxa"/>
            <w:vAlign w:val="center"/>
          </w:tcPr>
          <w:p w14:paraId="075CF73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7CD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1FD8EB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136</w:t>
            </w:r>
          </w:p>
        </w:tc>
        <w:tc>
          <w:tcPr>
            <w:tcW w:w="878" w:type="dxa"/>
            <w:vAlign w:val="center"/>
          </w:tcPr>
          <w:p w14:paraId="14035B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竹茹</w:t>
            </w:r>
          </w:p>
        </w:tc>
        <w:tc>
          <w:tcPr>
            <w:tcW w:w="845" w:type="dxa"/>
            <w:vAlign w:val="center"/>
          </w:tcPr>
          <w:p w14:paraId="179FDE7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D1FAF6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6D8C8B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本品为卷曲成团的不规则丝条或呈长条形薄片状。宽窄厚薄不等，浅绿色、</w:t>
            </w:r>
          </w:p>
        </w:tc>
        <w:tc>
          <w:tcPr>
            <w:tcW w:w="1938" w:type="dxa"/>
            <w:vAlign w:val="center"/>
          </w:tcPr>
          <w:p w14:paraId="1A45CE2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70B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A3CFD1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137</w:t>
            </w:r>
          </w:p>
        </w:tc>
        <w:tc>
          <w:tcPr>
            <w:tcW w:w="878" w:type="dxa"/>
            <w:vAlign w:val="center"/>
          </w:tcPr>
          <w:p w14:paraId="5BEFD3D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紫杉</w:t>
            </w:r>
          </w:p>
        </w:tc>
        <w:tc>
          <w:tcPr>
            <w:tcW w:w="845" w:type="dxa"/>
            <w:vAlign w:val="center"/>
          </w:tcPr>
          <w:p w14:paraId="7C2AC06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093159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E037E4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枝皮红褐色和黄褐色，有浅裂，枝条密生；小枝互生，棕色或绿黄色，有稍突起的叶柄残基。叶生于主枝上者为螺旋状排列，在侧枝上叶柄基部扭转，向左右排成不规则的二列；叶片条形，平直或稍弯曲，基部急细窄成短柄，再顺小枝下延，先端具凸尖，边缘反卷，长1.5-2.5cm，宽2.5~3(4)mm；叶上表面微皱缩，黄褐色，略有光泽；中脉在两面突起。气特异，味先微甜而后苦。</w:t>
            </w:r>
          </w:p>
        </w:tc>
        <w:tc>
          <w:tcPr>
            <w:tcW w:w="1938" w:type="dxa"/>
            <w:vAlign w:val="center"/>
          </w:tcPr>
          <w:p w14:paraId="14AA7D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黑龙江省中药材标准2001年版</w:t>
            </w:r>
          </w:p>
        </w:tc>
      </w:tr>
      <w:tr w14:paraId="3CB6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E5816D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138</w:t>
            </w:r>
          </w:p>
        </w:tc>
        <w:tc>
          <w:tcPr>
            <w:tcW w:w="878" w:type="dxa"/>
            <w:vAlign w:val="center"/>
          </w:tcPr>
          <w:p w14:paraId="1ECCE31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赭石</w:t>
            </w:r>
          </w:p>
        </w:tc>
        <w:tc>
          <w:tcPr>
            <w:tcW w:w="845" w:type="dxa"/>
            <w:vAlign w:val="center"/>
          </w:tcPr>
          <w:p w14:paraId="287310E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C87291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49DB3E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本品为鲕状、豆状、肾状集合体，多呈不规则的扁平块状。暗棕红色或灰黑色，</w:t>
            </w:r>
          </w:p>
        </w:tc>
        <w:tc>
          <w:tcPr>
            <w:tcW w:w="1938" w:type="dxa"/>
            <w:vAlign w:val="center"/>
          </w:tcPr>
          <w:p w14:paraId="3302E33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180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E3B73B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139</w:t>
            </w:r>
          </w:p>
        </w:tc>
        <w:tc>
          <w:tcPr>
            <w:tcW w:w="878" w:type="dxa"/>
            <w:vAlign w:val="center"/>
          </w:tcPr>
          <w:p w14:paraId="142714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枳实</w:t>
            </w:r>
          </w:p>
        </w:tc>
        <w:tc>
          <w:tcPr>
            <w:tcW w:w="845" w:type="dxa"/>
            <w:vAlign w:val="center"/>
          </w:tcPr>
          <w:p w14:paraId="2604FB3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74EF64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AFAD78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本品呈半球形，少数为球形，直径0.5-2.5cm。外果皮黑绿色或棕褐色，</w:t>
            </w:r>
          </w:p>
        </w:tc>
        <w:tc>
          <w:tcPr>
            <w:tcW w:w="1938" w:type="dxa"/>
            <w:vAlign w:val="center"/>
          </w:tcPr>
          <w:p w14:paraId="094B882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1B3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E01426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140</w:t>
            </w:r>
          </w:p>
        </w:tc>
        <w:tc>
          <w:tcPr>
            <w:tcW w:w="878" w:type="dxa"/>
            <w:vAlign w:val="center"/>
          </w:tcPr>
          <w:p w14:paraId="542F571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紫苏梗</w:t>
            </w:r>
          </w:p>
        </w:tc>
        <w:tc>
          <w:tcPr>
            <w:tcW w:w="845" w:type="dxa"/>
            <w:vAlign w:val="center"/>
          </w:tcPr>
          <w:p w14:paraId="34923D7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A30F02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075DBA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本品呈方柱形，四棱钝圆，长短不一，直径0.5～1.5cm。表面紫棕色或暗紫色。</w:t>
            </w:r>
          </w:p>
        </w:tc>
        <w:tc>
          <w:tcPr>
            <w:tcW w:w="1938" w:type="dxa"/>
            <w:vAlign w:val="center"/>
          </w:tcPr>
          <w:p w14:paraId="3D7C4CD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EA8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0AF494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141</w:t>
            </w:r>
          </w:p>
        </w:tc>
        <w:tc>
          <w:tcPr>
            <w:tcW w:w="878" w:type="dxa"/>
            <w:vAlign w:val="center"/>
          </w:tcPr>
          <w:p w14:paraId="34E8074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紫石英</w:t>
            </w:r>
          </w:p>
        </w:tc>
        <w:tc>
          <w:tcPr>
            <w:tcW w:w="845" w:type="dxa"/>
            <w:vAlign w:val="center"/>
          </w:tcPr>
          <w:p w14:paraId="142DD31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C536F4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2E17F12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本品为块状或粒状集合体。呈不规则块状，具棱角。紫色或绿色，深浅不匀，条痕白色。</w:t>
            </w:r>
          </w:p>
        </w:tc>
        <w:tc>
          <w:tcPr>
            <w:tcW w:w="1938" w:type="dxa"/>
            <w:vAlign w:val="center"/>
          </w:tcPr>
          <w:p w14:paraId="0B19C45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A34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79A9BE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142</w:t>
            </w:r>
          </w:p>
        </w:tc>
        <w:tc>
          <w:tcPr>
            <w:tcW w:w="878" w:type="dxa"/>
            <w:vAlign w:val="center"/>
          </w:tcPr>
          <w:p w14:paraId="653CAB7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泽泻</w:t>
            </w:r>
          </w:p>
        </w:tc>
        <w:tc>
          <w:tcPr>
            <w:tcW w:w="845" w:type="dxa"/>
            <w:vAlign w:val="center"/>
          </w:tcPr>
          <w:p w14:paraId="5C619D6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FE114F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697C316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本品呈类球形、椭圆形或卵圆形，长2～7cm，直径2～6cm。</w:t>
            </w:r>
          </w:p>
        </w:tc>
        <w:tc>
          <w:tcPr>
            <w:tcW w:w="1938" w:type="dxa"/>
            <w:vAlign w:val="center"/>
          </w:tcPr>
          <w:p w14:paraId="67C3152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17D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8E147C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143</w:t>
            </w:r>
          </w:p>
        </w:tc>
        <w:tc>
          <w:tcPr>
            <w:tcW w:w="878" w:type="dxa"/>
            <w:vAlign w:val="center"/>
          </w:tcPr>
          <w:p w14:paraId="49FBC3C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甜石榴（鲜）</w:t>
            </w:r>
          </w:p>
        </w:tc>
        <w:tc>
          <w:tcPr>
            <w:tcW w:w="845" w:type="dxa"/>
            <w:vAlign w:val="center"/>
          </w:tcPr>
          <w:p w14:paraId="4971524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BBA91E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6000</w:t>
            </w:r>
          </w:p>
        </w:tc>
        <w:tc>
          <w:tcPr>
            <w:tcW w:w="5329" w:type="dxa"/>
            <w:vAlign w:val="center"/>
          </w:tcPr>
          <w:p w14:paraId="6D9BCB8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本品应为通常近球形，直径4～12cm，果皮革质，较厚，外表面黄色至红色。种子多数着生在淡黄色肉质胎座上，具棱角，</w:t>
            </w:r>
          </w:p>
        </w:tc>
        <w:tc>
          <w:tcPr>
            <w:tcW w:w="1938" w:type="dxa"/>
            <w:vAlign w:val="center"/>
          </w:tcPr>
          <w:p w14:paraId="119758C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2DC8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4A4156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144</w:t>
            </w:r>
          </w:p>
        </w:tc>
        <w:tc>
          <w:tcPr>
            <w:tcW w:w="878" w:type="dxa"/>
            <w:vAlign w:val="center"/>
          </w:tcPr>
          <w:p w14:paraId="28D1F24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新鲜玫瑰花瓣</w:t>
            </w:r>
          </w:p>
        </w:tc>
        <w:tc>
          <w:tcPr>
            <w:tcW w:w="845" w:type="dxa"/>
            <w:vAlign w:val="center"/>
          </w:tcPr>
          <w:p w14:paraId="52D19C6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05C874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w:t>
            </w:r>
          </w:p>
        </w:tc>
        <w:tc>
          <w:tcPr>
            <w:tcW w:w="5329" w:type="dxa"/>
            <w:vAlign w:val="center"/>
          </w:tcPr>
          <w:p w14:paraId="2868837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本品应略呈倒卵形或扇形，上宽下窄，下端具芒尖，白色，上端宽，粉红色，部分中间有一深裂或浅裂，长2.0-4.8cm，宽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1.5-4.5cm。气芳香浓郁，味微苦。</w:t>
            </w:r>
          </w:p>
        </w:tc>
        <w:tc>
          <w:tcPr>
            <w:tcW w:w="1938" w:type="dxa"/>
            <w:vAlign w:val="center"/>
          </w:tcPr>
          <w:p w14:paraId="3A94E44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新疆维吾尔自治区维吾尔药材标准2010年版</w:t>
            </w:r>
          </w:p>
        </w:tc>
      </w:tr>
      <w:tr w14:paraId="73E1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3D09CD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145</w:t>
            </w:r>
          </w:p>
        </w:tc>
        <w:tc>
          <w:tcPr>
            <w:tcW w:w="878" w:type="dxa"/>
            <w:vAlign w:val="center"/>
          </w:tcPr>
          <w:p w14:paraId="23EDE85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榅桲（鲜）</w:t>
            </w:r>
          </w:p>
        </w:tc>
        <w:tc>
          <w:tcPr>
            <w:tcW w:w="845" w:type="dxa"/>
            <w:vAlign w:val="center"/>
          </w:tcPr>
          <w:p w14:paraId="576B142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242254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1200</w:t>
            </w:r>
          </w:p>
        </w:tc>
        <w:tc>
          <w:tcPr>
            <w:tcW w:w="5329" w:type="dxa"/>
            <w:vAlign w:val="center"/>
          </w:tcPr>
          <w:p w14:paraId="798075B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本品应为梨状皱缩，质地较韧；常切两半或厚片。黄棕色或暗红色，尽厚粗，断面呈小颗粒状，边缘不卷曲。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质略松轻，隔瓤淡黄棕色，种子棕黄色，脱落或存在。</w:t>
            </w:r>
          </w:p>
        </w:tc>
        <w:tc>
          <w:tcPr>
            <w:tcW w:w="1938" w:type="dxa"/>
            <w:vAlign w:val="center"/>
          </w:tcPr>
          <w:p w14:paraId="31396E9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新疆维吾尔自治区维吾尔药材标准1992年版</w:t>
            </w:r>
          </w:p>
        </w:tc>
      </w:tr>
      <w:tr w14:paraId="0B4B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94E4B1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146</w:t>
            </w:r>
          </w:p>
        </w:tc>
        <w:tc>
          <w:tcPr>
            <w:tcW w:w="878" w:type="dxa"/>
            <w:vAlign w:val="center"/>
          </w:tcPr>
          <w:p w14:paraId="38B79C9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苹果</w:t>
            </w:r>
          </w:p>
        </w:tc>
        <w:tc>
          <w:tcPr>
            <w:tcW w:w="845" w:type="dxa"/>
            <w:vAlign w:val="center"/>
          </w:tcPr>
          <w:p w14:paraId="31E5B93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0DD9F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5329" w:type="dxa"/>
            <w:vAlign w:val="center"/>
          </w:tcPr>
          <w:p w14:paraId="47A00F5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应为圆球形或扁球形，直径3～10cm。表面青色，红色或淡黄色，白色，有光泽，顶部及基部皆凹陷，萼泽，裂片宿存，果梗短粗。剖面白色或黄白色，置空气中氧化渐变为棕色，果肉肥厚细腻，中心分隔5室，有种子5～10粒。气香，味酸甜。</w:t>
            </w:r>
          </w:p>
        </w:tc>
        <w:tc>
          <w:tcPr>
            <w:tcW w:w="1938" w:type="dxa"/>
            <w:vAlign w:val="center"/>
          </w:tcPr>
          <w:p w14:paraId="3C8349D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2708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7E19D3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147</w:t>
            </w:r>
          </w:p>
        </w:tc>
        <w:tc>
          <w:tcPr>
            <w:tcW w:w="878" w:type="dxa"/>
            <w:vAlign w:val="center"/>
          </w:tcPr>
          <w:p w14:paraId="4C01B9E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牛奶</w:t>
            </w:r>
          </w:p>
        </w:tc>
        <w:tc>
          <w:tcPr>
            <w:tcW w:w="845" w:type="dxa"/>
            <w:vAlign w:val="center"/>
          </w:tcPr>
          <w:p w14:paraId="0961C74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7F081C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5329" w:type="dxa"/>
            <w:vAlign w:val="center"/>
          </w:tcPr>
          <w:p w14:paraId="26FE7C0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纯牛奶为乳白色或略带微黄色，色泽均匀一致，无变色，异色现象。具有乳香味，无酸臭味，哈喇味，腥味等异常味</w:t>
            </w:r>
          </w:p>
        </w:tc>
        <w:tc>
          <w:tcPr>
            <w:tcW w:w="1938" w:type="dxa"/>
            <w:vAlign w:val="center"/>
          </w:tcPr>
          <w:p w14:paraId="7F0994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地方标准《鲜牛奶》DB/2300X16001-16005-86</w:t>
            </w:r>
          </w:p>
        </w:tc>
      </w:tr>
      <w:tr w14:paraId="3DC4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E1C3CC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148</w:t>
            </w:r>
          </w:p>
        </w:tc>
        <w:tc>
          <w:tcPr>
            <w:tcW w:w="878" w:type="dxa"/>
            <w:vAlign w:val="center"/>
          </w:tcPr>
          <w:p w14:paraId="51436C4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大枣</w:t>
            </w:r>
          </w:p>
        </w:tc>
        <w:tc>
          <w:tcPr>
            <w:tcW w:w="845" w:type="dxa"/>
            <w:vAlign w:val="center"/>
          </w:tcPr>
          <w:p w14:paraId="4E486FE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E8D421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3A165B2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本品为鼠李科植物枣Ziziphus jujuba Mill.的干燥成熟果实。秋季果实成熟时采收，晒干。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【性状】本品呈椭圆形或球形，长2～3.5cm，直径 1.5～2.5cm。表面暗红色，略带光泽，有不规则皱纹。基部凹陷，有短果梗。外果皮薄，中果皮棕黄色或淡褐色，肉质，柔软，富糖性而油润。果核纺锤形，两端锐尖，质坚硬。气微香，味甜。</w:t>
            </w:r>
          </w:p>
        </w:tc>
        <w:tc>
          <w:tcPr>
            <w:tcW w:w="1938" w:type="dxa"/>
            <w:vAlign w:val="center"/>
          </w:tcPr>
          <w:p w14:paraId="78F8E67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《中国药典》2020 年版一部 </w:t>
            </w:r>
          </w:p>
        </w:tc>
      </w:tr>
      <w:tr w14:paraId="6DAB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1C0FE3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149</w:t>
            </w:r>
          </w:p>
        </w:tc>
        <w:tc>
          <w:tcPr>
            <w:tcW w:w="878" w:type="dxa"/>
            <w:vAlign w:val="center"/>
          </w:tcPr>
          <w:p w14:paraId="3314BBF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巴旦仁</w:t>
            </w:r>
          </w:p>
        </w:tc>
        <w:tc>
          <w:tcPr>
            <w:tcW w:w="845" w:type="dxa"/>
            <w:vAlign w:val="center"/>
          </w:tcPr>
          <w:p w14:paraId="194A688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1F3DED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5329" w:type="dxa"/>
            <w:vAlign w:val="center"/>
          </w:tcPr>
          <w:p w14:paraId="4EEE3A9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本品呈扁长卵形，长2.2~3.5cm，宽约1.5cm。表面红棕色，顶端稍尖，底部圆形，顶端有线形脐点，底部有合点，由合点处向上具有多数维管束，呈暗色纹理。种皮菲薄，子叶2，乳白色，富油性。气微，味甘。</w:t>
            </w:r>
          </w:p>
        </w:tc>
        <w:tc>
          <w:tcPr>
            <w:tcW w:w="1938" w:type="dxa"/>
            <w:vAlign w:val="center"/>
          </w:tcPr>
          <w:p w14:paraId="3991A1D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新疆中药维吾尔药饮片炮制规范2010年版</w:t>
            </w:r>
          </w:p>
        </w:tc>
      </w:tr>
      <w:tr w14:paraId="31FD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CCAA18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150</w:t>
            </w:r>
          </w:p>
        </w:tc>
        <w:tc>
          <w:tcPr>
            <w:tcW w:w="878" w:type="dxa"/>
            <w:vAlign w:val="center"/>
          </w:tcPr>
          <w:p w14:paraId="73621C6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生地</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（土生地）</w:t>
            </w:r>
          </w:p>
        </w:tc>
        <w:tc>
          <w:tcPr>
            <w:tcW w:w="845" w:type="dxa"/>
            <w:vAlign w:val="center"/>
          </w:tcPr>
          <w:p w14:paraId="6482BAA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B58B69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3E699E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木品为紫金作科植物块根紫金牛ArdisiacorymbiferaMezvar.tuberiferuCChen 的干块根。企年可采，洗净，干。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本品呈不规则长扁椭圆形，长扁条形，两端稍细，中部大，稍，表面黄棕色至棕褐色，具不规则的纵皱纹和横皱纹。休重，质韧，折断面不平坦，紫黑色或灰黑色。气微，味甘微涩。</w:t>
            </w:r>
          </w:p>
        </w:tc>
        <w:tc>
          <w:tcPr>
            <w:tcW w:w="1938" w:type="dxa"/>
            <w:vAlign w:val="center"/>
          </w:tcPr>
          <w:p w14:paraId="2C68FE5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广西中药标准 1990年版 土生地</w:t>
            </w:r>
          </w:p>
        </w:tc>
      </w:tr>
      <w:tr w14:paraId="01FF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1053D0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151</w:t>
            </w:r>
          </w:p>
        </w:tc>
        <w:tc>
          <w:tcPr>
            <w:tcW w:w="878" w:type="dxa"/>
            <w:vAlign w:val="center"/>
          </w:tcPr>
          <w:p w14:paraId="2D1678A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山药</w:t>
            </w:r>
          </w:p>
        </w:tc>
        <w:tc>
          <w:tcPr>
            <w:tcW w:w="845" w:type="dxa"/>
            <w:vAlign w:val="center"/>
          </w:tcPr>
          <w:p w14:paraId="25AD216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2D9722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984F98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毛山药　本品略呈圆柱形，弯曲而稍扁，长15～30cm，直径1.5～6cm。表面黄白色或淡黄色，有纵沟、纵皱纹及须根痕，偶有浅棕色外皮残留。体重，质坚实，不易折断，断面白色，粉性。气微，味淡、微酸，嚼之发黏。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山药片　为不规则的厚片，皱缩不平，切面白色或黄白色，质坚脆，粉性。气微，味淡、微酸。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光山药　呈圆柱形，两端平齐，长9~18cm，直径1.5～3cm。表面光滑，白色或黄白色</w:t>
            </w:r>
          </w:p>
        </w:tc>
        <w:tc>
          <w:tcPr>
            <w:tcW w:w="1938" w:type="dxa"/>
            <w:vAlign w:val="center"/>
          </w:tcPr>
          <w:p w14:paraId="7FAF9AC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BC3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E22ABB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152</w:t>
            </w:r>
          </w:p>
        </w:tc>
        <w:tc>
          <w:tcPr>
            <w:tcW w:w="878" w:type="dxa"/>
            <w:vAlign w:val="center"/>
          </w:tcPr>
          <w:p w14:paraId="5EB7BA8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阿胶</w:t>
            </w:r>
          </w:p>
        </w:tc>
        <w:tc>
          <w:tcPr>
            <w:tcW w:w="845" w:type="dxa"/>
            <w:vAlign w:val="center"/>
          </w:tcPr>
          <w:p w14:paraId="7D1D4D0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44B16B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7F1883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本品呈长方形块、方形块或丁状。棕色至黑褐色，有光泽。质硬而脆，断面光亮，碎片对光照视呈棕色半透明状。气微，味微甘。</w:t>
            </w:r>
          </w:p>
        </w:tc>
        <w:tc>
          <w:tcPr>
            <w:tcW w:w="1938" w:type="dxa"/>
            <w:vAlign w:val="center"/>
          </w:tcPr>
          <w:p w14:paraId="673FAF0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FFF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6CBE49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153</w:t>
            </w:r>
          </w:p>
        </w:tc>
        <w:tc>
          <w:tcPr>
            <w:tcW w:w="878" w:type="dxa"/>
            <w:vAlign w:val="center"/>
          </w:tcPr>
          <w:p w14:paraId="1630C1F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益母草</w:t>
            </w:r>
          </w:p>
        </w:tc>
        <w:tc>
          <w:tcPr>
            <w:tcW w:w="845" w:type="dxa"/>
            <w:vAlign w:val="center"/>
          </w:tcPr>
          <w:p w14:paraId="5EDFD30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96405E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6FAAF0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鲜益母草 幼苗期无茎，基生叶圆心形，5～9浅裂，每裂片有2～3钝齿。花前期茎呈方柱形，上部多分枝，四面凹下成纵沟，长30～60cm，直径0.2-0.5cm；表面青绿色；质鲜嫩，断面中部有髓。叶交互对生，有柄；叶片青绿色，质鲜嫩，揉之有汁；下部茎生叶掌状3裂，上部叶羽状深裂或浅裂成3片，裂片全缘或具少数锯齿。气微，味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干益母草  茎表面灰绿色或黄绿色；体轻，质韧，断面中部有髓。叶片灰绿色，多皱缩、破碎，易脱落。轮伞花序腋生，小花淡紫色，花萼筒状，花冠二唇形。切段者长约2cm。</w:t>
            </w:r>
          </w:p>
        </w:tc>
        <w:tc>
          <w:tcPr>
            <w:tcW w:w="1938" w:type="dxa"/>
            <w:vAlign w:val="center"/>
          </w:tcPr>
          <w:p w14:paraId="29B0E6E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5D4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9C0061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154</w:t>
            </w:r>
          </w:p>
        </w:tc>
        <w:tc>
          <w:tcPr>
            <w:tcW w:w="878" w:type="dxa"/>
            <w:vAlign w:val="center"/>
          </w:tcPr>
          <w:p w14:paraId="3C180E0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山萸肉</w:t>
            </w:r>
          </w:p>
        </w:tc>
        <w:tc>
          <w:tcPr>
            <w:tcW w:w="845" w:type="dxa"/>
            <w:vAlign w:val="center"/>
          </w:tcPr>
          <w:p w14:paraId="285D213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F00917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C81072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本品为药材山茱萸(为山茱萸科植物山茱英CornusofficinalisSieb.et Zucc.的干燥成熟果肉)的炮制品。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【制法】取药材山荣萸,除去杂质及残留果核。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【性状】本品呈不规则的片状或囊状,长1~2cm,宽0.5~1.2cm。表面紫红色至紫黑色,皱缩,有光泽。顶端有的有圆形宿尊痕,基部有果梗痕。质柔软。气微,味酸、涩、微苦。</w:t>
            </w:r>
          </w:p>
        </w:tc>
        <w:tc>
          <w:tcPr>
            <w:tcW w:w="1938" w:type="dxa"/>
            <w:vAlign w:val="center"/>
          </w:tcPr>
          <w:p w14:paraId="2156EA9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陕西省中药饮片标准 第一册  </w:t>
            </w:r>
          </w:p>
        </w:tc>
      </w:tr>
      <w:tr w14:paraId="35DC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2F0C7D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155</w:t>
            </w:r>
          </w:p>
        </w:tc>
        <w:tc>
          <w:tcPr>
            <w:tcW w:w="878" w:type="dxa"/>
            <w:vAlign w:val="center"/>
          </w:tcPr>
          <w:p w14:paraId="39ECF17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鸡血藤</w:t>
            </w:r>
          </w:p>
        </w:tc>
        <w:tc>
          <w:tcPr>
            <w:tcW w:w="845" w:type="dxa"/>
            <w:vAlign w:val="center"/>
          </w:tcPr>
          <w:p w14:paraId="6B71D8B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83F31A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09FDE1A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椭圆形、长矩圆形或不规则的斜切片，厚0.3～1cm。栓皮灰棕色，有的可见灰白色斑，栓皮脱落处显红棕色。质坚硬。切面木部红棕色或棕色，导管孔多数；韧皮部有树脂状分泌物呈红棕色至黑棕色，与木部相间排列呈数个同心性椭圆形环或偏心性半圆形环；髓部偏向一侧。气微，味涩。</w:t>
            </w:r>
          </w:p>
        </w:tc>
        <w:tc>
          <w:tcPr>
            <w:tcW w:w="1938" w:type="dxa"/>
            <w:vAlign w:val="center"/>
          </w:tcPr>
          <w:p w14:paraId="7EACB41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12B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18710C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156</w:t>
            </w:r>
          </w:p>
        </w:tc>
        <w:tc>
          <w:tcPr>
            <w:tcW w:w="878" w:type="dxa"/>
            <w:vAlign w:val="center"/>
          </w:tcPr>
          <w:p w14:paraId="75DC19A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黄精</w:t>
            </w:r>
          </w:p>
        </w:tc>
        <w:tc>
          <w:tcPr>
            <w:tcW w:w="845" w:type="dxa"/>
            <w:vAlign w:val="center"/>
          </w:tcPr>
          <w:p w14:paraId="7700040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5E70B6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022B764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大黄精 呈肥厚肉质的结节块状，结节长可达10cm以上，宽3～6cm，厚2～3cm。表面淡黄色至黄棕色，具环节，有皱纹及须根痕，结节上侧茎痕呈圆盘状，圆周凹入，中部突出。质硬而韧，不易折断，断面角质，淡黄色至黄棕色。气微，味甜，嚼之有黏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鸡头黄精 呈结节状弯柱形，长3～10cm，直径0.5～1.5cm。结节长2～4cm，略呈圆锥形，常有分枝。表面黄白色或灰黄色，半透明，有纵皱纹，茎痕圆形，直径5～8mm。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姜形黄精 呈长条结节块状，长短不等，常数个块状结节相连。表面灰黄色或黄褐色，粗糙，结节上侧有突出的圆盘状茎痕，直径0.8～1.5cm。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味苦者不可药用。</w:t>
            </w:r>
          </w:p>
        </w:tc>
        <w:tc>
          <w:tcPr>
            <w:tcW w:w="1938" w:type="dxa"/>
            <w:vAlign w:val="center"/>
          </w:tcPr>
          <w:p w14:paraId="26C954D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E03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4E829C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157</w:t>
            </w:r>
          </w:p>
        </w:tc>
        <w:tc>
          <w:tcPr>
            <w:tcW w:w="878" w:type="dxa"/>
            <w:vAlign w:val="center"/>
          </w:tcPr>
          <w:p w14:paraId="20672FB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玄参</w:t>
            </w:r>
          </w:p>
        </w:tc>
        <w:tc>
          <w:tcPr>
            <w:tcW w:w="845" w:type="dxa"/>
            <w:vAlign w:val="center"/>
          </w:tcPr>
          <w:p w14:paraId="1C5C269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24526C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6AC00EF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圆柱形，中间略粗或上粗下细，有的微弯曲，长6～20cm，直径1～3cm。表面灰黄色或灰褐色，有不规则的纵沟、横长皮孔样突起和稀疏的横裂纹和须根痕。质坚实，不易折断，断面黑色，微有光泽。气特异似焦糖，味甘、微苦。</w:t>
            </w:r>
          </w:p>
        </w:tc>
        <w:tc>
          <w:tcPr>
            <w:tcW w:w="1938" w:type="dxa"/>
            <w:vAlign w:val="center"/>
          </w:tcPr>
          <w:p w14:paraId="4D15334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D81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4DEC6E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158</w:t>
            </w:r>
          </w:p>
        </w:tc>
        <w:tc>
          <w:tcPr>
            <w:tcW w:w="878" w:type="dxa"/>
            <w:vAlign w:val="center"/>
          </w:tcPr>
          <w:p w14:paraId="5E15F49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半夏</w:t>
            </w:r>
          </w:p>
        </w:tc>
        <w:tc>
          <w:tcPr>
            <w:tcW w:w="845" w:type="dxa"/>
            <w:vAlign w:val="center"/>
          </w:tcPr>
          <w:p w14:paraId="2F41B19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417A62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31E0BF7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本品呈类球形，有的稍偏斜，直径0.7～1.6cm。表面白色或浅黄色，顶端有凹陷的茎痕，周围密布麻点状根痕；下面钝圆，较光滑。质坚实，断面洁白，富粉性。气微，味辛辣、麻舌而刺喉。</w:t>
            </w:r>
          </w:p>
        </w:tc>
        <w:tc>
          <w:tcPr>
            <w:tcW w:w="1938" w:type="dxa"/>
            <w:vAlign w:val="center"/>
          </w:tcPr>
          <w:p w14:paraId="4D89FE1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9A3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4E909E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159</w:t>
            </w:r>
          </w:p>
        </w:tc>
        <w:tc>
          <w:tcPr>
            <w:tcW w:w="878" w:type="dxa"/>
            <w:vAlign w:val="center"/>
          </w:tcPr>
          <w:p w14:paraId="557EAD6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夏枯草</w:t>
            </w:r>
          </w:p>
        </w:tc>
        <w:tc>
          <w:tcPr>
            <w:tcW w:w="845" w:type="dxa"/>
            <w:vAlign w:val="center"/>
          </w:tcPr>
          <w:p w14:paraId="2F7C743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A0E5AB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173642C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柱形，略扁，长1.5～8cm，直径0.8～1.5cm；淡棕色至棕红色。全穗由数轮至10数轮宿萼与苞片组成，每轮有对生苞片2片，呈扇形，先端尖尾状，脉纹明显，外表面有白毛。每一苞片内有花3朵，花冠多已脱落，宿萼二唇形，内有小坚果4枚，卵圆形，棕色，尖端有白色突起。体轻。气微，味淡。</w:t>
            </w:r>
          </w:p>
        </w:tc>
        <w:tc>
          <w:tcPr>
            <w:tcW w:w="1938" w:type="dxa"/>
            <w:vAlign w:val="center"/>
          </w:tcPr>
          <w:p w14:paraId="0512FDF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F3C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654B85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160</w:t>
            </w:r>
          </w:p>
        </w:tc>
        <w:tc>
          <w:tcPr>
            <w:tcW w:w="878" w:type="dxa"/>
            <w:vAlign w:val="center"/>
          </w:tcPr>
          <w:p w14:paraId="309DE3E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葛根</w:t>
            </w:r>
          </w:p>
        </w:tc>
        <w:tc>
          <w:tcPr>
            <w:tcW w:w="845" w:type="dxa"/>
            <w:vAlign w:val="center"/>
          </w:tcPr>
          <w:p w14:paraId="3F035F7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03BD6C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5D08225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本品呈纵切的长方形厚片或小方块，长5～35cm，厚0.5～1cm。外皮淡棕色至棕色，有纵皱纹，粗糙。切面黄白色至淡黄棕色，有的纹理明显。质韧，纤维性强。气微，味微甜。</w:t>
            </w:r>
          </w:p>
        </w:tc>
        <w:tc>
          <w:tcPr>
            <w:tcW w:w="1938" w:type="dxa"/>
            <w:vAlign w:val="center"/>
          </w:tcPr>
          <w:p w14:paraId="1A683A2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15C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CF54C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161</w:t>
            </w:r>
          </w:p>
        </w:tc>
        <w:tc>
          <w:tcPr>
            <w:tcW w:w="878" w:type="dxa"/>
            <w:vAlign w:val="center"/>
          </w:tcPr>
          <w:p w14:paraId="5B60E32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知母</w:t>
            </w:r>
          </w:p>
        </w:tc>
        <w:tc>
          <w:tcPr>
            <w:tcW w:w="845" w:type="dxa"/>
            <w:vAlign w:val="center"/>
          </w:tcPr>
          <w:p w14:paraId="6DAAB59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94D1F2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550F2CE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条状，微弯曲，略扁，偶有分枝，长3～15cm，直径0.8～1.5cm，一端有浅黄色的茎叶残痕。表面黄棕色至棕色，上面有一凹沟，具紧密排列的环状节，节上密生黄棕色的残存叶基，由两侧向根茎上方生长；下面隆起而略皱缩，并有凹陷或突起的点状根痕。质硬，易折断，断面黄白色。气微，味微甜、略苦，嚼之带黏性。</w:t>
            </w:r>
          </w:p>
        </w:tc>
        <w:tc>
          <w:tcPr>
            <w:tcW w:w="1938" w:type="dxa"/>
            <w:vAlign w:val="center"/>
          </w:tcPr>
          <w:p w14:paraId="4A44B25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4E9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41D09B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162</w:t>
            </w:r>
          </w:p>
        </w:tc>
        <w:tc>
          <w:tcPr>
            <w:tcW w:w="878" w:type="dxa"/>
            <w:vAlign w:val="center"/>
          </w:tcPr>
          <w:p w14:paraId="7BF0408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牡丹皮</w:t>
            </w:r>
          </w:p>
        </w:tc>
        <w:tc>
          <w:tcPr>
            <w:tcW w:w="845" w:type="dxa"/>
            <w:vAlign w:val="center"/>
          </w:tcPr>
          <w:p w14:paraId="7F28FA4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7A65F7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68DA56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连丹皮    呈筒状或半筒状，有纵剖开的裂缝，略向内卷曲或张开，长5～20cm，直径0. 5～1. 2cm，厚0. 1～ 0.4cm。外表面灰褐色或黄褐色，有多数横长皮孔样突起和细根痕，栓皮脱落处粉红色；内表面淡灰黄色或浅棕色，有明显的细纵纹，常见发亮的结晶。质硬而脆，易折断，断面较平坦，淡粉红色，粉性。气芳香，味微苦而涩。刮丹皮    外表面有刮刀削痕，外表面红棕色或淡灰黄色， 有时可见灰褐色斑点状残存外皮。</w:t>
            </w:r>
          </w:p>
        </w:tc>
        <w:tc>
          <w:tcPr>
            <w:tcW w:w="1938" w:type="dxa"/>
            <w:vAlign w:val="center"/>
          </w:tcPr>
          <w:p w14:paraId="5A8D6A8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BB8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2D9B9D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163</w:t>
            </w:r>
          </w:p>
        </w:tc>
        <w:tc>
          <w:tcPr>
            <w:tcW w:w="878" w:type="dxa"/>
            <w:vAlign w:val="center"/>
          </w:tcPr>
          <w:p w14:paraId="3571B10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桑葚</w:t>
            </w:r>
          </w:p>
        </w:tc>
        <w:tc>
          <w:tcPr>
            <w:tcW w:w="845" w:type="dxa"/>
            <w:vAlign w:val="center"/>
          </w:tcPr>
          <w:p w14:paraId="272E043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6089D6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28E2B7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桑葚：本品为聚花果,由多数小瘦果集合而成,呈长圆形,长 1~2cm,直径0.5~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0.8cm。黄棕色、棕红色至暗紫色,有短果序梗。小瘦果卵圆形,稍扁,长约2mm,宽约1mm，外具肉质花被片4枚。气微,味微酸而甜。</w:t>
            </w:r>
          </w:p>
        </w:tc>
        <w:tc>
          <w:tcPr>
            <w:tcW w:w="1938" w:type="dxa"/>
            <w:vAlign w:val="center"/>
          </w:tcPr>
          <w:p w14:paraId="5BCA56F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新疆维吾尔自治区中药维吾尔药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饮片炮制规范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2010年版</w:t>
            </w:r>
          </w:p>
        </w:tc>
      </w:tr>
      <w:tr w14:paraId="7496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8ED8C1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164</w:t>
            </w:r>
          </w:p>
        </w:tc>
        <w:tc>
          <w:tcPr>
            <w:tcW w:w="878" w:type="dxa"/>
            <w:vAlign w:val="center"/>
          </w:tcPr>
          <w:p w14:paraId="672C993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熟地</w:t>
            </w:r>
          </w:p>
        </w:tc>
        <w:tc>
          <w:tcPr>
            <w:tcW w:w="845" w:type="dxa"/>
            <w:vAlign w:val="center"/>
          </w:tcPr>
          <w:p w14:paraId="65CBA71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BAC22C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0080DB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熟地黄：【性状】本品为不规则的块片、碎块，大小、厚薄不一。表面乌黑色，有光泽，黏性大。质柔软而带韧性，不易折断，断面乌黑色，有光泽。气微，味甜。</w:t>
            </w:r>
          </w:p>
        </w:tc>
        <w:tc>
          <w:tcPr>
            <w:tcW w:w="1938" w:type="dxa"/>
            <w:vAlign w:val="center"/>
          </w:tcPr>
          <w:p w14:paraId="0FCC986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13B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7826AD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165</w:t>
            </w:r>
          </w:p>
        </w:tc>
        <w:tc>
          <w:tcPr>
            <w:tcW w:w="878" w:type="dxa"/>
            <w:vAlign w:val="center"/>
          </w:tcPr>
          <w:p w14:paraId="3DEEB84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细辛</w:t>
            </w:r>
          </w:p>
        </w:tc>
        <w:tc>
          <w:tcPr>
            <w:tcW w:w="845" w:type="dxa"/>
            <w:vAlign w:val="center"/>
          </w:tcPr>
          <w:p w14:paraId="4F71B0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38F33F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0AA59A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北细辛常卷曲成团。根茎横生呈不规则圆柱状，具短分枝，长1～10cm，直径0.2～0.4cm；表面灰棕色，粗糙，有环形的节，节间长0.2～0.3cm，分枝顶端有碗状的茎痕。根细长，密生节上，长10～20cm，直径0.1cm；表面灰黄色，平滑或具纵皱纹；有须根和须根痕；质脆，易折断，断面平坦，黄白色或白色。气辛香，味辛辣、麻舌。　汉城细辛根茎直径0.1~0.5cm，节间长0.1～1cm。华细辛根茎长5～20cm，直径0.1~0.2cm，节间长0.2~1cm。气味较弱。</w:t>
            </w:r>
          </w:p>
        </w:tc>
        <w:tc>
          <w:tcPr>
            <w:tcW w:w="1938" w:type="dxa"/>
            <w:vAlign w:val="center"/>
          </w:tcPr>
          <w:p w14:paraId="405D31A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EE1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BBDA05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166</w:t>
            </w:r>
          </w:p>
        </w:tc>
        <w:tc>
          <w:tcPr>
            <w:tcW w:w="878" w:type="dxa"/>
            <w:vAlign w:val="center"/>
          </w:tcPr>
          <w:p w14:paraId="417D340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当归</w:t>
            </w:r>
          </w:p>
        </w:tc>
        <w:tc>
          <w:tcPr>
            <w:tcW w:w="845" w:type="dxa"/>
            <w:vAlign w:val="center"/>
          </w:tcPr>
          <w:p w14:paraId="475CA66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DAFB0F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00DA7F3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略呈圆柱形，下部有支根3～5条或更多，长15～25cm。表面浅棕色至棕褐色，具纵皱纹和横长皮孔样突起。根头（归头）直径1.5～4cm，具环纹，上端圆钝，或具数个明显突出的根茎痕，有紫色或黄绿色的茎和叶鞘的残基；主根（归身）表面凹凸不平；支根（归尾）直径0.3～1cm，上粗下细，多扭曲，有少数须根痕。质柔韧，断面黄白色或淡黄棕色，皮部厚，有裂隙和多数棕色点状分泌腔，木部色较淡，形成层环黄棕色。有浓郁的香气，味甘、辛、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柴性大、干枯无油或断面呈绿褐色者不可供药用。</w:t>
            </w:r>
          </w:p>
        </w:tc>
        <w:tc>
          <w:tcPr>
            <w:tcW w:w="1938" w:type="dxa"/>
            <w:vAlign w:val="center"/>
          </w:tcPr>
          <w:p w14:paraId="6951526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AB6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D0479C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167</w:t>
            </w:r>
          </w:p>
        </w:tc>
        <w:tc>
          <w:tcPr>
            <w:tcW w:w="878" w:type="dxa"/>
            <w:vAlign w:val="center"/>
          </w:tcPr>
          <w:p w14:paraId="6FCC1CB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白芍</w:t>
            </w:r>
          </w:p>
        </w:tc>
        <w:tc>
          <w:tcPr>
            <w:tcW w:w="845" w:type="dxa"/>
            <w:vAlign w:val="center"/>
          </w:tcPr>
          <w:p w14:paraId="66BF8C7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011647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15A437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柱形，平直或稍弯曲，两端平截，长5～18cm，直径1～2.5cm。表面类白色或淡棕红色，光洁或有纵皱纹及细根痕，偶有残存的棕褐色外皮。质坚实，不易折断，断面较平坦，类白色或微带棕红色，形成层环明显，射线放射状。气微，味微苦、酸。</w:t>
            </w:r>
          </w:p>
        </w:tc>
        <w:tc>
          <w:tcPr>
            <w:tcW w:w="1938" w:type="dxa"/>
            <w:vAlign w:val="center"/>
          </w:tcPr>
          <w:p w14:paraId="1C51CDE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697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79C631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168</w:t>
            </w:r>
          </w:p>
        </w:tc>
        <w:tc>
          <w:tcPr>
            <w:tcW w:w="878" w:type="dxa"/>
            <w:vAlign w:val="center"/>
          </w:tcPr>
          <w:p w14:paraId="1927567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黄柏</w:t>
            </w:r>
          </w:p>
        </w:tc>
        <w:tc>
          <w:tcPr>
            <w:tcW w:w="845" w:type="dxa"/>
            <w:vAlign w:val="center"/>
          </w:tcPr>
          <w:p w14:paraId="02AF8F5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30D9C5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B81EA8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板片状或浅槽状，长宽不一，厚1～6mm。外表面黄褐色或黄棕色，平坦或具纵沟纹，有的可见皮孔痕及残存的灰褐色粗皮；内表面暗黄色或淡棕色，具细密的纵棱纹。体轻，质硬，断面纤维性，呈裂片状分层，深黄色。气微，味极苦，嚼之有黏性。</w:t>
            </w:r>
          </w:p>
        </w:tc>
        <w:tc>
          <w:tcPr>
            <w:tcW w:w="1938" w:type="dxa"/>
            <w:vAlign w:val="center"/>
          </w:tcPr>
          <w:p w14:paraId="16143C2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764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32F0F8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169</w:t>
            </w:r>
          </w:p>
        </w:tc>
        <w:tc>
          <w:tcPr>
            <w:tcW w:w="878" w:type="dxa"/>
            <w:vAlign w:val="center"/>
          </w:tcPr>
          <w:p w14:paraId="7192421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大青叶</w:t>
            </w:r>
          </w:p>
        </w:tc>
        <w:tc>
          <w:tcPr>
            <w:tcW w:w="845" w:type="dxa"/>
            <w:vAlign w:val="center"/>
          </w:tcPr>
          <w:p w14:paraId="73DB2B6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43E48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1E42A22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本品多皱缩卷曲,破碎。叶片上表面暗灰绿色,有的可见色较深稍突起的小点;先端钝,全缘或微波状。基部狭窄下延至叶柄呈翼状;叶柄淡棕黄色。质脆。气微,味微酸、苦、涩。</w:t>
            </w:r>
          </w:p>
        </w:tc>
        <w:tc>
          <w:tcPr>
            <w:tcW w:w="1938" w:type="dxa"/>
            <w:vAlign w:val="center"/>
          </w:tcPr>
          <w:p w14:paraId="3863219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新疆维吾尔自治区中药维吾尔药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饮片炮制规范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2010年版</w:t>
            </w:r>
          </w:p>
        </w:tc>
      </w:tr>
      <w:tr w14:paraId="0B5D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74D8FD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170</w:t>
            </w:r>
          </w:p>
        </w:tc>
        <w:tc>
          <w:tcPr>
            <w:tcW w:w="878" w:type="dxa"/>
            <w:vAlign w:val="center"/>
          </w:tcPr>
          <w:p w14:paraId="5026B87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天麦冬</w:t>
            </w:r>
          </w:p>
        </w:tc>
        <w:tc>
          <w:tcPr>
            <w:tcW w:w="845" w:type="dxa"/>
            <w:vAlign w:val="center"/>
          </w:tcPr>
          <w:p w14:paraId="62762BF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23F2B4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DDE91D1">
            <w:pPr>
              <w:keepNext w:val="0"/>
              <w:keepLines w:val="0"/>
              <w:widowControl/>
              <w:suppressLineNumbers w:val="0"/>
              <w:spacing w:after="240" w:afterAutospacing="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湖北麦冬　呈纺锤形，两端略尖，长1.2～3cm，直径0.4～0.7cm。表面淡黄色至棕黄色，具不规则皱纹。质柔韧，干后质硬脆，易折断，断面淡黄色至棕黄色，角质样，中柱细小。气微，味甜，嚼之发粘。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短葶山麦冬  稍扁，长2～5cm，直径0.3～0.8cm，具粗纵纹，味甘、微苦。</w:t>
            </w:r>
          </w:p>
        </w:tc>
        <w:tc>
          <w:tcPr>
            <w:tcW w:w="1938" w:type="dxa"/>
            <w:vAlign w:val="center"/>
          </w:tcPr>
          <w:p w14:paraId="52C9C98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卫生部药品标准 1998年版中药材分册</w:t>
            </w:r>
          </w:p>
        </w:tc>
      </w:tr>
      <w:tr w14:paraId="28F0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A69F8F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171</w:t>
            </w:r>
          </w:p>
        </w:tc>
        <w:tc>
          <w:tcPr>
            <w:tcW w:w="878" w:type="dxa"/>
            <w:vAlign w:val="center"/>
          </w:tcPr>
          <w:p w14:paraId="46770EE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金银花</w:t>
            </w:r>
          </w:p>
        </w:tc>
        <w:tc>
          <w:tcPr>
            <w:tcW w:w="845" w:type="dxa"/>
            <w:vAlign w:val="center"/>
          </w:tcPr>
          <w:p w14:paraId="4EAF1EA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1C1A1A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044FEB7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棒状，上粗下细，略弯曲，长2～3cm，上部直径约3mm，下部直径约1.5mm。表面黄白色或绿白色（贮久色渐深），密被短柔毛。偶见叶状苞片。花萼绿色，先端5裂，裂片有毛，长约2mm。开放者花冠筒状，先端二唇形；雄蕊5，附于筒壁，黄色；雌蕊1，子房无毛。气清香，味淡、微苦。</w:t>
            </w:r>
          </w:p>
        </w:tc>
        <w:tc>
          <w:tcPr>
            <w:tcW w:w="1938" w:type="dxa"/>
            <w:vAlign w:val="center"/>
          </w:tcPr>
          <w:p w14:paraId="3600083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D23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40E8A3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172</w:t>
            </w:r>
          </w:p>
        </w:tc>
        <w:tc>
          <w:tcPr>
            <w:tcW w:w="878" w:type="dxa"/>
            <w:vAlign w:val="center"/>
          </w:tcPr>
          <w:p w14:paraId="0A15AFF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炙甘草</w:t>
            </w:r>
          </w:p>
        </w:tc>
        <w:tc>
          <w:tcPr>
            <w:tcW w:w="845" w:type="dxa"/>
            <w:vAlign w:val="center"/>
          </w:tcPr>
          <w:p w14:paraId="6260063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EAB34E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FEF1D6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本品为类圆形或椭圆形厚片。外表皮红棕色或灰棕色，微有光泽。切面黄色至深黄色，形成层环明显，射线放射状。质稍黏。具香气，味甜。</w:t>
            </w:r>
          </w:p>
        </w:tc>
        <w:tc>
          <w:tcPr>
            <w:tcW w:w="1938" w:type="dxa"/>
            <w:vAlign w:val="center"/>
          </w:tcPr>
          <w:p w14:paraId="3FD06FB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北京市中药饮片炮制规范2008年版</w:t>
            </w:r>
          </w:p>
        </w:tc>
      </w:tr>
      <w:tr w14:paraId="4F70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DE0AA2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173</w:t>
            </w:r>
          </w:p>
        </w:tc>
        <w:tc>
          <w:tcPr>
            <w:tcW w:w="878" w:type="dxa"/>
            <w:vAlign w:val="center"/>
          </w:tcPr>
          <w:p w14:paraId="484B67D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海桐皮</w:t>
            </w:r>
          </w:p>
        </w:tc>
        <w:tc>
          <w:tcPr>
            <w:tcW w:w="845" w:type="dxa"/>
            <w:vAlign w:val="center"/>
          </w:tcPr>
          <w:p w14:paraId="4A0FC12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C46E29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089F3A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刺桐、乔木刺桐呈方形片块，厚0.3~1cm。外表面灰褐色，具纵裂纹，有的具乳头状的钉刺；内表面黄棕色，平滑，有细密的纵网纹。质硬而韧，断面粗糙，纤维性，呈层片状。气微，味淡或微苦。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浙桐皮厚0.1~0.2cm，内表面黄白色，密生纵向的灰褐色短线状或梭形的条纹。味微苦。</w:t>
            </w:r>
          </w:p>
        </w:tc>
        <w:tc>
          <w:tcPr>
            <w:tcW w:w="1938" w:type="dxa"/>
            <w:vAlign w:val="center"/>
          </w:tcPr>
          <w:p w14:paraId="4955292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浙江省中药炮制规范2015年版</w:t>
            </w:r>
          </w:p>
        </w:tc>
      </w:tr>
      <w:tr w14:paraId="40CB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3A8F44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174</w:t>
            </w:r>
          </w:p>
        </w:tc>
        <w:tc>
          <w:tcPr>
            <w:tcW w:w="878" w:type="dxa"/>
            <w:vAlign w:val="center"/>
          </w:tcPr>
          <w:p w14:paraId="6CA5066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芦根</w:t>
            </w:r>
          </w:p>
        </w:tc>
        <w:tc>
          <w:tcPr>
            <w:tcW w:w="845" w:type="dxa"/>
            <w:vAlign w:val="center"/>
          </w:tcPr>
          <w:p w14:paraId="4C37C22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D175BC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81E615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鲜芦根  呈长圆柱形，有的略扁，长短不一，直径1～2cm。表面黄白色，有光泽，外皮疏松可剥离，节呈环状，有残根和芽痕。体轻，质韧，不易折断。切断面黄白色，中空，壁厚1～2mm，有小孔排列成环。气微，味甘。芦根  呈扁圆柱形。节处较硬，节间有纵皱纹。</w:t>
            </w:r>
          </w:p>
        </w:tc>
        <w:tc>
          <w:tcPr>
            <w:tcW w:w="1938" w:type="dxa"/>
            <w:vAlign w:val="center"/>
          </w:tcPr>
          <w:p w14:paraId="0B01CBE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799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DABB99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175</w:t>
            </w:r>
          </w:p>
        </w:tc>
        <w:tc>
          <w:tcPr>
            <w:tcW w:w="878" w:type="dxa"/>
            <w:vAlign w:val="center"/>
          </w:tcPr>
          <w:p w14:paraId="58237BA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石斛</w:t>
            </w:r>
          </w:p>
        </w:tc>
        <w:tc>
          <w:tcPr>
            <w:tcW w:w="845" w:type="dxa"/>
            <w:vAlign w:val="center"/>
          </w:tcPr>
          <w:p w14:paraId="2AE5ED9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2E70FC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A65350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鲜石斛 呈圆柱形或扁圆柱形，长约30cm，直径0.4～1.2cm。表面黄绿色，光滑或有纵纹，节明显，色较深，节上有膜质叶鞘。肉质多汁，易折断。气微，味微苦而回甜，嚼之有黏性。金钗石斛 呈扁圆柱形，长20～40cm，直径0.4～0.6cm，节间长2.5～3cm。表面金黄色或黄中带绿色，有深纵沟。质硬而脆，断面较平坦而疏松。气微，味苦。霍山石斛 干条呈直条状或不规则弯曲形，长2～8cm，直径1～4mm。表面淡黄绿色至黄绿色，偶有黄褐色斑块，有细纵纹，节明显，节上有的可见残留的灰白色膜质叶鞘；一端可见茎基部残留的短须根或须根痕，另一端为茎尖，较细。质硬而脆，易折断，断面平坦，灰黄色至灰绿色，略角质状。气微，味淡，嚼之有黏性。鲜品稍肥大。肉质，易折断，断面淡黄绿色至深绿色。气微，味淡，嚼之有黏性且少有渣。枫斗呈螺旋形或弹簧状，通常为2～5个旋纹，茎拉直后性状同干条。鼓槌石斛 呈粗纺锤形，中部直径1～3cm，具3～7节。表面光滑，金黄色，有明显凸起的棱。质轻而松脆，断面海绵状。气微，味淡，嚼之有黏性。流苏石斛等 呈长圆柱形，长20～150cm，直径0.4～1.2cm，节明显，节间长2～6cm。表面黄色至暗黄色，有深纵槽。质疏松，断面平坦或呈纤维性。味淡或微苦，嚼之有黏性。</w:t>
            </w:r>
          </w:p>
        </w:tc>
        <w:tc>
          <w:tcPr>
            <w:tcW w:w="1938" w:type="dxa"/>
            <w:vAlign w:val="center"/>
          </w:tcPr>
          <w:p w14:paraId="699AFBC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688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1C18A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176</w:t>
            </w:r>
          </w:p>
        </w:tc>
        <w:tc>
          <w:tcPr>
            <w:tcW w:w="878" w:type="dxa"/>
            <w:vAlign w:val="center"/>
          </w:tcPr>
          <w:p w14:paraId="62FE654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地黄</w:t>
            </w:r>
          </w:p>
        </w:tc>
        <w:tc>
          <w:tcPr>
            <w:tcW w:w="845" w:type="dxa"/>
            <w:vAlign w:val="center"/>
          </w:tcPr>
          <w:p w14:paraId="6AD7FA7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3161B9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67AEF7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鲜地黄  呈纺锤形或条状，长8～24cm，直径2～9cm。外皮薄，表面浅红黄色，具弯曲的纵皱纹、芽痕、横长皮孔样突起及不规则疤痕。肉质，易断，断面皮部淡黄白色，可见橘红色油点，木部黄白色，导管呈放射状排列。气微，味微甜、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生地黄  多呈不规则的团块状或长圆形，中间膨大，两端稍细，有的细小，长条状，稍扁而扭曲，长6～12cm，直径2～6cm。表面棕黑色或棕灰色，极皱缩，具不规则的横曲纹。体重，质较软而韧，不易折断，断面棕黄色至黑色或乌黑色，有光泽，具黏性。气微，味微甜。</w:t>
            </w:r>
          </w:p>
        </w:tc>
        <w:tc>
          <w:tcPr>
            <w:tcW w:w="1938" w:type="dxa"/>
            <w:vAlign w:val="center"/>
          </w:tcPr>
          <w:p w14:paraId="113E4DB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F0F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DEE101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177</w:t>
            </w:r>
          </w:p>
        </w:tc>
        <w:tc>
          <w:tcPr>
            <w:tcW w:w="878" w:type="dxa"/>
            <w:vAlign w:val="center"/>
          </w:tcPr>
          <w:p w14:paraId="2AA091B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炒槐花</w:t>
            </w:r>
          </w:p>
        </w:tc>
        <w:tc>
          <w:tcPr>
            <w:tcW w:w="845" w:type="dxa"/>
            <w:vAlign w:val="center"/>
          </w:tcPr>
          <w:p w14:paraId="79FE88D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A04068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3D9022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炒槐花  取净槐花，照清炒法（通则0213）炒至表面深黄色。</w:t>
            </w:r>
          </w:p>
        </w:tc>
        <w:tc>
          <w:tcPr>
            <w:tcW w:w="1938" w:type="dxa"/>
            <w:vAlign w:val="center"/>
          </w:tcPr>
          <w:p w14:paraId="35E9A3B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B1A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5C7195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178</w:t>
            </w:r>
          </w:p>
        </w:tc>
        <w:tc>
          <w:tcPr>
            <w:tcW w:w="878" w:type="dxa"/>
            <w:vAlign w:val="center"/>
          </w:tcPr>
          <w:p w14:paraId="095505E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天山雪莲</w:t>
            </w:r>
          </w:p>
        </w:tc>
        <w:tc>
          <w:tcPr>
            <w:tcW w:w="845" w:type="dxa"/>
            <w:vAlign w:val="center"/>
          </w:tcPr>
          <w:p w14:paraId="093A43C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株</w:t>
            </w:r>
          </w:p>
        </w:tc>
        <w:tc>
          <w:tcPr>
            <w:tcW w:w="977" w:type="dxa"/>
            <w:vAlign w:val="center"/>
          </w:tcPr>
          <w:p w14:paraId="74983A4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329" w:type="dxa"/>
            <w:vAlign w:val="center"/>
          </w:tcPr>
          <w:p w14:paraId="0A82B6E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茎呈圆柱形，长2～48cm，直径0.5～3cm；表面黄绿色或黄棕色，有的微带紫色，具纵棱，断面中空。茎生叶密集排列，无柄，或脱落留有残基，完整叶片呈卵状长圆形或广披针形，两面被柔毛，边缘有锯齿和缘毛，主脉明显。头状花序顶生，10～42个密集成圆球形，无梗。苞叶长卵形或卵形，无柄，中部凹陷呈舟状，膜质，半透明。总苞片3～4层，披针形，等长，外层多呈紫褐色，内层棕黄色或黄白色。花管状，紫红色，柱头2裂。瘦果圆柱形，具纵棱，羽状冠毛2层。体轻，质脆。气微香，味微苦。</w:t>
            </w:r>
          </w:p>
        </w:tc>
        <w:tc>
          <w:tcPr>
            <w:tcW w:w="1938" w:type="dxa"/>
            <w:vAlign w:val="center"/>
          </w:tcPr>
          <w:p w14:paraId="1FF2812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631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5EAB78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179</w:t>
            </w:r>
          </w:p>
        </w:tc>
        <w:tc>
          <w:tcPr>
            <w:tcW w:w="878" w:type="dxa"/>
            <w:vAlign w:val="center"/>
          </w:tcPr>
          <w:p w14:paraId="3EE071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羌活</w:t>
            </w:r>
          </w:p>
        </w:tc>
        <w:tc>
          <w:tcPr>
            <w:tcW w:w="845" w:type="dxa"/>
            <w:vAlign w:val="center"/>
          </w:tcPr>
          <w:p w14:paraId="6D7D3A3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936F1A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278EC45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为圆柱状略弯曲的根茎，长4～13cm，直径0.6～2.5cm，顶端具茎痕。表面棕褐色至黑褐色，外皮脱落处呈黄色。节间缩短，呈紧密隆起的环状，形似蚕，习称“蚕羌”；节间延长，形如竹节状，习称“竹节羌”。节上有多数点状或瘤状突起的根痕及棕色破碎鳞片。体轻，质脆，易折断，断面不平整，有多数裂隙，皮部黄棕色至暗棕色，油润，有棕色油点，木部黄白色，射线明显，髓部黄色至黄棕色。气香，味微苦而辛。</w:t>
            </w:r>
          </w:p>
        </w:tc>
        <w:tc>
          <w:tcPr>
            <w:tcW w:w="1938" w:type="dxa"/>
            <w:vAlign w:val="center"/>
          </w:tcPr>
          <w:p w14:paraId="5822BC3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581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658A79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180</w:t>
            </w:r>
          </w:p>
        </w:tc>
        <w:tc>
          <w:tcPr>
            <w:tcW w:w="878" w:type="dxa"/>
            <w:vAlign w:val="center"/>
          </w:tcPr>
          <w:p w14:paraId="5657258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地龙</w:t>
            </w:r>
          </w:p>
        </w:tc>
        <w:tc>
          <w:tcPr>
            <w:tcW w:w="845" w:type="dxa"/>
            <w:vAlign w:val="center"/>
          </w:tcPr>
          <w:p w14:paraId="1EBC6FA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5E1F7F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14E535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广地龙 呈长条状薄片，弯曲，边缘略卷，长15～20cm，宽1～2cm。全体具环节，背部棕褐色至紫灰色，腹部浅黄棕色；第14～16环节为生殖带，习称“白颈”，较光亮。体前端稍尖，尾端钝圆，刚毛圈粗糙而硬，色稍浅。雄生殖孔在第18环节腹侧刚毛圈一小孔突上，外缘有数环绕的浅皮褶，内侧刚毛圈隆起，前面两边有横排（一排或二排）小乳突，每边10～20个不等。受精囊孔2对，位于7/8至8/9环节间一椭圆形突起上，约占节周5/11。体轻，略呈革质，不易折断。气腥，味微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沪地龙 长8～15cm，宽0.5～1.5cm。全体具环节，背部棕褐色至黄褐色，腹部浅黄棕色;第14～16环节为生殖带，较光亮。第18环节有一对雄生殖孔。通俗环毛蚓的雄交配腔能全部翻出，呈花菜状或阴茎状;威廉环毛蚓的雄交配腔孔呈纵向裂缝状；栉盲环毛蚓的雄生殖孔内侧有1或多个小乳突。受精囊孔3对，在6/7至8/9环节间。</w:t>
            </w:r>
          </w:p>
        </w:tc>
        <w:tc>
          <w:tcPr>
            <w:tcW w:w="1938" w:type="dxa"/>
            <w:vAlign w:val="center"/>
          </w:tcPr>
          <w:p w14:paraId="627A449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3E5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734E91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181</w:t>
            </w:r>
          </w:p>
        </w:tc>
        <w:tc>
          <w:tcPr>
            <w:tcW w:w="878" w:type="dxa"/>
            <w:vAlign w:val="center"/>
          </w:tcPr>
          <w:p w14:paraId="7DAA640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合欢花</w:t>
            </w:r>
          </w:p>
        </w:tc>
        <w:tc>
          <w:tcPr>
            <w:tcW w:w="845" w:type="dxa"/>
            <w:vAlign w:val="center"/>
          </w:tcPr>
          <w:p w14:paraId="20E8E3A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008402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w:t>
            </w:r>
          </w:p>
        </w:tc>
        <w:tc>
          <w:tcPr>
            <w:tcW w:w="5329" w:type="dxa"/>
            <w:vAlign w:val="center"/>
          </w:tcPr>
          <w:p w14:paraId="05F99D9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合欢花</w:t>
            </w:r>
            <w:r>
              <w:rPr>
                <w:rFonts w:hint="eastAsia" w:ascii="宋体" w:hAnsi="宋体" w:eastAsia="宋体" w:cs="宋体"/>
                <w:i w:val="0"/>
                <w:iCs w:val="0"/>
                <w:snapToGrid w:val="0"/>
                <w:color w:val="000000"/>
                <w:kern w:val="0"/>
                <w:sz w:val="22"/>
                <w:szCs w:val="22"/>
                <w:u w:val="none"/>
                <w:lang w:val="en-US" w:eastAsia="zh-CN" w:bidi="ar"/>
              </w:rPr>
              <w:t xml:space="preserve">  头状花序，皱缩成团。总花梗长3～4cm，有时与花序脱离，黄绿色，有纵纹，被稀疏毛茸。花全体密被毛茸，细长而弯曲，长0.7～1cm，淡黄色或黄褐色，无花梗或几无花梗。花萼筒状，先端有5小齿；花冠筒长约为萼筒的2倍，先端5裂，裂片披针形；雄蕊多数，花丝细长，黄棕色至黄褐色，下部合生，上部分离，伸出花冠筒外。气微香，味淡。</w:t>
            </w:r>
          </w:p>
        </w:tc>
        <w:tc>
          <w:tcPr>
            <w:tcW w:w="1938" w:type="dxa"/>
            <w:vAlign w:val="center"/>
          </w:tcPr>
          <w:p w14:paraId="141F671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CA4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70A0E7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182</w:t>
            </w:r>
          </w:p>
        </w:tc>
        <w:tc>
          <w:tcPr>
            <w:tcW w:w="878" w:type="dxa"/>
            <w:vAlign w:val="center"/>
          </w:tcPr>
          <w:p w14:paraId="6A03638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金莲花</w:t>
            </w:r>
          </w:p>
        </w:tc>
        <w:tc>
          <w:tcPr>
            <w:tcW w:w="845" w:type="dxa"/>
            <w:vAlign w:val="center"/>
          </w:tcPr>
          <w:p w14:paraId="75C98DD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2205FF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185DFFD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为不规则团块状花朵或花蕾，皱缩，直径1~2.5cm，金黄色或棕黄色。萼片花瓣</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状，通常10~16片，卵圆形或倒卵形，长1.8~3cm，宽0.9~2cm。花瓣多数，长条形，长1.4~2.5cm，宽0.1~0.3cm；先端渐尖，近基部可见蜜槽。雄蕊多数，淡黄色。花梗灰绿色。体轻，质疏松。气芳香，味微苦。</w:t>
            </w:r>
          </w:p>
        </w:tc>
        <w:tc>
          <w:tcPr>
            <w:tcW w:w="1938" w:type="dxa"/>
            <w:vAlign w:val="center"/>
          </w:tcPr>
          <w:p w14:paraId="438808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浙江省中药炮制规范2015年版</w:t>
            </w:r>
          </w:p>
        </w:tc>
      </w:tr>
      <w:tr w14:paraId="07C4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21831C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183</w:t>
            </w:r>
          </w:p>
        </w:tc>
        <w:tc>
          <w:tcPr>
            <w:tcW w:w="878" w:type="dxa"/>
            <w:vAlign w:val="center"/>
          </w:tcPr>
          <w:p w14:paraId="7E0AAF2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黄芪</w:t>
            </w:r>
          </w:p>
        </w:tc>
        <w:tc>
          <w:tcPr>
            <w:tcW w:w="845" w:type="dxa"/>
            <w:vAlign w:val="center"/>
          </w:tcPr>
          <w:p w14:paraId="0185828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E2FD65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8D368D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柱形，有的有分枝，上端较粗，长30～90cm，直径1～3.5cm。表面淡棕黄色或淡棕褐色，有不整齐的纵皱纹或纵沟。质硬而韧，不易折断，断面纤维性强，并显粉性，皮部黄白色，木部淡黄色，有放射状纹理和裂隙，老根中心偶呈枯朽状，黑褐色或呈空洞。气微，味微甜，嚼之微有豆腥味。</w:t>
            </w:r>
          </w:p>
        </w:tc>
        <w:tc>
          <w:tcPr>
            <w:tcW w:w="1938" w:type="dxa"/>
            <w:vAlign w:val="center"/>
          </w:tcPr>
          <w:p w14:paraId="1ACAAB4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F95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6B8021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184</w:t>
            </w:r>
          </w:p>
        </w:tc>
        <w:tc>
          <w:tcPr>
            <w:tcW w:w="878" w:type="dxa"/>
            <w:vAlign w:val="center"/>
          </w:tcPr>
          <w:p w14:paraId="0A6ED6A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北柴胡</w:t>
            </w:r>
          </w:p>
        </w:tc>
        <w:tc>
          <w:tcPr>
            <w:tcW w:w="845" w:type="dxa"/>
            <w:vAlign w:val="center"/>
          </w:tcPr>
          <w:p w14:paraId="5562466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B6B482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5329" w:type="dxa"/>
            <w:vAlign w:val="center"/>
          </w:tcPr>
          <w:p w14:paraId="6C8D31B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 xml:space="preserve">北柴胡 </w:t>
            </w:r>
            <w:r>
              <w:rPr>
                <w:rFonts w:hint="eastAsia" w:ascii="宋体" w:hAnsi="宋体" w:eastAsia="宋体" w:cs="宋体"/>
                <w:i w:val="0"/>
                <w:iCs w:val="0"/>
                <w:snapToGrid w:val="0"/>
                <w:color w:val="000000"/>
                <w:kern w:val="0"/>
                <w:sz w:val="22"/>
                <w:szCs w:val="22"/>
                <w:u w:val="none"/>
                <w:lang w:val="en-US" w:eastAsia="zh-CN" w:bidi="ar"/>
              </w:rPr>
              <w:t>呈圆柱形或长圆锥形，长6～15cm，直径0.3～0.8cm。根头膨大，顶端残留3～15个茎基或短纤维状叶基，下部分枝。表面黑褐色或浅棕色，具纵皱纹、支根痕及皮孔。质硬而韧，不易折断，断面显纤维性，皮部浅棕色，木部黄白色。气微香，味微苦。</w:t>
            </w:r>
          </w:p>
        </w:tc>
        <w:tc>
          <w:tcPr>
            <w:tcW w:w="1938" w:type="dxa"/>
            <w:vAlign w:val="center"/>
          </w:tcPr>
          <w:p w14:paraId="00AD63D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209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21AA53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185</w:t>
            </w:r>
          </w:p>
        </w:tc>
        <w:tc>
          <w:tcPr>
            <w:tcW w:w="878" w:type="dxa"/>
            <w:vAlign w:val="center"/>
          </w:tcPr>
          <w:p w14:paraId="0E53FDF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白果仁</w:t>
            </w:r>
          </w:p>
        </w:tc>
        <w:tc>
          <w:tcPr>
            <w:tcW w:w="845" w:type="dxa"/>
            <w:vAlign w:val="center"/>
          </w:tcPr>
          <w:p w14:paraId="7AD5621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050FB5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751D99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【炮制】白果仁 取白果，除去杂质及硬壳，用时捣碎。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【性状】本品种仁宽卵球形或椭圆形，有残留膜质内种皮，一端淡棕色，另一端金黄色。质地较硬。横断面胶质样，外层黄色，内层淡黄色，粉性，中间有空隙。气微，味甘、微苦。</w:t>
            </w:r>
          </w:p>
        </w:tc>
        <w:tc>
          <w:tcPr>
            <w:tcW w:w="1938" w:type="dxa"/>
            <w:vAlign w:val="center"/>
          </w:tcPr>
          <w:p w14:paraId="4315793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637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AB60B5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186</w:t>
            </w:r>
          </w:p>
        </w:tc>
        <w:tc>
          <w:tcPr>
            <w:tcW w:w="878" w:type="dxa"/>
            <w:vAlign w:val="center"/>
          </w:tcPr>
          <w:p w14:paraId="1DB46D9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百合</w:t>
            </w:r>
          </w:p>
        </w:tc>
        <w:tc>
          <w:tcPr>
            <w:tcW w:w="845" w:type="dxa"/>
            <w:vAlign w:val="center"/>
          </w:tcPr>
          <w:p w14:paraId="1F5E4E0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A6B027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0C9399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椭圆形，长2～5cm，宽1～2cm，中部厚1.3～4mm。表面黄白色至淡棕黄色，有的微带紫色，有数条纵直平行的白色维管束。顶端稍尖，基部较宽，边缘薄，微波状，略向内弯曲。质硬而脆，断面较平坦，角质样。气微，味微苦。</w:t>
            </w:r>
          </w:p>
        </w:tc>
        <w:tc>
          <w:tcPr>
            <w:tcW w:w="1938" w:type="dxa"/>
            <w:vAlign w:val="center"/>
          </w:tcPr>
          <w:p w14:paraId="0376905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936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59EE17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187</w:t>
            </w:r>
          </w:p>
        </w:tc>
        <w:tc>
          <w:tcPr>
            <w:tcW w:w="878" w:type="dxa"/>
            <w:vAlign w:val="center"/>
          </w:tcPr>
          <w:p w14:paraId="1097EEB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白花酸藤果</w:t>
            </w:r>
          </w:p>
        </w:tc>
        <w:tc>
          <w:tcPr>
            <w:tcW w:w="845" w:type="dxa"/>
            <w:vAlign w:val="center"/>
          </w:tcPr>
          <w:p w14:paraId="337F441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048589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5798C2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本品呈球形，略似胡椒状，直径2~6mm。表面灰褐色至暗红色，有皱缩纹理，在放大镜下可见其花柱基于顶端呈圆点状，下端附有紧贴在果皮上的略微突起的宿存花尊。有的果实带有1~3mm 长的细果柄。果皮质脆，较易剥落。种子质坚硬，种皮棕色，其底部可见一椭圆形凹陷孔。气微，味微酸甜。</w:t>
            </w:r>
          </w:p>
        </w:tc>
        <w:tc>
          <w:tcPr>
            <w:tcW w:w="1938" w:type="dxa"/>
            <w:vAlign w:val="center"/>
          </w:tcPr>
          <w:p w14:paraId="1E21AA9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0C89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CDB3AA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188</w:t>
            </w:r>
          </w:p>
        </w:tc>
        <w:tc>
          <w:tcPr>
            <w:tcW w:w="878" w:type="dxa"/>
            <w:vAlign w:val="center"/>
          </w:tcPr>
          <w:p w14:paraId="2FBAADA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败酱草</w:t>
            </w:r>
          </w:p>
        </w:tc>
        <w:tc>
          <w:tcPr>
            <w:tcW w:w="845" w:type="dxa"/>
            <w:vAlign w:val="center"/>
          </w:tcPr>
          <w:p w14:paraId="543D6F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F7E35A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885210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本品为不规则的段。根茎圆柱形，表面暗棕色至紫棕色；茎圆柱形，黄绿色至黄棕色.常有倒生的粗毛，质脆，切面中央有髓或呈细小空洞；叶多皱缩，破碎，灰绿色或黄棕色。气特异.味微苦。</w:t>
            </w:r>
          </w:p>
        </w:tc>
        <w:tc>
          <w:tcPr>
            <w:tcW w:w="1938" w:type="dxa"/>
            <w:vAlign w:val="center"/>
          </w:tcPr>
          <w:p w14:paraId="0C0B316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江苏省中药饮片炮制规范2020年版</w:t>
            </w:r>
          </w:p>
        </w:tc>
      </w:tr>
      <w:tr w14:paraId="6204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341C1A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189</w:t>
            </w:r>
          </w:p>
        </w:tc>
        <w:tc>
          <w:tcPr>
            <w:tcW w:w="878" w:type="dxa"/>
            <w:vAlign w:val="center"/>
          </w:tcPr>
          <w:p w14:paraId="32A7828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巴戟天</w:t>
            </w:r>
          </w:p>
        </w:tc>
        <w:tc>
          <w:tcPr>
            <w:tcW w:w="845" w:type="dxa"/>
            <w:vAlign w:val="center"/>
          </w:tcPr>
          <w:p w14:paraId="516AA13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EF5045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D71254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扁圆柱形，略弯曲，长短不等，直径0.5～2cm。表面灰黄色或暗灰色，具纵纹和横裂纹，有的皮部横向断离露出木部；质韧，断面皮部厚，紫色或淡紫色，易与木部剥离；木部坚硬，黄棕色或黄白色，直径1～5mm。气微，味甘而微涩。</w:t>
            </w:r>
          </w:p>
        </w:tc>
        <w:tc>
          <w:tcPr>
            <w:tcW w:w="1938" w:type="dxa"/>
            <w:vAlign w:val="center"/>
          </w:tcPr>
          <w:p w14:paraId="34D897F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DA9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7067F2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190</w:t>
            </w:r>
          </w:p>
        </w:tc>
        <w:tc>
          <w:tcPr>
            <w:tcW w:w="878" w:type="dxa"/>
            <w:vAlign w:val="center"/>
          </w:tcPr>
          <w:p w14:paraId="76B80F6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白茅根</w:t>
            </w:r>
          </w:p>
        </w:tc>
        <w:tc>
          <w:tcPr>
            <w:tcW w:w="845" w:type="dxa"/>
            <w:vAlign w:val="center"/>
          </w:tcPr>
          <w:p w14:paraId="78EA20D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105AE9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D868BE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柱形，长30～60cm，直径0.2～0.4cm。表面黄白色或淡黄色，微有光泽，具纵皱纹，节明显，稍突起，节间长短不等，通常长1.5～3cm。体轻，质略脆，断面皮部白色，多有裂隙，放射状排列，中柱淡黄色，易与皮部剥离。气微，味微甜。</w:t>
            </w:r>
          </w:p>
        </w:tc>
        <w:tc>
          <w:tcPr>
            <w:tcW w:w="1938" w:type="dxa"/>
            <w:vAlign w:val="center"/>
          </w:tcPr>
          <w:p w14:paraId="7ABA03D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BBC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387844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191</w:t>
            </w:r>
          </w:p>
        </w:tc>
        <w:tc>
          <w:tcPr>
            <w:tcW w:w="878" w:type="dxa"/>
            <w:vAlign w:val="center"/>
          </w:tcPr>
          <w:p w14:paraId="4FB88D1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白前</w:t>
            </w:r>
          </w:p>
        </w:tc>
        <w:tc>
          <w:tcPr>
            <w:tcW w:w="845" w:type="dxa"/>
            <w:vAlign w:val="center"/>
          </w:tcPr>
          <w:p w14:paraId="04030D3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60B2D2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E553F0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 xml:space="preserve">柳叶白前 </w:t>
            </w:r>
            <w:r>
              <w:rPr>
                <w:rFonts w:hint="eastAsia" w:ascii="宋体" w:hAnsi="宋体" w:eastAsia="宋体" w:cs="宋体"/>
                <w:i w:val="0"/>
                <w:iCs w:val="0"/>
                <w:snapToGrid w:val="0"/>
                <w:color w:val="000000"/>
                <w:kern w:val="0"/>
                <w:sz w:val="22"/>
                <w:szCs w:val="22"/>
                <w:u w:val="none"/>
                <w:lang w:val="en-US" w:eastAsia="zh-CN" w:bidi="ar"/>
              </w:rPr>
              <w:t xml:space="preserve"> 根茎呈细长圆柱形，有分枝，稍弯曲，长4～15cm，直径1.5～4mm。表面黄白色或黄棕色，节明显，节间长1.5～4.5cm，顶端有残茎。质脆，断面中空。节处簇生纤细弯曲的根，长可达10cm，直径不及1mm，有多次分枝呈毛须状，常盘曲成团。气微，味微甜。</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 xml:space="preserve">　芫花叶白前 </w:t>
            </w:r>
            <w:r>
              <w:rPr>
                <w:rFonts w:hint="eastAsia" w:ascii="宋体" w:hAnsi="宋体" w:eastAsia="宋体" w:cs="宋体"/>
                <w:i w:val="0"/>
                <w:iCs w:val="0"/>
                <w:snapToGrid w:val="0"/>
                <w:color w:val="000000"/>
                <w:kern w:val="0"/>
                <w:sz w:val="22"/>
                <w:szCs w:val="22"/>
                <w:u w:val="none"/>
                <w:lang w:val="en-US" w:eastAsia="zh-CN" w:bidi="ar"/>
              </w:rPr>
              <w:t xml:space="preserve"> 根茎较短小或略呈块状；表面灰绿色或灰黄色，节间长1～2cm。质较硬。根稍弯曲，直径约1mm，分枝少。</w:t>
            </w:r>
          </w:p>
        </w:tc>
        <w:tc>
          <w:tcPr>
            <w:tcW w:w="1938" w:type="dxa"/>
            <w:vAlign w:val="center"/>
          </w:tcPr>
          <w:p w14:paraId="6155714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2F2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DB29BE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192</w:t>
            </w:r>
          </w:p>
        </w:tc>
        <w:tc>
          <w:tcPr>
            <w:tcW w:w="878" w:type="dxa"/>
            <w:vAlign w:val="center"/>
          </w:tcPr>
          <w:p w14:paraId="0FBD2A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白鲜皮</w:t>
            </w:r>
          </w:p>
        </w:tc>
        <w:tc>
          <w:tcPr>
            <w:tcW w:w="845" w:type="dxa"/>
            <w:vAlign w:val="center"/>
          </w:tcPr>
          <w:p w14:paraId="3CB8CC3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D635F0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61B4A83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卷筒状，长5～15cm，直径1～2cm，厚0.2～0.5cm。外表面灰白色或淡灰黄色，具细纵皱纹和细根痕，常有突起的颗粒状小点；内表面类白色，有细纵纹。质脆，折断时有粉尘飞扬，断面不平坦，略呈层片状，剥去外层，迎光可见闪烁的小亮点。有羊膻气，味微苦。</w:t>
            </w:r>
          </w:p>
        </w:tc>
        <w:tc>
          <w:tcPr>
            <w:tcW w:w="1938" w:type="dxa"/>
            <w:vAlign w:val="center"/>
          </w:tcPr>
          <w:p w14:paraId="2DD1034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266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D351B7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193</w:t>
            </w:r>
          </w:p>
        </w:tc>
        <w:tc>
          <w:tcPr>
            <w:tcW w:w="878" w:type="dxa"/>
            <w:vAlign w:val="center"/>
          </w:tcPr>
          <w:p w14:paraId="183A4BE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白芷</w:t>
            </w:r>
          </w:p>
        </w:tc>
        <w:tc>
          <w:tcPr>
            <w:tcW w:w="845" w:type="dxa"/>
            <w:vAlign w:val="center"/>
          </w:tcPr>
          <w:p w14:paraId="334E827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51DEC3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F7214D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锥形，长10～25cm，直径1.5～2.5cm。表面灰棕色或黄棕色，根头部钝四棱形或近圆形，具纵皱纹、支根痕及皮孔样的横向突起，有的排列成四纵行。顶端有凹陷的茎痕。质坚实，断面白色或灰白色，粉性，形成层环棕色，近方形或近圆形，皮部散有多数棕色油点。气芳香，味辛、微苦。</w:t>
            </w:r>
          </w:p>
        </w:tc>
        <w:tc>
          <w:tcPr>
            <w:tcW w:w="1938" w:type="dxa"/>
            <w:vAlign w:val="center"/>
          </w:tcPr>
          <w:p w14:paraId="1B42BA1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62B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1BA365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194</w:t>
            </w:r>
          </w:p>
        </w:tc>
        <w:tc>
          <w:tcPr>
            <w:tcW w:w="878" w:type="dxa"/>
            <w:vAlign w:val="center"/>
          </w:tcPr>
          <w:p w14:paraId="70D5BC0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白术</w:t>
            </w:r>
          </w:p>
        </w:tc>
        <w:tc>
          <w:tcPr>
            <w:tcW w:w="845" w:type="dxa"/>
            <w:vAlign w:val="center"/>
          </w:tcPr>
          <w:p w14:paraId="7125B72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0CCDAF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568D75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肥厚团块，长3～13cm，直径1.5～7cm。表面灰黄色或灰棕色，有瘤状突起及断续的纵皱和沟纹，并有须根痕，顶端有残留茎基和芽痕。质坚硬不易折断，断面不平坦，黄白色至淡棕色，有棕黄色的点状油室散在；烘干者断面角质样，色较深或有裂隙。气清香，味甘、微辛，嚼之略带黏性。</w:t>
            </w:r>
          </w:p>
        </w:tc>
        <w:tc>
          <w:tcPr>
            <w:tcW w:w="1938" w:type="dxa"/>
            <w:vAlign w:val="center"/>
          </w:tcPr>
          <w:p w14:paraId="79726E6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0CF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038636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195</w:t>
            </w:r>
          </w:p>
        </w:tc>
        <w:tc>
          <w:tcPr>
            <w:tcW w:w="878" w:type="dxa"/>
            <w:vAlign w:val="center"/>
          </w:tcPr>
          <w:p w14:paraId="60C775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柏子仁</w:t>
            </w:r>
          </w:p>
        </w:tc>
        <w:tc>
          <w:tcPr>
            <w:tcW w:w="845" w:type="dxa"/>
            <w:vAlign w:val="center"/>
          </w:tcPr>
          <w:p w14:paraId="63E788A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DE1424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3D8669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本品呈长卵形或长椭圆形，长4～7mm，直径1.5～3mm。表面黄白色或淡黄棕色，外包膜质内种皮，顶端略尖，有深褐色的小点，基部钝圆。质软，富油性。气微香，味淡。</w:t>
            </w:r>
          </w:p>
        </w:tc>
        <w:tc>
          <w:tcPr>
            <w:tcW w:w="1938" w:type="dxa"/>
            <w:vAlign w:val="center"/>
          </w:tcPr>
          <w:p w14:paraId="5967F70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8B3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845DDF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196</w:t>
            </w:r>
          </w:p>
        </w:tc>
        <w:tc>
          <w:tcPr>
            <w:tcW w:w="878" w:type="dxa"/>
            <w:vAlign w:val="center"/>
          </w:tcPr>
          <w:p w14:paraId="0131399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炒白扁豆</w:t>
            </w:r>
          </w:p>
        </w:tc>
        <w:tc>
          <w:tcPr>
            <w:tcW w:w="845" w:type="dxa"/>
            <w:vAlign w:val="center"/>
          </w:tcPr>
          <w:p w14:paraId="38DEAF2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FA87DC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160</w:t>
            </w:r>
          </w:p>
        </w:tc>
        <w:tc>
          <w:tcPr>
            <w:tcW w:w="5329" w:type="dxa"/>
            <w:vAlign w:val="center"/>
          </w:tcPr>
          <w:p w14:paraId="0DB0DF1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炒白扁豆  取净白扁豆，照清炒法（通则0213）炒至微黄色具焦斑。用时捣碎。</w:t>
            </w:r>
            <w:r>
              <w:rPr>
                <w:rFonts w:hint="eastAsia" w:ascii="宋体" w:hAnsi="宋体" w:eastAsia="宋体" w:cs="宋体"/>
                <w:b/>
                <w:bCs/>
                <w:i w:val="0"/>
                <w:iCs w:val="0"/>
                <w:snapToGrid w:val="0"/>
                <w:color w:val="000000"/>
                <w:kern w:val="0"/>
                <w:sz w:val="22"/>
                <w:szCs w:val="22"/>
                <w:u w:val="none"/>
                <w:lang w:val="en-US" w:eastAsia="zh-CN" w:bidi="ar"/>
              </w:rPr>
              <w:t>白扁豆为;</w:t>
            </w:r>
            <w:r>
              <w:rPr>
                <w:rFonts w:hint="eastAsia" w:ascii="宋体" w:hAnsi="宋体" w:eastAsia="宋体" w:cs="宋体"/>
                <w:i w:val="0"/>
                <w:iCs w:val="0"/>
                <w:snapToGrid w:val="0"/>
                <w:color w:val="000000"/>
                <w:kern w:val="0"/>
                <w:sz w:val="22"/>
                <w:szCs w:val="22"/>
                <w:u w:val="none"/>
                <w:lang w:val="en-US" w:eastAsia="zh-CN" w:bidi="ar"/>
              </w:rPr>
              <w:t>本品呈扁椭圆形或扁卵圆形，长8～13mm，宽6～9mm，厚约7mm。表面淡黄白色或淡黄色，平滑，略有光泽，一侧边缘有隆起的白色眉状种阜。质坚硬。种皮薄而脆，子叶2，肥厚，黄白色。气微，味淡，嚼之有豆腥气。</w:t>
            </w:r>
          </w:p>
        </w:tc>
        <w:tc>
          <w:tcPr>
            <w:tcW w:w="1938" w:type="dxa"/>
            <w:vAlign w:val="center"/>
          </w:tcPr>
          <w:p w14:paraId="602038D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FDA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DAFEB9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197</w:t>
            </w:r>
          </w:p>
        </w:tc>
        <w:tc>
          <w:tcPr>
            <w:tcW w:w="878" w:type="dxa"/>
            <w:vAlign w:val="center"/>
          </w:tcPr>
          <w:p w14:paraId="25E4F78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炒白芍</w:t>
            </w:r>
          </w:p>
        </w:tc>
        <w:tc>
          <w:tcPr>
            <w:tcW w:w="845" w:type="dxa"/>
            <w:vAlign w:val="center"/>
          </w:tcPr>
          <w:p w14:paraId="771EE57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1470F9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2DCF874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炒白芍 取净白芍片，照清炒法（通则0213）炒至微黄色。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【性状】本品形如白芍片，表面微黄色或淡棕黄色，有的可见焦斑。气微香。</w:t>
            </w:r>
          </w:p>
        </w:tc>
        <w:tc>
          <w:tcPr>
            <w:tcW w:w="1938" w:type="dxa"/>
            <w:vAlign w:val="center"/>
          </w:tcPr>
          <w:p w14:paraId="11D300A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1B4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80F042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198</w:t>
            </w:r>
          </w:p>
        </w:tc>
        <w:tc>
          <w:tcPr>
            <w:tcW w:w="878" w:type="dxa"/>
            <w:vAlign w:val="center"/>
          </w:tcPr>
          <w:p w14:paraId="5B856FC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苍耳子</w:t>
            </w:r>
          </w:p>
        </w:tc>
        <w:tc>
          <w:tcPr>
            <w:tcW w:w="845" w:type="dxa"/>
            <w:vAlign w:val="center"/>
          </w:tcPr>
          <w:p w14:paraId="3316D25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860AC8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395AF9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纺锤形或卵圆形，长1～1.5cm，直径0.4-0.7cm。表面黄棕色或黄绿色，全体有钩刺，顶端有2枚较粗的刺，分离或相连，基部有果梗痕。质硬而韧，横切面中央有纵隔膜，2室，各有1枚瘦果。瘦果略呈纺锤形，一面较平坦，顶端具1突起的花柱基，果皮薄，灰黑色，具纵纹。种皮膜质，浅灰色，子叶2，有油性。气微，味微苦。</w:t>
            </w:r>
          </w:p>
        </w:tc>
        <w:tc>
          <w:tcPr>
            <w:tcW w:w="1938" w:type="dxa"/>
            <w:vAlign w:val="center"/>
          </w:tcPr>
          <w:p w14:paraId="7FEA471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B35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6376E8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199</w:t>
            </w:r>
          </w:p>
        </w:tc>
        <w:tc>
          <w:tcPr>
            <w:tcW w:w="878" w:type="dxa"/>
            <w:vAlign w:val="center"/>
          </w:tcPr>
          <w:p w14:paraId="4D57620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炒鸡内金</w:t>
            </w:r>
          </w:p>
        </w:tc>
        <w:tc>
          <w:tcPr>
            <w:tcW w:w="845" w:type="dxa"/>
            <w:vAlign w:val="center"/>
          </w:tcPr>
          <w:p w14:paraId="6111DF0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CDD859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390CE15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炒鸡内金取净鸡内金，照清炒或烫法（通则0213）炒至鼓起。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【性状】本品表面暗黄褐色或焦黄色，用放大镜观察，显颗粒状或微细泡状。轻折即断，断面有光泽。</w:t>
            </w:r>
          </w:p>
        </w:tc>
        <w:tc>
          <w:tcPr>
            <w:tcW w:w="1938" w:type="dxa"/>
            <w:vAlign w:val="center"/>
          </w:tcPr>
          <w:p w14:paraId="5E5E94D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225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608F14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200</w:t>
            </w:r>
          </w:p>
        </w:tc>
        <w:tc>
          <w:tcPr>
            <w:tcW w:w="878" w:type="dxa"/>
            <w:vAlign w:val="center"/>
          </w:tcPr>
          <w:p w14:paraId="3BA8AB3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炒六神曲</w:t>
            </w:r>
          </w:p>
        </w:tc>
        <w:tc>
          <w:tcPr>
            <w:tcW w:w="845" w:type="dxa"/>
            <w:vAlign w:val="center"/>
          </w:tcPr>
          <w:p w14:paraId="474F2B8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9560FA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w:t>
            </w:r>
          </w:p>
        </w:tc>
        <w:tc>
          <w:tcPr>
            <w:tcW w:w="5329" w:type="dxa"/>
            <w:vAlign w:val="center"/>
          </w:tcPr>
          <w:p w14:paraId="4C512EC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本品呈长方块状、不规则细小块状或粗颗粒状。表面焦黄色，粗糙，常有裂纹。断面不平坦，呈颗粒状。质脆易碎。有香气，味微苦。</w:t>
            </w:r>
          </w:p>
        </w:tc>
        <w:tc>
          <w:tcPr>
            <w:tcW w:w="1938" w:type="dxa"/>
            <w:vAlign w:val="center"/>
          </w:tcPr>
          <w:p w14:paraId="159CB51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湖北省中药饮片炮制规范2018年版</w:t>
            </w:r>
          </w:p>
        </w:tc>
      </w:tr>
      <w:tr w14:paraId="2B36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FCBF0D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201</w:t>
            </w:r>
          </w:p>
        </w:tc>
        <w:tc>
          <w:tcPr>
            <w:tcW w:w="878" w:type="dxa"/>
            <w:vAlign w:val="center"/>
          </w:tcPr>
          <w:p w14:paraId="460D9C2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川楝子</w:t>
            </w:r>
          </w:p>
        </w:tc>
        <w:tc>
          <w:tcPr>
            <w:tcW w:w="845" w:type="dxa"/>
            <w:vAlign w:val="center"/>
          </w:tcPr>
          <w:p w14:paraId="3D1C64E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80766C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4C7E5F9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直径2～3.2cm。表面金黄色至棕黄色，微有光泽，少数凹陷或皱缩，具深棕色小点。顶端有花柱残痕，基部凹陷，有果梗痕。外果皮革质，与果肉间常成空隙，果肉松软，淡黄色，遇水润湿显黏性。果核球形或卵圆形，质坚硬，两端平截，有6～8条纵棱，内分6～8室，每室含黑棕色长圆形的种子1粒。气特异，味酸、苦。</w:t>
            </w:r>
          </w:p>
        </w:tc>
        <w:tc>
          <w:tcPr>
            <w:tcW w:w="1938" w:type="dxa"/>
            <w:vAlign w:val="center"/>
          </w:tcPr>
          <w:p w14:paraId="364A58A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866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E03CF9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202</w:t>
            </w:r>
          </w:p>
        </w:tc>
        <w:tc>
          <w:tcPr>
            <w:tcW w:w="878" w:type="dxa"/>
            <w:vAlign w:val="center"/>
          </w:tcPr>
          <w:p w14:paraId="0F487B0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炒麦芽</w:t>
            </w:r>
          </w:p>
        </w:tc>
        <w:tc>
          <w:tcPr>
            <w:tcW w:w="845" w:type="dxa"/>
            <w:vAlign w:val="center"/>
          </w:tcPr>
          <w:p w14:paraId="1DC8026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20424B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12AEB74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炒麦芽  取净麦芽，照清炒法（通则0213）炒至棕黄色，放凉，筛去灰屑。</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【性状】本品形如麦芽，表面棕黄色，偶有焦斑。有香气，味微苦。</w:t>
            </w:r>
          </w:p>
        </w:tc>
        <w:tc>
          <w:tcPr>
            <w:tcW w:w="1938" w:type="dxa"/>
            <w:vAlign w:val="center"/>
          </w:tcPr>
          <w:p w14:paraId="4765D37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358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4E1E4A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203</w:t>
            </w:r>
          </w:p>
        </w:tc>
        <w:tc>
          <w:tcPr>
            <w:tcW w:w="878" w:type="dxa"/>
            <w:vAlign w:val="center"/>
          </w:tcPr>
          <w:p w14:paraId="30BD504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川牛膝</w:t>
            </w:r>
          </w:p>
        </w:tc>
        <w:tc>
          <w:tcPr>
            <w:tcW w:w="845" w:type="dxa"/>
            <w:vAlign w:val="center"/>
          </w:tcPr>
          <w:p w14:paraId="6F81096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9BCF55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09E958B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近圆柱形，微扭曲，向下略细或有少数分枝，长30～60cm，直径0.5～3cm。表面黄棕色或灰褐色，具纵皱纹、支根痕和多数横长的皮孔样突起。质韧，不易折断，断面浅黄色或棕黄色，维管束点状，排列成数轮同心环。气微，味甜。</w:t>
            </w:r>
          </w:p>
        </w:tc>
        <w:tc>
          <w:tcPr>
            <w:tcW w:w="1938" w:type="dxa"/>
            <w:vAlign w:val="center"/>
          </w:tcPr>
          <w:p w14:paraId="5BB6EA4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807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8A8F5E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204</w:t>
            </w:r>
          </w:p>
        </w:tc>
        <w:tc>
          <w:tcPr>
            <w:tcW w:w="878" w:type="dxa"/>
            <w:vAlign w:val="center"/>
          </w:tcPr>
          <w:p w14:paraId="234B8B0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车前草</w:t>
            </w:r>
          </w:p>
        </w:tc>
        <w:tc>
          <w:tcPr>
            <w:tcW w:w="845" w:type="dxa"/>
            <w:vAlign w:val="center"/>
          </w:tcPr>
          <w:p w14:paraId="30B787B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DD0A3F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3303A9C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车前  根丛生，须状。叶基生，具长柄；叶片皱缩，展平后呈卵状椭圆形或宽卵形，长6～13cm，宽2.5～8cm；表面灰绿色或污绿色，具明显弧形脉5～7条；先端钝或短尖，基部宽楔形，全缘或有不规则波状浅齿。穗状花序数条，花茎长。蒴果盖裂，萼宿存。气微香，味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平车前  主根直而长。叶片较狭，长椭圆形或椭圆状披针形，长5～14cm，宽2～3cm。</w:t>
            </w:r>
          </w:p>
        </w:tc>
        <w:tc>
          <w:tcPr>
            <w:tcW w:w="1938" w:type="dxa"/>
            <w:vAlign w:val="center"/>
          </w:tcPr>
          <w:p w14:paraId="045D860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365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18C98A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205</w:t>
            </w:r>
          </w:p>
        </w:tc>
        <w:tc>
          <w:tcPr>
            <w:tcW w:w="878" w:type="dxa"/>
            <w:vAlign w:val="center"/>
          </w:tcPr>
          <w:p w14:paraId="41B52FE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初乳</w:t>
            </w:r>
          </w:p>
        </w:tc>
        <w:tc>
          <w:tcPr>
            <w:tcW w:w="845" w:type="dxa"/>
            <w:vAlign w:val="center"/>
          </w:tcPr>
          <w:p w14:paraId="6BA9800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C7DAFF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B897A7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【来源]为驼科动物双峰驼或牛科动物黄牛或免科动物草原免、家免等多种新生动物胃中的乳状液体。</w:t>
            </w:r>
          </w:p>
        </w:tc>
        <w:tc>
          <w:tcPr>
            <w:tcW w:w="1938" w:type="dxa"/>
            <w:vAlign w:val="center"/>
          </w:tcPr>
          <w:p w14:paraId="2EB41D5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《中华本草》429页 </w:t>
            </w:r>
          </w:p>
        </w:tc>
      </w:tr>
      <w:tr w14:paraId="7FA2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07FA98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206</w:t>
            </w:r>
          </w:p>
        </w:tc>
        <w:tc>
          <w:tcPr>
            <w:tcW w:w="878" w:type="dxa"/>
            <w:vAlign w:val="center"/>
          </w:tcPr>
          <w:p w14:paraId="6D5BAE1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薰鲁香</w:t>
            </w:r>
          </w:p>
        </w:tc>
        <w:tc>
          <w:tcPr>
            <w:tcW w:w="845" w:type="dxa"/>
            <w:vAlign w:val="center"/>
          </w:tcPr>
          <w:p w14:paraId="5A343FC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1A2649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5329" w:type="dxa"/>
            <w:vAlign w:val="center"/>
          </w:tcPr>
          <w:p w14:paraId="70FA0A3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本品为漆树科植物黏胶乳香树Pistacialeniscus.,的树脂。将树皮纵长割伤,树脂流出凝固,收集。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【炮制】 除去杂质。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【性状】本品呈泪滴状或卵圆形,直径3~8mm。新鲜品外表近于无色,有光泽,半透明,质脆,断面透明,玻璃样:陈旧者灰黄色而无光泽,质脆,破碎面呈贝壳状,有玻璃样光泽。气微芳香,味苦</w:t>
            </w:r>
          </w:p>
        </w:tc>
        <w:tc>
          <w:tcPr>
            <w:tcW w:w="1938" w:type="dxa"/>
            <w:vAlign w:val="center"/>
          </w:tcPr>
          <w:p w14:paraId="734A874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1F74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0429C0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207</w:t>
            </w:r>
          </w:p>
        </w:tc>
        <w:tc>
          <w:tcPr>
            <w:tcW w:w="878" w:type="dxa"/>
            <w:vAlign w:val="center"/>
          </w:tcPr>
          <w:p w14:paraId="2098114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炒山楂</w:t>
            </w:r>
          </w:p>
        </w:tc>
        <w:tc>
          <w:tcPr>
            <w:tcW w:w="845" w:type="dxa"/>
            <w:vAlign w:val="center"/>
          </w:tcPr>
          <w:p w14:paraId="163F019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B9BE08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6E2FD32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炒山楂  取净山楂，照清炒法（通则0213）炒至色变深。</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【性状】本品形如山楂片，果肉黄褐色，偶见焦斑。气清香，味酸、微甜。</w:t>
            </w:r>
          </w:p>
        </w:tc>
        <w:tc>
          <w:tcPr>
            <w:tcW w:w="1938" w:type="dxa"/>
            <w:vAlign w:val="center"/>
          </w:tcPr>
          <w:p w14:paraId="6690C4D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FE8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AF62FB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208</w:t>
            </w:r>
          </w:p>
        </w:tc>
        <w:tc>
          <w:tcPr>
            <w:tcW w:w="878" w:type="dxa"/>
            <w:vAlign w:val="center"/>
          </w:tcPr>
          <w:p w14:paraId="7FBF20D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炒酸枣仁</w:t>
            </w:r>
          </w:p>
        </w:tc>
        <w:tc>
          <w:tcPr>
            <w:tcW w:w="845" w:type="dxa"/>
            <w:vAlign w:val="center"/>
          </w:tcPr>
          <w:p w14:paraId="4E3A5FB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9B13A6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D8CA55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炒酸枣仁　取净酸枣仁，照清炒法（通则0213）炒至鼓起，色微变深。用时捣碎。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【性状】本品形如酸枣仁。表面微鼓起，微具焦斑。略有焦香气，味淡</w:t>
            </w:r>
          </w:p>
        </w:tc>
        <w:tc>
          <w:tcPr>
            <w:tcW w:w="1938" w:type="dxa"/>
            <w:vAlign w:val="center"/>
          </w:tcPr>
          <w:p w14:paraId="67B1BF9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563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9C5F44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209</w:t>
            </w:r>
          </w:p>
        </w:tc>
        <w:tc>
          <w:tcPr>
            <w:tcW w:w="878" w:type="dxa"/>
            <w:vAlign w:val="center"/>
          </w:tcPr>
          <w:p w14:paraId="748BF4B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炒王不留行</w:t>
            </w:r>
          </w:p>
        </w:tc>
        <w:tc>
          <w:tcPr>
            <w:tcW w:w="845" w:type="dxa"/>
            <w:vAlign w:val="center"/>
          </w:tcPr>
          <w:p w14:paraId="2B115DB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C1E5F8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5D8781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炒王不留行   取净王不留行，照清炒法（通则0213）炒至大多数爆开白花。【性状】本品呈类球形爆花状，表面白色，质松脆。</w:t>
            </w:r>
          </w:p>
        </w:tc>
        <w:tc>
          <w:tcPr>
            <w:tcW w:w="1938" w:type="dxa"/>
            <w:vAlign w:val="center"/>
          </w:tcPr>
          <w:p w14:paraId="2DC75C2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0C2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40C9E2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210</w:t>
            </w:r>
          </w:p>
        </w:tc>
        <w:tc>
          <w:tcPr>
            <w:tcW w:w="878" w:type="dxa"/>
            <w:vAlign w:val="center"/>
          </w:tcPr>
          <w:p w14:paraId="1F763AE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川芎</w:t>
            </w:r>
          </w:p>
        </w:tc>
        <w:tc>
          <w:tcPr>
            <w:tcW w:w="845" w:type="dxa"/>
            <w:vAlign w:val="center"/>
          </w:tcPr>
          <w:p w14:paraId="1987EF9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2028D1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w:t>
            </w:r>
          </w:p>
        </w:tc>
        <w:tc>
          <w:tcPr>
            <w:tcW w:w="5329" w:type="dxa"/>
            <w:vAlign w:val="center"/>
          </w:tcPr>
          <w:p w14:paraId="63FD0C0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结节状拳形团块，直径2～7cm。表面灰褐色或褐色，粗糙皱缩，有多数平行隆起的轮节，顶端有凹陷的类圆形茎痕，下侧及轮节上有多数小瘤状根痕。质坚实，不易折断，断面黄白色或灰黄色，散有黄棕色的油室，形成层环呈波状。气浓香，味苦、辛，稍有麻舌感，微回甜。</w:t>
            </w:r>
          </w:p>
        </w:tc>
        <w:tc>
          <w:tcPr>
            <w:tcW w:w="1938" w:type="dxa"/>
            <w:vAlign w:val="center"/>
          </w:tcPr>
          <w:p w14:paraId="178D8F6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29C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367458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211</w:t>
            </w:r>
          </w:p>
        </w:tc>
        <w:tc>
          <w:tcPr>
            <w:tcW w:w="878" w:type="dxa"/>
            <w:vAlign w:val="center"/>
          </w:tcPr>
          <w:p w14:paraId="59A945F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醋延胡索</w:t>
            </w:r>
          </w:p>
        </w:tc>
        <w:tc>
          <w:tcPr>
            <w:tcW w:w="845" w:type="dxa"/>
            <w:vAlign w:val="center"/>
          </w:tcPr>
          <w:p w14:paraId="68A59A5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4680A3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97E8FA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醋延胡索  取净延胡索，照醋炙法（通则0213）炒干，或照醋煮法（通则0213）煮至醋吸尽，切厚片或用时捣碎。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【性状】本品形如延胡索或片，表面和切面黄褐色，质较硬。微具醋香气。</w:t>
            </w:r>
          </w:p>
        </w:tc>
        <w:tc>
          <w:tcPr>
            <w:tcW w:w="1938" w:type="dxa"/>
            <w:vAlign w:val="center"/>
          </w:tcPr>
          <w:p w14:paraId="3E51D29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FEB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66F426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212</w:t>
            </w:r>
          </w:p>
        </w:tc>
        <w:tc>
          <w:tcPr>
            <w:tcW w:w="878" w:type="dxa"/>
            <w:vAlign w:val="center"/>
          </w:tcPr>
          <w:p w14:paraId="6602600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炒栀子</w:t>
            </w:r>
          </w:p>
        </w:tc>
        <w:tc>
          <w:tcPr>
            <w:tcW w:w="845" w:type="dxa"/>
            <w:vAlign w:val="center"/>
          </w:tcPr>
          <w:p w14:paraId="692F4A3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EAD05D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329" w:type="dxa"/>
            <w:vAlign w:val="center"/>
          </w:tcPr>
          <w:p w14:paraId="0E0D04F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炒栀子 取净栀子，照清炒法（通则0213）炒至黄褐色。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【性状】本品形如栀子碎块，黄褐色。</w:t>
            </w:r>
          </w:p>
        </w:tc>
        <w:tc>
          <w:tcPr>
            <w:tcW w:w="1938" w:type="dxa"/>
            <w:vAlign w:val="center"/>
          </w:tcPr>
          <w:p w14:paraId="3B852D5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2BA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89E4D3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213</w:t>
            </w:r>
          </w:p>
        </w:tc>
        <w:tc>
          <w:tcPr>
            <w:tcW w:w="878" w:type="dxa"/>
            <w:vAlign w:val="center"/>
          </w:tcPr>
          <w:p w14:paraId="317CB5C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大青盐</w:t>
            </w:r>
          </w:p>
        </w:tc>
        <w:tc>
          <w:tcPr>
            <w:tcW w:w="845" w:type="dxa"/>
            <w:vAlign w:val="center"/>
          </w:tcPr>
          <w:p w14:paraId="7E27A6C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AF58F5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329" w:type="dxa"/>
            <w:vAlign w:val="center"/>
          </w:tcPr>
          <w:p w14:paraId="2BF5F883">
            <w:pPr>
              <w:keepNext w:val="0"/>
              <w:keepLines w:val="0"/>
              <w:widowControl/>
              <w:suppressLineNumbers w:val="0"/>
              <w:spacing w:after="240" w:afterAutospacing="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【来源】：本品为卤化物类石盐族矿物石盐。主含氯化钠(NaCl)。秋春采集，沥尽母液，自然干燥。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本品呈粒状，致密块状或豆状。白青色至暗青色，半透明，玻璃光泽，风化面显油脂光泽，置露空气中，有吸湿性。性脆，解理完全。易溶于水，有咸味。</w:t>
            </w:r>
          </w:p>
        </w:tc>
        <w:tc>
          <w:tcPr>
            <w:tcW w:w="1938" w:type="dxa"/>
            <w:vAlign w:val="center"/>
          </w:tcPr>
          <w:p w14:paraId="175FBF2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卫生部药品标准 1995年版藏药药分册 </w:t>
            </w:r>
          </w:p>
        </w:tc>
      </w:tr>
      <w:tr w14:paraId="3832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474169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214</w:t>
            </w:r>
          </w:p>
        </w:tc>
        <w:tc>
          <w:tcPr>
            <w:tcW w:w="878" w:type="dxa"/>
            <w:vAlign w:val="center"/>
          </w:tcPr>
          <w:p w14:paraId="3B4677E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大腹皮</w:t>
            </w:r>
          </w:p>
        </w:tc>
        <w:tc>
          <w:tcPr>
            <w:tcW w:w="845" w:type="dxa"/>
            <w:vAlign w:val="center"/>
          </w:tcPr>
          <w:p w14:paraId="512B87C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4EC1D4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AB806C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大腹皮　 略呈椭圆形或长卵形瓢状，长4～7cm，宽2～3. 5cm，厚0. 2～0. 5cm。外果皮深棕色至近黑色，具不规则的纵皱纹及隆起的横纹，顶端有花柱残痕，基部有果梗及残存萼片。内果皮凹陷，褐色或深棕色，光滑呈硬壳状。体轻，质硬，纵向撕裂后可见中果皮纤维。气微，味微涩。</w:t>
            </w:r>
          </w:p>
        </w:tc>
        <w:tc>
          <w:tcPr>
            <w:tcW w:w="1938" w:type="dxa"/>
            <w:vAlign w:val="center"/>
          </w:tcPr>
          <w:p w14:paraId="38E53D6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C17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CC4906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215</w:t>
            </w:r>
          </w:p>
        </w:tc>
        <w:tc>
          <w:tcPr>
            <w:tcW w:w="878" w:type="dxa"/>
            <w:vAlign w:val="center"/>
          </w:tcPr>
          <w:p w14:paraId="16592AE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冬瓜皮</w:t>
            </w:r>
          </w:p>
        </w:tc>
        <w:tc>
          <w:tcPr>
            <w:tcW w:w="845" w:type="dxa"/>
            <w:vAlign w:val="center"/>
          </w:tcPr>
          <w:p w14:paraId="1275C4A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3F9F29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3ADFDA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本品为不规则的碎片，常向内卷曲，大小不一。外表面灰绿色或黄白色，被有白霜，有的较光滑不被白霜；内表面较粗糙，有的可见筋脉状维管束。体轻，质脆。气微，味淡。</w:t>
            </w:r>
          </w:p>
        </w:tc>
        <w:tc>
          <w:tcPr>
            <w:tcW w:w="1938" w:type="dxa"/>
            <w:vAlign w:val="center"/>
          </w:tcPr>
          <w:p w14:paraId="4DC0CDB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639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C1E588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216</w:t>
            </w:r>
          </w:p>
        </w:tc>
        <w:tc>
          <w:tcPr>
            <w:tcW w:w="878" w:type="dxa"/>
            <w:vAlign w:val="center"/>
          </w:tcPr>
          <w:p w14:paraId="68EA506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地骨皮</w:t>
            </w:r>
          </w:p>
        </w:tc>
        <w:tc>
          <w:tcPr>
            <w:tcW w:w="845" w:type="dxa"/>
            <w:vAlign w:val="center"/>
          </w:tcPr>
          <w:p w14:paraId="25061C6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0E027B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DEF7F8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筒状或槽状，长3～10cm，宽0.5～1.5cm，厚0.1～0.3cm。外表面灰黄色至棕黄色，粗糙，有不规则纵裂纹，易成鳞片状剥落。内表面黄白色至灰黄色，较平坦，有细纵纹。体轻，质脆，易折断，断面不平坦，外层黄棕色，内层灰白色。气微，味微甘而后苦。</w:t>
            </w:r>
          </w:p>
        </w:tc>
        <w:tc>
          <w:tcPr>
            <w:tcW w:w="1938" w:type="dxa"/>
            <w:vAlign w:val="center"/>
          </w:tcPr>
          <w:p w14:paraId="60270B6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298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160825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217</w:t>
            </w:r>
          </w:p>
        </w:tc>
        <w:tc>
          <w:tcPr>
            <w:tcW w:w="878" w:type="dxa"/>
            <w:vAlign w:val="center"/>
          </w:tcPr>
          <w:p w14:paraId="4E5C5C6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冬瓜子</w:t>
            </w:r>
          </w:p>
        </w:tc>
        <w:tc>
          <w:tcPr>
            <w:tcW w:w="845" w:type="dxa"/>
            <w:vAlign w:val="center"/>
          </w:tcPr>
          <w:p w14:paraId="0CD2099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BA932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77AE37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扁平的卵圆形或长椭圆形，长1~1.5cm，宽0.5~1cm，厚约0.2cm。表面黄白色，较粗糙。一端钝圆，一端较尖，较尖端有两个小突起，较大的突起上有一明显珠孔，较小的突起为种脐。边缘光滑或两面外缘各有1环纹。种皮较硬脆，剥去种皮后可见白色肥厚的子叶两片，胚根小，朝向尖端。体轻，有油性。气微，味微甜</w:t>
            </w:r>
          </w:p>
        </w:tc>
        <w:tc>
          <w:tcPr>
            <w:tcW w:w="1938" w:type="dxa"/>
            <w:vAlign w:val="center"/>
          </w:tcPr>
          <w:p w14:paraId="0EEA53D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湖北省中药饮片炮制规范2018年版</w:t>
            </w:r>
          </w:p>
        </w:tc>
      </w:tr>
      <w:tr w14:paraId="3498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B69D41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218</w:t>
            </w:r>
          </w:p>
        </w:tc>
        <w:tc>
          <w:tcPr>
            <w:tcW w:w="878" w:type="dxa"/>
            <w:vAlign w:val="center"/>
          </w:tcPr>
          <w:p w14:paraId="2EFB1F2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豆蔻</w:t>
            </w:r>
          </w:p>
        </w:tc>
        <w:tc>
          <w:tcPr>
            <w:tcW w:w="845" w:type="dxa"/>
            <w:vAlign w:val="center"/>
          </w:tcPr>
          <w:p w14:paraId="02812B1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CB56A2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AB2457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原豆蔻     呈类球形，直径1.2～1.8cm。表面黄白色至淡黄棕色，有3条较深的纵向槽纹,顶端有突起的柱基， 基部有凹下的果柄痕，两端均具浅棕色绒毛。果皮体轻,质脆，易纵向裂开，内分3室，每室含种子约10粒；种子呈不规则多面体，背面略隆起，直径3～4mm，表面暗棕色，有皱纹,并被有残留的假种皮。气芳香，味辛凉略似樟脑。</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印尼白蔻    个略小。表面黄白色，有的微显紫棕色。果皮较薄，种子瘦瘪。气味较弱。</w:t>
            </w:r>
          </w:p>
        </w:tc>
        <w:tc>
          <w:tcPr>
            <w:tcW w:w="1938" w:type="dxa"/>
            <w:vAlign w:val="center"/>
          </w:tcPr>
          <w:p w14:paraId="30DCEE9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1F3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89E592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219</w:t>
            </w:r>
          </w:p>
        </w:tc>
        <w:tc>
          <w:tcPr>
            <w:tcW w:w="878" w:type="dxa"/>
            <w:vAlign w:val="center"/>
          </w:tcPr>
          <w:p w14:paraId="50DE698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煅龙骨</w:t>
            </w:r>
          </w:p>
        </w:tc>
        <w:tc>
          <w:tcPr>
            <w:tcW w:w="845" w:type="dxa"/>
            <w:vAlign w:val="center"/>
          </w:tcPr>
          <w:p w14:paraId="5216FDE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4F7500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0FB8465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本品呈不规则的块状。表面蓝白色、灰白色或灰褐色，多平滑，具有纹理与裂隙，质酥脆，吸湿性强</w:t>
            </w:r>
          </w:p>
        </w:tc>
        <w:tc>
          <w:tcPr>
            <w:tcW w:w="1938" w:type="dxa"/>
            <w:vAlign w:val="center"/>
          </w:tcPr>
          <w:p w14:paraId="3F5CF5B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湖北省中药饮片炮制规范2018年版</w:t>
            </w:r>
          </w:p>
        </w:tc>
      </w:tr>
      <w:tr w14:paraId="3766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C20401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220</w:t>
            </w:r>
          </w:p>
        </w:tc>
        <w:tc>
          <w:tcPr>
            <w:tcW w:w="878" w:type="dxa"/>
            <w:vAlign w:val="center"/>
          </w:tcPr>
          <w:p w14:paraId="2A2E7AB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煅牡蛎</w:t>
            </w:r>
          </w:p>
        </w:tc>
        <w:tc>
          <w:tcPr>
            <w:tcW w:w="845" w:type="dxa"/>
            <w:vAlign w:val="center"/>
          </w:tcPr>
          <w:p w14:paraId="7EC8D70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E01E56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DFD3A0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煅牡蛎    取净牡蛎，照明煅法（通则0213）煅至酥脆。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【性状】本品为不规则的碎块或粗粉。灰白色。质酥脆，断面层状。</w:t>
            </w:r>
          </w:p>
        </w:tc>
        <w:tc>
          <w:tcPr>
            <w:tcW w:w="1938" w:type="dxa"/>
            <w:vAlign w:val="center"/>
          </w:tcPr>
          <w:p w14:paraId="0F9D7AF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CBB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36D934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221</w:t>
            </w:r>
          </w:p>
        </w:tc>
        <w:tc>
          <w:tcPr>
            <w:tcW w:w="878" w:type="dxa"/>
            <w:vAlign w:val="center"/>
          </w:tcPr>
          <w:p w14:paraId="3285EA9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胆南星</w:t>
            </w:r>
          </w:p>
        </w:tc>
        <w:tc>
          <w:tcPr>
            <w:tcW w:w="845" w:type="dxa"/>
            <w:vAlign w:val="center"/>
          </w:tcPr>
          <w:p w14:paraId="1E4E6FF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49CC94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72198B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本品呈方块状或圆柱状。棕黄色、灰棕色或棕黑色。质硬。气微腥，味苦。</w:t>
            </w:r>
          </w:p>
        </w:tc>
        <w:tc>
          <w:tcPr>
            <w:tcW w:w="1938" w:type="dxa"/>
            <w:vAlign w:val="center"/>
          </w:tcPr>
          <w:p w14:paraId="2ED4642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F36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F58F66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222</w:t>
            </w:r>
          </w:p>
        </w:tc>
        <w:tc>
          <w:tcPr>
            <w:tcW w:w="878" w:type="dxa"/>
            <w:vAlign w:val="center"/>
          </w:tcPr>
          <w:p w14:paraId="7570DA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丹参</w:t>
            </w:r>
          </w:p>
        </w:tc>
        <w:tc>
          <w:tcPr>
            <w:tcW w:w="845" w:type="dxa"/>
            <w:vAlign w:val="center"/>
          </w:tcPr>
          <w:p w14:paraId="5B1AB09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4D01D6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0BCF423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根茎短粗，顶端有时残留茎基。根数条，长圆柱形，略弯曲，有的分枝并具须状细根，长10～20cm，直径0.3～1cm。表面棕红色或暗棕红色，粗糙，具纵皱纹。老根外皮疏松，多显紫棕色，常呈鳞片状剥落。质硬而脆，断面疏松，有裂隙或略平整而致密，皮部棕红色，木部灰黄色或紫褐色，导管束黄白色，呈放射状排列。气微，味微苦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栽培品较粗壮，直径0.5～1.5cm。表面红棕色，具纵皱纹，外皮紧贴不易剥落。质坚实，断面较平整，略呈角质样。</w:t>
            </w:r>
          </w:p>
        </w:tc>
        <w:tc>
          <w:tcPr>
            <w:tcW w:w="1938" w:type="dxa"/>
            <w:vAlign w:val="center"/>
          </w:tcPr>
          <w:p w14:paraId="668F91C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B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2CC455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223</w:t>
            </w:r>
          </w:p>
        </w:tc>
        <w:tc>
          <w:tcPr>
            <w:tcW w:w="878" w:type="dxa"/>
            <w:vAlign w:val="center"/>
          </w:tcPr>
          <w:p w14:paraId="5FA7E6E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独行菜子</w:t>
            </w:r>
          </w:p>
        </w:tc>
        <w:tc>
          <w:tcPr>
            <w:tcW w:w="845" w:type="dxa"/>
            <w:vAlign w:val="center"/>
          </w:tcPr>
          <w:p w14:paraId="0F6C6BF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486EEE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16299E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家独行菜子：本品呈扁卵形，长2-2.5mm，宽1~1.5mm。表面棕红色，有细微的颗粒状突起，一端钝圆，另一端有纵沟2条，在浅沟外被短柔毛，种脐位于凹陷处。气微，味辛、微苦。遇水有黏滑性。</w:t>
            </w:r>
          </w:p>
        </w:tc>
        <w:tc>
          <w:tcPr>
            <w:tcW w:w="1938" w:type="dxa"/>
            <w:vAlign w:val="center"/>
          </w:tcPr>
          <w:p w14:paraId="6F90508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05ED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8E9881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224</w:t>
            </w:r>
          </w:p>
        </w:tc>
        <w:tc>
          <w:tcPr>
            <w:tcW w:w="878" w:type="dxa"/>
            <w:vAlign w:val="center"/>
          </w:tcPr>
          <w:p w14:paraId="3821BB5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对叶大戟果</w:t>
            </w:r>
          </w:p>
        </w:tc>
        <w:tc>
          <w:tcPr>
            <w:tcW w:w="845" w:type="dxa"/>
            <w:vAlign w:val="center"/>
          </w:tcPr>
          <w:p w14:paraId="0E8D71F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5AA4EF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7B28CE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大镜下可见柱头3裂，裂片小三角形；下端稍狭，在放大镜下可见微突起的点状果柄痕。果实表面光滑，黄绿色、灰黄白色或黄棕色，在放大镜下可见网状纹理。果皮薄，剥开后果皮平滑，色略浅。种子卵形或椭圆形，白色至棕褐色，在放大镜下，背面有凸凹不平的胡桃核样纹理，腹面还可见一槽沟（种脐），种子一端可见略大的圆点（珠孔）。气微或无，味微咸而辛香，稍显刺喉感。</w:t>
            </w:r>
          </w:p>
        </w:tc>
        <w:tc>
          <w:tcPr>
            <w:tcW w:w="1938" w:type="dxa"/>
            <w:vAlign w:val="center"/>
          </w:tcPr>
          <w:p w14:paraId="430ACA9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330E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4F0C5B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225</w:t>
            </w:r>
          </w:p>
        </w:tc>
        <w:tc>
          <w:tcPr>
            <w:tcW w:w="878" w:type="dxa"/>
            <w:vAlign w:val="center"/>
          </w:tcPr>
          <w:p w14:paraId="37014C6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麸炒苍术</w:t>
            </w:r>
          </w:p>
        </w:tc>
        <w:tc>
          <w:tcPr>
            <w:tcW w:w="845" w:type="dxa"/>
            <w:vAlign w:val="center"/>
          </w:tcPr>
          <w:p w14:paraId="1083C0A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E05AD2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4425716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麸炒苍术  取苍术片，照麸炒法（通则0213）炒至表面深黄色。本品形如苍术片，表面深黄色，散有多数棕褐色油室。有焦香气。</w:t>
            </w:r>
          </w:p>
        </w:tc>
        <w:tc>
          <w:tcPr>
            <w:tcW w:w="1938" w:type="dxa"/>
            <w:vAlign w:val="center"/>
          </w:tcPr>
          <w:p w14:paraId="4ABFD4B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AB4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821E18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226</w:t>
            </w:r>
          </w:p>
        </w:tc>
        <w:tc>
          <w:tcPr>
            <w:tcW w:w="878" w:type="dxa"/>
            <w:vAlign w:val="center"/>
          </w:tcPr>
          <w:p w14:paraId="359272A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覆盆子</w:t>
            </w:r>
          </w:p>
        </w:tc>
        <w:tc>
          <w:tcPr>
            <w:tcW w:w="845" w:type="dxa"/>
            <w:vAlign w:val="center"/>
          </w:tcPr>
          <w:p w14:paraId="718B220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4688AE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215DE7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聚合果，由多数小核果聚合而成，呈圆锥形或扁圆锥形，高0.6～1.3cm，直径0.5~1.2cm。表面黄绿色或淡棕色，顶端钝圆，基部中心凹入。宿萼棕褐色，下有果梗痕。小果易剥落，每个小果呈半月形，背面密被灰白色茸毛，两侧有明显的网纹，腹部有突起的棱线。体轻，质硬。气微，味微酸涩。</w:t>
            </w:r>
          </w:p>
        </w:tc>
        <w:tc>
          <w:tcPr>
            <w:tcW w:w="1938" w:type="dxa"/>
            <w:vAlign w:val="center"/>
          </w:tcPr>
          <w:p w14:paraId="0E10F51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BF1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82F25F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227</w:t>
            </w:r>
          </w:p>
        </w:tc>
        <w:tc>
          <w:tcPr>
            <w:tcW w:w="878" w:type="dxa"/>
            <w:vAlign w:val="center"/>
          </w:tcPr>
          <w:p w14:paraId="28EA048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佛手</w:t>
            </w:r>
          </w:p>
        </w:tc>
        <w:tc>
          <w:tcPr>
            <w:tcW w:w="845" w:type="dxa"/>
            <w:vAlign w:val="center"/>
          </w:tcPr>
          <w:p w14:paraId="3D4E507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441E94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6A82BA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本品为类椭圆形或卵圆形的薄片，常皱缩或卷曲，长6～10cm，宽3～7cm，厚0. 2～0. 4cm。顶端稍宽，常有 3～5个手指状的裂瓣，基部略窄，有的可见果梗痕。外皮黄绿色或橙黄色，有皱纹和油点。果肉浅黄白色或浅黄色，散有凹凸不平的线状或点状维管束。质硬而脆，受潮后柔韧。气香，味微甜后苦。</w:t>
            </w:r>
          </w:p>
        </w:tc>
        <w:tc>
          <w:tcPr>
            <w:tcW w:w="1938" w:type="dxa"/>
            <w:vAlign w:val="center"/>
          </w:tcPr>
          <w:p w14:paraId="62EAE02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569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6F256D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228</w:t>
            </w:r>
          </w:p>
        </w:tc>
        <w:tc>
          <w:tcPr>
            <w:tcW w:w="878" w:type="dxa"/>
            <w:vAlign w:val="center"/>
          </w:tcPr>
          <w:p w14:paraId="55C3F70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浮小麦</w:t>
            </w:r>
          </w:p>
        </w:tc>
        <w:tc>
          <w:tcPr>
            <w:tcW w:w="845" w:type="dxa"/>
            <w:vAlign w:val="center"/>
          </w:tcPr>
          <w:p w14:paraId="3E3E700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1E6EE1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764EADE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浮小麦 本品呈长圆形，两端略尖。长4~7mm，直径1.5~2.5 mm。表面浅黄棕色或黄色，略皱缩。少数带有颖及秤。腹面中央有1条深陷的纵沟纹，背面基部成斜尖形，有不明显的胚1枚，顶端钝形，带有黄白色柔毛。质坚硬，少数极瘪者质地较软。断面白色或淡黄色。气微，味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炒浮小麦形如浮小麦，表面深黄色，有香气。</w:t>
            </w:r>
          </w:p>
        </w:tc>
        <w:tc>
          <w:tcPr>
            <w:tcW w:w="1938" w:type="dxa"/>
            <w:vAlign w:val="center"/>
          </w:tcPr>
          <w:p w14:paraId="2E3FCF3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江苏省中药饮片炮制规范2020年版</w:t>
            </w:r>
          </w:p>
        </w:tc>
      </w:tr>
      <w:tr w14:paraId="5714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BBB3C8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229</w:t>
            </w:r>
          </w:p>
        </w:tc>
        <w:tc>
          <w:tcPr>
            <w:tcW w:w="878" w:type="dxa"/>
            <w:vAlign w:val="center"/>
          </w:tcPr>
          <w:p w14:paraId="5577791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肉苁蓉</w:t>
            </w:r>
          </w:p>
        </w:tc>
        <w:tc>
          <w:tcPr>
            <w:tcW w:w="845" w:type="dxa"/>
            <w:vAlign w:val="center"/>
          </w:tcPr>
          <w:p w14:paraId="326277C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BDCD75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8E6FA8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本品为列当科植物肉苁蓉Cistanche deserticola Y.C.Ma或管花肉苁蓉Cistanche tubulosa（Schenk）Wight的干燥带鳞叶的肉质茎。春季苗刚出土时或秋季冻土之前采挖，除去茎尖。切段，晒干。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【性状】肉苁蓉  呈扁圆柱形，稍弯曲，长3～15cm，直径2～8cm。表面棕褐色或灰棕色，密被覆瓦状排列的肉质鳞叶，通常鳞叶先端已断。体重，质硬，微有柔性，不易折断，断面棕褐色，有淡棕色点状维管束，排列成波状环纹。气微，味甜、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管花肉苁蓉  呈类纺锤形、扁纺锤形或扁柱形，稍弯曲，长5～25cm，直径2.5～9cm。表面棕褐色至黑褐色。断面颗粒状，灰棕色至灰褐色，散生点状维管束。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【炮制】肉苁蓉片  除去杂质，洗净，润透，切厚片，干燥。</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【性状】肉苁蓉片  呈不规则形的厚片。表面棕褐色或灰棕色。有的可见肉质鳞叶。切面有淡棕色或棕黄色点状维管束，排列成波状环纹。气微，味甜、微苦。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管花肉苁蓉片  切面散生点状维管束。</w:t>
            </w:r>
          </w:p>
        </w:tc>
        <w:tc>
          <w:tcPr>
            <w:tcW w:w="1938" w:type="dxa"/>
            <w:vAlign w:val="center"/>
          </w:tcPr>
          <w:p w14:paraId="32FB93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2C2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9F383C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230</w:t>
            </w:r>
          </w:p>
        </w:tc>
        <w:tc>
          <w:tcPr>
            <w:tcW w:w="878" w:type="dxa"/>
            <w:vAlign w:val="center"/>
          </w:tcPr>
          <w:p w14:paraId="416E23E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广藿香</w:t>
            </w:r>
          </w:p>
        </w:tc>
        <w:tc>
          <w:tcPr>
            <w:tcW w:w="845" w:type="dxa"/>
            <w:vAlign w:val="center"/>
          </w:tcPr>
          <w:p w14:paraId="22EBAA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EDB7F7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AF6987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茎略呈方柱形，多分枝，枝条稍曲折，长30～60cm，直径0.2～0.7cm；表面被柔毛；质脆，易折断，断面中部有髓；老茎类圆柱形，直径1～1.2cm，被灰褐色栓皮。叶对生，皱缩成团，展平后叶片呈卵形或椭圆形，长4～9cm，宽3～7cm；两面均被灰白色绒毛；先端短尖或钝圆，基部楔形或钝圆，边缘具大小不规则的钝齿；叶柄细，长2～5cm，被柔毛。气香特异，味微苦。</w:t>
            </w:r>
          </w:p>
        </w:tc>
        <w:tc>
          <w:tcPr>
            <w:tcW w:w="1938" w:type="dxa"/>
            <w:vAlign w:val="center"/>
          </w:tcPr>
          <w:p w14:paraId="6E48140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355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25C687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231</w:t>
            </w:r>
          </w:p>
        </w:tc>
        <w:tc>
          <w:tcPr>
            <w:tcW w:w="878" w:type="dxa"/>
            <w:vAlign w:val="center"/>
          </w:tcPr>
          <w:p w14:paraId="4B82D04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钩藤</w:t>
            </w:r>
          </w:p>
        </w:tc>
        <w:tc>
          <w:tcPr>
            <w:tcW w:w="845" w:type="dxa"/>
            <w:vAlign w:val="center"/>
          </w:tcPr>
          <w:p w14:paraId="29338DB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C199FD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8DDB90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茎枝呈圆柱形或类方柱形，长2～3cm，直径0.2～0.5cm。表面红棕色至紫红色者具细纵纹，光滑无毛；黄绿色至灰褐色者有的可见白色点状皮孔，被黄褐色柔毛。多数枝节上对生两个向下弯曲的钩（不育花序梗），或仅一侧有钩，另一侧为突起的疤痕；钩略扁或稍圆，先端细尖，基部较阔；钩基部的枝上可见叶柄脱落后的窝点状痕迹和环状的托叶痕。质坚韧，断面黄棕色，皮部纤维性，髓部黄白色或中空。气微，味淡。</w:t>
            </w:r>
          </w:p>
        </w:tc>
        <w:tc>
          <w:tcPr>
            <w:tcW w:w="1938" w:type="dxa"/>
            <w:vAlign w:val="center"/>
          </w:tcPr>
          <w:p w14:paraId="25269D4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497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C7EAA1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232</w:t>
            </w:r>
          </w:p>
        </w:tc>
        <w:tc>
          <w:tcPr>
            <w:tcW w:w="878" w:type="dxa"/>
            <w:vAlign w:val="center"/>
          </w:tcPr>
          <w:p w14:paraId="7AD0F15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干鱼腥草</w:t>
            </w:r>
          </w:p>
        </w:tc>
        <w:tc>
          <w:tcPr>
            <w:tcW w:w="845" w:type="dxa"/>
            <w:vAlign w:val="center"/>
          </w:tcPr>
          <w:p w14:paraId="760B126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17C4B5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D64FC0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本品为不规则的段。茎呈扁圆柱形，表面淡红棕色至黄棕色，有纵棱。叶片多破碎，黄棕色至暗棕色。穗状花序黄棕色。搓碎具鱼腥气，味涩。</w:t>
            </w:r>
          </w:p>
        </w:tc>
        <w:tc>
          <w:tcPr>
            <w:tcW w:w="1938" w:type="dxa"/>
            <w:vAlign w:val="center"/>
          </w:tcPr>
          <w:p w14:paraId="4A117A2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E68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09304A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233</w:t>
            </w:r>
          </w:p>
        </w:tc>
        <w:tc>
          <w:tcPr>
            <w:tcW w:w="878" w:type="dxa"/>
            <w:vAlign w:val="center"/>
          </w:tcPr>
          <w:p w14:paraId="5FC082D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桂枝</w:t>
            </w:r>
          </w:p>
        </w:tc>
        <w:tc>
          <w:tcPr>
            <w:tcW w:w="845" w:type="dxa"/>
            <w:vAlign w:val="center"/>
          </w:tcPr>
          <w:p w14:paraId="2F5ED68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D09439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5B431D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柱形，多分枝，长30～75cm，粗端直径0.3～1cm。表面红棕色至棕色，有纵棱线、细皱纹及小疙瘩状的叶痕、枝痕和芽痕，皮孔点状。质硬而脆，易折断。切片厚2～4mm，切面皮部红棕色，木部黄白色至浅黄棕色，髓部略呈方形。有特异香气，味甜、微辛，皮部味较浓。</w:t>
            </w:r>
          </w:p>
        </w:tc>
        <w:tc>
          <w:tcPr>
            <w:tcW w:w="1938" w:type="dxa"/>
            <w:vAlign w:val="center"/>
          </w:tcPr>
          <w:p w14:paraId="0532798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6F1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09036B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234</w:t>
            </w:r>
          </w:p>
        </w:tc>
        <w:tc>
          <w:tcPr>
            <w:tcW w:w="878" w:type="dxa"/>
            <w:vAlign w:val="center"/>
          </w:tcPr>
          <w:p w14:paraId="26C6B8D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合欢皮</w:t>
            </w:r>
          </w:p>
        </w:tc>
        <w:tc>
          <w:tcPr>
            <w:tcW w:w="845" w:type="dxa"/>
            <w:vAlign w:val="center"/>
          </w:tcPr>
          <w:p w14:paraId="137854F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31F4F6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0A2460D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卷曲筒状或半筒状，长40～80cm，厚0.1～0.3cm。外表面灰棕色至灰褐色，稍有纵皱纹，有的成浅裂纹，密生明显的椭圆形横向皮孔，棕色或棕红色，偶有突起的横棱或较大的圆形枝痕，常附有地衣斑；内表面淡黄棕色或黄白色，平滑，有细密纵纹。质硬而脆，易折断，断面呈纤维性片状，淡黄棕色或黄白色。气微香，味淡、微涩、稍刺舌，而后喉头有不适感。</w:t>
            </w:r>
          </w:p>
        </w:tc>
        <w:tc>
          <w:tcPr>
            <w:tcW w:w="1938" w:type="dxa"/>
            <w:vAlign w:val="center"/>
          </w:tcPr>
          <w:p w14:paraId="5E60197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68B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080450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235</w:t>
            </w:r>
          </w:p>
        </w:tc>
        <w:tc>
          <w:tcPr>
            <w:tcW w:w="878" w:type="dxa"/>
            <w:vAlign w:val="center"/>
          </w:tcPr>
          <w:p w14:paraId="151681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化橘红</w:t>
            </w:r>
          </w:p>
        </w:tc>
        <w:tc>
          <w:tcPr>
            <w:tcW w:w="845" w:type="dxa"/>
            <w:vAlign w:val="center"/>
          </w:tcPr>
          <w:p w14:paraId="39B710C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3EA001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F1DB4F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化州柚 呈对折的七角或展平的五角星状，单片呈柳叶形。完整者展平后直径15～28cm，厚0.2～0.5cm。外表面黄绿色，密布茸毛，有皱纹及小油室；内表面黄白色或淡黄棕色，有脉络纹。质脆，易折断，断面不整齐，外缘有1列不整齐的下凹的油室，内侧稍柔而有弹性。气芳香，味苦、微辛。</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柚</w:t>
            </w:r>
            <w:r>
              <w:rPr>
                <w:rFonts w:hint="eastAsia" w:ascii="宋体" w:hAnsi="宋体" w:eastAsia="宋体" w:cs="宋体"/>
                <w:b/>
                <w:bCs/>
                <w:i w:val="0"/>
                <w:iCs w:val="0"/>
                <w:snapToGrid w:val="0"/>
                <w:color w:val="000000"/>
                <w:kern w:val="0"/>
                <w:sz w:val="22"/>
                <w:szCs w:val="22"/>
                <w:u w:val="none"/>
                <w:lang w:val="en-US" w:eastAsia="zh-CN" w:bidi="ar"/>
              </w:rPr>
              <w:t xml:space="preserve"> </w:t>
            </w:r>
            <w:r>
              <w:rPr>
                <w:rFonts w:hint="eastAsia" w:ascii="宋体" w:hAnsi="宋体" w:eastAsia="宋体" w:cs="宋体"/>
                <w:i w:val="0"/>
                <w:iCs w:val="0"/>
                <w:snapToGrid w:val="0"/>
                <w:color w:val="000000"/>
                <w:kern w:val="0"/>
                <w:sz w:val="22"/>
                <w:szCs w:val="22"/>
                <w:u w:val="none"/>
                <w:lang w:val="en-US" w:eastAsia="zh-CN" w:bidi="ar"/>
              </w:rPr>
              <w:t>外表面黄绿色至黄棕色，无毛。</w:t>
            </w:r>
          </w:p>
        </w:tc>
        <w:tc>
          <w:tcPr>
            <w:tcW w:w="1938" w:type="dxa"/>
            <w:vAlign w:val="center"/>
          </w:tcPr>
          <w:p w14:paraId="72FC048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F60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800CD3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236</w:t>
            </w:r>
          </w:p>
        </w:tc>
        <w:tc>
          <w:tcPr>
            <w:tcW w:w="878" w:type="dxa"/>
            <w:vAlign w:val="center"/>
          </w:tcPr>
          <w:p w14:paraId="6CAA18C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海金沙</w:t>
            </w:r>
          </w:p>
        </w:tc>
        <w:tc>
          <w:tcPr>
            <w:tcW w:w="845" w:type="dxa"/>
            <w:vAlign w:val="center"/>
          </w:tcPr>
          <w:p w14:paraId="4739136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34F9EF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8B85F0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本品呈粉末状，棕黄色或浅棕黄色。体轻，手捻有光滑感，置手中易由指缝滑落。气微，味淡。</w:t>
            </w:r>
          </w:p>
        </w:tc>
        <w:tc>
          <w:tcPr>
            <w:tcW w:w="1938" w:type="dxa"/>
            <w:vAlign w:val="center"/>
          </w:tcPr>
          <w:p w14:paraId="1EDB0AB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19C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72A503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237</w:t>
            </w:r>
          </w:p>
        </w:tc>
        <w:tc>
          <w:tcPr>
            <w:tcW w:w="878" w:type="dxa"/>
            <w:vAlign w:val="center"/>
          </w:tcPr>
          <w:p w14:paraId="65AC36E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黄芥子</w:t>
            </w:r>
          </w:p>
        </w:tc>
        <w:tc>
          <w:tcPr>
            <w:tcW w:w="845" w:type="dxa"/>
            <w:vAlign w:val="center"/>
          </w:tcPr>
          <w:p w14:paraId="5AD1BFD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04CD08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B86A7A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黄芥子    较小，直径1～2mm。表面黄色至棕黄色，少数呈暗红棕色。研碎后加水浸湿，则产生辛烈的特异臭气。</w:t>
            </w:r>
          </w:p>
        </w:tc>
        <w:tc>
          <w:tcPr>
            <w:tcW w:w="1938" w:type="dxa"/>
            <w:vAlign w:val="center"/>
          </w:tcPr>
          <w:p w14:paraId="6A9097F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102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ED2A57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238</w:t>
            </w:r>
          </w:p>
        </w:tc>
        <w:tc>
          <w:tcPr>
            <w:tcW w:w="878" w:type="dxa"/>
            <w:vAlign w:val="center"/>
          </w:tcPr>
          <w:p w14:paraId="1F1C043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火麻仁</w:t>
            </w:r>
          </w:p>
        </w:tc>
        <w:tc>
          <w:tcPr>
            <w:tcW w:w="845" w:type="dxa"/>
            <w:vAlign w:val="center"/>
          </w:tcPr>
          <w:p w14:paraId="07652E1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7DEF71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BB67C3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品呈卵圆形，本4～5.5mm，直径2.5～4mm。表面灰绿色或灰黄色，有微细的白色或棕色网纹，两边有棱，顶端略尖，基部有1圆形果梗痕。果皮薄而脆，易破碎。种皮绿色，子叶2，乳白色，富油性。气微，味淡。</w:t>
            </w:r>
          </w:p>
        </w:tc>
        <w:tc>
          <w:tcPr>
            <w:tcW w:w="1938" w:type="dxa"/>
            <w:vAlign w:val="center"/>
          </w:tcPr>
          <w:p w14:paraId="1B036F0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86E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70C049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239</w:t>
            </w:r>
          </w:p>
        </w:tc>
        <w:tc>
          <w:tcPr>
            <w:tcW w:w="878" w:type="dxa"/>
            <w:vAlign w:val="center"/>
          </w:tcPr>
          <w:p w14:paraId="4E6C943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厚朴</w:t>
            </w:r>
          </w:p>
        </w:tc>
        <w:tc>
          <w:tcPr>
            <w:tcW w:w="845" w:type="dxa"/>
            <w:vAlign w:val="center"/>
          </w:tcPr>
          <w:p w14:paraId="5E42D44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5F67B4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D070F4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干皮</w:t>
            </w:r>
            <w:r>
              <w:rPr>
                <w:rFonts w:hint="eastAsia" w:ascii="宋体" w:hAnsi="宋体" w:eastAsia="宋体" w:cs="宋体"/>
                <w:i w:val="0"/>
                <w:iCs w:val="0"/>
                <w:snapToGrid w:val="0"/>
                <w:color w:val="000000"/>
                <w:kern w:val="0"/>
                <w:sz w:val="22"/>
                <w:szCs w:val="22"/>
                <w:u w:val="none"/>
                <w:lang w:val="en-US" w:eastAsia="zh-CN" w:bidi="ar"/>
              </w:rPr>
              <w:t xml:space="preserve"> 呈卷筒状或双卷筒状，长30～35cm，厚0.2～0.7cm，习称“筒朴”；近根部的干皮一端展开如喇叭口，长13～25cm，厚0.3-0.8cm，习称“靴筒朴”。外表面灰棕色或灰褐色，粗糙，有时呈鳞片状，较易剥落，有明显椭圆形皮孔和纵皱纹，刮去粗皮者显黄棕色。内表面紫棕色或深紫褐色，较平滑，具细密纵纹，划之显油痕。质坚硬，不易折断，断面颗粒性，外层灰棕色，内层紫褐色或棕色，有油性，有的可见多数小亮星。气香，味辛辣、微苦。</w:t>
            </w:r>
            <w:r>
              <w:rPr>
                <w:rFonts w:hint="eastAsia" w:ascii="宋体" w:hAnsi="宋体" w:eastAsia="宋体" w:cs="宋体"/>
                <w:b/>
                <w:bCs/>
                <w:i w:val="0"/>
                <w:iCs w:val="0"/>
                <w:snapToGrid w:val="0"/>
                <w:color w:val="000000"/>
                <w:kern w:val="0"/>
                <w:sz w:val="22"/>
                <w:szCs w:val="22"/>
                <w:u w:val="none"/>
                <w:lang w:val="en-US" w:eastAsia="zh-CN" w:bidi="ar"/>
              </w:rPr>
              <w:br w:type="textWrapping"/>
            </w:r>
            <w:r>
              <w:rPr>
                <w:rFonts w:hint="eastAsia" w:ascii="宋体" w:hAnsi="宋体" w:eastAsia="宋体" w:cs="宋体"/>
                <w:b/>
                <w:bCs/>
                <w:i w:val="0"/>
                <w:iCs w:val="0"/>
                <w:snapToGrid w:val="0"/>
                <w:color w:val="000000"/>
                <w:kern w:val="0"/>
                <w:sz w:val="22"/>
                <w:szCs w:val="22"/>
                <w:u w:val="none"/>
                <w:lang w:val="en-US" w:eastAsia="zh-CN" w:bidi="ar"/>
              </w:rPr>
              <w:t>　　根皮（根朴）</w:t>
            </w:r>
            <w:r>
              <w:rPr>
                <w:rFonts w:hint="eastAsia" w:ascii="宋体" w:hAnsi="宋体" w:eastAsia="宋体" w:cs="宋体"/>
                <w:i w:val="0"/>
                <w:iCs w:val="0"/>
                <w:snapToGrid w:val="0"/>
                <w:color w:val="000000"/>
                <w:kern w:val="0"/>
                <w:sz w:val="22"/>
                <w:szCs w:val="22"/>
                <w:u w:val="none"/>
                <w:lang w:val="en-US" w:eastAsia="zh-CN" w:bidi="ar"/>
              </w:rPr>
              <w:t xml:space="preserve"> 呈单筒状或不规则块片；有的弯曲似鸡肠，习称“鸡肠朴”。质硬，较易折断，断面纤维性。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枝皮（枝朴）</w:t>
            </w:r>
            <w:r>
              <w:rPr>
                <w:rFonts w:hint="eastAsia" w:ascii="宋体" w:hAnsi="宋体" w:eastAsia="宋体" w:cs="宋体"/>
                <w:i w:val="0"/>
                <w:iCs w:val="0"/>
                <w:snapToGrid w:val="0"/>
                <w:color w:val="000000"/>
                <w:kern w:val="0"/>
                <w:sz w:val="22"/>
                <w:szCs w:val="22"/>
                <w:u w:val="none"/>
                <w:lang w:val="en-US" w:eastAsia="zh-CN" w:bidi="ar"/>
              </w:rPr>
              <w:t>呈单筒状，长10～20cm，厚0.1～0.2cm。质脆，易折断，断面纤维性。</w:t>
            </w:r>
          </w:p>
        </w:tc>
        <w:tc>
          <w:tcPr>
            <w:tcW w:w="1938" w:type="dxa"/>
            <w:vAlign w:val="center"/>
          </w:tcPr>
          <w:p w14:paraId="3764EC9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2B6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1FD2D9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240</w:t>
            </w:r>
          </w:p>
        </w:tc>
        <w:tc>
          <w:tcPr>
            <w:tcW w:w="878" w:type="dxa"/>
            <w:vAlign w:val="center"/>
          </w:tcPr>
          <w:p w14:paraId="3C8CAD1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黄芩</w:t>
            </w:r>
          </w:p>
        </w:tc>
        <w:tc>
          <w:tcPr>
            <w:tcW w:w="845" w:type="dxa"/>
            <w:vAlign w:val="center"/>
          </w:tcPr>
          <w:p w14:paraId="1C45D9D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717710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2CF8075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锥形，扭曲，长8～25cm，直径1～3cm。表面棕黄色或深黄色，有稀疏的疣状细根痕，上部较粗糙，有扭曲的纵皱纹或不规则的网纹，下部有顺纹和细皱纹。质硬而脆，易折断，断面黄色，中心红棕色；老根中心呈枯朽状或中空，暗棕色或棕黑色。气微，味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栽培品较细长，多有分枝。表面浅黄棕色，外皮紧贴，纵皱纹较细腻。断面黄色或浅黄色，略呈角质样。味微苦。</w:t>
            </w:r>
          </w:p>
        </w:tc>
        <w:tc>
          <w:tcPr>
            <w:tcW w:w="1938" w:type="dxa"/>
            <w:vAlign w:val="center"/>
          </w:tcPr>
          <w:p w14:paraId="6DC61E6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385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116435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241</w:t>
            </w:r>
          </w:p>
        </w:tc>
        <w:tc>
          <w:tcPr>
            <w:tcW w:w="878" w:type="dxa"/>
            <w:vAlign w:val="center"/>
          </w:tcPr>
          <w:p w14:paraId="7D0ED65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滑石</w:t>
            </w:r>
          </w:p>
        </w:tc>
        <w:tc>
          <w:tcPr>
            <w:tcW w:w="845" w:type="dxa"/>
            <w:vAlign w:val="center"/>
          </w:tcPr>
          <w:p w14:paraId="6E54E77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938B9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35EA6C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本品多为块状集合体。呈不规则的块状。白色、黄白色或淡蓝灰色，有蜡样光泽。质软，细腻，手摸有滑润感，无吸湿性，置水中不崩散。气微，味淡。</w:t>
            </w:r>
          </w:p>
        </w:tc>
        <w:tc>
          <w:tcPr>
            <w:tcW w:w="1938" w:type="dxa"/>
            <w:vAlign w:val="center"/>
          </w:tcPr>
          <w:p w14:paraId="50820FE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623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AB2C79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242</w:t>
            </w:r>
          </w:p>
        </w:tc>
        <w:tc>
          <w:tcPr>
            <w:tcW w:w="878" w:type="dxa"/>
            <w:vAlign w:val="center"/>
          </w:tcPr>
          <w:p w14:paraId="75E4D37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姜半夏</w:t>
            </w:r>
          </w:p>
        </w:tc>
        <w:tc>
          <w:tcPr>
            <w:tcW w:w="845" w:type="dxa"/>
            <w:vAlign w:val="center"/>
          </w:tcPr>
          <w:p w14:paraId="444C2EA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A21389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DDD7FC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本品呈片状、不规则颗粒状或类球形。表面棕色至棕褐色。质硬脆，断面淡黄棕色，常具角质样光泽。气微香，味淡、微有麻舌感，嚼之略粘牙。</w:t>
            </w:r>
          </w:p>
        </w:tc>
        <w:tc>
          <w:tcPr>
            <w:tcW w:w="1938" w:type="dxa"/>
            <w:vAlign w:val="center"/>
          </w:tcPr>
          <w:p w14:paraId="666168E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59B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F97468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243</w:t>
            </w:r>
          </w:p>
        </w:tc>
        <w:tc>
          <w:tcPr>
            <w:tcW w:w="878" w:type="dxa"/>
            <w:vAlign w:val="center"/>
          </w:tcPr>
          <w:p w14:paraId="52D8BD1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僵蚕</w:t>
            </w:r>
          </w:p>
        </w:tc>
        <w:tc>
          <w:tcPr>
            <w:tcW w:w="845" w:type="dxa"/>
            <w:vAlign w:val="center"/>
          </w:tcPr>
          <w:p w14:paraId="1DBD9F9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BB4662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F07334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略呈圆柱形，多弯曲皱缩。长2～5cm，直径0.5～0.7cm。表面灰黄色，被有白色粉霜状的气生菌丝和分生孢子。头部较圆，足8对，体节明显，尾部略呈二分歧状。质硬而脆，易折断，断面平坦，外层白色，中间有亮棕色或亮黑色的丝腺环4个。气微腥，味微咸。</w:t>
            </w:r>
          </w:p>
        </w:tc>
        <w:tc>
          <w:tcPr>
            <w:tcW w:w="1938" w:type="dxa"/>
            <w:vAlign w:val="center"/>
          </w:tcPr>
          <w:p w14:paraId="36B9810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4B4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6F8FD3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244</w:t>
            </w:r>
          </w:p>
        </w:tc>
        <w:tc>
          <w:tcPr>
            <w:tcW w:w="878" w:type="dxa"/>
            <w:vAlign w:val="center"/>
          </w:tcPr>
          <w:p w14:paraId="02D3FF7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桔梗</w:t>
            </w:r>
          </w:p>
        </w:tc>
        <w:tc>
          <w:tcPr>
            <w:tcW w:w="845" w:type="dxa"/>
            <w:vAlign w:val="center"/>
          </w:tcPr>
          <w:p w14:paraId="27EB220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B7E8DA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1A8A15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圆柱形或略呈纺锤形，下部渐细，有的有分枝，略扭曲，长7～20cm，直径0.7～2cm。表面淡黄白色至黄色，不去外皮者表面黄棕色至灰棕色，具纵扭皱沟，并有横长的皮孔样斑痕及支根痕，上部有横纹。有的顶端有较短的根茎或不明显，其上有数个半月形茎痕。质脆，断面不平坦，形成层环棕色，皮部黄白色，有裂隙，木部淡黄色。气微，味微甜后苦。</w:t>
            </w:r>
          </w:p>
        </w:tc>
        <w:tc>
          <w:tcPr>
            <w:tcW w:w="1938" w:type="dxa"/>
            <w:vAlign w:val="center"/>
          </w:tcPr>
          <w:p w14:paraId="2125FB6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DC8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5D1F3A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245</w:t>
            </w:r>
          </w:p>
        </w:tc>
        <w:tc>
          <w:tcPr>
            <w:tcW w:w="878" w:type="dxa"/>
            <w:vAlign w:val="center"/>
          </w:tcPr>
          <w:p w14:paraId="02AA950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菊花</w:t>
            </w:r>
          </w:p>
        </w:tc>
        <w:tc>
          <w:tcPr>
            <w:tcW w:w="845" w:type="dxa"/>
            <w:vAlign w:val="center"/>
          </w:tcPr>
          <w:p w14:paraId="4E300B1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9DAFD9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520629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 xml:space="preserve">亳菊 </w:t>
            </w:r>
            <w:r>
              <w:rPr>
                <w:rFonts w:hint="eastAsia" w:ascii="宋体" w:hAnsi="宋体" w:eastAsia="宋体" w:cs="宋体"/>
                <w:i w:val="0"/>
                <w:iCs w:val="0"/>
                <w:snapToGrid w:val="0"/>
                <w:color w:val="000000"/>
                <w:kern w:val="0"/>
                <w:sz w:val="22"/>
                <w:szCs w:val="22"/>
                <w:u w:val="none"/>
                <w:lang w:val="en-US" w:eastAsia="zh-CN" w:bidi="ar"/>
              </w:rPr>
              <w:t xml:space="preserve">  呈倒圆锥形或圆筒形，有时稍压扁呈扇形，直径1.5～3cm，离散。总苞碟状；总苞片3～4层，卵形或椭圆形，草质，黄绿色或褐绿色，外面被柔毛，边缘膜质。花托半球形，无托片或托毛。舌状花数层，雌性，位于外围，类白色，劲直，上举，纵向折缩，散生金黄色腺点；管状花多数，两性，位于中央，为舌状花所隐藏，黄色，顶端5齿裂。瘦果不发育，无冠毛。体轻，质柔润，干时松脆。气清香，味甘、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　滁菊</w:t>
            </w:r>
            <w:r>
              <w:rPr>
                <w:rFonts w:hint="eastAsia" w:ascii="宋体" w:hAnsi="宋体" w:eastAsia="宋体" w:cs="宋体"/>
                <w:i w:val="0"/>
                <w:iCs w:val="0"/>
                <w:snapToGrid w:val="0"/>
                <w:color w:val="000000"/>
                <w:kern w:val="0"/>
                <w:sz w:val="22"/>
                <w:szCs w:val="22"/>
                <w:u w:val="none"/>
                <w:lang w:val="en-US" w:eastAsia="zh-CN" w:bidi="ar"/>
              </w:rPr>
              <w:t xml:space="preserve"> 呈不规则球形或扁球形，直径1.5～2.5cm。舌状花类白色，不规则扭曲，内卷，边缘皱缩，有时可见淡褐色腺点；管状花大多隐藏。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　贡菊</w:t>
            </w:r>
            <w:r>
              <w:rPr>
                <w:rFonts w:hint="eastAsia" w:ascii="宋体" w:hAnsi="宋体" w:eastAsia="宋体" w:cs="宋体"/>
                <w:i w:val="0"/>
                <w:iCs w:val="0"/>
                <w:snapToGrid w:val="0"/>
                <w:color w:val="000000"/>
                <w:kern w:val="0"/>
                <w:sz w:val="22"/>
                <w:szCs w:val="22"/>
                <w:u w:val="none"/>
                <w:lang w:val="en-US" w:eastAsia="zh-CN" w:bidi="ar"/>
              </w:rPr>
              <w:t xml:space="preserve"> 呈扁球形或不规则球形，直径1.5～2.5cm。舌状花白色或类白色，斜升，上部反折，边缘稍内卷而皱缩，通常无腺点；管状花少，外露。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　杭菊</w:t>
            </w:r>
            <w:r>
              <w:rPr>
                <w:rFonts w:hint="eastAsia" w:ascii="宋体" w:hAnsi="宋体" w:eastAsia="宋体" w:cs="宋体"/>
                <w:i w:val="0"/>
                <w:iCs w:val="0"/>
                <w:snapToGrid w:val="0"/>
                <w:color w:val="000000"/>
                <w:kern w:val="0"/>
                <w:sz w:val="22"/>
                <w:szCs w:val="22"/>
                <w:u w:val="none"/>
                <w:lang w:val="en-US" w:eastAsia="zh-CN" w:bidi="ar"/>
              </w:rPr>
              <w:t xml:space="preserve"> 呈碟形或扁球形，直径2.5～4cm，常数个相连成片。舌状花类白色或黄色，平展或微折叠，彼此粘连，通常无腺点；管状花多数，外露。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 xml:space="preserve">怀菊 </w:t>
            </w:r>
            <w:r>
              <w:rPr>
                <w:rFonts w:hint="eastAsia" w:ascii="宋体" w:hAnsi="宋体" w:eastAsia="宋体" w:cs="宋体"/>
                <w:i w:val="0"/>
                <w:iCs w:val="0"/>
                <w:snapToGrid w:val="0"/>
                <w:color w:val="000000"/>
                <w:kern w:val="0"/>
                <w:sz w:val="22"/>
                <w:szCs w:val="22"/>
                <w:u w:val="none"/>
                <w:lang w:val="en-US" w:eastAsia="zh-CN" w:bidi="ar"/>
              </w:rPr>
              <w:t>呈不规则球形或扁球形，直径1.5～2.5cm。多数为舌状花，舌状花类白色或黄色，不规则扭曲，内卷，边缘皱缩，有时可见腺点；管状花大多隐藏。</w:t>
            </w:r>
          </w:p>
        </w:tc>
        <w:tc>
          <w:tcPr>
            <w:tcW w:w="1938" w:type="dxa"/>
            <w:vAlign w:val="center"/>
          </w:tcPr>
          <w:p w14:paraId="3D49EDF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0A2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9C1726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246</w:t>
            </w:r>
          </w:p>
        </w:tc>
        <w:tc>
          <w:tcPr>
            <w:tcW w:w="878" w:type="dxa"/>
            <w:vAlign w:val="center"/>
          </w:tcPr>
          <w:p w14:paraId="415FEE7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决明子</w:t>
            </w:r>
          </w:p>
        </w:tc>
        <w:tc>
          <w:tcPr>
            <w:tcW w:w="845" w:type="dxa"/>
            <w:vAlign w:val="center"/>
          </w:tcPr>
          <w:p w14:paraId="64984A3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007348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B5A0FD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决明  略呈菱方形或短圆柱形，两端平行倾斜，长3～7mm，宽2～4mm。表面绿棕色或暗棕色，平滑有光泽。一端较平坦，另端斜尖，背腹面各有1条突起的棱线，棱线两侧各有1条斜向对称而色较浅的线形凹纹。质坚硬，不易破碎。种皮薄，子叶2，黄色，呈“S”形折曲并重叠。气微，味微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小决明  呈短圆柱形，较小，长3～5mm，宽2～3mm。表面棱线两侧各有1片宽广的浅黄棕色带。</w:t>
            </w:r>
          </w:p>
        </w:tc>
        <w:tc>
          <w:tcPr>
            <w:tcW w:w="1938" w:type="dxa"/>
            <w:vAlign w:val="center"/>
          </w:tcPr>
          <w:p w14:paraId="22353AE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B39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C290BC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247</w:t>
            </w:r>
          </w:p>
        </w:tc>
        <w:tc>
          <w:tcPr>
            <w:tcW w:w="878" w:type="dxa"/>
            <w:vAlign w:val="center"/>
          </w:tcPr>
          <w:p w14:paraId="406ED73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鸡内金</w:t>
            </w:r>
          </w:p>
        </w:tc>
        <w:tc>
          <w:tcPr>
            <w:tcW w:w="845" w:type="dxa"/>
            <w:vAlign w:val="center"/>
          </w:tcPr>
          <w:p w14:paraId="724D9F9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57560A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FA65AA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本品为不规则卷片，厚约2mm。表面黄色、黄绿色或黄褐色，薄而半透明，具明显的条状皱纹。质脆，</w:t>
            </w:r>
          </w:p>
        </w:tc>
        <w:tc>
          <w:tcPr>
            <w:tcW w:w="1938" w:type="dxa"/>
            <w:vAlign w:val="center"/>
          </w:tcPr>
          <w:p w14:paraId="6DA063D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C18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27C113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248</w:t>
            </w:r>
          </w:p>
        </w:tc>
        <w:tc>
          <w:tcPr>
            <w:tcW w:w="878" w:type="dxa"/>
            <w:vAlign w:val="center"/>
          </w:tcPr>
          <w:p w14:paraId="7B8A697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金钱草</w:t>
            </w:r>
          </w:p>
        </w:tc>
        <w:tc>
          <w:tcPr>
            <w:tcW w:w="845" w:type="dxa"/>
            <w:vAlign w:val="center"/>
          </w:tcPr>
          <w:p w14:paraId="104A6FF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A50D94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1B0DB78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常缠结成团，无毛或被疏柔毛。茎扭曲，表面棕色或暗棕红色，有纵纹，下部茎节上有时具须根，断面实心。叶对生，多皱缩，展平后呈宽卵形或心形，长1～4cm，宽1～5cm，基部微凹，全缘；上表面灰绿色或棕褐色，下表面色较浅，主脉明显突起，用水浸后，对光透视可见黑色或褐色条纹；叶柄长1～4cm。有的带花，花黄色，单生叶腋，具长梗。蒴果球形。气微，味淡。</w:t>
            </w:r>
          </w:p>
        </w:tc>
        <w:tc>
          <w:tcPr>
            <w:tcW w:w="1938" w:type="dxa"/>
            <w:vAlign w:val="center"/>
          </w:tcPr>
          <w:p w14:paraId="5856F9C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E3F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761594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249</w:t>
            </w:r>
          </w:p>
        </w:tc>
        <w:tc>
          <w:tcPr>
            <w:tcW w:w="878" w:type="dxa"/>
            <w:vAlign w:val="center"/>
          </w:tcPr>
          <w:p w14:paraId="33911E4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金樱子</w:t>
            </w:r>
          </w:p>
        </w:tc>
        <w:tc>
          <w:tcPr>
            <w:tcW w:w="845" w:type="dxa"/>
            <w:vAlign w:val="center"/>
          </w:tcPr>
          <w:p w14:paraId="0986BC2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FEE72C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A9D799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花托发育而成的假果，呈倒卵形，长2～3.5cm，直径1～2cm。表面红黄色或红棕色，有突起的棕色小点，系毛刺脱落后的残基。顶端有盘状花萼残基，中央有黄色柱基，下部渐尖。质硬。切开后，花托壁厚1～2mm，内有多数坚硬的小瘦果，内壁及瘦果均有淡黄色绒毛。气微，味甘、微涩。</w:t>
            </w:r>
          </w:p>
        </w:tc>
        <w:tc>
          <w:tcPr>
            <w:tcW w:w="1938" w:type="dxa"/>
            <w:vAlign w:val="center"/>
          </w:tcPr>
          <w:p w14:paraId="7EF8CCE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723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81779D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250</w:t>
            </w:r>
          </w:p>
        </w:tc>
        <w:tc>
          <w:tcPr>
            <w:tcW w:w="878" w:type="dxa"/>
            <w:vAlign w:val="center"/>
          </w:tcPr>
          <w:p w14:paraId="764673C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苦参</w:t>
            </w:r>
          </w:p>
        </w:tc>
        <w:tc>
          <w:tcPr>
            <w:tcW w:w="845" w:type="dxa"/>
            <w:vAlign w:val="center"/>
          </w:tcPr>
          <w:p w14:paraId="6D7135E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109147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5329" w:type="dxa"/>
            <w:vAlign w:val="center"/>
          </w:tcPr>
          <w:p w14:paraId="696F614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柱形，下部常有分枝，长10～30cm，直径1～6.5cm。表面灰棕色或棕黄色，具纵皱纹和横长皮孔样突起，外皮薄，多破裂反卷，易剥落，剥落处显黄色，光滑。质硬，不易折断，断面纤维性；切片厚3～6mm；切面黄白色，具放射状纹理和裂隙，有的具异型维管束呈同心性环列或不规则散在。</w:t>
            </w:r>
          </w:p>
        </w:tc>
        <w:tc>
          <w:tcPr>
            <w:tcW w:w="1938" w:type="dxa"/>
            <w:vAlign w:val="center"/>
          </w:tcPr>
          <w:p w14:paraId="57D2D21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B4D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2D1581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251</w:t>
            </w:r>
          </w:p>
        </w:tc>
        <w:tc>
          <w:tcPr>
            <w:tcW w:w="878" w:type="dxa"/>
            <w:vAlign w:val="center"/>
          </w:tcPr>
          <w:p w14:paraId="1BECBF6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龙骨</w:t>
            </w:r>
          </w:p>
        </w:tc>
        <w:tc>
          <w:tcPr>
            <w:tcW w:w="845" w:type="dxa"/>
            <w:vAlign w:val="center"/>
          </w:tcPr>
          <w:p w14:paraId="737EFFD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4C6FF5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9E05C0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RUTAE HERBA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本品为芸香科植物芸香Ruta graveolens..的干燥地上部分。夏、秋二季采割地上部分，除去泥土，阴干。【性状】 本品茎呈圆柱形，基部木质化，光滑无毛，密布腺点，黄绿色，质轻，折断面不平整，淡黄白色，外皮易剥落。叶具柄，二至三回复叶，长6~12cmn，裂片倒卵状长圆形、倒卵形或匙形，长1~2cn，全缘或有钝齿，无毛，上面密布油点。花黄色，萼片4片，花排4片，子房通常4室，果长6-10mn,由顶端开裂至中部，果皮有凸起的油点，种子肾形，长约1.5mm，褐黑色，具脊棱，外种皮有细小的瘤状突起，味微苦。</w:t>
            </w:r>
          </w:p>
        </w:tc>
        <w:tc>
          <w:tcPr>
            <w:tcW w:w="1938" w:type="dxa"/>
            <w:vAlign w:val="center"/>
          </w:tcPr>
          <w:p w14:paraId="2ABEB21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广东省中药材标准 - 第一册  </w:t>
            </w:r>
          </w:p>
        </w:tc>
      </w:tr>
      <w:tr w14:paraId="5CC0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C42EB7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252</w:t>
            </w:r>
          </w:p>
        </w:tc>
        <w:tc>
          <w:tcPr>
            <w:tcW w:w="878" w:type="dxa"/>
            <w:vAlign w:val="center"/>
          </w:tcPr>
          <w:p w14:paraId="6FA345D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龙眼肉</w:t>
            </w:r>
          </w:p>
        </w:tc>
        <w:tc>
          <w:tcPr>
            <w:tcW w:w="845" w:type="dxa"/>
            <w:vAlign w:val="center"/>
          </w:tcPr>
          <w:p w14:paraId="50E712A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29A36F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76CD78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本品为纵向破裂的不规则薄片，或呈囊状，长约1.5cm，宽2～4cm，厚约0.1cm。棕黄色至棕褐色，半透明。外表面皱缩不平，内表面光亮而有细纵皱纹。薄片者质柔润，囊状者质稍硬。气微香，味甜。</w:t>
            </w:r>
          </w:p>
        </w:tc>
        <w:tc>
          <w:tcPr>
            <w:tcW w:w="1938" w:type="dxa"/>
            <w:vAlign w:val="center"/>
          </w:tcPr>
          <w:p w14:paraId="5DFACDD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D30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52FCE0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253</w:t>
            </w:r>
          </w:p>
        </w:tc>
        <w:tc>
          <w:tcPr>
            <w:tcW w:w="878" w:type="dxa"/>
            <w:vAlign w:val="center"/>
          </w:tcPr>
          <w:p w14:paraId="7297BB3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马勃</w:t>
            </w:r>
          </w:p>
        </w:tc>
        <w:tc>
          <w:tcPr>
            <w:tcW w:w="845" w:type="dxa"/>
            <w:vAlign w:val="center"/>
          </w:tcPr>
          <w:p w14:paraId="553489F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44CF0B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F08CB6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脱皮马勃</w:t>
            </w:r>
            <w:r>
              <w:rPr>
                <w:rFonts w:hint="eastAsia" w:ascii="宋体" w:hAnsi="宋体" w:eastAsia="宋体" w:cs="宋体"/>
                <w:i w:val="0"/>
                <w:iCs w:val="0"/>
                <w:snapToGrid w:val="0"/>
                <w:color w:val="000000"/>
                <w:kern w:val="0"/>
                <w:sz w:val="22"/>
                <w:szCs w:val="22"/>
                <w:u w:val="none"/>
                <w:lang w:val="en-US" w:eastAsia="zh-CN" w:bidi="ar"/>
              </w:rPr>
              <w:t xml:space="preserve">  呈扁球形或类球形，无不孕基部，直径15～20cm。包被灰棕色至黄褐色，纸质，常破碎呈块片状，或已全部脱落。孢体灰褐色或浅褐色，紧密，有弹性，用手撕之，内有灰褐色棉絮状的丝状物。触之则孢子呈尘土样飞扬，手捻有细腻感。臭似尘土，无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大马勃</w:t>
            </w:r>
            <w:r>
              <w:rPr>
                <w:rFonts w:hint="eastAsia" w:ascii="宋体" w:hAnsi="宋体" w:eastAsia="宋体" w:cs="宋体"/>
                <w:i w:val="0"/>
                <w:iCs w:val="0"/>
                <w:snapToGrid w:val="0"/>
                <w:color w:val="000000"/>
                <w:kern w:val="0"/>
                <w:sz w:val="22"/>
                <w:szCs w:val="22"/>
                <w:u w:val="none"/>
                <w:lang w:val="en-US" w:eastAsia="zh-CN" w:bidi="ar"/>
              </w:rPr>
              <w:t xml:space="preserve">  不孕基部小或无。残留的包被由黄棕色的膜状外包被和较厚的灰黄色的内包被所组成，光滑，质硬而脆，成块脱落。孢体浅青褐色，手捻有润滑感。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　紫色马勃</w:t>
            </w:r>
            <w:r>
              <w:rPr>
                <w:rFonts w:hint="eastAsia" w:ascii="宋体" w:hAnsi="宋体" w:eastAsia="宋体" w:cs="宋体"/>
                <w:i w:val="0"/>
                <w:iCs w:val="0"/>
                <w:snapToGrid w:val="0"/>
                <w:color w:val="000000"/>
                <w:kern w:val="0"/>
                <w:sz w:val="22"/>
                <w:szCs w:val="22"/>
                <w:u w:val="none"/>
                <w:lang w:val="en-US" w:eastAsia="zh-CN" w:bidi="ar"/>
              </w:rPr>
              <w:t xml:space="preserve">  呈陀螺形，或已压扁呈扁圆形，直径5～12cm，不孕基部发达。包被薄，两层，紫褐色，粗皱，有圆形凹陷，外翻，上部常裂成小块或已部分脱落。孢体紫色。</w:t>
            </w:r>
          </w:p>
        </w:tc>
        <w:tc>
          <w:tcPr>
            <w:tcW w:w="1938" w:type="dxa"/>
            <w:vAlign w:val="center"/>
          </w:tcPr>
          <w:p w14:paraId="74148E9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4F8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26C9FA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254</w:t>
            </w:r>
          </w:p>
        </w:tc>
        <w:tc>
          <w:tcPr>
            <w:tcW w:w="878" w:type="dxa"/>
            <w:vAlign w:val="center"/>
          </w:tcPr>
          <w:p w14:paraId="41862A4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马齿苋</w:t>
            </w:r>
          </w:p>
        </w:tc>
        <w:tc>
          <w:tcPr>
            <w:tcW w:w="845" w:type="dxa"/>
            <w:vAlign w:val="center"/>
          </w:tcPr>
          <w:p w14:paraId="0709AB2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84BB2F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5329" w:type="dxa"/>
            <w:vAlign w:val="center"/>
          </w:tcPr>
          <w:p w14:paraId="0D19896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本品多皱缩卷曲，常结成团。茎圆柱形，长可达30cm，直径0.1～0.2cm，表面黄褐色，有明显纵沟纹。</w:t>
            </w:r>
          </w:p>
        </w:tc>
        <w:tc>
          <w:tcPr>
            <w:tcW w:w="1938" w:type="dxa"/>
            <w:vAlign w:val="center"/>
          </w:tcPr>
          <w:p w14:paraId="3B252AD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9D8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6FF8D7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255</w:t>
            </w:r>
          </w:p>
        </w:tc>
        <w:tc>
          <w:tcPr>
            <w:tcW w:w="878" w:type="dxa"/>
            <w:vAlign w:val="center"/>
          </w:tcPr>
          <w:p w14:paraId="365E3FE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牡蛎</w:t>
            </w:r>
          </w:p>
        </w:tc>
        <w:tc>
          <w:tcPr>
            <w:tcW w:w="845" w:type="dxa"/>
            <w:vAlign w:val="center"/>
          </w:tcPr>
          <w:p w14:paraId="3F4905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F48349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w:t>
            </w:r>
          </w:p>
        </w:tc>
        <w:tc>
          <w:tcPr>
            <w:tcW w:w="5329" w:type="dxa"/>
            <w:vAlign w:val="center"/>
          </w:tcPr>
          <w:p w14:paraId="36D7FEC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 xml:space="preserve">长牡蛎 </w:t>
            </w:r>
            <w:r>
              <w:rPr>
                <w:rFonts w:hint="eastAsia" w:ascii="宋体" w:hAnsi="宋体" w:eastAsia="宋体" w:cs="宋体"/>
                <w:i w:val="0"/>
                <w:iCs w:val="0"/>
                <w:snapToGrid w:val="0"/>
                <w:color w:val="000000"/>
                <w:kern w:val="0"/>
                <w:sz w:val="22"/>
                <w:szCs w:val="22"/>
                <w:u w:val="none"/>
                <w:lang w:val="en-US" w:eastAsia="zh-CN" w:bidi="ar"/>
              </w:rPr>
              <w:t xml:space="preserve">   呈长片状，背腹缘几平行，长10～50cm，高4～15cm。右壳较小，鳞片坚厚，层状或层纹状排列。壳外面平坦或具数个凹陷，淡紫色、灰白色或黄褐色；内面瓷白色，壳顶二侧无小齿。左壳凹陷深，鳞片较右壳粗大，壳顶附着面小。质硬，断面层状，洁白。气微，味微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大连湾牡蛎</w:t>
            </w:r>
            <w:r>
              <w:rPr>
                <w:rFonts w:hint="eastAsia" w:ascii="宋体" w:hAnsi="宋体" w:eastAsia="宋体" w:cs="宋体"/>
                <w:i w:val="0"/>
                <w:iCs w:val="0"/>
                <w:snapToGrid w:val="0"/>
                <w:color w:val="000000"/>
                <w:kern w:val="0"/>
                <w:sz w:val="22"/>
                <w:szCs w:val="22"/>
                <w:u w:val="none"/>
                <w:lang w:val="en-US" w:eastAsia="zh-CN" w:bidi="ar"/>
              </w:rPr>
              <w:t xml:space="preserve">    呈类三角形，背腹缘呈八字形。右壳外面淡黄色，具疏松的同心鳞片，鳞片起伏成波浪状，内面白色。左壳同心鳞片坚厚，自壳顶部放射肋数个，明显，内面凹下呈盒状，铰合面小。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w:t>
            </w:r>
            <w:r>
              <w:rPr>
                <w:rFonts w:hint="eastAsia" w:ascii="宋体" w:hAnsi="宋体" w:eastAsia="宋体" w:cs="宋体"/>
                <w:b/>
                <w:bCs/>
                <w:i w:val="0"/>
                <w:iCs w:val="0"/>
                <w:snapToGrid w:val="0"/>
                <w:color w:val="000000"/>
                <w:kern w:val="0"/>
                <w:sz w:val="22"/>
                <w:szCs w:val="22"/>
                <w:u w:val="none"/>
                <w:lang w:val="en-US" w:eastAsia="zh-CN" w:bidi="ar"/>
              </w:rPr>
              <w:t>　近江牡蛎</w:t>
            </w:r>
            <w:r>
              <w:rPr>
                <w:rFonts w:hint="eastAsia" w:ascii="宋体" w:hAnsi="宋体" w:eastAsia="宋体" w:cs="宋体"/>
                <w:i w:val="0"/>
                <w:iCs w:val="0"/>
                <w:snapToGrid w:val="0"/>
                <w:color w:val="000000"/>
                <w:kern w:val="0"/>
                <w:sz w:val="22"/>
                <w:szCs w:val="22"/>
                <w:u w:val="none"/>
                <w:lang w:val="en-US" w:eastAsia="zh-CN" w:bidi="ar"/>
              </w:rPr>
              <w:t xml:space="preserve">    呈圆形、卵圆形或三角形等。右壳外面稍不平，有灰、紫、棕、黄等色，环生同心鳞片，幼体者鳞片薄而脆， 多年生长后鳞片层层相叠，内面白色，边缘有的淡紫色。</w:t>
            </w:r>
          </w:p>
        </w:tc>
        <w:tc>
          <w:tcPr>
            <w:tcW w:w="1938" w:type="dxa"/>
            <w:vAlign w:val="center"/>
          </w:tcPr>
          <w:p w14:paraId="2A2B3C0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F0F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360076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256</w:t>
            </w:r>
          </w:p>
        </w:tc>
        <w:tc>
          <w:tcPr>
            <w:tcW w:w="878" w:type="dxa"/>
            <w:vAlign w:val="center"/>
          </w:tcPr>
          <w:p w14:paraId="7CB3FF1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木棉花</w:t>
            </w:r>
          </w:p>
        </w:tc>
        <w:tc>
          <w:tcPr>
            <w:tcW w:w="845" w:type="dxa"/>
            <w:vAlign w:val="center"/>
          </w:tcPr>
          <w:p w14:paraId="1838839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FE4F6B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B7B0DD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本品常皱缩成团。花萼杯状，厚革质，长2～4cm，直径1.5～3cm，顶端3或5裂，裂片钝圆形，反曲；</w:t>
            </w:r>
          </w:p>
        </w:tc>
        <w:tc>
          <w:tcPr>
            <w:tcW w:w="1938" w:type="dxa"/>
            <w:vAlign w:val="center"/>
          </w:tcPr>
          <w:p w14:paraId="0C7270F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0CD4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24349A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257</w:t>
            </w:r>
          </w:p>
        </w:tc>
        <w:tc>
          <w:tcPr>
            <w:tcW w:w="878" w:type="dxa"/>
            <w:vAlign w:val="center"/>
          </w:tcPr>
          <w:p w14:paraId="6940541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麦芽</w:t>
            </w:r>
          </w:p>
        </w:tc>
        <w:tc>
          <w:tcPr>
            <w:tcW w:w="845" w:type="dxa"/>
            <w:vAlign w:val="center"/>
          </w:tcPr>
          <w:p w14:paraId="509E2D7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7DF239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645773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本品呈梭形，长8～12mm，直径3～4mm。表面淡黄色，背面为外稃包围，具5脉；腹面为内稃包围。</w:t>
            </w:r>
          </w:p>
        </w:tc>
        <w:tc>
          <w:tcPr>
            <w:tcW w:w="1938" w:type="dxa"/>
            <w:vAlign w:val="center"/>
          </w:tcPr>
          <w:p w14:paraId="2D71566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7C1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BC0780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258</w:t>
            </w:r>
          </w:p>
        </w:tc>
        <w:tc>
          <w:tcPr>
            <w:tcW w:w="878" w:type="dxa"/>
            <w:vAlign w:val="center"/>
          </w:tcPr>
          <w:p w14:paraId="21B9D41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没药枝</w:t>
            </w:r>
          </w:p>
        </w:tc>
        <w:tc>
          <w:tcPr>
            <w:tcW w:w="845" w:type="dxa"/>
            <w:vAlign w:val="center"/>
          </w:tcPr>
          <w:p w14:paraId="33F8EB3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7F44B7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9183E6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本品为橄榄科植物没药树CommiphoramyrrhaEng!.的干燥树枝。割取树枝、晾干【炮制】除去杂质,用时先切段再粉碎。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本品呈短段。皮薄,呈片状剥离,外层灰棕色至灰绿色,内层灰绿色至橄榄绿色。表面光滑或具纵皱,可见小枝痕及点状皮孔。质硬,切断面木质,黄白色至黄棕色可见环纹及放射状纹理。小枝刺状,具3~5个刺状分枝。气香特异,味苦</w:t>
            </w:r>
          </w:p>
        </w:tc>
        <w:tc>
          <w:tcPr>
            <w:tcW w:w="1938" w:type="dxa"/>
            <w:vAlign w:val="center"/>
          </w:tcPr>
          <w:p w14:paraId="674AAF4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新疆中药维吾尔药饮片炮制规范（2010年版）</w:t>
            </w:r>
          </w:p>
        </w:tc>
      </w:tr>
      <w:tr w14:paraId="2ADC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D51133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259</w:t>
            </w:r>
          </w:p>
        </w:tc>
        <w:tc>
          <w:tcPr>
            <w:tcW w:w="878" w:type="dxa"/>
            <w:vAlign w:val="center"/>
          </w:tcPr>
          <w:p w14:paraId="7DBD106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猫爪草</w:t>
            </w:r>
          </w:p>
        </w:tc>
        <w:tc>
          <w:tcPr>
            <w:tcW w:w="845" w:type="dxa"/>
            <w:vAlign w:val="center"/>
          </w:tcPr>
          <w:p w14:paraId="6E66A09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19DD679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F5359C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本品由数个至数十个纺锤形的块根簇生，形似猫爪，长3～10mm，直径2～3mm，顶端有黄褐色残茎或</w:t>
            </w:r>
          </w:p>
        </w:tc>
        <w:tc>
          <w:tcPr>
            <w:tcW w:w="1938" w:type="dxa"/>
            <w:vAlign w:val="center"/>
          </w:tcPr>
          <w:p w14:paraId="09D931F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A5A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925628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260</w:t>
            </w:r>
          </w:p>
        </w:tc>
        <w:tc>
          <w:tcPr>
            <w:tcW w:w="878" w:type="dxa"/>
            <w:vAlign w:val="center"/>
          </w:tcPr>
          <w:p w14:paraId="0A9C6EF5">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牛膝</w:t>
            </w:r>
          </w:p>
        </w:tc>
        <w:tc>
          <w:tcPr>
            <w:tcW w:w="845" w:type="dxa"/>
            <w:vAlign w:val="center"/>
          </w:tcPr>
          <w:p w14:paraId="4F4A36D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3D7F3F8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w:t>
            </w:r>
          </w:p>
        </w:tc>
        <w:tc>
          <w:tcPr>
            <w:tcW w:w="5329" w:type="dxa"/>
            <w:vAlign w:val="center"/>
          </w:tcPr>
          <w:p w14:paraId="0752778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本品呈细长圆柱形，挺直或稍弯曲，长15～70cm，直径0.4～1cm。表面灰黄色或淡棕色，有微扭曲</w:t>
            </w:r>
          </w:p>
        </w:tc>
        <w:tc>
          <w:tcPr>
            <w:tcW w:w="1938" w:type="dxa"/>
            <w:vAlign w:val="center"/>
          </w:tcPr>
          <w:p w14:paraId="4BF89F9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DD0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1A0D37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261</w:t>
            </w:r>
          </w:p>
        </w:tc>
        <w:tc>
          <w:tcPr>
            <w:tcW w:w="878" w:type="dxa"/>
            <w:vAlign w:val="center"/>
          </w:tcPr>
          <w:p w14:paraId="4F90F4F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女贞子</w:t>
            </w:r>
          </w:p>
        </w:tc>
        <w:tc>
          <w:tcPr>
            <w:tcW w:w="845" w:type="dxa"/>
            <w:vAlign w:val="center"/>
          </w:tcPr>
          <w:p w14:paraId="5E7109E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731269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5EF587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本品呈卵形、椭圆形或肾形，长6～8.5mm，直径3.5～5.5mm。表面黑紫色或灰黑色，皱缩不平，</w:t>
            </w:r>
          </w:p>
        </w:tc>
        <w:tc>
          <w:tcPr>
            <w:tcW w:w="1938" w:type="dxa"/>
            <w:vAlign w:val="center"/>
          </w:tcPr>
          <w:p w14:paraId="39EBBB8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3AD0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76EF03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262</w:t>
            </w:r>
          </w:p>
        </w:tc>
        <w:tc>
          <w:tcPr>
            <w:tcW w:w="878" w:type="dxa"/>
            <w:vAlign w:val="center"/>
          </w:tcPr>
          <w:p w14:paraId="04B3C5E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欧矢车菊</w:t>
            </w:r>
          </w:p>
        </w:tc>
        <w:tc>
          <w:tcPr>
            <w:tcW w:w="845" w:type="dxa"/>
            <w:vAlign w:val="center"/>
          </w:tcPr>
          <w:p w14:paraId="47DFEF0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B981A2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5329" w:type="dxa"/>
            <w:vAlign w:val="center"/>
          </w:tcPr>
          <w:p w14:paraId="2041A44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本品为菊科植物欧矢车菊 Centaurea behen L. 的干燥根和根茎。夏、秋二季采挖，除去地上茎，洗净，晒干。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【性状】 本品呈类圆柱形、圆锥形或不规则结节状，多数扭曲，或有分支，长3～15cm，直径1～3cm。表面类白色，或残存极少量浅棕色、深棕色或红棕色栓皮，有纵棱及须根、须根痕。有些可见断续环节痕，茎基部常可见絮状白色茸毛。质硬，较脆，断面淡黄白色或淡黄棕色。根木质部发达，具放射性纹理，断面可见黄色细小木心。形成层环明显。根茎髓部宽广。味微甘涩。</w:t>
            </w:r>
          </w:p>
        </w:tc>
        <w:tc>
          <w:tcPr>
            <w:tcW w:w="1938" w:type="dxa"/>
            <w:vAlign w:val="center"/>
          </w:tcPr>
          <w:p w14:paraId="3514931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新疆维吾尔自治区食品药品监督管理局药材标准颁布件 批件号：2017YC-0008</w:t>
            </w:r>
          </w:p>
        </w:tc>
      </w:tr>
      <w:tr w14:paraId="1665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F07E45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263</w:t>
            </w:r>
          </w:p>
        </w:tc>
        <w:tc>
          <w:tcPr>
            <w:tcW w:w="878" w:type="dxa"/>
            <w:vAlign w:val="center"/>
          </w:tcPr>
          <w:p w14:paraId="6251BB7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蒲公英</w:t>
            </w:r>
          </w:p>
        </w:tc>
        <w:tc>
          <w:tcPr>
            <w:tcW w:w="845" w:type="dxa"/>
            <w:vAlign w:val="center"/>
          </w:tcPr>
          <w:p w14:paraId="48CBAC1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DF2722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5329" w:type="dxa"/>
            <w:vAlign w:val="center"/>
          </w:tcPr>
          <w:p w14:paraId="398ABC2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本品呈皱缩卷曲的团块。根呈圆锥状，多弯曲，长3～7cm；表面棕褐色，抽皱；根头部有棕褐色</w:t>
            </w:r>
          </w:p>
        </w:tc>
        <w:tc>
          <w:tcPr>
            <w:tcW w:w="1938" w:type="dxa"/>
            <w:vAlign w:val="center"/>
          </w:tcPr>
          <w:p w14:paraId="4182AD5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97E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1179E2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264</w:t>
            </w:r>
          </w:p>
        </w:tc>
        <w:tc>
          <w:tcPr>
            <w:tcW w:w="878" w:type="dxa"/>
            <w:vAlign w:val="center"/>
          </w:tcPr>
          <w:p w14:paraId="36ACA51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批杷叶</w:t>
            </w:r>
          </w:p>
        </w:tc>
        <w:tc>
          <w:tcPr>
            <w:tcW w:w="845" w:type="dxa"/>
            <w:vAlign w:val="center"/>
          </w:tcPr>
          <w:p w14:paraId="18AE75B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0C0D9F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6BF3949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本品呈长圆形或倒卵形，长12～30cm，宽4～9cm。先端尖，基部楔形，边缘有疏锯齿，近基部全缘。</w:t>
            </w:r>
          </w:p>
        </w:tc>
        <w:tc>
          <w:tcPr>
            <w:tcW w:w="1938" w:type="dxa"/>
            <w:vAlign w:val="center"/>
          </w:tcPr>
          <w:p w14:paraId="013B807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DA2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CF19A3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265</w:t>
            </w:r>
          </w:p>
        </w:tc>
        <w:tc>
          <w:tcPr>
            <w:tcW w:w="878" w:type="dxa"/>
            <w:vAlign w:val="center"/>
          </w:tcPr>
          <w:p w14:paraId="0CDBB00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铅粉</w:t>
            </w:r>
          </w:p>
        </w:tc>
        <w:tc>
          <w:tcPr>
            <w:tcW w:w="845" w:type="dxa"/>
            <w:vAlign w:val="center"/>
          </w:tcPr>
          <w:p w14:paraId="227E4E8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D6775D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DC79D8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本品为类白色细粉。手捻之有滑腻感，体重，无臭。</w:t>
            </w:r>
          </w:p>
        </w:tc>
        <w:tc>
          <w:tcPr>
            <w:tcW w:w="1938" w:type="dxa"/>
            <w:vAlign w:val="center"/>
          </w:tcPr>
          <w:p w14:paraId="02E40EF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江苏省中药饮片炮制规范2020年版</w:t>
            </w:r>
          </w:p>
        </w:tc>
      </w:tr>
      <w:tr w14:paraId="12A1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2F5151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266</w:t>
            </w:r>
          </w:p>
        </w:tc>
        <w:tc>
          <w:tcPr>
            <w:tcW w:w="878" w:type="dxa"/>
            <w:vAlign w:val="center"/>
          </w:tcPr>
          <w:p w14:paraId="1F23C48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青风藤</w:t>
            </w:r>
          </w:p>
        </w:tc>
        <w:tc>
          <w:tcPr>
            <w:tcW w:w="845" w:type="dxa"/>
            <w:vAlign w:val="center"/>
          </w:tcPr>
          <w:p w14:paraId="0AEAFC2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353D5C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EBA55E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本品呈长圆柱形，常微弯曲，长20～70cm或更长，直径0.5～2cm。表面绿褐色至棕褐色，有的灰褐色，</w:t>
            </w:r>
          </w:p>
        </w:tc>
        <w:tc>
          <w:tcPr>
            <w:tcW w:w="1938" w:type="dxa"/>
            <w:vAlign w:val="center"/>
          </w:tcPr>
          <w:p w14:paraId="5FF86B42">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15A4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94B7EC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267</w:t>
            </w:r>
          </w:p>
        </w:tc>
        <w:tc>
          <w:tcPr>
            <w:tcW w:w="878" w:type="dxa"/>
            <w:vAlign w:val="center"/>
          </w:tcPr>
          <w:p w14:paraId="1B7B015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秦艽</w:t>
            </w:r>
          </w:p>
        </w:tc>
        <w:tc>
          <w:tcPr>
            <w:tcW w:w="845" w:type="dxa"/>
            <w:vAlign w:val="center"/>
          </w:tcPr>
          <w:p w14:paraId="2272FEF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2A3E9F1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DD559F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秦艽 呈类圆柱形，上粗下细，扭曲不直，长10～30cm，直径1～3cm。表面黄棕色或灰黄色，有纵向或</w:t>
            </w:r>
          </w:p>
        </w:tc>
        <w:tc>
          <w:tcPr>
            <w:tcW w:w="1938" w:type="dxa"/>
            <w:vAlign w:val="center"/>
          </w:tcPr>
          <w:p w14:paraId="43088F9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2B12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708A88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268</w:t>
            </w:r>
          </w:p>
        </w:tc>
        <w:tc>
          <w:tcPr>
            <w:tcW w:w="878" w:type="dxa"/>
            <w:vAlign w:val="center"/>
          </w:tcPr>
          <w:p w14:paraId="5396E7B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芡实</w:t>
            </w:r>
          </w:p>
        </w:tc>
        <w:tc>
          <w:tcPr>
            <w:tcW w:w="845" w:type="dxa"/>
            <w:vAlign w:val="center"/>
          </w:tcPr>
          <w:p w14:paraId="1A35954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242FF0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7CE4762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本品呈类球形，多为破粒，完整者直径5～8mm。表面有棕红色或红褐色内种皮，一端黄白色，约占全体</w:t>
            </w:r>
          </w:p>
        </w:tc>
        <w:tc>
          <w:tcPr>
            <w:tcW w:w="1938" w:type="dxa"/>
            <w:vAlign w:val="center"/>
          </w:tcPr>
          <w:p w14:paraId="5979581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7272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069B28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269</w:t>
            </w:r>
          </w:p>
        </w:tc>
        <w:tc>
          <w:tcPr>
            <w:tcW w:w="878" w:type="dxa"/>
            <w:vAlign w:val="center"/>
          </w:tcPr>
          <w:p w14:paraId="241D4C0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忍冬藤</w:t>
            </w:r>
          </w:p>
        </w:tc>
        <w:tc>
          <w:tcPr>
            <w:tcW w:w="845" w:type="dxa"/>
            <w:vAlign w:val="center"/>
          </w:tcPr>
          <w:p w14:paraId="266F8C7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B55654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0972829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本品呈长圆柱形，多分枝，常缠绕成束，直径1.5～6mm。表面棕红色至暗棕色，有的灰绿色，光滑或被</w:t>
            </w:r>
          </w:p>
        </w:tc>
        <w:tc>
          <w:tcPr>
            <w:tcW w:w="1938" w:type="dxa"/>
            <w:vAlign w:val="center"/>
          </w:tcPr>
          <w:p w14:paraId="6BEB3B80">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58CA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B8C61F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270</w:t>
            </w:r>
          </w:p>
        </w:tc>
        <w:tc>
          <w:tcPr>
            <w:tcW w:w="878" w:type="dxa"/>
            <w:vAlign w:val="center"/>
          </w:tcPr>
          <w:p w14:paraId="449A5104">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鞣树果</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（sumak）</w:t>
            </w:r>
          </w:p>
        </w:tc>
        <w:tc>
          <w:tcPr>
            <w:tcW w:w="845" w:type="dxa"/>
            <w:vAlign w:val="center"/>
          </w:tcPr>
          <w:p w14:paraId="0FB8CB8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402DFA4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A89BAD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鞣树 Rhus coriaria L. 落叶小乔木或灌木，高6～8m。根具多数稜条，表皮棕褐色。树干直径15～20cm，树枝灰白色至黄褐色，被长糙毛。奇数羽状复叶，轮廓为长椭圆形，长15～20cm；小叶9～17枚，卵圆形或椭圆形，长2.5～6.5cm，无柄，叶轴被糙毛，边缘有锯齿，叶面呈暗绿色或近灰蓝色，秋季叶则为橘黄色至胭脂红色。雌雄同株，稀异株，叶腋生圆锥花序，雄花序长20～25cm，雌花序果期可达15cm，小花淡绿色；雄蕊5枚，长约1.5mm，花药基着；雌蕊柱头3裂，退化雄蕊5枚。小核果球形或肾形，直径4～6mm，暗红色，被腺毛。花期6～7月，果期9～10月。</w:t>
            </w:r>
          </w:p>
        </w:tc>
        <w:tc>
          <w:tcPr>
            <w:tcW w:w="1938" w:type="dxa"/>
            <w:vAlign w:val="center"/>
          </w:tcPr>
          <w:p w14:paraId="2101FE11">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喀什地区维吾尔医医院内部控制标准</w:t>
            </w:r>
          </w:p>
        </w:tc>
      </w:tr>
      <w:tr w14:paraId="0B08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6ADE24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271</w:t>
            </w:r>
          </w:p>
        </w:tc>
        <w:tc>
          <w:tcPr>
            <w:tcW w:w="878" w:type="dxa"/>
            <w:vAlign w:val="center"/>
          </w:tcPr>
          <w:p w14:paraId="4B6B5698">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薏苡仁</w:t>
            </w:r>
          </w:p>
        </w:tc>
        <w:tc>
          <w:tcPr>
            <w:tcW w:w="845" w:type="dxa"/>
            <w:vAlign w:val="center"/>
          </w:tcPr>
          <w:p w14:paraId="6A0034A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78F504B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4199AA1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本品为禾本科植物薏米Coix lacryma-jobi L.var.mayuen (Roman.) Stapf的干燥成熟种仁。秋季果实成熟时采割植株，晒干，打下果实，再晒干，除去外壳、黄褐色种皮和杂质，收集种仁。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性状】本品呈宽卵形或长椭圆形，长4～8mm，宽3～6mm。表面乳白色，光滑，偶有残存的黄褐色种皮；一端钝圆，另端较宽而微凹，有1淡棕色点状种脐；背面圆凸，腹面有1条较宽而深的纵沟。质坚实，断面白色，粉性。气微，味微甜。</w:t>
            </w:r>
          </w:p>
        </w:tc>
        <w:tc>
          <w:tcPr>
            <w:tcW w:w="1938" w:type="dxa"/>
            <w:vAlign w:val="center"/>
          </w:tcPr>
          <w:p w14:paraId="60A5512F">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96A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EA09B3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272</w:t>
            </w:r>
          </w:p>
        </w:tc>
        <w:tc>
          <w:tcPr>
            <w:tcW w:w="878" w:type="dxa"/>
            <w:vAlign w:val="center"/>
          </w:tcPr>
          <w:p w14:paraId="2EFBB5B9">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桑白皮</w:t>
            </w:r>
          </w:p>
        </w:tc>
        <w:tc>
          <w:tcPr>
            <w:tcW w:w="845" w:type="dxa"/>
            <w:vAlign w:val="center"/>
          </w:tcPr>
          <w:p w14:paraId="71F8957C">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05F48643">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354AE2D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本品呈扭曲的卷筒状、槽状或板片状，长短宽窄不一，厚1～4mm。外表面白色或淡黄白色，较平坦。</w:t>
            </w:r>
          </w:p>
        </w:tc>
        <w:tc>
          <w:tcPr>
            <w:tcW w:w="1938" w:type="dxa"/>
            <w:vAlign w:val="center"/>
          </w:tcPr>
          <w:p w14:paraId="2A5C981D">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659E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C15F71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273</w:t>
            </w:r>
          </w:p>
        </w:tc>
        <w:tc>
          <w:tcPr>
            <w:tcW w:w="878" w:type="dxa"/>
            <w:vAlign w:val="center"/>
          </w:tcPr>
          <w:p w14:paraId="171A1D2A">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柿蒂</w:t>
            </w:r>
          </w:p>
        </w:tc>
        <w:tc>
          <w:tcPr>
            <w:tcW w:w="845" w:type="dxa"/>
            <w:vAlign w:val="center"/>
          </w:tcPr>
          <w:p w14:paraId="46B34D3B">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54A6ACE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5D3A535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本品呈扁圆形，直径1.5～2.5cm。中央较厚，微隆起，有果实脱落后的圆形疤痕，边缘较薄，4裂，</w:t>
            </w:r>
          </w:p>
        </w:tc>
        <w:tc>
          <w:tcPr>
            <w:tcW w:w="1938" w:type="dxa"/>
            <w:vAlign w:val="center"/>
          </w:tcPr>
          <w:p w14:paraId="0AA83A67">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r w14:paraId="4C57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1DD17D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274</w:t>
            </w:r>
          </w:p>
        </w:tc>
        <w:tc>
          <w:tcPr>
            <w:tcW w:w="878" w:type="dxa"/>
            <w:vAlign w:val="center"/>
          </w:tcPr>
          <w:p w14:paraId="551788C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伸筋草</w:t>
            </w:r>
          </w:p>
        </w:tc>
        <w:tc>
          <w:tcPr>
            <w:tcW w:w="845" w:type="dxa"/>
            <w:vAlign w:val="center"/>
          </w:tcPr>
          <w:p w14:paraId="5A348DE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kg</w:t>
            </w:r>
          </w:p>
        </w:tc>
        <w:tc>
          <w:tcPr>
            <w:tcW w:w="977" w:type="dxa"/>
            <w:vAlign w:val="center"/>
          </w:tcPr>
          <w:p w14:paraId="654A34B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5329" w:type="dxa"/>
            <w:vAlign w:val="center"/>
          </w:tcPr>
          <w:p w14:paraId="10B8C9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本品匍匐茎呈细圆柱形，略弯曲，长可达2m，直径1～3mm，其下有黄白色细根；直立茎作二叉状分枝。</w:t>
            </w:r>
          </w:p>
        </w:tc>
        <w:tc>
          <w:tcPr>
            <w:tcW w:w="1938" w:type="dxa"/>
            <w:vAlign w:val="center"/>
          </w:tcPr>
          <w:p w14:paraId="4665FC4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《中国药典》2020年版一部</w:t>
            </w:r>
          </w:p>
        </w:tc>
      </w:tr>
    </w:tbl>
    <w:p w14:paraId="7AE6ADE0">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4"/>
          <w:szCs w:val="24"/>
          <w:highlight w:val="none"/>
          <w:lang w:val="en-US" w:eastAsia="zh-CN" w:bidi="ar-SA"/>
        </w:rPr>
      </w:pPr>
      <w:r>
        <w:rPr>
          <w:rFonts w:hint="eastAsia" w:ascii="宋体" w:hAnsi="宋体" w:cs="宋体"/>
          <w:kern w:val="2"/>
          <w:sz w:val="28"/>
          <w:szCs w:val="28"/>
          <w:lang w:val="en-US" w:eastAsia="zh-CN" w:bidi="ar-SA"/>
        </w:rPr>
        <w:t xml:space="preserve">   </w:t>
      </w:r>
      <w:r>
        <w:rPr>
          <w:rFonts w:hint="eastAsia" w:ascii="宋体" w:hAnsi="宋体" w:cs="宋体"/>
          <w:kern w:val="2"/>
          <w:sz w:val="24"/>
          <w:szCs w:val="24"/>
          <w:highlight w:val="none"/>
          <w:lang w:val="en-US" w:eastAsia="zh-CN" w:bidi="ar-SA"/>
        </w:rPr>
        <w:t>注：以上各药品的数量为预估数量，投标供应商参考使用，并不代表实际配送全部种类及数量（具体数量以实际订购数量为准）。中标供应商不得以此为由要求采购人进货及补偿。本采购明细不作为最终的结算依据。</w:t>
      </w:r>
    </w:p>
    <w:p w14:paraId="7D6C7377">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14BD4F8A">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5024DF6F">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31CFD9B0">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3A35A89B">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0FDB061A">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7F7A9966">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5ABF647E">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4EAADB75">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1FF10BFA">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0D2D8249">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p>
    <w:p w14:paraId="0DFF0917">
      <w:pPr>
        <w:numPr>
          <w:ilvl w:val="0"/>
          <w:numId w:val="0"/>
        </w:numPr>
        <w:kinsoku w:val="0"/>
        <w:autoSpaceDE w:val="0"/>
        <w:autoSpaceDN w:val="0"/>
        <w:adjustRightInd w:val="0"/>
        <w:snapToGrid w:val="0"/>
        <w:spacing w:line="240" w:lineRule="auto"/>
        <w:ind w:leftChars="-200"/>
        <w:jc w:val="center"/>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包3  需要提供样品的目录</w:t>
      </w:r>
    </w:p>
    <w:tbl>
      <w:tblPr>
        <w:tblStyle w:val="26"/>
        <w:tblpPr w:leftFromText="180" w:rightFromText="180" w:vertAnchor="text" w:horzAnchor="page" w:tblpX="2251" w:tblpY="340"/>
        <w:tblOverlap w:val="never"/>
        <w:tblW w:w="7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2433"/>
        <w:gridCol w:w="1927"/>
        <w:gridCol w:w="2166"/>
      </w:tblGrid>
      <w:tr w14:paraId="616E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107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DB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蜘蛛香</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AB5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FAC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4B16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740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42D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银箔</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F98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126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700C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470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F6D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刺糖</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762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2E9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28DE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F84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020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黄瓜子仁</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4BF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60F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760D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9D1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FEF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葡萄干（无核葡萄干）</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8B6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1FE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32559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E51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AB6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薰衣草</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A70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A56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2861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B32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CDE1">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小豆蔻</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1CF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952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292A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37F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5C8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蜂蜜 250g/瓶</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002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12B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416C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2E7F">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D9AE">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蜂蜜 500g/瓶</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189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43B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r w14:paraId="40ED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613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080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薰鲁香</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EA4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提供样品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8CA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第三包</w:t>
            </w:r>
          </w:p>
        </w:tc>
      </w:tr>
    </w:tbl>
    <w:p w14:paraId="7EAC8C64">
      <w:pPr>
        <w:numPr>
          <w:ilvl w:val="0"/>
          <w:numId w:val="0"/>
        </w:numPr>
        <w:kinsoku w:val="0"/>
        <w:autoSpaceDE w:val="0"/>
        <w:autoSpaceDN w:val="0"/>
        <w:adjustRightInd w:val="0"/>
        <w:snapToGrid w:val="0"/>
        <w:spacing w:line="240" w:lineRule="auto"/>
        <w:ind w:leftChars="-200"/>
        <w:jc w:val="center"/>
        <w:textAlignment w:val="baseline"/>
        <w:rPr>
          <w:rFonts w:hint="default" w:ascii="宋体" w:hAnsi="宋体" w:cs="宋体"/>
          <w:kern w:val="2"/>
          <w:sz w:val="28"/>
          <w:szCs w:val="28"/>
          <w:lang w:val="en-US" w:eastAsia="zh-CN" w:bidi="ar-SA"/>
        </w:rPr>
      </w:pPr>
    </w:p>
    <w:p w14:paraId="610D79AD">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1860728C">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7497EFD4">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5C6AD2C9">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6F30842E">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1C645CF9">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08FE4D31">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168A2B87">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0FDDF503">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7FE74569">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033A4329">
      <w:pPr>
        <w:numPr>
          <w:ilvl w:val="0"/>
          <w:numId w:val="0"/>
        </w:numPr>
        <w:kinsoku w:val="0"/>
        <w:autoSpaceDE w:val="0"/>
        <w:autoSpaceDN w:val="0"/>
        <w:adjustRightInd w:val="0"/>
        <w:snapToGrid w:val="0"/>
        <w:spacing w:line="240" w:lineRule="auto"/>
        <w:ind w:leftChars="-200"/>
        <w:jc w:val="both"/>
        <w:textAlignment w:val="baseline"/>
        <w:rPr>
          <w:rFonts w:hint="default" w:ascii="宋体" w:hAnsi="宋体" w:cs="宋体"/>
          <w:kern w:val="2"/>
          <w:sz w:val="28"/>
          <w:szCs w:val="28"/>
          <w:lang w:val="en-US" w:eastAsia="zh-CN" w:bidi="ar-SA"/>
        </w:rPr>
      </w:pPr>
    </w:p>
    <w:p w14:paraId="2B81AC49">
      <w:pPr>
        <w:numPr>
          <w:ilvl w:val="0"/>
          <w:numId w:val="0"/>
        </w:numPr>
        <w:kinsoku w:val="0"/>
        <w:autoSpaceDE w:val="0"/>
        <w:autoSpaceDN w:val="0"/>
        <w:adjustRightInd w:val="0"/>
        <w:snapToGrid w:val="0"/>
        <w:spacing w:line="240" w:lineRule="auto"/>
        <w:jc w:val="both"/>
        <w:textAlignment w:val="baseline"/>
        <w:rPr>
          <w:rFonts w:hint="eastAsia" w:ascii="宋体" w:hAnsi="宋体" w:cs="宋体"/>
          <w:kern w:val="2"/>
          <w:sz w:val="28"/>
          <w:szCs w:val="28"/>
          <w:lang w:val="en-US" w:eastAsia="zh-CN" w:bidi="ar-SA"/>
        </w:rPr>
      </w:pPr>
    </w:p>
    <w:p w14:paraId="2C519272">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1930C48A">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2F89502E">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549C6BA4">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5D4FF72D">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7E387182">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4933894B">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3A192278">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4A332D40">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48CBC003">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6386006F">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1C3F87BE">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1FC7CB0C">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370754FE">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0062E3B9">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72D103FD">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683D06D6">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2ADC551F">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5673AF79">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04065916">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4F57A03E">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5BE5364F">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0333D814">
      <w:pPr>
        <w:numPr>
          <w:ilvl w:val="0"/>
          <w:numId w:val="0"/>
        </w:numPr>
        <w:kinsoku w:val="0"/>
        <w:autoSpaceDE w:val="0"/>
        <w:autoSpaceDN w:val="0"/>
        <w:adjustRightInd w:val="0"/>
        <w:snapToGrid w:val="0"/>
        <w:spacing w:line="240" w:lineRule="auto"/>
        <w:jc w:val="center"/>
        <w:textAlignment w:val="baseline"/>
        <w:rPr>
          <w:rFonts w:hint="eastAsia" w:ascii="宋体" w:hAnsi="宋体" w:cs="宋体"/>
          <w:kern w:val="2"/>
          <w:sz w:val="28"/>
          <w:szCs w:val="28"/>
          <w:lang w:val="en-US" w:eastAsia="zh-CN" w:bidi="ar-SA"/>
        </w:rPr>
      </w:pPr>
    </w:p>
    <w:p w14:paraId="7D1257AC">
      <w:pPr>
        <w:numPr>
          <w:ilvl w:val="0"/>
          <w:numId w:val="0"/>
        </w:numPr>
        <w:kinsoku w:val="0"/>
        <w:autoSpaceDE w:val="0"/>
        <w:autoSpaceDN w:val="0"/>
        <w:adjustRightInd w:val="0"/>
        <w:snapToGrid w:val="0"/>
        <w:spacing w:line="240" w:lineRule="auto"/>
        <w:jc w:val="center"/>
        <w:textAlignment w:val="baseline"/>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包5</w:t>
      </w:r>
    </w:p>
    <w:tbl>
      <w:tblPr>
        <w:tblStyle w:val="27"/>
        <w:tblW w:w="10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34"/>
        <w:gridCol w:w="1037"/>
        <w:gridCol w:w="1027"/>
        <w:gridCol w:w="4633"/>
        <w:gridCol w:w="1941"/>
      </w:tblGrid>
      <w:tr w14:paraId="7281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EBA4F0F">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序号</w:t>
            </w:r>
          </w:p>
        </w:tc>
        <w:tc>
          <w:tcPr>
            <w:tcW w:w="1434" w:type="dxa"/>
            <w:vAlign w:val="center"/>
          </w:tcPr>
          <w:p w14:paraId="4F3F7C3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kern w:val="2"/>
                <w:sz w:val="24"/>
                <w:szCs w:val="24"/>
                <w:lang w:val="en-US" w:eastAsia="zh-CN" w:bidi="ar-SA"/>
              </w:rPr>
              <w:t>★</w:t>
            </w:r>
            <w:r>
              <w:rPr>
                <w:rFonts w:hint="eastAsia" w:ascii="宋体" w:hAnsi="宋体" w:eastAsia="宋体" w:cs="宋体"/>
                <w:i w:val="0"/>
                <w:iCs w:val="0"/>
                <w:snapToGrid w:val="0"/>
                <w:color w:val="000000"/>
                <w:kern w:val="0"/>
                <w:sz w:val="21"/>
                <w:szCs w:val="21"/>
                <w:u w:val="none"/>
                <w:lang w:val="en-US" w:eastAsia="zh-CN" w:bidi="ar"/>
              </w:rPr>
              <w:t>药名</w:t>
            </w:r>
          </w:p>
        </w:tc>
        <w:tc>
          <w:tcPr>
            <w:tcW w:w="1037" w:type="dxa"/>
            <w:vAlign w:val="center"/>
          </w:tcPr>
          <w:p w14:paraId="6F0B5E8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kern w:val="2"/>
                <w:sz w:val="24"/>
                <w:szCs w:val="24"/>
                <w:lang w:val="en-US" w:eastAsia="zh-CN" w:bidi="ar-SA"/>
              </w:rPr>
              <w:t>★</w:t>
            </w:r>
            <w:r>
              <w:rPr>
                <w:rFonts w:hint="eastAsia" w:ascii="宋体" w:hAnsi="宋体" w:eastAsia="宋体" w:cs="宋体"/>
                <w:i w:val="0"/>
                <w:iCs w:val="0"/>
                <w:snapToGrid w:val="0"/>
                <w:color w:val="000000"/>
                <w:kern w:val="0"/>
                <w:sz w:val="21"/>
                <w:szCs w:val="21"/>
                <w:u w:val="none"/>
                <w:lang w:val="en-US" w:eastAsia="zh-CN" w:bidi="ar"/>
              </w:rPr>
              <w:t>规格/单位</w:t>
            </w:r>
          </w:p>
        </w:tc>
        <w:tc>
          <w:tcPr>
            <w:tcW w:w="1027" w:type="dxa"/>
            <w:vAlign w:val="center"/>
          </w:tcPr>
          <w:p w14:paraId="18522AE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年使用量(kg)</w:t>
            </w:r>
          </w:p>
        </w:tc>
        <w:tc>
          <w:tcPr>
            <w:tcW w:w="4633" w:type="dxa"/>
            <w:vAlign w:val="center"/>
          </w:tcPr>
          <w:p w14:paraId="1316D44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性能说明</w:t>
            </w:r>
          </w:p>
        </w:tc>
        <w:tc>
          <w:tcPr>
            <w:tcW w:w="1941" w:type="dxa"/>
            <w:vAlign w:val="center"/>
          </w:tcPr>
          <w:p w14:paraId="1C2BB5D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★执行标准</w:t>
            </w:r>
          </w:p>
        </w:tc>
      </w:tr>
      <w:tr w14:paraId="3971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0F1021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1434" w:type="dxa"/>
            <w:vAlign w:val="center"/>
          </w:tcPr>
          <w:p w14:paraId="2052B4A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小麦淀粉</w:t>
            </w:r>
          </w:p>
        </w:tc>
        <w:tc>
          <w:tcPr>
            <w:tcW w:w="1037" w:type="dxa"/>
            <w:vAlign w:val="center"/>
          </w:tcPr>
          <w:p w14:paraId="028A65A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412DE867">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200</w:t>
            </w:r>
          </w:p>
        </w:tc>
        <w:tc>
          <w:tcPr>
            <w:tcW w:w="4633" w:type="dxa"/>
            <w:vAlign w:val="center"/>
          </w:tcPr>
          <w:p w14:paraId="7537114D">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本品为白色或类白色粉末。</w:t>
            </w:r>
          </w:p>
        </w:tc>
        <w:tc>
          <w:tcPr>
            <w:tcW w:w="1941" w:type="dxa"/>
            <w:vAlign w:val="center"/>
          </w:tcPr>
          <w:p w14:paraId="1DFD682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34ED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14:paraId="68BCB8B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w:t>
            </w:r>
          </w:p>
        </w:tc>
        <w:tc>
          <w:tcPr>
            <w:tcW w:w="1434" w:type="dxa"/>
            <w:vAlign w:val="center"/>
          </w:tcPr>
          <w:p w14:paraId="56538F4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玉米淀粉</w:t>
            </w:r>
          </w:p>
        </w:tc>
        <w:tc>
          <w:tcPr>
            <w:tcW w:w="1037" w:type="dxa"/>
            <w:vAlign w:val="center"/>
          </w:tcPr>
          <w:p w14:paraId="0B3C955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5A8A917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54B9B56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本品为白色或类白色粉末。</w:t>
            </w:r>
          </w:p>
        </w:tc>
        <w:tc>
          <w:tcPr>
            <w:tcW w:w="1941" w:type="dxa"/>
            <w:vAlign w:val="center"/>
          </w:tcPr>
          <w:p w14:paraId="082369D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6B0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0ED772F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w:t>
            </w:r>
          </w:p>
        </w:tc>
        <w:tc>
          <w:tcPr>
            <w:tcW w:w="1434" w:type="dxa"/>
            <w:vAlign w:val="center"/>
          </w:tcPr>
          <w:p w14:paraId="506895E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 冰糖</w:t>
            </w:r>
          </w:p>
        </w:tc>
        <w:tc>
          <w:tcPr>
            <w:tcW w:w="1037" w:type="dxa"/>
            <w:vAlign w:val="center"/>
          </w:tcPr>
          <w:p w14:paraId="269D5EA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12ACBBB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72FDFE7C">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来源]为禾本科植物甘蔗Saccharumsinensis Roxb.制备的白砂糖煎炼而成的冰块状结晶。</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[原植物]形态及分布参见“甘蔗”条。</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[采收加工]甘蔗挤出汁液后制备的砂糖,用适量水溶化，用温火煎成黏糖浆,加人适量牛乳或鸡蛋清,再用温火煮熟黏糖浆成块即可。</w:t>
            </w:r>
          </w:p>
        </w:tc>
        <w:tc>
          <w:tcPr>
            <w:tcW w:w="1941" w:type="dxa"/>
            <w:vAlign w:val="center"/>
          </w:tcPr>
          <w:p w14:paraId="5EF360B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《中华本草》1758页 </w:t>
            </w:r>
          </w:p>
        </w:tc>
      </w:tr>
      <w:tr w14:paraId="57F2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47816BA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w:t>
            </w:r>
          </w:p>
        </w:tc>
        <w:tc>
          <w:tcPr>
            <w:tcW w:w="1434" w:type="dxa"/>
            <w:vAlign w:val="center"/>
          </w:tcPr>
          <w:p w14:paraId="0EA4490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滑石粉</w:t>
            </w:r>
          </w:p>
        </w:tc>
        <w:tc>
          <w:tcPr>
            <w:tcW w:w="1037" w:type="dxa"/>
            <w:vAlign w:val="center"/>
          </w:tcPr>
          <w:p w14:paraId="027A1A0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3D9E02C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41B51AD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【性状】本品为白色或类白色、微细、无砂性的粉末，手摸有滑腻感。气微，味淡。本品在水、稀盐酸或稀氢氧化钠溶液中均不溶解。</w:t>
            </w:r>
          </w:p>
        </w:tc>
        <w:tc>
          <w:tcPr>
            <w:tcW w:w="1941" w:type="dxa"/>
            <w:vAlign w:val="center"/>
          </w:tcPr>
          <w:p w14:paraId="7C873E5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《中国药典》2020年版一部</w:t>
            </w:r>
          </w:p>
        </w:tc>
      </w:tr>
      <w:tr w14:paraId="5FB9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D41E34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w:t>
            </w:r>
          </w:p>
        </w:tc>
        <w:tc>
          <w:tcPr>
            <w:tcW w:w="1434" w:type="dxa"/>
            <w:vAlign w:val="center"/>
          </w:tcPr>
          <w:p w14:paraId="34824E9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苯甲酸</w:t>
            </w:r>
          </w:p>
        </w:tc>
        <w:tc>
          <w:tcPr>
            <w:tcW w:w="1037" w:type="dxa"/>
            <w:vAlign w:val="center"/>
          </w:tcPr>
          <w:p w14:paraId="274CB6B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4D4A54F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w:t>
            </w:r>
          </w:p>
        </w:tc>
        <w:tc>
          <w:tcPr>
            <w:tcW w:w="4633" w:type="dxa"/>
            <w:vAlign w:val="center"/>
          </w:tcPr>
          <w:p w14:paraId="29B2AF86">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本品为白色有丝光的鳞片或针状结晶或结晶性粉末；质轻；无臭或微臭；</w:t>
            </w:r>
          </w:p>
        </w:tc>
        <w:tc>
          <w:tcPr>
            <w:tcW w:w="1941" w:type="dxa"/>
            <w:vAlign w:val="center"/>
          </w:tcPr>
          <w:p w14:paraId="27B6C5F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《中国药典》2020年版二部</w:t>
            </w:r>
          </w:p>
        </w:tc>
      </w:tr>
      <w:tr w14:paraId="668F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5B88230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w:t>
            </w:r>
          </w:p>
        </w:tc>
        <w:tc>
          <w:tcPr>
            <w:tcW w:w="1434" w:type="dxa"/>
            <w:vAlign w:val="center"/>
          </w:tcPr>
          <w:p w14:paraId="7ED9F8E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蜂蜜</w:t>
            </w:r>
          </w:p>
        </w:tc>
        <w:tc>
          <w:tcPr>
            <w:tcW w:w="1037" w:type="dxa"/>
            <w:vAlign w:val="center"/>
          </w:tcPr>
          <w:p w14:paraId="04E5A35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3CF3ABA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50</w:t>
            </w:r>
          </w:p>
        </w:tc>
        <w:tc>
          <w:tcPr>
            <w:tcW w:w="4633" w:type="dxa"/>
            <w:vAlign w:val="center"/>
          </w:tcPr>
          <w:p w14:paraId="59441F36">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本品为半透明、带光泽、浓稠的液体，白色至淡黄色或橘黄色至黄褐色，放久或遇冷渐有白色颗粒状结晶析岀。气芳香，味极甜。</w:t>
            </w:r>
          </w:p>
        </w:tc>
        <w:tc>
          <w:tcPr>
            <w:tcW w:w="1941" w:type="dxa"/>
            <w:vAlign w:val="center"/>
          </w:tcPr>
          <w:p w14:paraId="532E4FB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7B18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5DEBB25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w:t>
            </w:r>
          </w:p>
        </w:tc>
        <w:tc>
          <w:tcPr>
            <w:tcW w:w="1434" w:type="dxa"/>
            <w:vAlign w:val="center"/>
          </w:tcPr>
          <w:p w14:paraId="2AAAD61F">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亚麻油</w:t>
            </w:r>
          </w:p>
        </w:tc>
        <w:tc>
          <w:tcPr>
            <w:tcW w:w="1037" w:type="dxa"/>
            <w:vAlign w:val="center"/>
          </w:tcPr>
          <w:p w14:paraId="52D7F733">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升</w:t>
            </w:r>
          </w:p>
        </w:tc>
        <w:tc>
          <w:tcPr>
            <w:tcW w:w="1027" w:type="dxa"/>
            <w:vAlign w:val="center"/>
          </w:tcPr>
          <w:p w14:paraId="2CBF88A3">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219CCF88">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本品为淡黄色或棕黄色的澄明液体；亚麻籽油是一种常见的食用油，在亚洲地区被广泛应用于烹饪和美容保健领域。它以其丰富的营养价值和多种用途而备受瞩目。亚麻籽油富含Omega-3 脂肪酸、亚麻四烯酸和丰富的抗氧化物质，被认为是一种营养价值极高的植物油。</w:t>
            </w:r>
          </w:p>
        </w:tc>
        <w:tc>
          <w:tcPr>
            <w:tcW w:w="1941" w:type="dxa"/>
            <w:vAlign w:val="center"/>
          </w:tcPr>
          <w:p w14:paraId="0DB6651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喀什地区维吾尔医医院内部控制标准</w:t>
            </w:r>
          </w:p>
        </w:tc>
      </w:tr>
      <w:tr w14:paraId="62BF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662332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w:t>
            </w:r>
          </w:p>
        </w:tc>
        <w:tc>
          <w:tcPr>
            <w:tcW w:w="1434" w:type="dxa"/>
            <w:vAlign w:val="center"/>
          </w:tcPr>
          <w:p w14:paraId="16593D2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芝麻油</w:t>
            </w:r>
          </w:p>
        </w:tc>
        <w:tc>
          <w:tcPr>
            <w:tcW w:w="1037" w:type="dxa"/>
            <w:vAlign w:val="center"/>
          </w:tcPr>
          <w:p w14:paraId="1A6B774F">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升</w:t>
            </w:r>
          </w:p>
        </w:tc>
        <w:tc>
          <w:tcPr>
            <w:tcW w:w="1027" w:type="dxa"/>
            <w:vAlign w:val="center"/>
          </w:tcPr>
          <w:p w14:paraId="1B812B8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360</w:t>
            </w:r>
          </w:p>
        </w:tc>
        <w:tc>
          <w:tcPr>
            <w:tcW w:w="4633" w:type="dxa"/>
            <w:vAlign w:val="center"/>
          </w:tcPr>
          <w:p w14:paraId="0ADD7DE4">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本品为淡黄色或棕黄色的澄明液体；</w:t>
            </w:r>
          </w:p>
        </w:tc>
        <w:tc>
          <w:tcPr>
            <w:tcW w:w="1941" w:type="dxa"/>
            <w:vAlign w:val="center"/>
          </w:tcPr>
          <w:p w14:paraId="040AC71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099A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033CAA9">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w:t>
            </w:r>
          </w:p>
        </w:tc>
        <w:tc>
          <w:tcPr>
            <w:tcW w:w="1434" w:type="dxa"/>
            <w:vAlign w:val="center"/>
          </w:tcPr>
          <w:p w14:paraId="38E1D99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橄榄油</w:t>
            </w:r>
          </w:p>
        </w:tc>
        <w:tc>
          <w:tcPr>
            <w:tcW w:w="1037" w:type="dxa"/>
            <w:vAlign w:val="center"/>
          </w:tcPr>
          <w:p w14:paraId="09AF6017">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升</w:t>
            </w:r>
          </w:p>
        </w:tc>
        <w:tc>
          <w:tcPr>
            <w:tcW w:w="1027" w:type="dxa"/>
            <w:vAlign w:val="center"/>
          </w:tcPr>
          <w:p w14:paraId="4E22AA9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300</w:t>
            </w:r>
          </w:p>
        </w:tc>
        <w:tc>
          <w:tcPr>
            <w:tcW w:w="4633" w:type="dxa"/>
            <w:vAlign w:val="center"/>
          </w:tcPr>
          <w:p w14:paraId="5FDAA3B4">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本品为无色至黄色或黄绿色的澄清液体。</w:t>
            </w:r>
          </w:p>
        </w:tc>
        <w:tc>
          <w:tcPr>
            <w:tcW w:w="1941" w:type="dxa"/>
            <w:vAlign w:val="center"/>
          </w:tcPr>
          <w:p w14:paraId="2AAB56A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30D6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6C9F334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w:t>
            </w:r>
          </w:p>
        </w:tc>
        <w:tc>
          <w:tcPr>
            <w:tcW w:w="1434" w:type="dxa"/>
            <w:vAlign w:val="center"/>
          </w:tcPr>
          <w:p w14:paraId="772BA8F3">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巴旦油</w:t>
            </w:r>
          </w:p>
        </w:tc>
        <w:tc>
          <w:tcPr>
            <w:tcW w:w="1037" w:type="dxa"/>
            <w:vAlign w:val="center"/>
          </w:tcPr>
          <w:p w14:paraId="692DA07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升</w:t>
            </w:r>
          </w:p>
        </w:tc>
        <w:tc>
          <w:tcPr>
            <w:tcW w:w="1027" w:type="dxa"/>
            <w:vAlign w:val="center"/>
          </w:tcPr>
          <w:p w14:paraId="2F206799">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6272954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巴旦仁油：本品为淡黄色的澄清液体;气香，无异味。冷时常发生浑浊或析出结晶，加温后又澄清。</w:t>
            </w:r>
          </w:p>
        </w:tc>
        <w:tc>
          <w:tcPr>
            <w:tcW w:w="1941" w:type="dxa"/>
            <w:vAlign w:val="center"/>
          </w:tcPr>
          <w:p w14:paraId="2E84B84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新疆维吾尔自治区维吾尔药饮片炮制规范2020年版</w:t>
            </w:r>
          </w:p>
        </w:tc>
      </w:tr>
      <w:tr w14:paraId="1D14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66" w:type="dxa"/>
            <w:vAlign w:val="center"/>
          </w:tcPr>
          <w:p w14:paraId="09F0EA84">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11</w:t>
            </w:r>
          </w:p>
        </w:tc>
        <w:tc>
          <w:tcPr>
            <w:tcW w:w="1434" w:type="dxa"/>
            <w:vAlign w:val="center"/>
          </w:tcPr>
          <w:p w14:paraId="4CBF5B2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95%食用酒精</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（乙醇）</w:t>
            </w:r>
          </w:p>
        </w:tc>
        <w:tc>
          <w:tcPr>
            <w:tcW w:w="1037" w:type="dxa"/>
            <w:vAlign w:val="center"/>
          </w:tcPr>
          <w:p w14:paraId="21642CB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升</w:t>
            </w:r>
          </w:p>
        </w:tc>
        <w:tc>
          <w:tcPr>
            <w:tcW w:w="1027" w:type="dxa"/>
            <w:vAlign w:val="center"/>
          </w:tcPr>
          <w:p w14:paraId="645AD2C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3000</w:t>
            </w:r>
          </w:p>
        </w:tc>
        <w:tc>
          <w:tcPr>
            <w:tcW w:w="4633" w:type="dxa"/>
            <w:vAlign w:val="center"/>
          </w:tcPr>
          <w:p w14:paraId="3BD2D9D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本品为无色澄清液体；微有特臭；易挥发，易燃烧，燃烧时显淡蓝色火焰；加热至约78℃即沸腾。</w:t>
            </w:r>
          </w:p>
        </w:tc>
        <w:tc>
          <w:tcPr>
            <w:tcW w:w="1941" w:type="dxa"/>
            <w:vAlign w:val="center"/>
          </w:tcPr>
          <w:p w14:paraId="00F6826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《中国药典》2020年版二部</w:t>
            </w:r>
          </w:p>
        </w:tc>
      </w:tr>
      <w:tr w14:paraId="23C5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14:paraId="0101D60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w:t>
            </w:r>
          </w:p>
        </w:tc>
        <w:tc>
          <w:tcPr>
            <w:tcW w:w="1434" w:type="dxa"/>
            <w:vAlign w:val="center"/>
          </w:tcPr>
          <w:p w14:paraId="4DCB9CC7">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包衣粉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(绿色）</w:t>
            </w:r>
          </w:p>
        </w:tc>
        <w:tc>
          <w:tcPr>
            <w:tcW w:w="1037" w:type="dxa"/>
            <w:vAlign w:val="center"/>
          </w:tcPr>
          <w:p w14:paraId="2906D82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6F2D40E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26AB0C68">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本品为绿色粉末。</w:t>
            </w:r>
          </w:p>
        </w:tc>
        <w:tc>
          <w:tcPr>
            <w:tcW w:w="1941" w:type="dxa"/>
            <w:vAlign w:val="center"/>
          </w:tcPr>
          <w:p w14:paraId="543187E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278B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56F7FA52">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w:t>
            </w:r>
          </w:p>
        </w:tc>
        <w:tc>
          <w:tcPr>
            <w:tcW w:w="1434" w:type="dxa"/>
            <w:vAlign w:val="center"/>
          </w:tcPr>
          <w:p w14:paraId="014CF59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羧甲淀粉钠</w:t>
            </w:r>
          </w:p>
        </w:tc>
        <w:tc>
          <w:tcPr>
            <w:tcW w:w="1037" w:type="dxa"/>
            <w:vAlign w:val="center"/>
          </w:tcPr>
          <w:p w14:paraId="6B5056B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5B0869C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082E2DF1">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本品为白色或类白色粉末。</w:t>
            </w:r>
          </w:p>
        </w:tc>
        <w:tc>
          <w:tcPr>
            <w:tcW w:w="1941" w:type="dxa"/>
            <w:vAlign w:val="center"/>
          </w:tcPr>
          <w:p w14:paraId="5293033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09BD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39B29A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w:t>
            </w:r>
          </w:p>
        </w:tc>
        <w:tc>
          <w:tcPr>
            <w:tcW w:w="1434" w:type="dxa"/>
            <w:vAlign w:val="center"/>
          </w:tcPr>
          <w:p w14:paraId="6F3EE5B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交联羧甲纤维素钠</w:t>
            </w:r>
          </w:p>
        </w:tc>
        <w:tc>
          <w:tcPr>
            <w:tcW w:w="1037" w:type="dxa"/>
            <w:vAlign w:val="center"/>
          </w:tcPr>
          <w:p w14:paraId="4447E37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4A19ADE2">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10EAE0D9">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本品为白色或类白色粉末。</w:t>
            </w:r>
          </w:p>
        </w:tc>
        <w:tc>
          <w:tcPr>
            <w:tcW w:w="1941" w:type="dxa"/>
            <w:vAlign w:val="center"/>
          </w:tcPr>
          <w:p w14:paraId="29BF1AD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08CD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1A7E492C">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w:t>
            </w:r>
          </w:p>
        </w:tc>
        <w:tc>
          <w:tcPr>
            <w:tcW w:w="1434" w:type="dxa"/>
            <w:vAlign w:val="center"/>
          </w:tcPr>
          <w:p w14:paraId="2C60F3A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白凡士林</w:t>
            </w:r>
          </w:p>
        </w:tc>
        <w:tc>
          <w:tcPr>
            <w:tcW w:w="1037" w:type="dxa"/>
            <w:vAlign w:val="center"/>
          </w:tcPr>
          <w:p w14:paraId="60DF38D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7F1A58B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035E2513">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本品为白色至微黄色均匀的软膏状物半固体</w:t>
            </w:r>
          </w:p>
        </w:tc>
        <w:tc>
          <w:tcPr>
            <w:tcW w:w="1941" w:type="dxa"/>
            <w:vAlign w:val="center"/>
          </w:tcPr>
          <w:p w14:paraId="71E6DA8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70AD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1DEE093">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w:t>
            </w:r>
          </w:p>
        </w:tc>
        <w:tc>
          <w:tcPr>
            <w:tcW w:w="1434" w:type="dxa"/>
            <w:vAlign w:val="center"/>
          </w:tcPr>
          <w:p w14:paraId="67B18CCD">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羊毛脂</w:t>
            </w:r>
          </w:p>
        </w:tc>
        <w:tc>
          <w:tcPr>
            <w:tcW w:w="1037" w:type="dxa"/>
            <w:vAlign w:val="center"/>
          </w:tcPr>
          <w:p w14:paraId="54CF57CF">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0A93046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w:t>
            </w:r>
          </w:p>
        </w:tc>
        <w:tc>
          <w:tcPr>
            <w:tcW w:w="4633" w:type="dxa"/>
            <w:vAlign w:val="center"/>
          </w:tcPr>
          <w:p w14:paraId="08EC6317">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本品为淡黄色至棕黄色的蜡状物；有黏性而滑腻；臭微弱而特异。</w:t>
            </w:r>
          </w:p>
        </w:tc>
        <w:tc>
          <w:tcPr>
            <w:tcW w:w="1941" w:type="dxa"/>
            <w:vAlign w:val="center"/>
          </w:tcPr>
          <w:p w14:paraId="1418365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《中国药典》2020年版四部</w:t>
            </w:r>
          </w:p>
        </w:tc>
      </w:tr>
      <w:tr w14:paraId="6B8D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538FA7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w:t>
            </w:r>
          </w:p>
        </w:tc>
        <w:tc>
          <w:tcPr>
            <w:tcW w:w="1434" w:type="dxa"/>
            <w:vAlign w:val="center"/>
          </w:tcPr>
          <w:p w14:paraId="513F4F6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苯甲酸钠</w:t>
            </w:r>
          </w:p>
        </w:tc>
        <w:tc>
          <w:tcPr>
            <w:tcW w:w="1037" w:type="dxa"/>
            <w:vAlign w:val="center"/>
          </w:tcPr>
          <w:p w14:paraId="6F67DF61">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10925C18">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0.2</w:t>
            </w:r>
          </w:p>
        </w:tc>
        <w:tc>
          <w:tcPr>
            <w:tcW w:w="4633" w:type="dxa"/>
            <w:vAlign w:val="center"/>
          </w:tcPr>
          <w:p w14:paraId="16DD3DF8">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2020年版《中国药典》四部   本品按干燥品计算，含C7H5NaO2应为98.0%～102.0%。</w:t>
            </w:r>
          </w:p>
        </w:tc>
        <w:tc>
          <w:tcPr>
            <w:tcW w:w="1941" w:type="dxa"/>
            <w:vAlign w:val="center"/>
          </w:tcPr>
          <w:p w14:paraId="2C94AEEA">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《中国药典》2020年版第四部第681页，标准附后。</w:t>
            </w:r>
          </w:p>
        </w:tc>
      </w:tr>
      <w:tr w14:paraId="484D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66" w:type="dxa"/>
            <w:vAlign w:val="center"/>
          </w:tcPr>
          <w:p w14:paraId="1B1992F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w:t>
            </w:r>
          </w:p>
        </w:tc>
        <w:tc>
          <w:tcPr>
            <w:tcW w:w="1434" w:type="dxa"/>
            <w:vAlign w:val="center"/>
          </w:tcPr>
          <w:p w14:paraId="22E2920C">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尼泊金甲酯（对羟基苯甲酸甲酯）</w:t>
            </w:r>
          </w:p>
        </w:tc>
        <w:tc>
          <w:tcPr>
            <w:tcW w:w="1037" w:type="dxa"/>
            <w:vAlign w:val="center"/>
          </w:tcPr>
          <w:p w14:paraId="6FE40610">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kg</w:t>
            </w:r>
          </w:p>
        </w:tc>
        <w:tc>
          <w:tcPr>
            <w:tcW w:w="1027" w:type="dxa"/>
            <w:vAlign w:val="center"/>
          </w:tcPr>
          <w:p w14:paraId="06D728B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0.2</w:t>
            </w:r>
          </w:p>
        </w:tc>
        <w:tc>
          <w:tcPr>
            <w:tcW w:w="4633" w:type="dxa"/>
            <w:vAlign w:val="center"/>
          </w:tcPr>
          <w:p w14:paraId="421525F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本法系用气相色谱法测定供试品中对羟基苯甲酸甲酯及对羟基苯甲酸丙酯含量，</w:t>
            </w:r>
          </w:p>
        </w:tc>
        <w:tc>
          <w:tcPr>
            <w:tcW w:w="1941" w:type="dxa"/>
            <w:vAlign w:val="center"/>
          </w:tcPr>
          <w:p w14:paraId="77DF3715">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《中国药典》2020年版第四部第292页，标准附后。</w:t>
            </w:r>
          </w:p>
        </w:tc>
      </w:tr>
    </w:tbl>
    <w:p w14:paraId="201D13AB">
      <w:pPr>
        <w:numPr>
          <w:ilvl w:val="0"/>
          <w:numId w:val="0"/>
        </w:numPr>
        <w:kinsoku w:val="0"/>
        <w:autoSpaceDE w:val="0"/>
        <w:autoSpaceDN w:val="0"/>
        <w:adjustRightInd w:val="0"/>
        <w:snapToGrid w:val="0"/>
        <w:spacing w:line="240" w:lineRule="auto"/>
        <w:ind w:leftChars="-200"/>
        <w:jc w:val="both"/>
        <w:textAlignment w:val="baseline"/>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注：以上各药品的数量为预估数量，投标供应商参考使用，并不代表实际配送全部种类及数量（具体数量以实际订购数量为准）。中标供应商不得以此为由要求采购人进货及补偿。本采购明细不作为最终的结算依据。</w:t>
      </w:r>
    </w:p>
    <w:p w14:paraId="4F964D3A">
      <w:pPr>
        <w:pStyle w:val="21"/>
        <w:rPr>
          <w:rFonts w:hint="default"/>
          <w:lang w:val="en-US" w:eastAsia="zh-CN"/>
        </w:rPr>
      </w:pPr>
    </w:p>
    <w:p w14:paraId="3E28C0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cs="宋体"/>
          <w:kern w:val="2"/>
          <w:sz w:val="28"/>
          <w:szCs w:val="28"/>
          <w:lang w:val="en-US" w:eastAsia="zh-CN" w:bidi="ar-SA"/>
        </w:rPr>
      </w:pPr>
      <w:r>
        <w:rPr>
          <w:rFonts w:hint="eastAsia" w:ascii="宋体" w:hAnsi="宋体" w:eastAsia="Arial" w:cs="宋体"/>
          <w:snapToGrid w:val="0"/>
          <w:color w:val="000000"/>
          <w:kern w:val="2"/>
          <w:sz w:val="28"/>
          <w:szCs w:val="28"/>
          <w:lang w:val="en-US" w:eastAsia="zh-CN" w:bidi="ar-SA"/>
        </w:rPr>
        <w:t>二、</w:t>
      </w:r>
      <w:r>
        <w:rPr>
          <w:rFonts w:hint="eastAsia" w:ascii="宋体" w:hAnsi="宋体" w:cs="宋体"/>
          <w:kern w:val="2"/>
          <w:sz w:val="28"/>
          <w:szCs w:val="28"/>
          <w:lang w:val="en-US" w:eastAsia="zh-CN" w:bidi="ar-SA"/>
        </w:rPr>
        <w:t>商务技术要求</w:t>
      </w:r>
    </w:p>
    <w:p w14:paraId="2F762E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（一）商务要求</w:t>
      </w:r>
    </w:p>
    <w:tbl>
      <w:tblPr>
        <w:tblStyle w:val="26"/>
        <w:tblW w:w="996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76"/>
        <w:gridCol w:w="678"/>
        <w:gridCol w:w="1878"/>
        <w:gridCol w:w="6430"/>
      </w:tblGrid>
      <w:tr w14:paraId="6AE6A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76" w:type="dxa"/>
            <w:noWrap w:val="0"/>
            <w:vAlign w:val="center"/>
          </w:tcPr>
          <w:p w14:paraId="5C7F4C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参数性质</w:t>
            </w:r>
          </w:p>
        </w:tc>
        <w:tc>
          <w:tcPr>
            <w:tcW w:w="678" w:type="dxa"/>
            <w:noWrap w:val="0"/>
            <w:vAlign w:val="center"/>
          </w:tcPr>
          <w:p w14:paraId="482BF2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编号</w:t>
            </w:r>
          </w:p>
        </w:tc>
        <w:tc>
          <w:tcPr>
            <w:tcW w:w="1878" w:type="dxa"/>
            <w:noWrap w:val="0"/>
            <w:vAlign w:val="center"/>
          </w:tcPr>
          <w:p w14:paraId="079F4D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内容明细</w:t>
            </w:r>
          </w:p>
        </w:tc>
        <w:tc>
          <w:tcPr>
            <w:tcW w:w="6430" w:type="dxa"/>
            <w:noWrap w:val="0"/>
            <w:vAlign w:val="center"/>
          </w:tcPr>
          <w:p w14:paraId="045679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内容说明</w:t>
            </w:r>
          </w:p>
        </w:tc>
      </w:tr>
      <w:tr w14:paraId="0378E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8" w:hRule="atLeast"/>
          <w:jc w:val="center"/>
        </w:trPr>
        <w:tc>
          <w:tcPr>
            <w:tcW w:w="976" w:type="dxa"/>
            <w:noWrap w:val="0"/>
            <w:vAlign w:val="center"/>
          </w:tcPr>
          <w:p w14:paraId="53BEB3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35D8AD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w:t>
            </w:r>
          </w:p>
        </w:tc>
        <w:tc>
          <w:tcPr>
            <w:tcW w:w="1878" w:type="dxa"/>
            <w:noWrap w:val="0"/>
            <w:vAlign w:val="center"/>
          </w:tcPr>
          <w:p w14:paraId="3CD7A7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合同履约期限</w:t>
            </w:r>
          </w:p>
        </w:tc>
        <w:tc>
          <w:tcPr>
            <w:tcW w:w="6430" w:type="dxa"/>
            <w:noWrap w:val="0"/>
            <w:vAlign w:val="center"/>
          </w:tcPr>
          <w:p w14:paraId="5364E5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合同期限三年，一年一签，考核合格签订下一年度合同。如考核不合格，后续不再签订合同，造成甲方损失的由乙方承担。</w:t>
            </w:r>
          </w:p>
        </w:tc>
      </w:tr>
      <w:tr w14:paraId="3A385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76" w:type="dxa"/>
            <w:noWrap w:val="0"/>
            <w:vAlign w:val="center"/>
          </w:tcPr>
          <w:p w14:paraId="2CCC08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221BDE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w:t>
            </w:r>
          </w:p>
        </w:tc>
        <w:tc>
          <w:tcPr>
            <w:tcW w:w="1878" w:type="dxa"/>
            <w:noWrap w:val="0"/>
            <w:vAlign w:val="center"/>
          </w:tcPr>
          <w:p w14:paraId="6CA6E1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交货期及交货地点</w:t>
            </w:r>
          </w:p>
        </w:tc>
        <w:tc>
          <w:tcPr>
            <w:tcW w:w="6430" w:type="dxa"/>
            <w:noWrap w:val="0"/>
            <w:vAlign w:val="center"/>
          </w:tcPr>
          <w:p w14:paraId="48467F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本项目为按需按时供应服务项目，投标单位应按照采购人的采购数量，做到分批分次送货送达到指定地点，最终采购数量以实际送货到货量为准。</w:t>
            </w:r>
          </w:p>
        </w:tc>
      </w:tr>
      <w:tr w14:paraId="6F16C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2" w:hRule="atLeast"/>
          <w:jc w:val="center"/>
        </w:trPr>
        <w:tc>
          <w:tcPr>
            <w:tcW w:w="976" w:type="dxa"/>
            <w:noWrap w:val="0"/>
            <w:vAlign w:val="center"/>
          </w:tcPr>
          <w:p w14:paraId="1257E6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0E5303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3</w:t>
            </w:r>
          </w:p>
        </w:tc>
        <w:tc>
          <w:tcPr>
            <w:tcW w:w="1878" w:type="dxa"/>
            <w:noWrap w:val="0"/>
            <w:vAlign w:val="center"/>
          </w:tcPr>
          <w:p w14:paraId="5D7367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付款方式</w:t>
            </w:r>
          </w:p>
        </w:tc>
        <w:tc>
          <w:tcPr>
            <w:tcW w:w="6430" w:type="dxa"/>
            <w:noWrap w:val="0"/>
            <w:vAlign w:val="center"/>
          </w:tcPr>
          <w:p w14:paraId="5931BF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根据采购人每季度提供的采购清单所提供的货物用量结算。（供应商须向采购人提供供货清单和开具配送货款的正规发票，再由甲方按照发票金额通过对公账户的方式转入乙方账户）</w:t>
            </w:r>
          </w:p>
        </w:tc>
      </w:tr>
      <w:tr w14:paraId="6636B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2" w:hRule="atLeast"/>
          <w:jc w:val="center"/>
        </w:trPr>
        <w:tc>
          <w:tcPr>
            <w:tcW w:w="976" w:type="dxa"/>
            <w:noWrap w:val="0"/>
            <w:vAlign w:val="center"/>
          </w:tcPr>
          <w:p w14:paraId="5EE09E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687C1B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4</w:t>
            </w:r>
          </w:p>
        </w:tc>
        <w:tc>
          <w:tcPr>
            <w:tcW w:w="1878" w:type="dxa"/>
            <w:noWrap w:val="0"/>
            <w:vAlign w:val="center"/>
          </w:tcPr>
          <w:p w14:paraId="489B54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质保期</w:t>
            </w:r>
          </w:p>
        </w:tc>
        <w:tc>
          <w:tcPr>
            <w:tcW w:w="6430" w:type="dxa"/>
            <w:noWrap w:val="0"/>
            <w:vAlign w:val="center"/>
          </w:tcPr>
          <w:p w14:paraId="31C693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供应产品有效期不得短于产品规定有效期的80%（特殊情况除外），临床积压品种，离有效期6个月以内的品种投标人必须无条件退换</w:t>
            </w:r>
          </w:p>
        </w:tc>
      </w:tr>
      <w:tr w14:paraId="06E5D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7" w:hRule="atLeast"/>
          <w:jc w:val="center"/>
        </w:trPr>
        <w:tc>
          <w:tcPr>
            <w:tcW w:w="976" w:type="dxa"/>
            <w:noWrap w:val="0"/>
            <w:vAlign w:val="center"/>
          </w:tcPr>
          <w:p w14:paraId="033364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5FF6BC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5</w:t>
            </w:r>
          </w:p>
        </w:tc>
        <w:tc>
          <w:tcPr>
            <w:tcW w:w="1878" w:type="dxa"/>
            <w:noWrap w:val="0"/>
            <w:vAlign w:val="center"/>
          </w:tcPr>
          <w:p w14:paraId="5B001A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质量保证期内调换货的响应时间</w:t>
            </w:r>
          </w:p>
        </w:tc>
        <w:tc>
          <w:tcPr>
            <w:tcW w:w="6430" w:type="dxa"/>
            <w:noWrap w:val="0"/>
            <w:vAlign w:val="center"/>
          </w:tcPr>
          <w:p w14:paraId="3E1E6C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heme="minorEastAsia" w:hAnsiTheme="minorEastAsia" w:eastAsiaTheme="minorEastAsia" w:cstheme="minorEastAsia"/>
                <w:snapToGrid w:val="0"/>
                <w:color w:val="000000"/>
                <w:kern w:val="2"/>
                <w:sz w:val="22"/>
                <w:szCs w:val="22"/>
                <w:lang w:val="en-US" w:eastAsia="zh-CN" w:bidi="ar-SA"/>
              </w:rPr>
            </w:pPr>
            <w:r>
              <w:rPr>
                <w:rFonts w:hint="default" w:asciiTheme="minorEastAsia" w:hAnsiTheme="minorEastAsia" w:eastAsiaTheme="minorEastAsia" w:cstheme="minorEastAsia"/>
                <w:snapToGrid w:val="0"/>
                <w:color w:val="000000"/>
                <w:kern w:val="2"/>
                <w:sz w:val="22"/>
                <w:szCs w:val="22"/>
                <w:lang w:val="en-US" w:eastAsia="zh-CN" w:bidi="ar-SA"/>
              </w:rPr>
              <w:t>质保期内调换货时间应为24小时内</w:t>
            </w:r>
          </w:p>
        </w:tc>
      </w:tr>
      <w:tr w14:paraId="6ABBD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2" w:hRule="atLeast"/>
          <w:jc w:val="center"/>
        </w:trPr>
        <w:tc>
          <w:tcPr>
            <w:tcW w:w="976" w:type="dxa"/>
            <w:noWrap w:val="0"/>
            <w:vAlign w:val="center"/>
          </w:tcPr>
          <w:p w14:paraId="79BCA0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 xml:space="preserve"> </w:t>
            </w:r>
          </w:p>
        </w:tc>
        <w:tc>
          <w:tcPr>
            <w:tcW w:w="678" w:type="dxa"/>
            <w:noWrap w:val="0"/>
            <w:vAlign w:val="center"/>
          </w:tcPr>
          <w:p w14:paraId="086E8A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6</w:t>
            </w:r>
          </w:p>
        </w:tc>
        <w:tc>
          <w:tcPr>
            <w:tcW w:w="1878" w:type="dxa"/>
            <w:noWrap w:val="0"/>
            <w:vAlign w:val="center"/>
          </w:tcPr>
          <w:p w14:paraId="316C76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验收</w:t>
            </w:r>
          </w:p>
        </w:tc>
        <w:tc>
          <w:tcPr>
            <w:tcW w:w="6430" w:type="dxa"/>
            <w:noWrap w:val="0"/>
            <w:vAlign w:val="center"/>
          </w:tcPr>
          <w:p w14:paraId="5A20D3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验收主体：喀什地区维吾尔医医院</w:t>
            </w:r>
          </w:p>
          <w:p w14:paraId="7814348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验收时间：每一次供货完毕</w:t>
            </w:r>
          </w:p>
          <w:p w14:paraId="2B65E8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验收内容：所采购的所有内容，甲方验收时应仔细检查：产品名称、规格、产地、数量等是否与甲方需求相符，产品数量、批号是否票货一致，产品的外包装是否污染、挤压等。甲方验收时如发现所交付的货物有短装、次品、损坏或其它不符合标准及合同规定之情形者，产品验收中有不符合双方约定的，甲方有权拒收，由此产生的时间延误与有关费用由乙方承担，验收期限相应顺延；如质量验收合格，双方签署质量合格验收报告。</w:t>
            </w:r>
          </w:p>
          <w:p w14:paraId="2C9333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验收标准：按国家有关规定以及甲方招标文件的质量要求和技术指标、乙方的投标文件及承诺与本合同约定标准进行验收；供应的中药饮片应符合本行业规定的质量标准的合格药品；药品名称应当符合《中华人民共和国药典》或省、自治区、直辖市药品监督管理部门制定的规范名称。药学部根据《药品管理法》等有关规定，建立健全药品入库验收程序，以防假劣药品进入药品库房，切实保证入库药品质量完好、数量准确；</w:t>
            </w:r>
          </w:p>
          <w:p w14:paraId="49F152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货物到达现场后，中标人应在使用单位人员在场情况下当面开箱，共同清点、检查外观，作出开箱记录，双方签字确认。中标人应保证货物到达人所在地完好无损，如有缺漏、损坏，由供应商负责调换、补齐或赔偿。药品验收由验收小组人员同时进行，必须由至少两名验收人员和复核人员进行；</w:t>
            </w:r>
          </w:p>
          <w:p w14:paraId="3222FEF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药品验收应在待验区进行。整件的药品按抽样原则开箱验收，零散品种按批号逐批验收；</w:t>
            </w:r>
          </w:p>
          <w:p w14:paraId="251463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核对包装，并附有质量合格标志。每件包装上，应标明品名、规格、产地、生产企业、生产日期等，已经实行批准文号管理的，需标明批准文号。</w:t>
            </w:r>
          </w:p>
          <w:p w14:paraId="224C7A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货票、实物、货帐所示的药品名称、规格、剂型、批准文号、批号、有效期、生产厂家、供货单位、数量及价格是否正确一致。</w:t>
            </w:r>
          </w:p>
          <w:p w14:paraId="7A10081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napToGrid w:val="0"/>
                <w:color w:val="000000"/>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检查内、外包装是否完整、清洁，无破损、污染、渗漏或封条损坏等包装异常现象；是否有发霉、走油、生虫等变质情形。</w:t>
            </w:r>
          </w:p>
          <w:p w14:paraId="144FB6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napToGrid w:val="0"/>
                <w:color w:val="000000"/>
                <w:kern w:val="2"/>
                <w:sz w:val="22"/>
                <w:szCs w:val="22"/>
                <w:lang w:val="en-US" w:eastAsia="zh-CN" w:bidi="ar-SA"/>
              </w:rPr>
              <w:t>按照药品批号查验同批号的检验报告书。检验报告书应当加盖供货单位质量管理专用章原印章；</w:t>
            </w:r>
          </w:p>
        </w:tc>
      </w:tr>
      <w:tr w14:paraId="4DFDB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76" w:type="dxa"/>
            <w:noWrap w:val="0"/>
            <w:vAlign w:val="center"/>
          </w:tcPr>
          <w:p w14:paraId="0A95F7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 xml:space="preserve"> </w:t>
            </w:r>
          </w:p>
        </w:tc>
        <w:tc>
          <w:tcPr>
            <w:tcW w:w="678" w:type="dxa"/>
            <w:noWrap w:val="0"/>
            <w:vAlign w:val="center"/>
          </w:tcPr>
          <w:p w14:paraId="2C905C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7</w:t>
            </w:r>
          </w:p>
        </w:tc>
        <w:tc>
          <w:tcPr>
            <w:tcW w:w="1878" w:type="dxa"/>
            <w:noWrap w:val="0"/>
            <w:vAlign w:val="center"/>
          </w:tcPr>
          <w:p w14:paraId="27855F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项目机构人员</w:t>
            </w:r>
          </w:p>
        </w:tc>
        <w:tc>
          <w:tcPr>
            <w:tcW w:w="6430" w:type="dxa"/>
            <w:noWrap w:val="0"/>
            <w:vAlign w:val="center"/>
          </w:tcPr>
          <w:p w14:paraId="2931A9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供应商拟投入本项目须至少配备一名项目负责人，负责与采购单位的项目对接、合同签订、药品的配送、验收、退换，结算等工作。不少于1名的执业执业中药师，须为本单位注册人员（需提供执业中药师资格证、执业中药师注册证书复印件）；以及一名专业配送人员，专职配送人员主要负责药品的配送、搬运等工作。根据药品管理相关法规规定“患有传染病或者其他可能污染药品的疾病的不得从事直接接触药品的工作”，以上人员须提供健康证。</w:t>
            </w:r>
          </w:p>
          <w:p w14:paraId="7B43D5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color w:val="FF0000"/>
                <w:kern w:val="2"/>
                <w:sz w:val="22"/>
                <w:szCs w:val="22"/>
                <w:lang w:val="en-US" w:eastAsia="zh-CN" w:bidi="ar-SA"/>
              </w:rPr>
              <w:t>★第一包、第二包、第三包的中标人在服务期内须无偿提供2名常驻专职人员负责中药饮片的出入库、摆放、搬运、粉碎、制剂前处理、外包装等相关工作（工作时间必须服从医院安排，人员工资福利由中标人自行承担）（须提供常驻专职人员承诺书，否则投标无效）</w:t>
            </w:r>
          </w:p>
        </w:tc>
      </w:tr>
      <w:tr w14:paraId="7FDD4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76" w:type="dxa"/>
            <w:noWrap w:val="0"/>
            <w:vAlign w:val="center"/>
          </w:tcPr>
          <w:p w14:paraId="691650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07821D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8</w:t>
            </w:r>
          </w:p>
        </w:tc>
        <w:tc>
          <w:tcPr>
            <w:tcW w:w="1878" w:type="dxa"/>
            <w:noWrap w:val="0"/>
            <w:vAlign w:val="center"/>
          </w:tcPr>
          <w:p w14:paraId="4A98F2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专业配送车辆</w:t>
            </w:r>
          </w:p>
        </w:tc>
        <w:tc>
          <w:tcPr>
            <w:tcW w:w="6430" w:type="dxa"/>
            <w:noWrap w:val="0"/>
            <w:vAlign w:val="center"/>
          </w:tcPr>
          <w:p w14:paraId="685991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供应商须配备本项目的专业配送车辆或冷链运送车</w:t>
            </w:r>
          </w:p>
        </w:tc>
      </w:tr>
      <w:tr w14:paraId="022D5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76" w:type="dxa"/>
            <w:noWrap w:val="0"/>
            <w:vAlign w:val="center"/>
          </w:tcPr>
          <w:p w14:paraId="1E6A6B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4EFE6E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9</w:t>
            </w:r>
          </w:p>
        </w:tc>
        <w:tc>
          <w:tcPr>
            <w:tcW w:w="1878" w:type="dxa"/>
            <w:noWrap w:val="0"/>
            <w:vAlign w:val="center"/>
          </w:tcPr>
          <w:p w14:paraId="459D93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仓储库房</w:t>
            </w:r>
          </w:p>
        </w:tc>
        <w:tc>
          <w:tcPr>
            <w:tcW w:w="6430" w:type="dxa"/>
            <w:noWrap w:val="0"/>
            <w:vAlign w:val="center"/>
          </w:tcPr>
          <w:p w14:paraId="7FF2C3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为保证中药（维药）饮片质量及投标人供应能力，投标人应有能保证药品储存条件的仓储场地及存放药品的冷库。</w:t>
            </w:r>
          </w:p>
        </w:tc>
      </w:tr>
      <w:tr w14:paraId="20F97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76" w:type="dxa"/>
            <w:noWrap w:val="0"/>
            <w:vAlign w:val="center"/>
          </w:tcPr>
          <w:p w14:paraId="66F9B1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402D98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10</w:t>
            </w:r>
          </w:p>
        </w:tc>
        <w:tc>
          <w:tcPr>
            <w:tcW w:w="1878" w:type="dxa"/>
            <w:noWrap w:val="0"/>
            <w:vAlign w:val="center"/>
          </w:tcPr>
          <w:p w14:paraId="26FF1C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其他要求</w:t>
            </w:r>
          </w:p>
        </w:tc>
        <w:tc>
          <w:tcPr>
            <w:tcW w:w="6430" w:type="dxa"/>
            <w:noWrap w:val="0"/>
            <w:vAlign w:val="center"/>
          </w:tcPr>
          <w:p w14:paraId="713A9F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供应商必须100%满足所投包号目录中的所有药品品种，否则视为对招标文件的不响应，投标无效。</w:t>
            </w:r>
          </w:p>
        </w:tc>
      </w:tr>
      <w:tr w14:paraId="0A841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3532" w:type="dxa"/>
            <w:gridSpan w:val="3"/>
            <w:noWrap w:val="0"/>
            <w:vAlign w:val="center"/>
          </w:tcPr>
          <w:p w14:paraId="53AFD2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说明</w:t>
            </w:r>
          </w:p>
        </w:tc>
        <w:tc>
          <w:tcPr>
            <w:tcW w:w="6430" w:type="dxa"/>
            <w:noWrap w:val="0"/>
            <w:vAlign w:val="center"/>
          </w:tcPr>
          <w:p w14:paraId="55AA07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打“★”号条款为实质性条款，若有任何一条负偏离或不满足则导致投标（响应）无效。</w:t>
            </w:r>
          </w:p>
          <w:p w14:paraId="1D785E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打“▲”号条款为重要参数（如有），若有部分“▲”条款未响应或不满足，将根据评审要求影响其得分，但不作为无效投标（响应）条款。</w:t>
            </w:r>
          </w:p>
        </w:tc>
      </w:tr>
    </w:tbl>
    <w:p w14:paraId="2EB293C8">
      <w:pPr>
        <w:numPr>
          <w:ilvl w:val="0"/>
          <w:numId w:val="0"/>
        </w:numPr>
        <w:kinsoku w:val="0"/>
        <w:autoSpaceDE w:val="0"/>
        <w:autoSpaceDN w:val="0"/>
        <w:adjustRightInd w:val="0"/>
        <w:snapToGrid w:val="0"/>
        <w:spacing w:line="240" w:lineRule="auto"/>
        <w:jc w:val="both"/>
        <w:textAlignment w:val="baseline"/>
        <w:rPr>
          <w:rFonts w:hint="default" w:ascii="宋体" w:hAnsi="宋体" w:cs="宋体"/>
          <w:kern w:val="2"/>
          <w:sz w:val="28"/>
          <w:szCs w:val="28"/>
          <w:lang w:val="en-US" w:eastAsia="zh-CN" w:bidi="ar-SA"/>
        </w:rPr>
      </w:pPr>
    </w:p>
    <w:p w14:paraId="29859D97">
      <w:pPr>
        <w:numPr>
          <w:ilvl w:val="0"/>
          <w:numId w:val="0"/>
        </w:numPr>
        <w:kinsoku w:val="0"/>
        <w:autoSpaceDE w:val="0"/>
        <w:autoSpaceDN w:val="0"/>
        <w:adjustRightInd w:val="0"/>
        <w:snapToGrid w:val="0"/>
        <w:spacing w:line="240" w:lineRule="auto"/>
        <w:jc w:val="both"/>
        <w:textAlignment w:val="baseline"/>
        <w:rPr>
          <w:rFonts w:hint="default" w:ascii="宋体" w:hAnsi="宋体" w:cs="宋体"/>
          <w:kern w:val="2"/>
          <w:sz w:val="28"/>
          <w:szCs w:val="28"/>
          <w:lang w:val="en-US" w:eastAsia="zh-CN" w:bidi="ar-SA"/>
        </w:rPr>
      </w:pPr>
    </w:p>
    <w:p w14:paraId="45E6E41B">
      <w:pPr>
        <w:numPr>
          <w:ilvl w:val="0"/>
          <w:numId w:val="16"/>
        </w:numPr>
        <w:kinsoku w:val="0"/>
        <w:autoSpaceDE w:val="0"/>
        <w:autoSpaceDN w:val="0"/>
        <w:adjustRightInd w:val="0"/>
        <w:snapToGrid w:val="0"/>
        <w:spacing w:line="240" w:lineRule="auto"/>
        <w:jc w:val="both"/>
        <w:textAlignment w:val="baseline"/>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技术要求</w:t>
      </w:r>
    </w:p>
    <w:tbl>
      <w:tblPr>
        <w:tblStyle w:val="26"/>
        <w:tblW w:w="996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76"/>
        <w:gridCol w:w="678"/>
        <w:gridCol w:w="1878"/>
        <w:gridCol w:w="6430"/>
      </w:tblGrid>
      <w:tr w14:paraId="30AF6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76" w:type="dxa"/>
            <w:noWrap w:val="0"/>
            <w:vAlign w:val="center"/>
          </w:tcPr>
          <w:p w14:paraId="03B04D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参数性质</w:t>
            </w:r>
          </w:p>
        </w:tc>
        <w:tc>
          <w:tcPr>
            <w:tcW w:w="678" w:type="dxa"/>
            <w:noWrap w:val="0"/>
            <w:vAlign w:val="center"/>
          </w:tcPr>
          <w:p w14:paraId="6DAD9E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编号</w:t>
            </w:r>
          </w:p>
        </w:tc>
        <w:tc>
          <w:tcPr>
            <w:tcW w:w="1878" w:type="dxa"/>
            <w:noWrap w:val="0"/>
            <w:vAlign w:val="center"/>
          </w:tcPr>
          <w:p w14:paraId="173F3F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内容明细</w:t>
            </w:r>
          </w:p>
        </w:tc>
        <w:tc>
          <w:tcPr>
            <w:tcW w:w="6430" w:type="dxa"/>
            <w:noWrap w:val="0"/>
            <w:vAlign w:val="center"/>
          </w:tcPr>
          <w:p w14:paraId="43BF71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内容说明</w:t>
            </w:r>
          </w:p>
        </w:tc>
      </w:tr>
      <w:tr w14:paraId="43AAB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8" w:hRule="atLeast"/>
          <w:jc w:val="center"/>
        </w:trPr>
        <w:tc>
          <w:tcPr>
            <w:tcW w:w="976" w:type="dxa"/>
            <w:noWrap w:val="0"/>
            <w:vAlign w:val="center"/>
          </w:tcPr>
          <w:p w14:paraId="584B8A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p>
        </w:tc>
        <w:tc>
          <w:tcPr>
            <w:tcW w:w="678" w:type="dxa"/>
            <w:noWrap w:val="0"/>
            <w:vAlign w:val="center"/>
          </w:tcPr>
          <w:p w14:paraId="6EAD6A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w:t>
            </w:r>
          </w:p>
        </w:tc>
        <w:tc>
          <w:tcPr>
            <w:tcW w:w="1878" w:type="dxa"/>
            <w:noWrap w:val="0"/>
            <w:vAlign w:val="center"/>
          </w:tcPr>
          <w:p w14:paraId="7CD25C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实施方案</w:t>
            </w:r>
          </w:p>
        </w:tc>
        <w:tc>
          <w:tcPr>
            <w:tcW w:w="6430" w:type="dxa"/>
            <w:noWrap w:val="0"/>
            <w:vAlign w:val="center"/>
          </w:tcPr>
          <w:p w14:paraId="414EBF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供应商应结合本项目实际情况及特点编制本项目的实施方案，包括但不限于：①药品采购方案②药品验收方案③仓储日常管理方案④全流程质量控制方案⑤配送供应方案</w:t>
            </w:r>
          </w:p>
        </w:tc>
      </w:tr>
      <w:tr w14:paraId="069DB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976" w:type="dxa"/>
            <w:noWrap w:val="0"/>
            <w:vAlign w:val="center"/>
          </w:tcPr>
          <w:p w14:paraId="5FF0DF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w:t>
            </w:r>
          </w:p>
        </w:tc>
        <w:tc>
          <w:tcPr>
            <w:tcW w:w="678" w:type="dxa"/>
            <w:noWrap w:val="0"/>
            <w:vAlign w:val="center"/>
          </w:tcPr>
          <w:p w14:paraId="088E7E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w:t>
            </w:r>
          </w:p>
        </w:tc>
        <w:tc>
          <w:tcPr>
            <w:tcW w:w="1878" w:type="dxa"/>
            <w:noWrap w:val="0"/>
            <w:vAlign w:val="center"/>
          </w:tcPr>
          <w:p w14:paraId="681B35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质量要求</w:t>
            </w:r>
          </w:p>
        </w:tc>
        <w:tc>
          <w:tcPr>
            <w:tcW w:w="6430" w:type="dxa"/>
            <w:noWrap w:val="0"/>
            <w:vAlign w:val="center"/>
          </w:tcPr>
          <w:p w14:paraId="7EE55B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w:t>
            </w:r>
            <w:r>
              <w:rPr>
                <w:rFonts w:hint="default" w:asciiTheme="minorEastAsia" w:hAnsiTheme="minorEastAsia" w:eastAsiaTheme="minorEastAsia" w:cstheme="minorEastAsia"/>
                <w:kern w:val="2"/>
                <w:sz w:val="22"/>
                <w:szCs w:val="22"/>
                <w:lang w:val="en-US" w:eastAsia="zh-CN" w:bidi="ar-SA"/>
              </w:rPr>
              <w:t>质量标准：投标人供应的中药饮片质量应符合</w:t>
            </w:r>
            <w:r>
              <w:rPr>
                <w:rFonts w:hint="eastAsia" w:asciiTheme="minorEastAsia" w:hAnsiTheme="minorEastAsia" w:eastAsiaTheme="minorEastAsia" w:cstheme="minorEastAsia"/>
                <w:kern w:val="2"/>
                <w:sz w:val="22"/>
                <w:szCs w:val="22"/>
                <w:lang w:val="en-US" w:eastAsia="zh-CN" w:bidi="ar-SA"/>
              </w:rPr>
              <w:t>正在实施的最新版</w:t>
            </w:r>
            <w:r>
              <w:rPr>
                <w:rFonts w:hint="default" w:asciiTheme="minorEastAsia" w:hAnsiTheme="minorEastAsia" w:eastAsiaTheme="minorEastAsia" w:cstheme="minorEastAsia"/>
                <w:kern w:val="2"/>
                <w:sz w:val="22"/>
                <w:szCs w:val="22"/>
                <w:lang w:val="en-US" w:eastAsia="zh-CN" w:bidi="ar-SA"/>
              </w:rPr>
              <w:t>《中华人民共和国药典》要求，暂未收入药典的饮片应符合《国家中药饮片炮制规范》或者2020年版《新疆维吾尔自治区中药维吾尔药饮片炮制规范》等相关法定质量标准。中药饮片炮制规格应依照采购人用药习惯和本项目要求执行。所供中药饮片质量等级不得低于招标时所供样品质量等级，否则予以退货处理；投标人负责中药饮片的质量监管，当采购人对所供中药饮品产生质量质疑时，投标人应无条件配合采购人及时提供可信的证明材料予以说明</w:t>
            </w:r>
          </w:p>
          <w:p w14:paraId="28C3F6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w:t>
            </w:r>
            <w:r>
              <w:rPr>
                <w:rFonts w:hint="default" w:asciiTheme="minorEastAsia" w:hAnsiTheme="minorEastAsia" w:eastAsiaTheme="minorEastAsia" w:cstheme="minorEastAsia"/>
                <w:kern w:val="2"/>
                <w:sz w:val="22"/>
                <w:szCs w:val="22"/>
                <w:lang w:val="en-US" w:eastAsia="zh-CN" w:bidi="ar-SA"/>
              </w:rPr>
              <w:t>生产企业所用中药材，应符合现行版中国药典等国家中药材标准规定。应当使用来源符合中药材生产质量管理规范要求、质量可控的中药材</w:t>
            </w:r>
            <w:r>
              <w:rPr>
                <w:rFonts w:hint="eastAsia" w:asciiTheme="minorEastAsia" w:hAnsiTheme="minorEastAsia" w:eastAsiaTheme="minorEastAsia" w:cstheme="minorEastAsia"/>
                <w:kern w:val="2"/>
                <w:sz w:val="22"/>
                <w:szCs w:val="22"/>
                <w:lang w:val="en-US" w:eastAsia="zh-CN" w:bidi="ar-SA"/>
              </w:rPr>
              <w:t>。</w:t>
            </w:r>
          </w:p>
          <w:p w14:paraId="4F589A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3.所投中药饮片供货时必须提供生产企业质量检验报告书，贵细药材每批供货需提供省级药检部门出具的检验报告。不能提供检验报告的医疗机构拒收。</w:t>
            </w:r>
          </w:p>
          <w:p w14:paraId="68DEF6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lang w:val="en-US" w:eastAsia="zh-CN"/>
              </w:rPr>
            </w:pPr>
            <w:r>
              <w:rPr>
                <w:rFonts w:hint="eastAsia" w:asciiTheme="minorEastAsia" w:hAnsiTheme="minorEastAsia" w:eastAsiaTheme="minorEastAsia" w:cstheme="minorEastAsia"/>
                <w:kern w:val="2"/>
                <w:sz w:val="22"/>
                <w:szCs w:val="22"/>
                <w:lang w:val="en-US" w:eastAsia="zh-CN" w:bidi="ar-SA"/>
              </w:rPr>
              <w:t>4.中标人在发货前，对货物的质量、规格、数量等进行准确和全面的检验。中标人在送货时需向采购人提交每批次药检报告书（加盖中标人单位公章）</w:t>
            </w:r>
          </w:p>
          <w:p w14:paraId="28FB2D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5.中药饮片应品质好、质量高，供货期间品质应保持一致，不得私自降低品质，以次充好，如有上述情况我院按退换货处理并由配送公司承担退换货所产生的一切费用，如有多次出现，按相关规定处罚。</w:t>
            </w:r>
          </w:p>
          <w:p w14:paraId="325680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lang w:val="en-US" w:eastAsia="zh-CN"/>
              </w:rPr>
            </w:pPr>
            <w:r>
              <w:rPr>
                <w:rFonts w:hint="eastAsia"/>
                <w:lang w:val="en-US" w:eastAsia="zh-CN"/>
              </w:rPr>
              <w:t>6.</w:t>
            </w:r>
            <w:r>
              <w:rPr>
                <w:rFonts w:hint="default"/>
                <w:lang w:val="en-US" w:eastAsia="zh-CN"/>
              </w:rPr>
              <w:t>中标方提供给采购方的中药饮片，不得有虫蛀、霉变、鼠咬、封口包装不严、杂质或水分超标等情况。</w:t>
            </w:r>
          </w:p>
          <w:p w14:paraId="105D87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lang w:val="en-US" w:eastAsia="zh-CN"/>
              </w:rPr>
            </w:pPr>
            <w:r>
              <w:rPr>
                <w:rFonts w:hint="eastAsia" w:asciiTheme="minorEastAsia" w:hAnsiTheme="minorEastAsia" w:eastAsiaTheme="minorEastAsia" w:cstheme="minorEastAsia"/>
                <w:kern w:val="2"/>
                <w:sz w:val="22"/>
                <w:szCs w:val="22"/>
                <w:lang w:val="en-US" w:eastAsia="zh-CN" w:bidi="ar-SA"/>
              </w:rPr>
              <w:t>7.</w:t>
            </w:r>
            <w:r>
              <w:rPr>
                <w:rFonts w:hint="default" w:asciiTheme="minorEastAsia" w:hAnsiTheme="minorEastAsia" w:eastAsiaTheme="minorEastAsia" w:cstheme="minorEastAsia"/>
                <w:kern w:val="2"/>
                <w:sz w:val="22"/>
                <w:szCs w:val="22"/>
                <w:lang w:val="en-US" w:eastAsia="zh-CN" w:bidi="ar-SA"/>
              </w:rPr>
              <w:t>我院发现进货的中药饮片有质量问题等，中标人应保证退货处理；在使用过程中对近效期（≤6个月）的中药饮片中标人应保证及时更换。</w:t>
            </w:r>
          </w:p>
        </w:tc>
      </w:tr>
      <w:tr w14:paraId="3739B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34" w:hRule="atLeast"/>
          <w:jc w:val="center"/>
        </w:trPr>
        <w:tc>
          <w:tcPr>
            <w:tcW w:w="976" w:type="dxa"/>
            <w:noWrap w:val="0"/>
            <w:vAlign w:val="center"/>
          </w:tcPr>
          <w:p w14:paraId="58D689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p>
        </w:tc>
        <w:tc>
          <w:tcPr>
            <w:tcW w:w="678" w:type="dxa"/>
            <w:noWrap w:val="0"/>
            <w:vAlign w:val="center"/>
          </w:tcPr>
          <w:p w14:paraId="1163AD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3</w:t>
            </w:r>
          </w:p>
        </w:tc>
        <w:tc>
          <w:tcPr>
            <w:tcW w:w="1878" w:type="dxa"/>
            <w:noWrap w:val="0"/>
            <w:vAlign w:val="center"/>
          </w:tcPr>
          <w:p w14:paraId="4F193C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包装要求</w:t>
            </w:r>
          </w:p>
        </w:tc>
        <w:tc>
          <w:tcPr>
            <w:tcW w:w="6430" w:type="dxa"/>
            <w:noWrap w:val="0"/>
            <w:vAlign w:val="center"/>
          </w:tcPr>
          <w:p w14:paraId="6C484B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1、符合采购人采购要求：除非对包装另有规定，中标商提供的全部中药饮片应按标准保护措施进行包装，以防止中药饮片在运输过程中损坏或变质，确保安全无损运抵约定地点。</w:t>
            </w:r>
          </w:p>
          <w:p w14:paraId="169462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2、每一个包装上应注明品名、规格、产地、生产厂家、数量、重量、批号、有效期等相关的信息标志。</w:t>
            </w:r>
          </w:p>
          <w:p w14:paraId="12437D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3、如包装不能做到上述要求，采购人有权拒绝接收。</w:t>
            </w:r>
          </w:p>
          <w:p w14:paraId="47630E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color w:val="FF0000"/>
                <w:kern w:val="2"/>
                <w:sz w:val="22"/>
                <w:szCs w:val="22"/>
                <w:lang w:val="en-US" w:eastAsia="zh-CN" w:bidi="ar-SA"/>
              </w:rPr>
              <w:t>★4、投标企业承诺按照医院要求对指定中药饮片进行打粉、包装，并对部分种子、贵重药品等品种进行分包装服务（须提供承诺函，否则投标无效）</w:t>
            </w:r>
          </w:p>
          <w:p w14:paraId="1C5027AF">
            <w:pPr>
              <w:pStyle w:val="21"/>
              <w:rPr>
                <w:rFonts w:hint="eastAsia"/>
                <w:lang w:val="en-US" w:eastAsia="zh-CN"/>
              </w:rPr>
            </w:pPr>
          </w:p>
        </w:tc>
      </w:tr>
      <w:tr w14:paraId="35687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976" w:type="dxa"/>
            <w:noWrap w:val="0"/>
            <w:vAlign w:val="center"/>
          </w:tcPr>
          <w:p w14:paraId="7EB74F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p>
        </w:tc>
        <w:tc>
          <w:tcPr>
            <w:tcW w:w="678" w:type="dxa"/>
            <w:noWrap w:val="0"/>
            <w:vAlign w:val="center"/>
          </w:tcPr>
          <w:p w14:paraId="3CED7D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4</w:t>
            </w:r>
          </w:p>
        </w:tc>
        <w:tc>
          <w:tcPr>
            <w:tcW w:w="1878" w:type="dxa"/>
            <w:noWrap w:val="0"/>
            <w:vAlign w:val="center"/>
          </w:tcPr>
          <w:p w14:paraId="4F2EFA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供货要求</w:t>
            </w:r>
          </w:p>
        </w:tc>
        <w:tc>
          <w:tcPr>
            <w:tcW w:w="6430" w:type="dxa"/>
            <w:noWrap w:val="0"/>
            <w:vAlign w:val="center"/>
          </w:tcPr>
          <w:p w14:paraId="1AD00B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1.供应商提供的药品质量和服务应随时接受医院的检查和监管，中药房负责对中药饮片的供货商所提供的药品质量负责监督。</w:t>
            </w:r>
          </w:p>
          <w:p w14:paraId="734FE3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中标人对交付采购人的中药饮片质量承担全程责任。采购人有权按照国家的相关规定，对中标人交付的药品进行验收。对药品是否合格双方有争议时,采购人有权将争议药品送具备法定资质的第三方检验机构进行鉴定，并以鉴定结论作为验收依据，鉴定费由中标人承担。</w:t>
            </w:r>
          </w:p>
          <w:p w14:paraId="3C7C3F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3.中标人所供中药饮片必须提供同批次检验报告单、随货同行票据、销售发票及货物清单，货物清单必须标注中药饮片、生产厂家、规格、批号、效期、批准文号、供货单位、数量、供货价、售价、供货日期，必须做到货票相符。并由负责人根据上述物票信息逐一验 收合格签字确认后方可办理入库手续。（已经实行批准文号管理的，需标明批准文号）；</w:t>
            </w:r>
          </w:p>
          <w:p w14:paraId="382F98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color w:val="FF0000"/>
                <w:kern w:val="2"/>
                <w:sz w:val="22"/>
                <w:szCs w:val="22"/>
                <w:lang w:val="en-US" w:eastAsia="zh-CN" w:bidi="ar-SA"/>
              </w:rPr>
              <w:t>4.★中标人必须保障产品齐全，保证药品质量、执行国家物价的前提下按约定的药品品种、剂型、规格、数量、价格、供货方式等供货，不得以任何借口 （如无货，采购量少等）不执行采购人采购计划从而影响采购方的临床用药，保证临床用药不断档。（投标人提供《承诺函》，否则投标无效）</w:t>
            </w:r>
          </w:p>
          <w:p w14:paraId="1B635D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color w:val="FF0000"/>
                <w:kern w:val="2"/>
                <w:sz w:val="22"/>
                <w:szCs w:val="22"/>
                <w:lang w:val="en-US" w:eastAsia="zh-CN" w:bidi="ar-SA"/>
              </w:rPr>
              <w:t>5.★在中标人供货期间，中标人必须按照清单中产品进行供货，如确遇清单中某些产品无法供货或制造商断货，须提前告知采购人并提供书面声明，同一品种连续三次无法供货或者供货期内两次药材验收不合格的，采购人有权取消中标人的供货资格。（投标人提供《承诺函》，否则投标无效）</w:t>
            </w:r>
          </w:p>
        </w:tc>
      </w:tr>
      <w:tr w14:paraId="7A6B1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17" w:hRule="atLeast"/>
          <w:jc w:val="center"/>
        </w:trPr>
        <w:tc>
          <w:tcPr>
            <w:tcW w:w="976" w:type="dxa"/>
            <w:noWrap w:val="0"/>
            <w:vAlign w:val="center"/>
          </w:tcPr>
          <w:p w14:paraId="729097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 xml:space="preserve"> </w:t>
            </w:r>
          </w:p>
        </w:tc>
        <w:tc>
          <w:tcPr>
            <w:tcW w:w="678" w:type="dxa"/>
            <w:noWrap w:val="0"/>
            <w:vAlign w:val="center"/>
          </w:tcPr>
          <w:p w14:paraId="785926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w:t>
            </w:r>
          </w:p>
        </w:tc>
        <w:tc>
          <w:tcPr>
            <w:tcW w:w="1878" w:type="dxa"/>
            <w:noWrap w:val="0"/>
            <w:vAlign w:val="center"/>
          </w:tcPr>
          <w:p w14:paraId="1076C8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220" w:firstLineChars="10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售后服务</w:t>
            </w:r>
          </w:p>
        </w:tc>
        <w:tc>
          <w:tcPr>
            <w:tcW w:w="6430" w:type="dxa"/>
            <w:noWrap w:val="0"/>
            <w:vAlign w:val="center"/>
          </w:tcPr>
          <w:p w14:paraId="206438E3">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中标人在收到采购人药品采购计划后，无论计划品种、数量多少，应在指定时间将药品完好无损送至采购人指定地点，(供应商于收到供货通知后立即予以回复采购人是否能够按时供货，紧急药品24小时内送达，</w:t>
            </w:r>
            <w:r>
              <w:rPr>
                <w:rFonts w:hint="eastAsia" w:asciiTheme="minorEastAsia" w:hAnsiTheme="minorEastAsia" w:eastAsiaTheme="minorEastAsia" w:cstheme="minorEastAsia"/>
                <w:color w:val="FF0000"/>
                <w:kern w:val="2"/>
                <w:sz w:val="22"/>
                <w:szCs w:val="22"/>
                <w:lang w:val="en-US" w:eastAsia="zh-CN" w:bidi="ar-SA"/>
              </w:rPr>
              <w:t>常用紧急品种6小时内送达，</w:t>
            </w:r>
            <w:r>
              <w:rPr>
                <w:rFonts w:hint="eastAsia" w:asciiTheme="minorEastAsia" w:hAnsiTheme="minorEastAsia" w:eastAsiaTheme="minorEastAsia" w:cstheme="minorEastAsia"/>
                <w:kern w:val="2"/>
                <w:sz w:val="22"/>
                <w:szCs w:val="22"/>
                <w:lang w:val="en-US" w:eastAsia="zh-CN" w:bidi="ar-SA"/>
              </w:rPr>
              <w:t>节假日照常配送)。如遇特殊情况无法按时送达货品时需与采购人沟通，且一年不得超过三次）。供货方承担药品包装与配送费。</w:t>
            </w:r>
          </w:p>
          <w:p w14:paraId="17EF1F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2所送货物需与采购计划相一致，未经允许不得擅自更改计划。</w:t>
            </w:r>
          </w:p>
          <w:p w14:paraId="0BE79A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3.采购人发现进货的药品破损、近效期、包装不合格或有质量问题的，中标人应保证及时更换或退货处理。</w:t>
            </w:r>
          </w:p>
          <w:p w14:paraId="1B5EEB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color w:val="FF0000"/>
                <w:kern w:val="2"/>
                <w:sz w:val="22"/>
                <w:szCs w:val="22"/>
                <w:lang w:val="en-US" w:eastAsia="zh-CN" w:bidi="ar-SA"/>
              </w:rPr>
            </w:pPr>
            <w:r>
              <w:rPr>
                <w:rFonts w:hint="eastAsia" w:asciiTheme="minorEastAsia" w:hAnsiTheme="minorEastAsia" w:eastAsiaTheme="minorEastAsia" w:cstheme="minorEastAsia"/>
                <w:color w:val="FF0000"/>
                <w:kern w:val="2"/>
                <w:sz w:val="22"/>
                <w:szCs w:val="22"/>
                <w:lang w:val="en-US" w:eastAsia="zh-CN" w:bidi="ar-SA"/>
              </w:rPr>
              <w:t>4.★如果在供货中出现政策性第三方交易平台或其他集中采购平台有同类品种可线上采购时，采购人有权终止合同自行转平台采购（投标人提供《承诺函》) 。</w:t>
            </w:r>
          </w:p>
          <w:p w14:paraId="43F2B9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5.中药饮片在验收过程中，出现吸潮，结块，发霉、虫蛀等一切药品质量问题时，应5日内提供退换和承担相应赔偿。</w:t>
            </w:r>
          </w:p>
          <w:p w14:paraId="13BD02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6.投标人所供中药饮片在临床应用因质量问题引起的不良事件以及可疑不良事件，所产生的一切责任及费用由供方承担。</w:t>
            </w:r>
          </w:p>
          <w:p w14:paraId="289493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7.因质量问题使医院因此蒙受经济及名誉损失，由供货方承担。</w:t>
            </w:r>
          </w:p>
          <w:p w14:paraId="5B0C11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8.投标人所供中药饮片因包装标识、说明书及质量管理等不符合要求，被药监部门判为假、劣药时，所产生的一切费用由供方承担。</w:t>
            </w:r>
          </w:p>
          <w:p w14:paraId="0664E0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lang w:val="en-US" w:eastAsia="zh-CN"/>
              </w:rPr>
            </w:pPr>
            <w:r>
              <w:rPr>
                <w:rFonts w:hint="eastAsia" w:asciiTheme="minorEastAsia" w:hAnsiTheme="minorEastAsia" w:eastAsiaTheme="minorEastAsia" w:cstheme="minorEastAsia"/>
                <w:kern w:val="2"/>
                <w:sz w:val="22"/>
                <w:szCs w:val="22"/>
                <w:lang w:val="en-US" w:eastAsia="zh-CN" w:bidi="ar-SA"/>
              </w:rPr>
              <w:t>9.供应商有常驻服务网点、人员或授权本地售后服务公司的相关证明（需提供证明文件：合同、人员、联系方式等）</w:t>
            </w:r>
          </w:p>
        </w:tc>
      </w:tr>
      <w:tr w14:paraId="2D83F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2" w:hRule="atLeast"/>
          <w:jc w:val="center"/>
        </w:trPr>
        <w:tc>
          <w:tcPr>
            <w:tcW w:w="976" w:type="dxa"/>
            <w:noWrap w:val="0"/>
            <w:vAlign w:val="center"/>
          </w:tcPr>
          <w:p w14:paraId="05926C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p>
        </w:tc>
        <w:tc>
          <w:tcPr>
            <w:tcW w:w="678" w:type="dxa"/>
            <w:noWrap w:val="0"/>
            <w:vAlign w:val="center"/>
          </w:tcPr>
          <w:p w14:paraId="25C211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6</w:t>
            </w:r>
          </w:p>
        </w:tc>
        <w:tc>
          <w:tcPr>
            <w:tcW w:w="1878" w:type="dxa"/>
            <w:noWrap w:val="0"/>
            <w:vAlign w:val="center"/>
          </w:tcPr>
          <w:p w14:paraId="0B7678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220" w:firstLineChars="100"/>
              <w:jc w:val="both"/>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其他要求</w:t>
            </w:r>
          </w:p>
        </w:tc>
        <w:tc>
          <w:tcPr>
            <w:tcW w:w="6430" w:type="dxa"/>
            <w:noWrap w:val="0"/>
            <w:vAlign w:val="center"/>
          </w:tcPr>
          <w:p w14:paraId="488BE35C">
            <w:pPr>
              <w:pStyle w:val="2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asciiTheme="minorEastAsia" w:hAnsiTheme="minorEastAsia" w:eastAsiaTheme="minorEastAsia" w:cstheme="minorEastAsia"/>
                <w:snapToGrid w:val="0"/>
                <w:color w:val="000000"/>
                <w:kern w:val="2"/>
                <w:sz w:val="22"/>
                <w:szCs w:val="22"/>
                <w:lang w:val="en-US" w:eastAsia="zh-CN" w:bidi="ar-SA"/>
              </w:rPr>
              <w:t>所提供的中药饮片应建立追溯系统，逐步实现中药饮片生产、流通和使用全过程来源可查、去向可追，确保发生质量安全风险的产品可召回、责任可追究。供应商有权随时对中药饮片的生产过程进行抽查检验或派出专人监督。</w:t>
            </w:r>
          </w:p>
        </w:tc>
      </w:tr>
      <w:tr w14:paraId="16CAC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3532" w:type="dxa"/>
            <w:gridSpan w:val="3"/>
            <w:noWrap w:val="0"/>
            <w:vAlign w:val="center"/>
          </w:tcPr>
          <w:p w14:paraId="192CF8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说明</w:t>
            </w:r>
          </w:p>
        </w:tc>
        <w:tc>
          <w:tcPr>
            <w:tcW w:w="6430" w:type="dxa"/>
            <w:noWrap w:val="0"/>
            <w:vAlign w:val="center"/>
          </w:tcPr>
          <w:p w14:paraId="5118C4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打“★”号条款为实质性条款，若有任何一条负偏离或不满足则导致投标（响应）无效。</w:t>
            </w:r>
          </w:p>
          <w:p w14:paraId="642289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打“▲”号条款为重要参数（如有），若有部分“▲”条款未响应或不满足，将根据评审要求影响其得分，但不作为无效投标（响应）条款。</w:t>
            </w:r>
          </w:p>
        </w:tc>
      </w:tr>
    </w:tbl>
    <w:p w14:paraId="58F9DA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32"/>
          <w:szCs w:val="32"/>
        </w:rPr>
      </w:pPr>
      <w:bookmarkStart w:id="471" w:name="_Toc4773"/>
    </w:p>
    <w:p w14:paraId="107B78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24"/>
          <w:szCs w:val="24"/>
        </w:rPr>
      </w:pPr>
      <w:r>
        <w:rPr>
          <w:rFonts w:hint="eastAsia" w:ascii="宋体" w:hAnsi="宋体" w:eastAsia="宋体" w:cs="宋体"/>
          <w:sz w:val="32"/>
          <w:szCs w:val="32"/>
        </w:rPr>
        <w:t>第</w:t>
      </w:r>
      <w:r>
        <w:rPr>
          <w:rFonts w:hint="eastAsia" w:ascii="宋体" w:hAnsi="宋体" w:eastAsia="宋体" w:cs="宋体"/>
          <w:sz w:val="32"/>
          <w:szCs w:val="32"/>
          <w:lang w:val="en-US" w:eastAsia="zh-CN"/>
        </w:rPr>
        <w:t>六</w:t>
      </w:r>
      <w:r>
        <w:rPr>
          <w:rFonts w:hint="eastAsia" w:ascii="宋体" w:hAnsi="宋体" w:eastAsia="宋体" w:cs="宋体"/>
          <w:sz w:val="32"/>
          <w:szCs w:val="32"/>
        </w:rPr>
        <w:t>章 评标方法和标准</w:t>
      </w:r>
      <w:bookmarkEnd w:id="471"/>
    </w:p>
    <w:p w14:paraId="3FB3A048">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本项目将按照招标文件第一章</w:t>
      </w:r>
      <w:r>
        <w:rPr>
          <w:rFonts w:hint="eastAsia" w:asciiTheme="minorEastAsia" w:hAnsiTheme="minorEastAsia" w:eastAsiaTheme="minorEastAsia" w:cstheme="minorEastAsia"/>
          <w:sz w:val="24"/>
          <w:szCs w:val="24"/>
          <w:lang w:val="en-US" w:eastAsia="zh-CN"/>
        </w:rPr>
        <w:t>投标人</w:t>
      </w:r>
      <w:r>
        <w:rPr>
          <w:rFonts w:hint="default" w:ascii="宋体" w:hAnsi="宋体" w:eastAsia="宋体" w:cs="宋体"/>
          <w:sz w:val="24"/>
          <w:szCs w:val="24"/>
          <w:lang w:val="en-US" w:eastAsia="zh-CN"/>
        </w:rPr>
        <w:t>须知中“五、开标及评标”</w:t>
      </w:r>
      <w:r>
        <w:rPr>
          <w:rFonts w:hint="eastAsia" w:cs="宋体"/>
          <w:sz w:val="24"/>
          <w:szCs w:val="24"/>
          <w:lang w:val="en-US" w:eastAsia="zh-CN"/>
        </w:rPr>
        <w:t>、</w:t>
      </w:r>
      <w:r>
        <w:rPr>
          <w:rFonts w:hint="default" w:ascii="宋体" w:hAnsi="宋体" w:eastAsia="宋体" w:cs="宋体"/>
          <w:sz w:val="24"/>
          <w:szCs w:val="24"/>
          <w:lang w:val="en-US" w:eastAsia="zh-CN"/>
        </w:rPr>
        <w:t>“六</w:t>
      </w:r>
      <w:r>
        <w:rPr>
          <w:rFonts w:hint="eastAsia" w:cs="宋体"/>
          <w:sz w:val="24"/>
          <w:szCs w:val="24"/>
          <w:lang w:val="en-US" w:eastAsia="zh-CN"/>
        </w:rPr>
        <w:t>、</w:t>
      </w:r>
      <w:r>
        <w:rPr>
          <w:rFonts w:hint="default" w:ascii="宋体" w:hAnsi="宋体" w:eastAsia="宋体" w:cs="宋体"/>
          <w:sz w:val="24"/>
          <w:szCs w:val="24"/>
          <w:lang w:val="en-US" w:eastAsia="zh-CN"/>
        </w:rPr>
        <w:t>确定中标”及本章的规定评标。</w:t>
      </w:r>
    </w:p>
    <w:p w14:paraId="5147DCEA">
      <w:pPr>
        <w:pStyle w:val="9"/>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一、项目基本情况</w:t>
      </w:r>
    </w:p>
    <w:p w14:paraId="783865D1">
      <w:pPr>
        <w:pStyle w:val="9"/>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项目名称：喀什地区维吾尔医医院中药（维吾尔药）饮片采购项目</w:t>
      </w:r>
      <w:r>
        <w:rPr>
          <w:rFonts w:hint="eastAsia" w:ascii="宋体" w:hAnsi="宋体" w:eastAsia="宋体" w:cs="宋体"/>
          <w:sz w:val="24"/>
          <w:szCs w:val="24"/>
          <w:lang w:val="en-US" w:eastAsia="zh-CN"/>
        </w:rPr>
        <w:t>二次</w:t>
      </w:r>
    </w:p>
    <w:p w14:paraId="110AF9FA">
      <w:pPr>
        <w:pStyle w:val="9"/>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地点：https://www.zcygov.cn在线投标</w:t>
      </w:r>
    </w:p>
    <w:p w14:paraId="5D78D599">
      <w:pPr>
        <w:pStyle w:val="9"/>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采购方式：公开招标</w:t>
      </w:r>
    </w:p>
    <w:p w14:paraId="7B93BA76">
      <w:pPr>
        <w:pStyle w:val="9"/>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评标办法：综合评分法</w:t>
      </w:r>
    </w:p>
    <w:p w14:paraId="019C3621">
      <w:pPr>
        <w:pStyle w:val="9"/>
        <w:numPr>
          <w:ilvl w:val="0"/>
          <w:numId w:val="0"/>
        </w:numPr>
        <w:spacing w:before="135" w:line="360" w:lineRule="auto"/>
        <w:ind w:left="239" w:leftChars="114"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是指投标文件满足招标文件全部实质性要求且按评审因素的量化指标评审得分最高的供应商为中标候选单位的评审方法。</w:t>
      </w:r>
    </w:p>
    <w:p w14:paraId="3BD615E8">
      <w:pPr>
        <w:pStyle w:val="9"/>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二、拒绝接收投标文件的情形</w:t>
      </w:r>
    </w:p>
    <w:p w14:paraId="36D0E169">
      <w:pPr>
        <w:pStyle w:val="9"/>
        <w:numPr>
          <w:ilvl w:val="0"/>
          <w:numId w:val="0"/>
        </w:numPr>
        <w:spacing w:before="135" w:line="360" w:lineRule="auto"/>
        <w:ind w:left="239" w:leftChars="114"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在递交投标文件截止时间后上传的投标文件的，采购人和采购代理机构将拒绝签收。</w:t>
      </w:r>
    </w:p>
    <w:p w14:paraId="29277A06">
      <w:pPr>
        <w:pStyle w:val="9"/>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三、不得开启投标文件的情形</w:t>
      </w:r>
    </w:p>
    <w:p w14:paraId="7A94EC8F">
      <w:pPr>
        <w:pStyle w:val="9"/>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供应商不足3家的，不得开启投标文件。</w:t>
      </w:r>
    </w:p>
    <w:p w14:paraId="3F3228C5">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四.投标文件无效的情形：</w:t>
      </w:r>
    </w:p>
    <w:p w14:paraId="5830AA67">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1.采购人或采购代理机构将在投标开启前 1 个工作日至递交投标文件截止前查询供应商的信用记录。 供应商存在不良信用记录的，其投标资格将被认定为无效。</w:t>
      </w:r>
    </w:p>
    <w:p w14:paraId="43B4E094">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比较与评价之前，根据本须知的规定，评审委员会要审查每份投标文件是否实质上响应了招标文件的要求。实质上响应的投标应该是与招标文件要求的全部条款、条件和规格相符，没有重大偏离的投标文件。对关键条款的偏离，将被认定为无效。供应商不得通过修正或撤销不符合要求的偏离，从而使其投标成为实质上响应的投标。</w:t>
      </w:r>
    </w:p>
    <w:p w14:paraId="713A7CB3">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3.未按招标文件规定的形式和金额提交投标保证金的；</w:t>
      </w:r>
    </w:p>
    <w:p w14:paraId="7072A642">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4.未按照招标文件规定要求签署、盖章的；</w:t>
      </w:r>
    </w:p>
    <w:p w14:paraId="50D354F7">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5.未满足招标文件中技术条款的实质性要求；</w:t>
      </w:r>
    </w:p>
    <w:p w14:paraId="67E913F5">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6.与其他供应商串通参加投标，或者与采购人串通参加投标； </w:t>
      </w:r>
    </w:p>
    <w:p w14:paraId="07F580EB">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7.属于招标文件规定的其他无效情形；</w:t>
      </w:r>
    </w:p>
    <w:p w14:paraId="4C7FDC39">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8.评审委员会认为供应商的报价明显低于其他通过符合性检查供应商的报价，有可能影响履约的，且供应商未按照规定证明其报价合理性的；</w:t>
      </w:r>
    </w:p>
    <w:p w14:paraId="4FCBDC58">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9.投标文件含有采购人不能接受的附加条件的；</w:t>
      </w:r>
    </w:p>
    <w:p w14:paraId="4E37AABF">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10.不符合法规和招标文件中规定的其他实质性要求的。</w:t>
      </w:r>
    </w:p>
    <w:p w14:paraId="16B9FE53">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五、投标文件的开启</w:t>
      </w:r>
    </w:p>
    <w:p w14:paraId="28492C32">
      <w:pPr>
        <w:pStyle w:val="9"/>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w:t>
      </w:r>
    </w:p>
    <w:p w14:paraId="0D8D495D">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开标在招标文件确定的提交投标文件截止时间后进行。开标由采购代理主持,供应商采用电子投标的供应商应委派代表参加电子投标会议。</w:t>
      </w:r>
    </w:p>
    <w:p w14:paraId="37E58F1B">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六、项目评审专家：</w:t>
      </w:r>
    </w:p>
    <w:p w14:paraId="3819EC66">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按照《中华人民共和国政府采购法》、《中华人民共和国政府采购法实施条例》、中华人民共和国财政部令第87号《政府采购货物和服务招标投标管理办法》及本项目本级和上级财政部门的有关规定依法组建的评标委员会，负责本项目评标工作。本项目评标委员会由5人组成（依法从政采云平台专家库随机抽取4名专家，采购人代表1名）</w:t>
      </w:r>
    </w:p>
    <w:p w14:paraId="17386F85">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评审专家要求：</w:t>
      </w:r>
    </w:p>
    <w:p w14:paraId="3B2E42A7">
      <w:pPr>
        <w:pStyle w:val="9"/>
        <w:numPr>
          <w:ilvl w:val="0"/>
          <w:numId w:val="0"/>
        </w:numPr>
        <w:spacing w:before="135" w:line="360" w:lineRule="auto"/>
        <w:ind w:leftChars="5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1.组织评标委员会推选评标组长，采购人代表不得担任组长；</w:t>
      </w:r>
    </w:p>
    <w:p w14:paraId="4ED61C26">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2.在评标期间采取必要的通讯管理措施，保证评标活动不受外界干扰，将手机关闭或调成静音交友现场项目监督人员统一保管；</w:t>
      </w:r>
    </w:p>
    <w:p w14:paraId="2A927355">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3.审查、评价投标文件是否符合招标文件的商务、技术等实质性要求；</w:t>
      </w:r>
    </w:p>
    <w:p w14:paraId="379F2CB8">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4.要求投标人对投标文件有关事项作出澄清或者说明； </w:t>
      </w:r>
    </w:p>
    <w:p w14:paraId="5592F5BA">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5.对投标文件进行比较和评价；</w:t>
      </w:r>
    </w:p>
    <w:p w14:paraId="393E5A62">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6.确定中标候选人名单，以及根据采购人委托直接确定中标人；</w:t>
      </w:r>
    </w:p>
    <w:p w14:paraId="4C9B17DF">
      <w:pPr>
        <w:pStyle w:val="9"/>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7.向采购人、采购代理机构或者有关部门报告评标中发现的违法行为。</w:t>
      </w:r>
    </w:p>
    <w:p w14:paraId="68D02FDC">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七、评标</w:t>
      </w:r>
    </w:p>
    <w:p w14:paraId="7F65318F">
      <w:pPr>
        <w:pStyle w:val="9"/>
        <w:numPr>
          <w:ilvl w:val="0"/>
          <w:numId w:val="0"/>
        </w:numPr>
        <w:spacing w:before="135" w:line="360" w:lineRule="auto"/>
        <w:ind w:firstLine="960" w:firstLineChars="4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评标的依据为招标文件和投标文件；</w:t>
      </w:r>
    </w:p>
    <w:p w14:paraId="5F5D4222">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2.</w:t>
      </w:r>
      <w:r>
        <w:rPr>
          <w:rFonts w:hint="default" w:ascii="宋体" w:hAnsi="宋体" w:eastAsia="宋体" w:cs="宋体"/>
          <w:sz w:val="24"/>
          <w:szCs w:val="24"/>
          <w:lang w:val="en-US" w:eastAsia="zh-CN"/>
        </w:rPr>
        <w:t>本项目采用综合评分法：总分100分，其中报价分值</w:t>
      </w:r>
      <w:r>
        <w:rPr>
          <w:rFonts w:hint="eastAsia" w:ascii="宋体" w:hAnsi="宋体" w:eastAsia="宋体" w:cs="宋体"/>
          <w:sz w:val="24"/>
          <w:szCs w:val="24"/>
          <w:lang w:val="en-US" w:eastAsia="zh-CN"/>
        </w:rPr>
        <w:t>30</w:t>
      </w:r>
      <w:r>
        <w:rPr>
          <w:rFonts w:hint="default" w:ascii="宋体" w:hAnsi="宋体" w:eastAsia="宋体" w:cs="宋体"/>
          <w:sz w:val="24"/>
          <w:szCs w:val="24"/>
          <w:lang w:val="en-US" w:eastAsia="zh-CN"/>
        </w:rPr>
        <w:t>分，商务及技术部分得分</w:t>
      </w:r>
      <w:r>
        <w:rPr>
          <w:rFonts w:hint="eastAsia" w:ascii="宋体" w:hAnsi="宋体" w:eastAsia="宋体" w:cs="宋体"/>
          <w:sz w:val="24"/>
          <w:szCs w:val="24"/>
          <w:lang w:val="en-US" w:eastAsia="zh-CN"/>
        </w:rPr>
        <w:t>70</w:t>
      </w:r>
      <w:r>
        <w:rPr>
          <w:rFonts w:hint="default" w:ascii="宋体" w:hAnsi="宋体" w:eastAsia="宋体" w:cs="宋体"/>
          <w:sz w:val="24"/>
          <w:szCs w:val="24"/>
          <w:lang w:val="en-US" w:eastAsia="zh-CN"/>
        </w:rPr>
        <w:t>分。</w:t>
      </w:r>
    </w:p>
    <w:p w14:paraId="4DB4FCF7">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3.</w:t>
      </w:r>
      <w:r>
        <w:rPr>
          <w:rFonts w:hint="default" w:ascii="宋体" w:hAnsi="宋体" w:eastAsia="宋体" w:cs="宋体"/>
          <w:sz w:val="24"/>
          <w:szCs w:val="24"/>
          <w:lang w:val="en-US" w:eastAsia="zh-CN"/>
        </w:rPr>
        <w:t>评审委员会成员到齐后，推选评审委员会组长。依据招标文件和投标文件进行认真查阅。审查响文件是否完整，是否有计算错误，要求的投标保证金是否提供，文件是否恰当地签署；</w:t>
      </w:r>
    </w:p>
    <w:p w14:paraId="5E8252E0">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4.</w:t>
      </w:r>
      <w:r>
        <w:rPr>
          <w:rFonts w:hint="default" w:ascii="宋体" w:hAnsi="宋体" w:eastAsia="宋体" w:cs="宋体"/>
          <w:sz w:val="24"/>
          <w:szCs w:val="24"/>
          <w:lang w:val="en-US" w:eastAsia="zh-CN"/>
        </w:rPr>
        <w:t>在对投标文件进行详细评估前，依据投标方提供的资格证明文件审查投标方的财务、技术和服务能力。如果确定投标方无资格履行合同，其投标将被拒绝；</w:t>
      </w:r>
    </w:p>
    <w:p w14:paraId="5A0562E9">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cs="宋体"/>
          <w:sz w:val="24"/>
          <w:szCs w:val="24"/>
          <w:lang w:val="en-US" w:eastAsia="zh-CN"/>
        </w:rPr>
        <w:t>.</w:t>
      </w:r>
      <w:r>
        <w:rPr>
          <w:rFonts w:hint="default" w:ascii="宋体" w:hAnsi="宋体" w:eastAsia="宋体" w:cs="宋体"/>
          <w:sz w:val="24"/>
          <w:szCs w:val="24"/>
          <w:lang w:val="en-US" w:eastAsia="zh-CN"/>
        </w:rPr>
        <w:t>评审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7D80C2A3">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对投标文件的评估和比较： </w:t>
      </w:r>
    </w:p>
    <w:p w14:paraId="42AED62C">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初步评审</w:t>
      </w:r>
    </w:p>
    <w:p w14:paraId="3414BD33">
      <w:pPr>
        <w:pStyle w:val="9"/>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资格性检查</w:t>
      </w:r>
    </w:p>
    <w:p w14:paraId="50D80538">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依据法律法规和招标文件的规定，资格审查小组对投标文件中的资格证明进行审查，以确定投标人是否具备投标资格。</w:t>
      </w:r>
    </w:p>
    <w:p w14:paraId="4C16327B">
      <w:pPr>
        <w:pStyle w:val="9"/>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投标文件的符合性审查</w:t>
      </w:r>
    </w:p>
    <w:p w14:paraId="0CF66343">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 行审查，以确定是否对招标文件的实质性要求作出响应。</w:t>
      </w:r>
    </w:p>
    <w:p w14:paraId="2D7CC0BC">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详细评审</w:t>
      </w:r>
    </w:p>
    <w:p w14:paraId="34D3DE1B">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经初步评审合格的投标文件，评审委员会应当根据本文件确定的评标标准和方法，对其技术和商务部分作进一步的评审和比较。</w:t>
      </w:r>
    </w:p>
    <w:p w14:paraId="40F284EF">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采用综合评分法，即投标文件满足招标文件全部实质性要求，且按照评审因素的量化指标评审得分最高的投标人为中标候选人。</w:t>
      </w:r>
    </w:p>
    <w:p w14:paraId="658F9B6B">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评标的保密性</w:t>
      </w:r>
    </w:p>
    <w:p w14:paraId="6553506D">
      <w:pPr>
        <w:pStyle w:val="9"/>
        <w:numPr>
          <w:ilvl w:val="0"/>
          <w:numId w:val="18"/>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后，直到授予投标商合同为止，凡属于审查、澄清、评价和比较的有关资料以及授标建议等评审委员会成员或参与评标的有关工作人员均不得向投标商或其他无关人员透露，违者给予警告、取消担任评审委员会成员的资格，不得再参加任何项目的评标。</w:t>
      </w:r>
    </w:p>
    <w:p w14:paraId="64D53E44">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投标商在评标过程中，所进行的力图影响评标结果的不符合《政府采购法》及本次项目中有关规定的活动，将被取消中标资格。</w:t>
      </w:r>
    </w:p>
    <w:p w14:paraId="15EB3644">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八、定标</w:t>
      </w:r>
    </w:p>
    <w:p w14:paraId="2FC95802">
      <w:pPr>
        <w:pStyle w:val="9"/>
        <w:numPr>
          <w:ilvl w:val="0"/>
          <w:numId w:val="0"/>
        </w:numPr>
        <w:spacing w:before="135" w:line="360" w:lineRule="auto"/>
        <w:ind w:firstLine="480" w:firstLineChars="2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1.定标标准</w:t>
      </w:r>
    </w:p>
    <w:p w14:paraId="1C552977">
      <w:pPr>
        <w:pStyle w:val="9"/>
        <w:numPr>
          <w:ilvl w:val="0"/>
          <w:numId w:val="0"/>
        </w:numPr>
        <w:spacing w:before="135" w:line="360" w:lineRule="auto"/>
        <w:ind w:left="479" w:leftChars="228"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（一）原则：招标人将依据本项目根据评审委员会推荐的中标候选人名单，按顺序确定中标人。</w:t>
      </w:r>
    </w:p>
    <w:p w14:paraId="436FC8A3">
      <w:pPr>
        <w:pStyle w:val="9"/>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（二）程序：</w:t>
      </w:r>
    </w:p>
    <w:p w14:paraId="7980F76A">
      <w:pPr>
        <w:pStyle w:val="9"/>
        <w:numPr>
          <w:ilvl w:val="0"/>
          <w:numId w:val="0"/>
        </w:numPr>
        <w:spacing w:before="135" w:line="360" w:lineRule="auto"/>
        <w:ind w:firstLine="960" w:firstLineChars="4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采购代理机构在评审结束后 2 个工作日内将评审报告送采购人确认。</w:t>
      </w:r>
    </w:p>
    <w:p w14:paraId="4992D91B">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 xml:space="preserve">采购人应当在收到评审报告后 5 个工作日内，从评审报告提出的中标候选单位中，按照排序由高到低的原则确定中标单位，也可以书面授权评审委员会直接确定中标单位。采购人逾期未确定中标单位且不提出异议的，视为确定评审报告提出的排序第一的供应商为中标单位。采购人或者采购代理机构应当在中标单位确定后2个工作日内， 在省级以上财政部门指定的政府采购信息发布媒体上公告成交结果，同时向中标单位发出成交通知书，并将招标文件随成交结果同时公告。  </w:t>
      </w:r>
    </w:p>
    <w:p w14:paraId="0BD07030">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采购人与中标单位应当在成交通知书发出之日起 30 日内，按照招标文件确定的合同文本以及采购标的、规格型号、采购金额、采购数量、技术和服务要求等事项签订政府采购合同。</w:t>
      </w:r>
    </w:p>
    <w:p w14:paraId="36AE457F">
      <w:pPr>
        <w:pStyle w:val="9"/>
        <w:numPr>
          <w:ilvl w:val="0"/>
          <w:numId w:val="0"/>
        </w:numPr>
        <w:spacing w:before="135" w:line="360" w:lineRule="auto"/>
        <w:ind w:leftChars="428"/>
        <w:outlineLvl w:val="9"/>
        <w:rPr>
          <w:rFonts w:hint="default" w:ascii="宋体" w:hAnsi="宋体" w:eastAsia="宋体" w:cs="宋体"/>
          <w:sz w:val="24"/>
          <w:szCs w:val="24"/>
          <w:lang w:val="en-US" w:eastAsia="zh-CN"/>
        </w:rPr>
      </w:pPr>
      <w:r>
        <w:rPr>
          <w:rFonts w:hint="eastAsia" w:cs="宋体"/>
          <w:sz w:val="24"/>
          <w:szCs w:val="24"/>
          <w:lang w:val="en-US" w:eastAsia="zh-CN"/>
        </w:rPr>
        <w:t>3.</w:t>
      </w:r>
      <w:r>
        <w:rPr>
          <w:rFonts w:hint="default" w:ascii="宋体" w:hAnsi="宋体" w:eastAsia="宋体" w:cs="宋体"/>
          <w:sz w:val="24"/>
          <w:szCs w:val="24"/>
          <w:lang w:val="en-US" w:eastAsia="zh-CN"/>
        </w:rPr>
        <w:t>采购单位不退回投标人投标文件和其他资料。</w:t>
      </w:r>
    </w:p>
    <w:p w14:paraId="4AF64E57">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中标候选人并列式时的处理方式：</w:t>
      </w:r>
    </w:p>
    <w:p w14:paraId="16E84FD5">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用综合评标法，则：确定满足招标文件全部实质性要求，且按照评审因素的量化指标评审得分最高的投标人为排名第一的中标候选人。评审得分相同的，按投标报价由低到高顺序排列。如报价相同则技术部分得分最高优先。</w:t>
      </w:r>
    </w:p>
    <w:p w14:paraId="73F19286">
      <w:pPr>
        <w:pStyle w:val="9"/>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九、中小企业落实政策</w:t>
      </w:r>
    </w:p>
    <w:p w14:paraId="5519F754">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潜在投标企业属于中小微企业的，请在投标文件中提供“ 中小企业声明函 ”，如果未提供或提供虛假的“ 中小企业声明函 ”，投标企业将承担由此造成的一切不利后果。</w:t>
      </w:r>
    </w:p>
    <w:p w14:paraId="22D42207">
      <w:pPr>
        <w:pStyle w:val="9"/>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1.根据《政府采购促进中小企业发展管理办法》（财库[2020]46 号）、《财政部司法部关于政府采购支持监狱企业发展有关问题的通知》（财库〔2014〕68 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w:t>
      </w:r>
      <w:r>
        <w:rPr>
          <w:rFonts w:hint="eastAsia" w:ascii="宋体" w:hAnsi="宋体" w:eastAsia="宋体" w:cs="宋体"/>
          <w:sz w:val="24"/>
          <w:szCs w:val="24"/>
          <w:lang w:val="en-US" w:eastAsia="zh-CN"/>
        </w:rPr>
        <w:t>小微企业</w:t>
      </w:r>
      <w:r>
        <w:rPr>
          <w:rFonts w:hint="default" w:ascii="宋体" w:hAnsi="宋体" w:eastAsia="宋体" w:cs="宋体"/>
          <w:sz w:val="24"/>
          <w:szCs w:val="24"/>
          <w:lang w:val="en-US" w:eastAsia="zh-CN"/>
        </w:rPr>
        <w:t>，其投标报价扣除</w:t>
      </w:r>
      <w:r>
        <w:rPr>
          <w:rFonts w:hint="eastAsia" w:cs="宋体"/>
          <w:sz w:val="24"/>
          <w:szCs w:val="24"/>
          <w:u w:val="single"/>
          <w:lang w:val="en-US" w:eastAsia="zh-CN"/>
        </w:rPr>
        <w:t xml:space="preserve"> 10 </w:t>
      </w:r>
      <w:r>
        <w:rPr>
          <w:rFonts w:hint="default" w:ascii="宋体" w:hAnsi="宋体" w:eastAsia="宋体" w:cs="宋体"/>
          <w:sz w:val="24"/>
          <w:szCs w:val="24"/>
          <w:lang w:val="en-US" w:eastAsia="zh-CN"/>
        </w:rPr>
        <w:t>%后参与评审。对于同时属于小微企业、监狱企业残疾人福利性单位的，不重复进行投标报价扣除。</w:t>
      </w:r>
    </w:p>
    <w:p w14:paraId="6C263C71">
      <w:pPr>
        <w:pStyle w:val="9"/>
        <w:numPr>
          <w:ilvl w:val="0"/>
          <w:numId w:val="0"/>
        </w:numPr>
        <w:spacing w:before="135" w:line="360" w:lineRule="auto"/>
        <w:ind w:left="718" w:leftChars="342"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2.联合协议中约定，小型、微型企业和监狱企业的协议合同金额占到联合体协议合同总金额30%以上的，可给予联合体</w:t>
      </w:r>
      <w:r>
        <w:rPr>
          <w:rFonts w:hint="default" w:ascii="宋体" w:hAnsi="宋体" w:eastAsia="宋体" w:cs="宋体"/>
          <w:sz w:val="24"/>
          <w:szCs w:val="24"/>
          <w:u w:val="single"/>
          <w:lang w:val="en-US" w:eastAsia="zh-CN"/>
        </w:rPr>
        <w:t xml:space="preserve">  /  </w:t>
      </w:r>
      <w:r>
        <w:rPr>
          <w:rFonts w:hint="default" w:ascii="宋体" w:hAnsi="宋体" w:eastAsia="宋体" w:cs="宋体"/>
          <w:sz w:val="24"/>
          <w:szCs w:val="24"/>
          <w:lang w:val="en-US" w:eastAsia="zh-CN"/>
        </w:rPr>
        <w:t>%的价格扣除。联合体各方均为小型、微型企业和监狱企业的，联合体视同为小型、微型企业和监狱企业。</w:t>
      </w:r>
    </w:p>
    <w:p w14:paraId="657775C9">
      <w:pPr>
        <w:pStyle w:val="9"/>
        <w:numPr>
          <w:ilvl w:val="0"/>
          <w:numId w:val="0"/>
        </w:numPr>
        <w:spacing w:before="135" w:line="360" w:lineRule="auto"/>
        <w:jc w:val="center"/>
        <w:rPr>
          <w:rFonts w:hint="default" w:ascii="宋体" w:hAnsi="宋体" w:eastAsia="宋体" w:cs="宋体"/>
          <w:sz w:val="36"/>
          <w:szCs w:val="36"/>
          <w:lang w:val="en-US" w:eastAsia="zh-CN"/>
        </w:rPr>
      </w:pPr>
      <w:r>
        <w:rPr>
          <w:rFonts w:hint="default" w:ascii="宋体" w:hAnsi="宋体" w:eastAsia="宋体" w:cs="宋体"/>
          <w:sz w:val="36"/>
          <w:szCs w:val="36"/>
          <w:lang w:val="en-US" w:eastAsia="zh-CN"/>
        </w:rPr>
        <w:t>资格性检查</w:t>
      </w:r>
    </w:p>
    <w:tbl>
      <w:tblPr>
        <w:tblStyle w:val="31"/>
        <w:tblpPr w:leftFromText="180" w:rightFromText="180" w:vertAnchor="text" w:horzAnchor="page" w:tblpX="1216" w:tblpY="242"/>
        <w:tblOverlap w:val="never"/>
        <w:tblW w:w="99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723"/>
        <w:gridCol w:w="6056"/>
        <w:gridCol w:w="1089"/>
        <w:gridCol w:w="1123"/>
      </w:tblGrid>
      <w:tr w14:paraId="20A66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restart"/>
            <w:tcBorders>
              <w:bottom w:val="nil"/>
            </w:tcBorders>
            <w:vAlign w:val="center"/>
          </w:tcPr>
          <w:p w14:paraId="6A790E26">
            <w:pPr>
              <w:spacing w:before="65" w:line="228" w:lineRule="auto"/>
              <w:jc w:val="center"/>
              <w:outlineLvl w:val="0"/>
              <w:rPr>
                <w:rFonts w:hint="default" w:ascii="宋体" w:hAnsi="宋体" w:eastAsia="宋体" w:cs="宋体"/>
                <w:snapToGrid w:val="0"/>
                <w:color w:val="000000"/>
                <w:kern w:val="0"/>
                <w:sz w:val="24"/>
                <w:szCs w:val="24"/>
                <w:lang w:val="en-US" w:eastAsia="zh-CN" w:bidi="ar-SA"/>
              </w:rPr>
            </w:pPr>
            <w:bookmarkStart w:id="472" w:name="_Toc2085"/>
            <w:bookmarkStart w:id="473" w:name="_Toc5546"/>
            <w:bookmarkStart w:id="474" w:name="_Toc29732"/>
            <w:r>
              <w:rPr>
                <w:rFonts w:hint="default" w:ascii="宋体" w:hAnsi="宋体" w:eastAsia="宋体" w:cs="宋体"/>
                <w:snapToGrid w:val="0"/>
                <w:color w:val="000000"/>
                <w:kern w:val="0"/>
                <w:sz w:val="24"/>
                <w:szCs w:val="24"/>
                <w:lang w:val="en-US" w:eastAsia="zh-CN" w:bidi="ar-SA"/>
              </w:rPr>
              <w:t>项</w:t>
            </w:r>
            <w:r>
              <w:rPr>
                <w:rFonts w:hint="eastAsia" w:ascii="宋体" w:hAnsi="宋体" w:eastAsia="宋体" w:cs="宋体"/>
                <w:snapToGrid w:val="0"/>
                <w:color w:val="000000"/>
                <w:kern w:val="0"/>
                <w:sz w:val="24"/>
                <w:szCs w:val="24"/>
                <w:lang w:val="en-US" w:eastAsia="zh-CN" w:bidi="ar-SA"/>
              </w:rPr>
              <w:t xml:space="preserve"> </w:t>
            </w:r>
            <w:r>
              <w:rPr>
                <w:rFonts w:hint="default" w:ascii="宋体" w:hAnsi="宋体" w:eastAsia="宋体" w:cs="宋体"/>
                <w:snapToGrid w:val="0"/>
                <w:color w:val="000000"/>
                <w:kern w:val="0"/>
                <w:sz w:val="24"/>
                <w:szCs w:val="24"/>
                <w:lang w:val="en-US" w:eastAsia="zh-CN" w:bidi="ar-SA"/>
              </w:rPr>
              <w:t>目</w:t>
            </w:r>
            <w:bookmarkEnd w:id="472"/>
            <w:bookmarkEnd w:id="473"/>
            <w:bookmarkEnd w:id="474"/>
          </w:p>
        </w:tc>
        <w:tc>
          <w:tcPr>
            <w:tcW w:w="6779" w:type="dxa"/>
            <w:gridSpan w:val="2"/>
            <w:vMerge w:val="restart"/>
            <w:tcBorders>
              <w:bottom w:val="nil"/>
            </w:tcBorders>
            <w:vAlign w:val="center"/>
          </w:tcPr>
          <w:p w14:paraId="1FDBAF97">
            <w:pPr>
              <w:spacing w:before="91" w:line="220" w:lineRule="auto"/>
              <w:jc w:val="center"/>
              <w:outlineLvl w:val="0"/>
              <w:rPr>
                <w:rFonts w:hint="default" w:ascii="宋体" w:hAnsi="宋体" w:eastAsia="宋体" w:cs="宋体"/>
                <w:snapToGrid w:val="0"/>
                <w:color w:val="000000"/>
                <w:kern w:val="0"/>
                <w:sz w:val="24"/>
                <w:szCs w:val="24"/>
                <w:lang w:val="en-US" w:eastAsia="zh-CN" w:bidi="ar-SA"/>
              </w:rPr>
            </w:pPr>
            <w:bookmarkStart w:id="475" w:name="_Toc9657"/>
            <w:bookmarkStart w:id="476" w:name="_Toc31091"/>
            <w:bookmarkStart w:id="477" w:name="_Toc31545"/>
            <w:r>
              <w:rPr>
                <w:rFonts w:hint="default" w:ascii="宋体" w:hAnsi="宋体" w:eastAsia="宋体" w:cs="宋体"/>
                <w:snapToGrid w:val="0"/>
                <w:color w:val="000000"/>
                <w:kern w:val="0"/>
                <w:sz w:val="24"/>
                <w:szCs w:val="24"/>
                <w:lang w:val="en-US" w:eastAsia="zh-CN" w:bidi="ar-SA"/>
              </w:rPr>
              <w:t>评审内容</w:t>
            </w:r>
            <w:bookmarkEnd w:id="475"/>
            <w:bookmarkEnd w:id="476"/>
            <w:bookmarkEnd w:id="477"/>
          </w:p>
        </w:tc>
        <w:tc>
          <w:tcPr>
            <w:tcW w:w="2212" w:type="dxa"/>
            <w:gridSpan w:val="2"/>
            <w:vAlign w:val="top"/>
          </w:tcPr>
          <w:p w14:paraId="6C5B3860">
            <w:pPr>
              <w:spacing w:before="115" w:line="221" w:lineRule="auto"/>
              <w:ind w:firstLine="240" w:firstLineChars="100"/>
              <w:jc w:val="center"/>
              <w:outlineLvl w:val="0"/>
              <w:rPr>
                <w:rFonts w:hint="default" w:ascii="宋体" w:hAnsi="宋体" w:eastAsia="宋体" w:cs="宋体"/>
                <w:snapToGrid w:val="0"/>
                <w:color w:val="000000"/>
                <w:kern w:val="0"/>
                <w:sz w:val="24"/>
                <w:szCs w:val="24"/>
                <w:lang w:val="en-US" w:eastAsia="zh-CN" w:bidi="ar-SA"/>
              </w:rPr>
            </w:pPr>
            <w:bookmarkStart w:id="478" w:name="_Toc20245"/>
            <w:bookmarkStart w:id="479" w:name="_Toc13866"/>
            <w:bookmarkStart w:id="480" w:name="_Toc8448"/>
            <w:r>
              <w:rPr>
                <w:rFonts w:hint="default" w:ascii="宋体" w:hAnsi="宋体" w:eastAsia="宋体" w:cs="宋体"/>
                <w:snapToGrid w:val="0"/>
                <w:color w:val="000000"/>
                <w:kern w:val="0"/>
                <w:sz w:val="24"/>
                <w:szCs w:val="24"/>
                <w:lang w:val="en-US" w:eastAsia="zh-CN" w:bidi="ar-SA"/>
              </w:rPr>
              <w:t>评审</w:t>
            </w:r>
            <w:bookmarkEnd w:id="478"/>
            <w:bookmarkStart w:id="481" w:name="_Toc2089"/>
            <w:r>
              <w:rPr>
                <w:rFonts w:hint="default" w:ascii="宋体" w:hAnsi="宋体" w:eastAsia="宋体" w:cs="宋体"/>
                <w:snapToGrid w:val="0"/>
                <w:color w:val="000000"/>
                <w:kern w:val="0"/>
                <w:sz w:val="24"/>
                <w:szCs w:val="24"/>
                <w:lang w:val="en-US" w:eastAsia="zh-CN" w:bidi="ar-SA"/>
              </w:rPr>
              <w:t>意见</w:t>
            </w:r>
            <w:bookmarkEnd w:id="479"/>
            <w:bookmarkEnd w:id="480"/>
            <w:bookmarkEnd w:id="481"/>
          </w:p>
        </w:tc>
      </w:tr>
      <w:tr w14:paraId="40D6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tcBorders>
              <w:top w:val="nil"/>
            </w:tcBorders>
            <w:vAlign w:val="top"/>
          </w:tcPr>
          <w:p w14:paraId="5A1328EE">
            <w:pPr>
              <w:pStyle w:val="32"/>
              <w:rPr>
                <w:rFonts w:hint="default" w:ascii="宋体" w:hAnsi="宋体" w:eastAsia="宋体" w:cs="宋体"/>
                <w:snapToGrid w:val="0"/>
                <w:color w:val="000000"/>
                <w:kern w:val="0"/>
                <w:sz w:val="24"/>
                <w:szCs w:val="24"/>
                <w:lang w:val="en-US" w:eastAsia="zh-CN" w:bidi="ar-SA"/>
              </w:rPr>
            </w:pPr>
          </w:p>
        </w:tc>
        <w:tc>
          <w:tcPr>
            <w:tcW w:w="6779" w:type="dxa"/>
            <w:gridSpan w:val="2"/>
            <w:vMerge w:val="continue"/>
            <w:tcBorders>
              <w:top w:val="nil"/>
            </w:tcBorders>
            <w:vAlign w:val="top"/>
          </w:tcPr>
          <w:p w14:paraId="10C66B13">
            <w:pPr>
              <w:pStyle w:val="32"/>
              <w:rPr>
                <w:rFonts w:hint="default" w:ascii="宋体" w:hAnsi="宋体" w:eastAsia="宋体" w:cs="宋体"/>
                <w:snapToGrid w:val="0"/>
                <w:color w:val="000000"/>
                <w:kern w:val="0"/>
                <w:sz w:val="24"/>
                <w:szCs w:val="24"/>
                <w:lang w:val="en-US" w:eastAsia="zh-CN" w:bidi="ar-SA"/>
              </w:rPr>
            </w:pPr>
          </w:p>
        </w:tc>
        <w:tc>
          <w:tcPr>
            <w:tcW w:w="1089" w:type="dxa"/>
            <w:vAlign w:val="top"/>
          </w:tcPr>
          <w:p w14:paraId="71438602">
            <w:pPr>
              <w:spacing w:before="91" w:line="220" w:lineRule="auto"/>
              <w:jc w:val="center"/>
              <w:outlineLvl w:val="0"/>
              <w:rPr>
                <w:rFonts w:hint="default" w:ascii="宋体" w:hAnsi="宋体" w:eastAsia="宋体" w:cs="宋体"/>
                <w:snapToGrid w:val="0"/>
                <w:color w:val="000000"/>
                <w:kern w:val="0"/>
                <w:sz w:val="24"/>
                <w:szCs w:val="24"/>
                <w:lang w:val="en-US" w:eastAsia="zh-CN" w:bidi="ar-SA"/>
              </w:rPr>
            </w:pPr>
            <w:bookmarkStart w:id="482" w:name="_Toc19238"/>
            <w:bookmarkStart w:id="483" w:name="_Toc9550"/>
            <w:bookmarkStart w:id="484" w:name="_Toc16372"/>
            <w:r>
              <w:rPr>
                <w:rFonts w:hint="default" w:ascii="宋体" w:hAnsi="宋体" w:eastAsia="宋体" w:cs="宋体"/>
                <w:snapToGrid w:val="0"/>
                <w:color w:val="000000"/>
                <w:kern w:val="0"/>
                <w:sz w:val="24"/>
                <w:szCs w:val="24"/>
                <w:lang w:val="en-US" w:eastAsia="zh-CN" w:bidi="ar-SA"/>
              </w:rPr>
              <w:t>是</w:t>
            </w:r>
            <w:bookmarkEnd w:id="482"/>
            <w:bookmarkEnd w:id="483"/>
            <w:bookmarkEnd w:id="484"/>
          </w:p>
        </w:tc>
        <w:tc>
          <w:tcPr>
            <w:tcW w:w="1123" w:type="dxa"/>
            <w:vAlign w:val="top"/>
          </w:tcPr>
          <w:p w14:paraId="48291B30">
            <w:pPr>
              <w:spacing w:before="91" w:line="220" w:lineRule="auto"/>
              <w:jc w:val="center"/>
              <w:outlineLvl w:val="0"/>
              <w:rPr>
                <w:rFonts w:hint="default" w:ascii="宋体" w:hAnsi="宋体" w:eastAsia="宋体" w:cs="宋体"/>
                <w:snapToGrid w:val="0"/>
                <w:color w:val="000000"/>
                <w:kern w:val="0"/>
                <w:sz w:val="24"/>
                <w:szCs w:val="24"/>
                <w:lang w:val="en-US" w:eastAsia="zh-CN" w:bidi="ar-SA"/>
              </w:rPr>
            </w:pPr>
            <w:bookmarkStart w:id="485" w:name="_Toc20083"/>
            <w:bookmarkStart w:id="486" w:name="_Toc12592"/>
            <w:bookmarkStart w:id="487" w:name="_Toc3191"/>
            <w:r>
              <w:rPr>
                <w:rFonts w:hint="default" w:ascii="宋体" w:hAnsi="宋体" w:eastAsia="宋体" w:cs="宋体"/>
                <w:snapToGrid w:val="0"/>
                <w:color w:val="000000"/>
                <w:kern w:val="0"/>
                <w:sz w:val="24"/>
                <w:szCs w:val="24"/>
                <w:lang w:val="en-US" w:eastAsia="zh-CN" w:bidi="ar-SA"/>
              </w:rPr>
              <w:t>否</w:t>
            </w:r>
            <w:bookmarkEnd w:id="485"/>
            <w:bookmarkEnd w:id="486"/>
            <w:bookmarkEnd w:id="487"/>
          </w:p>
        </w:tc>
      </w:tr>
      <w:tr w14:paraId="75BC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restart"/>
            <w:vAlign w:val="center"/>
          </w:tcPr>
          <w:p w14:paraId="103E1045">
            <w:pPr>
              <w:spacing w:before="65" w:line="228" w:lineRule="auto"/>
              <w:jc w:val="center"/>
              <w:outlineLvl w:val="0"/>
              <w:rPr>
                <w:rFonts w:ascii="宋体" w:hAnsi="宋体" w:eastAsia="宋体" w:cs="宋体"/>
                <w:sz w:val="20"/>
                <w:szCs w:val="20"/>
              </w:rPr>
            </w:pPr>
            <w:bookmarkStart w:id="488" w:name="_Toc13922"/>
            <w:bookmarkStart w:id="489" w:name="_Toc23277"/>
            <w:bookmarkStart w:id="490" w:name="_Toc3061"/>
            <w:r>
              <w:rPr>
                <w:rFonts w:ascii="宋体" w:hAnsi="宋体" w:eastAsia="宋体" w:cs="宋体"/>
                <w:spacing w:val="4"/>
                <w:sz w:val="20"/>
                <w:szCs w:val="20"/>
              </w:rPr>
              <w:t>审查标准</w:t>
            </w:r>
            <w:bookmarkEnd w:id="488"/>
            <w:bookmarkEnd w:id="489"/>
            <w:bookmarkEnd w:id="490"/>
          </w:p>
        </w:tc>
        <w:tc>
          <w:tcPr>
            <w:tcW w:w="723" w:type="dxa"/>
            <w:vAlign w:val="center"/>
          </w:tcPr>
          <w:p w14:paraId="16A3D02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056" w:type="dxa"/>
            <w:vAlign w:val="top"/>
          </w:tcPr>
          <w:p w14:paraId="64600539">
            <w:pPr>
              <w:rPr>
                <w:rFonts w:hint="eastAsia" w:asciiTheme="minorEastAsia" w:hAnsiTheme="minorEastAsia" w:eastAsiaTheme="minorEastAsia" w:cstheme="minorEastAsia"/>
              </w:rPr>
            </w:pPr>
            <w:bookmarkStart w:id="491" w:name="_Toc16589"/>
            <w:r>
              <w:rPr>
                <w:rFonts w:hint="eastAsia" w:asciiTheme="minorEastAsia" w:hAnsiTheme="minorEastAsia" w:eastAsiaTheme="minorEastAsia" w:cstheme="minorEastAsia"/>
              </w:rPr>
              <w:t>具备有效的营业执照</w:t>
            </w:r>
            <w:bookmarkEnd w:id="491"/>
          </w:p>
        </w:tc>
        <w:tc>
          <w:tcPr>
            <w:tcW w:w="1089" w:type="dxa"/>
            <w:vAlign w:val="top"/>
          </w:tcPr>
          <w:p w14:paraId="1802882D">
            <w:pPr>
              <w:pStyle w:val="32"/>
              <w:jc w:val="both"/>
            </w:pPr>
          </w:p>
        </w:tc>
        <w:tc>
          <w:tcPr>
            <w:tcW w:w="1123" w:type="dxa"/>
            <w:vAlign w:val="top"/>
          </w:tcPr>
          <w:p w14:paraId="60525EA6">
            <w:pPr>
              <w:pStyle w:val="32"/>
              <w:jc w:val="both"/>
            </w:pPr>
          </w:p>
        </w:tc>
      </w:tr>
      <w:tr w14:paraId="727B1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vAlign w:val="top"/>
          </w:tcPr>
          <w:p w14:paraId="777107A4">
            <w:pPr>
              <w:pStyle w:val="32"/>
              <w:jc w:val="both"/>
            </w:pPr>
          </w:p>
        </w:tc>
        <w:tc>
          <w:tcPr>
            <w:tcW w:w="723" w:type="dxa"/>
            <w:vAlign w:val="center"/>
          </w:tcPr>
          <w:p w14:paraId="1C0A6234">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p>
        </w:tc>
        <w:tc>
          <w:tcPr>
            <w:tcW w:w="6056" w:type="dxa"/>
            <w:vAlign w:val="top"/>
          </w:tcPr>
          <w:p w14:paraId="6DFF2B6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法定代表人身份证明或法定代表人授权委托书及法人身份证</w:t>
            </w:r>
          </w:p>
        </w:tc>
        <w:tc>
          <w:tcPr>
            <w:tcW w:w="1089" w:type="dxa"/>
            <w:vAlign w:val="top"/>
          </w:tcPr>
          <w:p w14:paraId="18529F66">
            <w:pPr>
              <w:pStyle w:val="32"/>
              <w:jc w:val="both"/>
            </w:pPr>
          </w:p>
        </w:tc>
        <w:tc>
          <w:tcPr>
            <w:tcW w:w="1123" w:type="dxa"/>
            <w:vAlign w:val="top"/>
          </w:tcPr>
          <w:p w14:paraId="4870CC3C">
            <w:pPr>
              <w:pStyle w:val="32"/>
              <w:jc w:val="both"/>
            </w:pPr>
          </w:p>
        </w:tc>
      </w:tr>
      <w:tr w14:paraId="6A7A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97" w:type="dxa"/>
            <w:vMerge w:val="continue"/>
            <w:vAlign w:val="top"/>
          </w:tcPr>
          <w:p w14:paraId="419B1570">
            <w:pPr>
              <w:pStyle w:val="32"/>
              <w:jc w:val="both"/>
            </w:pPr>
          </w:p>
        </w:tc>
        <w:tc>
          <w:tcPr>
            <w:tcW w:w="723" w:type="dxa"/>
            <w:vAlign w:val="center"/>
          </w:tcPr>
          <w:p w14:paraId="00636DB6">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p>
        </w:tc>
        <w:tc>
          <w:tcPr>
            <w:tcW w:w="6056" w:type="dxa"/>
            <w:vAlign w:val="top"/>
          </w:tcPr>
          <w:p w14:paraId="739C133E">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特定资格要求：</w:t>
            </w:r>
            <w:r>
              <w:rPr>
                <w:rFonts w:hint="eastAsia" w:asciiTheme="minorEastAsia" w:hAnsiTheme="minorEastAsia" w:eastAsiaTheme="minorEastAsia" w:cstheme="minorEastAsia"/>
              </w:rPr>
              <w:t>投标人是生产企业的须具备《药品生产许可证》（中药饮片）；投标人为经营企业或代理公司的须具备《药品经营许可证》（中药饮片)；</w:t>
            </w:r>
          </w:p>
        </w:tc>
        <w:tc>
          <w:tcPr>
            <w:tcW w:w="1089" w:type="dxa"/>
            <w:vAlign w:val="top"/>
          </w:tcPr>
          <w:p w14:paraId="56A19225">
            <w:pPr>
              <w:pStyle w:val="32"/>
              <w:jc w:val="both"/>
            </w:pPr>
          </w:p>
        </w:tc>
        <w:tc>
          <w:tcPr>
            <w:tcW w:w="1123" w:type="dxa"/>
            <w:vAlign w:val="top"/>
          </w:tcPr>
          <w:p w14:paraId="5989FF6E">
            <w:pPr>
              <w:pStyle w:val="32"/>
              <w:jc w:val="both"/>
            </w:pPr>
          </w:p>
        </w:tc>
      </w:tr>
      <w:tr w14:paraId="56D08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vAlign w:val="top"/>
          </w:tcPr>
          <w:p w14:paraId="3EE9D240">
            <w:pPr>
              <w:pStyle w:val="32"/>
              <w:jc w:val="both"/>
            </w:pPr>
          </w:p>
        </w:tc>
        <w:tc>
          <w:tcPr>
            <w:tcW w:w="723" w:type="dxa"/>
            <w:vAlign w:val="center"/>
          </w:tcPr>
          <w:p w14:paraId="4E2DA72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6056" w:type="dxa"/>
            <w:vAlign w:val="top"/>
          </w:tcPr>
          <w:p w14:paraId="62183D4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2023年或2024年度任意一年财务审计报告（新成立未满一年的新公司提供近三个月内任意一个月的银行资信证明）</w:t>
            </w:r>
          </w:p>
        </w:tc>
        <w:tc>
          <w:tcPr>
            <w:tcW w:w="1089" w:type="dxa"/>
            <w:vAlign w:val="top"/>
          </w:tcPr>
          <w:p w14:paraId="6D5A0436">
            <w:pPr>
              <w:pStyle w:val="32"/>
              <w:jc w:val="both"/>
            </w:pPr>
          </w:p>
        </w:tc>
        <w:tc>
          <w:tcPr>
            <w:tcW w:w="1123" w:type="dxa"/>
            <w:vAlign w:val="top"/>
          </w:tcPr>
          <w:p w14:paraId="0A2F08B7">
            <w:pPr>
              <w:pStyle w:val="32"/>
              <w:jc w:val="both"/>
            </w:pPr>
          </w:p>
        </w:tc>
      </w:tr>
      <w:tr w14:paraId="5EA9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 w:hRule="atLeast"/>
        </w:trPr>
        <w:tc>
          <w:tcPr>
            <w:tcW w:w="997" w:type="dxa"/>
            <w:vMerge w:val="continue"/>
            <w:vAlign w:val="top"/>
          </w:tcPr>
          <w:p w14:paraId="1216261A">
            <w:pPr>
              <w:pStyle w:val="32"/>
              <w:jc w:val="both"/>
            </w:pPr>
          </w:p>
        </w:tc>
        <w:tc>
          <w:tcPr>
            <w:tcW w:w="723" w:type="dxa"/>
            <w:vAlign w:val="center"/>
          </w:tcPr>
          <w:p w14:paraId="70651A47">
            <w:pPr>
              <w:jc w:val="center"/>
              <w:rPr>
                <w:rFonts w:hint="eastAsia" w:asciiTheme="minorEastAsia" w:hAnsiTheme="minorEastAsia" w:eastAsiaTheme="minorEastAsia" w:cstheme="minorEastAsia"/>
              </w:rPr>
            </w:pPr>
          </w:p>
          <w:p w14:paraId="27FC42C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6056" w:type="dxa"/>
            <w:vAlign w:val="top"/>
          </w:tcPr>
          <w:p w14:paraId="554B00C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依法缴纳近六个月中任意一个月的社会保险社保缴纳凭证；依法缴纳近六个月中任意一个月的税收良好记录证明；</w:t>
            </w:r>
          </w:p>
        </w:tc>
        <w:tc>
          <w:tcPr>
            <w:tcW w:w="1089" w:type="dxa"/>
            <w:vAlign w:val="top"/>
          </w:tcPr>
          <w:p w14:paraId="7E3BF322">
            <w:pPr>
              <w:pStyle w:val="32"/>
              <w:jc w:val="both"/>
            </w:pPr>
          </w:p>
        </w:tc>
        <w:tc>
          <w:tcPr>
            <w:tcW w:w="1123" w:type="dxa"/>
            <w:vAlign w:val="top"/>
          </w:tcPr>
          <w:p w14:paraId="34C2B5BC">
            <w:pPr>
              <w:pStyle w:val="32"/>
              <w:jc w:val="both"/>
            </w:pPr>
          </w:p>
        </w:tc>
      </w:tr>
      <w:tr w14:paraId="36B5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97" w:type="dxa"/>
            <w:vMerge w:val="continue"/>
            <w:vAlign w:val="top"/>
          </w:tcPr>
          <w:p w14:paraId="300D6684">
            <w:pPr>
              <w:pStyle w:val="32"/>
              <w:jc w:val="both"/>
            </w:pPr>
          </w:p>
        </w:tc>
        <w:tc>
          <w:tcPr>
            <w:tcW w:w="723" w:type="dxa"/>
            <w:vAlign w:val="center"/>
          </w:tcPr>
          <w:p w14:paraId="5F52BF1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6056" w:type="dxa"/>
            <w:vAlign w:val="top"/>
          </w:tcPr>
          <w:p w14:paraId="6945807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凡拟参加本次招标项目的供应商，如在“信用中国” 网站（www.creditchina.gov.cn） 被列入失信被执行人、重大税收违法案件当事人名单(信用服务-重点领域严重失信主体名单查询-搜索栏输入单位全称)、中国政府采购网（http://www.ccgp.gov.cn/search/cr/）严重违法失信行为记录名单的（尚在处罚期内的），国家企业信用信息公示系统（https://www.gsxt.gov.cn/index.html）被列入经营异常名录、严重违法失信名单将拒绝其参加本次招标活动；（以招标代理机构或采购人查询为准）</w:t>
            </w:r>
          </w:p>
        </w:tc>
        <w:tc>
          <w:tcPr>
            <w:tcW w:w="1089" w:type="dxa"/>
            <w:vAlign w:val="top"/>
          </w:tcPr>
          <w:p w14:paraId="14C4CBE7">
            <w:pPr>
              <w:pStyle w:val="32"/>
              <w:jc w:val="both"/>
            </w:pPr>
          </w:p>
        </w:tc>
        <w:tc>
          <w:tcPr>
            <w:tcW w:w="1123" w:type="dxa"/>
            <w:vAlign w:val="top"/>
          </w:tcPr>
          <w:p w14:paraId="6DA32FEF">
            <w:pPr>
              <w:pStyle w:val="32"/>
              <w:jc w:val="both"/>
            </w:pPr>
          </w:p>
        </w:tc>
      </w:tr>
      <w:tr w14:paraId="68407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vAlign w:val="top"/>
          </w:tcPr>
          <w:p w14:paraId="41BFC616">
            <w:pPr>
              <w:pStyle w:val="32"/>
              <w:jc w:val="both"/>
            </w:pPr>
          </w:p>
        </w:tc>
        <w:tc>
          <w:tcPr>
            <w:tcW w:w="723" w:type="dxa"/>
            <w:vAlign w:val="center"/>
          </w:tcPr>
          <w:p w14:paraId="2CC8B56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6056" w:type="dxa"/>
            <w:vAlign w:val="top"/>
          </w:tcPr>
          <w:p w14:paraId="72E7FBEA">
            <w:pPr>
              <w:rPr>
                <w:rFonts w:hint="eastAsia" w:asciiTheme="minorEastAsia" w:hAnsiTheme="minorEastAsia" w:eastAsiaTheme="minorEastAsia" w:cstheme="minorEastAsia"/>
              </w:rPr>
            </w:pPr>
            <w:bookmarkStart w:id="492" w:name="_Toc16884"/>
            <w:r>
              <w:rPr>
                <w:rFonts w:hint="eastAsia" w:asciiTheme="minorEastAsia" w:hAnsiTheme="minorEastAsia" w:eastAsiaTheme="minorEastAsia" w:cstheme="minorEastAsia"/>
              </w:rPr>
              <w:t>是否提供《反商业贿赂承诺书》</w:t>
            </w:r>
            <w:bookmarkEnd w:id="492"/>
          </w:p>
        </w:tc>
        <w:tc>
          <w:tcPr>
            <w:tcW w:w="1089" w:type="dxa"/>
            <w:vAlign w:val="top"/>
          </w:tcPr>
          <w:p w14:paraId="6E9F26D8">
            <w:pPr>
              <w:pStyle w:val="32"/>
              <w:jc w:val="both"/>
            </w:pPr>
          </w:p>
        </w:tc>
        <w:tc>
          <w:tcPr>
            <w:tcW w:w="1123" w:type="dxa"/>
            <w:vAlign w:val="top"/>
          </w:tcPr>
          <w:p w14:paraId="311940F6">
            <w:pPr>
              <w:pStyle w:val="32"/>
              <w:jc w:val="both"/>
            </w:pPr>
          </w:p>
        </w:tc>
      </w:tr>
      <w:tr w14:paraId="54199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vAlign w:val="top"/>
          </w:tcPr>
          <w:p w14:paraId="2682DC6A">
            <w:pPr>
              <w:pStyle w:val="32"/>
              <w:jc w:val="both"/>
            </w:pPr>
          </w:p>
        </w:tc>
        <w:tc>
          <w:tcPr>
            <w:tcW w:w="723" w:type="dxa"/>
            <w:vAlign w:val="center"/>
          </w:tcPr>
          <w:p w14:paraId="7D2A281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6056" w:type="dxa"/>
            <w:vAlign w:val="top"/>
          </w:tcPr>
          <w:p w14:paraId="07868D2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参加政府采购活动近3 年内，在经营活动中没有重大违法记录的书面声明</w:t>
            </w:r>
          </w:p>
        </w:tc>
        <w:tc>
          <w:tcPr>
            <w:tcW w:w="1089" w:type="dxa"/>
            <w:vAlign w:val="top"/>
          </w:tcPr>
          <w:p w14:paraId="4596D1DC">
            <w:pPr>
              <w:pStyle w:val="32"/>
              <w:jc w:val="both"/>
            </w:pPr>
          </w:p>
        </w:tc>
        <w:tc>
          <w:tcPr>
            <w:tcW w:w="1123" w:type="dxa"/>
            <w:vAlign w:val="top"/>
          </w:tcPr>
          <w:p w14:paraId="2D90BF92">
            <w:pPr>
              <w:pStyle w:val="32"/>
              <w:jc w:val="both"/>
            </w:pPr>
          </w:p>
        </w:tc>
      </w:tr>
      <w:tr w14:paraId="1B3BA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vAlign w:val="top"/>
          </w:tcPr>
          <w:p w14:paraId="4C71FB50">
            <w:pPr>
              <w:pStyle w:val="32"/>
              <w:jc w:val="both"/>
            </w:pPr>
          </w:p>
        </w:tc>
        <w:tc>
          <w:tcPr>
            <w:tcW w:w="723" w:type="dxa"/>
            <w:vAlign w:val="center"/>
          </w:tcPr>
          <w:p w14:paraId="7F5143E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6056" w:type="dxa"/>
            <w:vAlign w:val="top"/>
          </w:tcPr>
          <w:p w14:paraId="366356E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投标保证金缴纳凭证或投标保函</w:t>
            </w:r>
          </w:p>
        </w:tc>
        <w:tc>
          <w:tcPr>
            <w:tcW w:w="1089" w:type="dxa"/>
            <w:vAlign w:val="top"/>
          </w:tcPr>
          <w:p w14:paraId="6EAE42FE">
            <w:pPr>
              <w:pStyle w:val="32"/>
              <w:jc w:val="both"/>
            </w:pPr>
          </w:p>
        </w:tc>
        <w:tc>
          <w:tcPr>
            <w:tcW w:w="1123" w:type="dxa"/>
            <w:vAlign w:val="top"/>
          </w:tcPr>
          <w:p w14:paraId="13A810F9">
            <w:pPr>
              <w:pStyle w:val="32"/>
              <w:jc w:val="both"/>
            </w:pPr>
          </w:p>
        </w:tc>
      </w:tr>
      <w:tr w14:paraId="1814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97" w:type="dxa"/>
            <w:vAlign w:val="top"/>
          </w:tcPr>
          <w:p w14:paraId="64226ED0">
            <w:pPr>
              <w:pStyle w:val="32"/>
            </w:pPr>
          </w:p>
        </w:tc>
        <w:tc>
          <w:tcPr>
            <w:tcW w:w="723" w:type="dxa"/>
            <w:vAlign w:val="top"/>
          </w:tcPr>
          <w:p w14:paraId="4B3A72D2">
            <w:pPr>
              <w:pStyle w:val="32"/>
            </w:pPr>
          </w:p>
        </w:tc>
        <w:tc>
          <w:tcPr>
            <w:tcW w:w="6056" w:type="dxa"/>
            <w:vAlign w:val="top"/>
          </w:tcPr>
          <w:p w14:paraId="202EE8A4">
            <w:pPr>
              <w:rPr>
                <w:rFonts w:hint="eastAsia" w:asciiTheme="minorEastAsia" w:hAnsiTheme="minorEastAsia" w:eastAsiaTheme="minorEastAsia" w:cstheme="minorEastAsia"/>
              </w:rPr>
            </w:pPr>
            <w:bookmarkStart w:id="493" w:name="_Toc29459"/>
            <w:r>
              <w:rPr>
                <w:rFonts w:hint="eastAsia" w:asciiTheme="minorEastAsia" w:hAnsiTheme="minorEastAsia" w:eastAsiaTheme="minorEastAsia" w:cstheme="minorEastAsia"/>
              </w:rPr>
              <w:t>结论：是否通过评审（须填写通过或不通过）</w:t>
            </w:r>
            <w:bookmarkEnd w:id="493"/>
          </w:p>
          <w:p w14:paraId="1E599AA2">
            <w:pPr>
              <w:rPr>
                <w:rFonts w:ascii="宋体" w:hAnsi="宋体" w:eastAsia="宋体" w:cs="宋体"/>
                <w:sz w:val="20"/>
                <w:szCs w:val="20"/>
              </w:rPr>
            </w:pPr>
            <w:bookmarkStart w:id="494" w:name="_Toc11105"/>
            <w:r>
              <w:rPr>
                <w:rFonts w:hint="eastAsia" w:asciiTheme="minorEastAsia" w:hAnsiTheme="minorEastAsia" w:eastAsiaTheme="minorEastAsia" w:cstheme="minorEastAsia"/>
              </w:rPr>
              <w:t>注：如有一项不合格，作废标处理。</w:t>
            </w:r>
            <w:bookmarkEnd w:id="494"/>
          </w:p>
        </w:tc>
        <w:tc>
          <w:tcPr>
            <w:tcW w:w="2212" w:type="dxa"/>
            <w:gridSpan w:val="2"/>
            <w:vAlign w:val="top"/>
          </w:tcPr>
          <w:p w14:paraId="5DC31013">
            <w:pPr>
              <w:pStyle w:val="32"/>
            </w:pPr>
          </w:p>
        </w:tc>
      </w:tr>
    </w:tbl>
    <w:p w14:paraId="4A9B8108">
      <w:pPr>
        <w:pStyle w:val="9"/>
        <w:spacing w:before="101" w:line="225" w:lineRule="auto"/>
        <w:outlineLvl w:val="9"/>
        <w:rPr>
          <w:b/>
          <w:bCs/>
          <w:spacing w:val="4"/>
          <w:sz w:val="31"/>
          <w:szCs w:val="31"/>
        </w:rPr>
      </w:pPr>
      <w:bookmarkStart w:id="495" w:name="bookmark95"/>
      <w:bookmarkEnd w:id="495"/>
    </w:p>
    <w:p w14:paraId="1082EBB4">
      <w:pPr>
        <w:pStyle w:val="9"/>
        <w:spacing w:before="101" w:line="225" w:lineRule="auto"/>
        <w:outlineLvl w:val="9"/>
        <w:rPr>
          <w:b/>
          <w:bCs/>
          <w:spacing w:val="4"/>
          <w:sz w:val="31"/>
          <w:szCs w:val="31"/>
        </w:rPr>
      </w:pPr>
    </w:p>
    <w:p w14:paraId="0C19321F">
      <w:pPr>
        <w:pStyle w:val="9"/>
        <w:numPr>
          <w:ilvl w:val="0"/>
          <w:numId w:val="0"/>
        </w:numPr>
        <w:spacing w:before="135" w:line="360" w:lineRule="auto"/>
        <w:jc w:val="center"/>
      </w:pPr>
      <w:r>
        <w:rPr>
          <w:rFonts w:hint="default" w:ascii="宋体" w:hAnsi="宋体" w:eastAsia="宋体" w:cs="宋体"/>
          <w:sz w:val="36"/>
          <w:szCs w:val="36"/>
          <w:lang w:val="en-US" w:eastAsia="zh-CN"/>
        </w:rPr>
        <w:t>符合性检查</w:t>
      </w:r>
    </w:p>
    <w:tbl>
      <w:tblPr>
        <w:tblStyle w:val="31"/>
        <w:tblW w:w="878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598"/>
        <w:gridCol w:w="5791"/>
        <w:gridCol w:w="978"/>
        <w:gridCol w:w="581"/>
      </w:tblGrid>
      <w:tr w14:paraId="71D2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832" w:type="dxa"/>
            <w:vMerge w:val="restart"/>
            <w:tcBorders>
              <w:top w:val="single" w:color="000000" w:sz="2" w:space="0"/>
              <w:left w:val="single" w:color="000000" w:sz="2" w:space="0"/>
            </w:tcBorders>
            <w:vAlign w:val="center"/>
          </w:tcPr>
          <w:p w14:paraId="16D13102">
            <w:pPr>
              <w:pStyle w:val="32"/>
              <w:jc w:val="center"/>
              <w:rPr>
                <w:rFonts w:hint="default" w:ascii="宋体" w:hAnsi="宋体" w:eastAsia="宋体" w:cs="宋体"/>
                <w:snapToGrid w:val="0"/>
                <w:color w:val="000000"/>
                <w:kern w:val="0"/>
                <w:sz w:val="24"/>
                <w:szCs w:val="24"/>
                <w:lang w:val="en-US" w:eastAsia="zh-CN" w:bidi="ar-SA"/>
              </w:rPr>
            </w:pPr>
            <w:bookmarkStart w:id="496" w:name="_Toc17001"/>
            <w:r>
              <w:rPr>
                <w:rFonts w:hint="default" w:ascii="宋体" w:hAnsi="宋体" w:eastAsia="宋体" w:cs="宋体"/>
                <w:snapToGrid w:val="0"/>
                <w:color w:val="000000"/>
                <w:kern w:val="0"/>
                <w:sz w:val="24"/>
                <w:szCs w:val="24"/>
                <w:lang w:val="en-US" w:eastAsia="zh-CN" w:bidi="ar-SA"/>
              </w:rPr>
              <w:t>项目</w:t>
            </w:r>
            <w:bookmarkEnd w:id="496"/>
          </w:p>
        </w:tc>
        <w:tc>
          <w:tcPr>
            <w:tcW w:w="6389" w:type="dxa"/>
            <w:gridSpan w:val="2"/>
            <w:vMerge w:val="restart"/>
            <w:tcBorders>
              <w:top w:val="single" w:color="000000" w:sz="2" w:space="0"/>
            </w:tcBorders>
            <w:vAlign w:val="center"/>
          </w:tcPr>
          <w:p w14:paraId="0F600829">
            <w:pPr>
              <w:pStyle w:val="32"/>
              <w:jc w:val="center"/>
              <w:rPr>
                <w:rFonts w:hint="default" w:ascii="宋体" w:hAnsi="宋体" w:eastAsia="宋体" w:cs="宋体"/>
                <w:snapToGrid w:val="0"/>
                <w:color w:val="000000"/>
                <w:kern w:val="0"/>
                <w:sz w:val="24"/>
                <w:szCs w:val="24"/>
                <w:lang w:val="en-US" w:eastAsia="zh-CN" w:bidi="ar-SA"/>
              </w:rPr>
            </w:pPr>
            <w:bookmarkStart w:id="497" w:name="_Toc6760"/>
            <w:r>
              <w:rPr>
                <w:rFonts w:hint="default" w:ascii="宋体" w:hAnsi="宋体" w:eastAsia="宋体" w:cs="宋体"/>
                <w:snapToGrid w:val="0"/>
                <w:color w:val="000000"/>
                <w:kern w:val="0"/>
                <w:sz w:val="24"/>
                <w:szCs w:val="24"/>
                <w:lang w:val="en-US" w:eastAsia="zh-CN" w:bidi="ar-SA"/>
              </w:rPr>
              <w:t>评审内容</w:t>
            </w:r>
            <w:bookmarkEnd w:id="497"/>
          </w:p>
        </w:tc>
        <w:tc>
          <w:tcPr>
            <w:tcW w:w="1559" w:type="dxa"/>
            <w:gridSpan w:val="2"/>
            <w:tcBorders>
              <w:top w:val="single" w:color="000000" w:sz="2" w:space="0"/>
              <w:right w:val="single" w:color="000000" w:sz="2" w:space="0"/>
            </w:tcBorders>
            <w:vAlign w:val="center"/>
          </w:tcPr>
          <w:p w14:paraId="0FDE4E26">
            <w:pPr>
              <w:pStyle w:val="32"/>
              <w:jc w:val="center"/>
              <w:rPr>
                <w:rFonts w:hint="default" w:ascii="宋体" w:hAnsi="宋体" w:eastAsia="宋体" w:cs="宋体"/>
                <w:snapToGrid w:val="0"/>
                <w:color w:val="000000"/>
                <w:kern w:val="0"/>
                <w:sz w:val="24"/>
                <w:szCs w:val="24"/>
                <w:lang w:val="en-US" w:eastAsia="zh-CN" w:bidi="ar-SA"/>
              </w:rPr>
            </w:pPr>
            <w:bookmarkStart w:id="498" w:name="_Toc25681"/>
            <w:r>
              <w:rPr>
                <w:rFonts w:hint="default" w:ascii="宋体" w:hAnsi="宋体" w:eastAsia="宋体" w:cs="宋体"/>
                <w:snapToGrid w:val="0"/>
                <w:color w:val="000000"/>
                <w:kern w:val="0"/>
                <w:sz w:val="24"/>
                <w:szCs w:val="24"/>
                <w:lang w:val="en-US" w:eastAsia="zh-CN" w:bidi="ar-SA"/>
              </w:rPr>
              <w:t>评审</w:t>
            </w:r>
            <w:bookmarkEnd w:id="498"/>
          </w:p>
          <w:p w14:paraId="05568374">
            <w:pPr>
              <w:pStyle w:val="32"/>
              <w:jc w:val="center"/>
              <w:rPr>
                <w:rFonts w:hint="default" w:ascii="宋体" w:hAnsi="宋体" w:eastAsia="宋体" w:cs="宋体"/>
                <w:snapToGrid w:val="0"/>
                <w:color w:val="000000"/>
                <w:kern w:val="0"/>
                <w:sz w:val="24"/>
                <w:szCs w:val="24"/>
                <w:lang w:val="en-US" w:eastAsia="zh-CN" w:bidi="ar-SA"/>
              </w:rPr>
            </w:pPr>
            <w:bookmarkStart w:id="499" w:name="_Toc21844"/>
            <w:r>
              <w:rPr>
                <w:rFonts w:hint="default" w:ascii="宋体" w:hAnsi="宋体" w:eastAsia="宋体" w:cs="宋体"/>
                <w:snapToGrid w:val="0"/>
                <w:color w:val="000000"/>
                <w:kern w:val="0"/>
                <w:sz w:val="24"/>
                <w:szCs w:val="24"/>
                <w:lang w:val="en-US" w:eastAsia="zh-CN" w:bidi="ar-SA"/>
              </w:rPr>
              <w:t>意见</w:t>
            </w:r>
            <w:bookmarkEnd w:id="499"/>
          </w:p>
        </w:tc>
      </w:tr>
      <w:tr w14:paraId="1ACCA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vMerge w:val="continue"/>
            <w:tcBorders>
              <w:left w:val="single" w:color="000000" w:sz="2" w:space="0"/>
              <w:bottom w:val="single" w:color="000000" w:sz="2" w:space="0"/>
            </w:tcBorders>
            <w:vAlign w:val="top"/>
          </w:tcPr>
          <w:p w14:paraId="7DA1D91E">
            <w:pPr>
              <w:pStyle w:val="32"/>
              <w:rPr>
                <w:rFonts w:hint="default" w:ascii="宋体" w:hAnsi="宋体" w:eastAsia="宋体" w:cs="宋体"/>
                <w:snapToGrid w:val="0"/>
                <w:color w:val="000000"/>
                <w:kern w:val="0"/>
                <w:sz w:val="24"/>
                <w:szCs w:val="24"/>
                <w:lang w:val="en-US" w:eastAsia="zh-CN" w:bidi="ar-SA"/>
              </w:rPr>
            </w:pPr>
          </w:p>
        </w:tc>
        <w:tc>
          <w:tcPr>
            <w:tcW w:w="6389" w:type="dxa"/>
            <w:gridSpan w:val="2"/>
            <w:vMerge w:val="continue"/>
            <w:tcBorders>
              <w:bottom w:val="single" w:color="000000" w:sz="2" w:space="0"/>
            </w:tcBorders>
            <w:vAlign w:val="top"/>
          </w:tcPr>
          <w:p w14:paraId="0933FA06">
            <w:pPr>
              <w:pStyle w:val="32"/>
              <w:rPr>
                <w:rFonts w:hint="default" w:ascii="宋体" w:hAnsi="宋体" w:eastAsia="宋体" w:cs="宋体"/>
                <w:snapToGrid w:val="0"/>
                <w:color w:val="000000"/>
                <w:kern w:val="0"/>
                <w:sz w:val="24"/>
                <w:szCs w:val="24"/>
                <w:lang w:val="en-US" w:eastAsia="zh-CN" w:bidi="ar-SA"/>
              </w:rPr>
            </w:pPr>
          </w:p>
        </w:tc>
        <w:tc>
          <w:tcPr>
            <w:tcW w:w="978" w:type="dxa"/>
            <w:vAlign w:val="center"/>
          </w:tcPr>
          <w:p w14:paraId="53A28F4B">
            <w:pPr>
              <w:pStyle w:val="32"/>
              <w:jc w:val="center"/>
              <w:rPr>
                <w:rFonts w:hint="default" w:ascii="宋体" w:hAnsi="宋体" w:eastAsia="宋体" w:cs="宋体"/>
                <w:snapToGrid w:val="0"/>
                <w:color w:val="000000"/>
                <w:kern w:val="0"/>
                <w:sz w:val="24"/>
                <w:szCs w:val="24"/>
                <w:lang w:val="en-US" w:eastAsia="zh-CN" w:bidi="ar-SA"/>
              </w:rPr>
            </w:pPr>
            <w:bookmarkStart w:id="500" w:name="_Toc2246"/>
            <w:r>
              <w:rPr>
                <w:rFonts w:hint="default" w:ascii="宋体" w:hAnsi="宋体" w:eastAsia="宋体" w:cs="宋体"/>
                <w:snapToGrid w:val="0"/>
                <w:color w:val="000000"/>
                <w:kern w:val="0"/>
                <w:sz w:val="24"/>
                <w:szCs w:val="24"/>
                <w:lang w:val="en-US" w:eastAsia="zh-CN" w:bidi="ar-SA"/>
              </w:rPr>
              <w:t>是</w:t>
            </w:r>
            <w:bookmarkEnd w:id="500"/>
          </w:p>
        </w:tc>
        <w:tc>
          <w:tcPr>
            <w:tcW w:w="581" w:type="dxa"/>
            <w:tcBorders>
              <w:right w:val="single" w:color="000000" w:sz="2" w:space="0"/>
            </w:tcBorders>
            <w:vAlign w:val="center"/>
          </w:tcPr>
          <w:p w14:paraId="23010901">
            <w:pPr>
              <w:pStyle w:val="32"/>
              <w:jc w:val="center"/>
              <w:rPr>
                <w:rFonts w:hint="default" w:ascii="宋体" w:hAnsi="宋体" w:eastAsia="宋体" w:cs="宋体"/>
                <w:snapToGrid w:val="0"/>
                <w:color w:val="000000"/>
                <w:kern w:val="0"/>
                <w:sz w:val="24"/>
                <w:szCs w:val="24"/>
                <w:lang w:val="en-US" w:eastAsia="zh-CN" w:bidi="ar-SA"/>
              </w:rPr>
            </w:pPr>
            <w:bookmarkStart w:id="501" w:name="_Toc17140"/>
            <w:r>
              <w:rPr>
                <w:rFonts w:hint="default" w:ascii="宋体" w:hAnsi="宋体" w:eastAsia="宋体" w:cs="宋体"/>
                <w:snapToGrid w:val="0"/>
                <w:color w:val="000000"/>
                <w:kern w:val="0"/>
                <w:sz w:val="24"/>
                <w:szCs w:val="24"/>
                <w:lang w:val="en-US" w:eastAsia="zh-CN" w:bidi="ar-SA"/>
              </w:rPr>
              <w:t>否</w:t>
            </w:r>
            <w:bookmarkEnd w:id="501"/>
          </w:p>
        </w:tc>
      </w:tr>
      <w:tr w14:paraId="063D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32" w:type="dxa"/>
            <w:vMerge w:val="restart"/>
            <w:tcBorders>
              <w:top w:val="single" w:color="000000" w:sz="2" w:space="0"/>
              <w:left w:val="single" w:color="000000" w:sz="2" w:space="0"/>
              <w:right w:val="single" w:color="000000" w:sz="2" w:space="0"/>
            </w:tcBorders>
            <w:textDirection w:val="tbRlV"/>
            <w:vAlign w:val="top"/>
          </w:tcPr>
          <w:p w14:paraId="7CC5AD08">
            <w:pPr>
              <w:spacing w:before="308" w:line="216" w:lineRule="auto"/>
              <w:ind w:left="2003"/>
              <w:rPr>
                <w:rFonts w:ascii="宋体" w:hAnsi="宋体" w:eastAsia="宋体" w:cs="宋体"/>
                <w:sz w:val="20"/>
                <w:szCs w:val="20"/>
              </w:rPr>
            </w:pPr>
            <w:r>
              <w:rPr>
                <w:rFonts w:ascii="宋体" w:hAnsi="宋体" w:eastAsia="宋体" w:cs="宋体"/>
                <w:spacing w:val="8"/>
                <w:sz w:val="20"/>
                <w:szCs w:val="20"/>
              </w:rPr>
              <w:t>审</w:t>
            </w:r>
            <w:r>
              <w:rPr>
                <w:rFonts w:ascii="宋体" w:hAnsi="宋体" w:eastAsia="宋体" w:cs="宋体"/>
                <w:spacing w:val="16"/>
                <w:sz w:val="20"/>
                <w:szCs w:val="20"/>
              </w:rPr>
              <w:t xml:space="preserve">  </w:t>
            </w:r>
            <w:r>
              <w:rPr>
                <w:rFonts w:ascii="宋体" w:hAnsi="宋体" w:eastAsia="宋体" w:cs="宋体"/>
                <w:spacing w:val="8"/>
                <w:sz w:val="20"/>
                <w:szCs w:val="20"/>
              </w:rPr>
              <w:t>查</w:t>
            </w:r>
            <w:r>
              <w:rPr>
                <w:rFonts w:ascii="宋体" w:hAnsi="宋体" w:eastAsia="宋体" w:cs="宋体"/>
                <w:spacing w:val="16"/>
                <w:sz w:val="20"/>
                <w:szCs w:val="20"/>
              </w:rPr>
              <w:t xml:space="preserve">  </w:t>
            </w:r>
            <w:r>
              <w:rPr>
                <w:rFonts w:ascii="宋体" w:hAnsi="宋体" w:eastAsia="宋体" w:cs="宋体"/>
                <w:spacing w:val="8"/>
                <w:sz w:val="20"/>
                <w:szCs w:val="20"/>
              </w:rPr>
              <w:t>标</w:t>
            </w:r>
            <w:r>
              <w:rPr>
                <w:rFonts w:ascii="宋体" w:hAnsi="宋体" w:eastAsia="宋体" w:cs="宋体"/>
                <w:spacing w:val="15"/>
                <w:sz w:val="20"/>
                <w:szCs w:val="20"/>
              </w:rPr>
              <w:t xml:space="preserve">  </w:t>
            </w:r>
            <w:r>
              <w:rPr>
                <w:rFonts w:ascii="宋体" w:hAnsi="宋体" w:eastAsia="宋体" w:cs="宋体"/>
                <w:spacing w:val="8"/>
                <w:sz w:val="20"/>
                <w:szCs w:val="20"/>
              </w:rPr>
              <w:t>准</w:t>
            </w:r>
          </w:p>
        </w:tc>
        <w:tc>
          <w:tcPr>
            <w:tcW w:w="598" w:type="dxa"/>
            <w:tcBorders>
              <w:top w:val="single" w:color="000000" w:sz="2" w:space="0"/>
              <w:left w:val="single" w:color="000000" w:sz="2" w:space="0"/>
              <w:right w:val="single" w:color="000000" w:sz="2" w:space="0"/>
            </w:tcBorders>
            <w:vAlign w:val="center"/>
          </w:tcPr>
          <w:p w14:paraId="14CCCFB5">
            <w:pPr>
              <w:spacing w:before="204" w:line="189" w:lineRule="auto"/>
              <w:ind w:left="266"/>
              <w:jc w:val="both"/>
              <w:rPr>
                <w:rFonts w:ascii="宋体" w:hAnsi="宋体" w:eastAsia="宋体" w:cs="宋体"/>
                <w:sz w:val="20"/>
                <w:szCs w:val="20"/>
              </w:rPr>
            </w:pPr>
            <w:r>
              <w:rPr>
                <w:rFonts w:ascii="宋体" w:hAnsi="宋体" w:eastAsia="宋体" w:cs="宋体"/>
                <w:sz w:val="20"/>
                <w:szCs w:val="20"/>
              </w:rPr>
              <w:t>1</w:t>
            </w:r>
          </w:p>
        </w:tc>
        <w:tc>
          <w:tcPr>
            <w:tcW w:w="5791" w:type="dxa"/>
            <w:tcBorders>
              <w:top w:val="single" w:color="000000" w:sz="2" w:space="0"/>
              <w:left w:val="single" w:color="000000" w:sz="2" w:space="0"/>
              <w:right w:val="single" w:color="000000" w:sz="2" w:space="0"/>
            </w:tcBorders>
            <w:vAlign w:val="center"/>
          </w:tcPr>
          <w:p w14:paraId="299A37BD">
            <w:pPr>
              <w:spacing w:before="172" w:line="226" w:lineRule="auto"/>
              <w:jc w:val="both"/>
              <w:outlineLvl w:val="0"/>
              <w:rPr>
                <w:rFonts w:ascii="宋体" w:hAnsi="宋体" w:eastAsia="宋体" w:cs="宋体"/>
                <w:sz w:val="20"/>
                <w:szCs w:val="20"/>
              </w:rPr>
            </w:pPr>
            <w:bookmarkStart w:id="502" w:name="_Toc31489"/>
            <w:bookmarkStart w:id="503" w:name="_Toc19983"/>
            <w:r>
              <w:rPr>
                <w:rFonts w:hint="eastAsia" w:ascii="宋体" w:hAnsi="宋体" w:eastAsia="宋体" w:cs="宋体"/>
                <w:spacing w:val="7"/>
                <w:sz w:val="20"/>
                <w:szCs w:val="20"/>
              </w:rPr>
              <w:t>投标报价未高于设定的标项最高限价的；</w:t>
            </w:r>
            <w:bookmarkEnd w:id="502"/>
            <w:bookmarkEnd w:id="503"/>
          </w:p>
        </w:tc>
        <w:tc>
          <w:tcPr>
            <w:tcW w:w="978" w:type="dxa"/>
            <w:tcBorders>
              <w:left w:val="single" w:color="000000" w:sz="2" w:space="0"/>
              <w:right w:val="single" w:color="000000" w:sz="2" w:space="0"/>
            </w:tcBorders>
            <w:vAlign w:val="top"/>
          </w:tcPr>
          <w:p w14:paraId="1D437A8E">
            <w:pPr>
              <w:pStyle w:val="32"/>
            </w:pPr>
          </w:p>
        </w:tc>
        <w:tc>
          <w:tcPr>
            <w:tcW w:w="581" w:type="dxa"/>
            <w:tcBorders>
              <w:left w:val="single" w:color="000000" w:sz="2" w:space="0"/>
              <w:right w:val="single" w:color="000000" w:sz="2" w:space="0"/>
            </w:tcBorders>
            <w:vAlign w:val="top"/>
          </w:tcPr>
          <w:p w14:paraId="1FF0E856">
            <w:pPr>
              <w:pStyle w:val="32"/>
            </w:pPr>
          </w:p>
        </w:tc>
      </w:tr>
      <w:tr w14:paraId="39D4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832" w:type="dxa"/>
            <w:vMerge w:val="continue"/>
            <w:tcBorders>
              <w:left w:val="single" w:color="000000" w:sz="2" w:space="0"/>
              <w:right w:val="single" w:color="000000" w:sz="2" w:space="0"/>
            </w:tcBorders>
            <w:textDirection w:val="tbRlV"/>
            <w:vAlign w:val="top"/>
          </w:tcPr>
          <w:p w14:paraId="01F97AED">
            <w:pPr>
              <w:pStyle w:val="32"/>
            </w:pPr>
          </w:p>
        </w:tc>
        <w:tc>
          <w:tcPr>
            <w:tcW w:w="598" w:type="dxa"/>
            <w:tcBorders>
              <w:left w:val="single" w:color="000000" w:sz="2" w:space="0"/>
              <w:bottom w:val="single" w:color="000000" w:sz="2" w:space="0"/>
              <w:right w:val="single" w:color="000000" w:sz="2" w:space="0"/>
            </w:tcBorders>
            <w:vAlign w:val="center"/>
          </w:tcPr>
          <w:p w14:paraId="67805B26">
            <w:pPr>
              <w:spacing w:before="204" w:line="189" w:lineRule="auto"/>
              <w:ind w:left="253"/>
              <w:jc w:val="both"/>
              <w:rPr>
                <w:rFonts w:ascii="宋体" w:hAnsi="宋体" w:eastAsia="宋体" w:cs="宋体"/>
                <w:sz w:val="20"/>
                <w:szCs w:val="20"/>
              </w:rPr>
            </w:pPr>
            <w:r>
              <w:rPr>
                <w:rFonts w:ascii="宋体" w:hAnsi="宋体" w:eastAsia="宋体" w:cs="宋体"/>
                <w:sz w:val="20"/>
                <w:szCs w:val="20"/>
              </w:rPr>
              <w:t>2</w:t>
            </w:r>
          </w:p>
        </w:tc>
        <w:tc>
          <w:tcPr>
            <w:tcW w:w="5791" w:type="dxa"/>
            <w:tcBorders>
              <w:left w:val="single" w:color="000000" w:sz="2" w:space="0"/>
              <w:bottom w:val="single" w:color="000000" w:sz="2" w:space="0"/>
              <w:right w:val="single" w:color="000000" w:sz="2" w:space="0"/>
            </w:tcBorders>
            <w:vAlign w:val="center"/>
          </w:tcPr>
          <w:p w14:paraId="1F8E2107">
            <w:pPr>
              <w:spacing w:before="172" w:line="226" w:lineRule="auto"/>
              <w:jc w:val="both"/>
              <w:outlineLvl w:val="0"/>
              <w:rPr>
                <w:rFonts w:ascii="宋体" w:hAnsi="宋体" w:eastAsia="宋体" w:cs="宋体"/>
                <w:sz w:val="20"/>
                <w:szCs w:val="20"/>
              </w:rPr>
            </w:pPr>
            <w:bookmarkStart w:id="504" w:name="_Toc15210"/>
            <w:bookmarkStart w:id="505" w:name="_Toc32758"/>
            <w:r>
              <w:rPr>
                <w:rFonts w:hint="eastAsia" w:ascii="宋体" w:hAnsi="宋体" w:eastAsia="宋体" w:cs="宋体"/>
                <w:sz w:val="20"/>
                <w:szCs w:val="20"/>
              </w:rPr>
              <w:t>评标委员会认为投标人的报价无明显低于其他通过符合性审查投标人的报价的，投标人的报价不存在异常一致并成规律性的，其报价合理</w:t>
            </w:r>
            <w:bookmarkEnd w:id="504"/>
            <w:bookmarkEnd w:id="505"/>
          </w:p>
        </w:tc>
        <w:tc>
          <w:tcPr>
            <w:tcW w:w="978" w:type="dxa"/>
            <w:tcBorders>
              <w:left w:val="single" w:color="000000" w:sz="2" w:space="0"/>
              <w:right w:val="single" w:color="000000" w:sz="2" w:space="0"/>
            </w:tcBorders>
            <w:vAlign w:val="top"/>
          </w:tcPr>
          <w:p w14:paraId="45B2D96E">
            <w:pPr>
              <w:pStyle w:val="32"/>
            </w:pPr>
          </w:p>
        </w:tc>
        <w:tc>
          <w:tcPr>
            <w:tcW w:w="581" w:type="dxa"/>
            <w:tcBorders>
              <w:left w:val="single" w:color="000000" w:sz="2" w:space="0"/>
              <w:right w:val="single" w:color="000000" w:sz="2" w:space="0"/>
            </w:tcBorders>
            <w:vAlign w:val="top"/>
          </w:tcPr>
          <w:p w14:paraId="3BF6629D">
            <w:pPr>
              <w:pStyle w:val="32"/>
            </w:pPr>
          </w:p>
        </w:tc>
      </w:tr>
      <w:tr w14:paraId="1721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32" w:type="dxa"/>
            <w:vMerge w:val="continue"/>
            <w:tcBorders>
              <w:left w:val="single" w:color="000000" w:sz="2" w:space="0"/>
              <w:right w:val="single" w:color="000000" w:sz="2" w:space="0"/>
            </w:tcBorders>
            <w:textDirection w:val="tbRlV"/>
            <w:vAlign w:val="top"/>
          </w:tcPr>
          <w:p w14:paraId="1ABF38D6">
            <w:pPr>
              <w:pStyle w:val="32"/>
            </w:pPr>
          </w:p>
        </w:tc>
        <w:tc>
          <w:tcPr>
            <w:tcW w:w="598" w:type="dxa"/>
            <w:tcBorders>
              <w:top w:val="single" w:color="000000" w:sz="2" w:space="0"/>
              <w:left w:val="single" w:color="000000" w:sz="2" w:space="0"/>
              <w:bottom w:val="single" w:color="000000" w:sz="2" w:space="0"/>
              <w:right w:val="single" w:color="000000" w:sz="2" w:space="0"/>
            </w:tcBorders>
            <w:vAlign w:val="center"/>
          </w:tcPr>
          <w:p w14:paraId="1D0F6258">
            <w:pPr>
              <w:spacing w:before="65" w:line="189" w:lineRule="auto"/>
              <w:ind w:firstLine="200" w:firstLineChars="100"/>
              <w:jc w:val="both"/>
              <w:rPr>
                <w:rFonts w:ascii="宋体" w:hAnsi="宋体" w:eastAsia="宋体" w:cs="宋体"/>
                <w:sz w:val="20"/>
                <w:szCs w:val="20"/>
              </w:rPr>
            </w:pPr>
            <w:r>
              <w:rPr>
                <w:rFonts w:ascii="宋体" w:hAnsi="宋体" w:eastAsia="宋体" w:cs="宋体"/>
                <w:sz w:val="20"/>
                <w:szCs w:val="20"/>
              </w:rPr>
              <w:t>3</w:t>
            </w:r>
          </w:p>
        </w:tc>
        <w:tc>
          <w:tcPr>
            <w:tcW w:w="5791" w:type="dxa"/>
            <w:tcBorders>
              <w:top w:val="single" w:color="000000" w:sz="2" w:space="0"/>
              <w:left w:val="single" w:color="000000" w:sz="2" w:space="0"/>
              <w:bottom w:val="single" w:color="000000" w:sz="2" w:space="0"/>
              <w:right w:val="single" w:color="000000" w:sz="2" w:space="0"/>
            </w:tcBorders>
            <w:vAlign w:val="center"/>
          </w:tcPr>
          <w:p w14:paraId="23B3DA71">
            <w:pPr>
              <w:spacing w:before="172" w:line="228" w:lineRule="auto"/>
              <w:jc w:val="both"/>
              <w:outlineLvl w:val="0"/>
              <w:rPr>
                <w:rFonts w:ascii="宋体" w:hAnsi="宋体" w:eastAsia="宋体" w:cs="宋体"/>
                <w:sz w:val="20"/>
                <w:szCs w:val="20"/>
              </w:rPr>
            </w:pPr>
            <w:bookmarkStart w:id="506" w:name="_Toc27319"/>
            <w:bookmarkStart w:id="507" w:name="_Toc6054"/>
            <w:r>
              <w:rPr>
                <w:rFonts w:hint="eastAsia" w:ascii="宋体" w:hAnsi="宋体" w:eastAsia="宋体" w:cs="宋体"/>
                <w:sz w:val="20"/>
                <w:szCs w:val="20"/>
              </w:rPr>
              <w:t>投标文件按照招标文件的规定编制、标记及签署盖章的，法定代表人或其授权代表签字（章）和加盖投标单位公章的</w:t>
            </w:r>
            <w:bookmarkEnd w:id="506"/>
            <w:bookmarkEnd w:id="507"/>
          </w:p>
        </w:tc>
        <w:tc>
          <w:tcPr>
            <w:tcW w:w="978" w:type="dxa"/>
            <w:tcBorders>
              <w:left w:val="single" w:color="000000" w:sz="2" w:space="0"/>
            </w:tcBorders>
            <w:vAlign w:val="top"/>
          </w:tcPr>
          <w:p w14:paraId="2C92157F">
            <w:pPr>
              <w:pStyle w:val="32"/>
            </w:pPr>
          </w:p>
        </w:tc>
        <w:tc>
          <w:tcPr>
            <w:tcW w:w="581" w:type="dxa"/>
            <w:tcBorders>
              <w:right w:val="single" w:color="000000" w:sz="2" w:space="0"/>
            </w:tcBorders>
            <w:vAlign w:val="top"/>
          </w:tcPr>
          <w:p w14:paraId="18AC5F9E">
            <w:pPr>
              <w:pStyle w:val="32"/>
            </w:pPr>
          </w:p>
        </w:tc>
      </w:tr>
      <w:tr w14:paraId="3FA6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20FB0D8C">
            <w:pPr>
              <w:pStyle w:val="32"/>
            </w:pPr>
          </w:p>
        </w:tc>
        <w:tc>
          <w:tcPr>
            <w:tcW w:w="598" w:type="dxa"/>
            <w:tcBorders>
              <w:left w:val="single" w:color="000000" w:sz="2" w:space="0"/>
            </w:tcBorders>
            <w:vAlign w:val="top"/>
          </w:tcPr>
          <w:p w14:paraId="7F6BB77B">
            <w:pPr>
              <w:spacing w:before="207" w:line="187" w:lineRule="auto"/>
              <w:ind w:left="255"/>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5791" w:type="dxa"/>
            <w:tcBorders>
              <w:right w:val="single" w:color="000000" w:sz="2" w:space="0"/>
            </w:tcBorders>
            <w:vAlign w:val="top"/>
          </w:tcPr>
          <w:p w14:paraId="76396926">
            <w:pPr>
              <w:spacing w:before="172" w:line="227" w:lineRule="auto"/>
              <w:outlineLvl w:val="0"/>
              <w:rPr>
                <w:rFonts w:ascii="宋体" w:hAnsi="宋体" w:eastAsia="宋体" w:cs="宋体"/>
                <w:sz w:val="20"/>
                <w:szCs w:val="20"/>
              </w:rPr>
            </w:pPr>
            <w:bookmarkStart w:id="508" w:name="_Toc10556"/>
            <w:bookmarkStart w:id="509" w:name="_Toc11720"/>
            <w:bookmarkStart w:id="510" w:name="_Toc4544"/>
            <w:r>
              <w:rPr>
                <w:rFonts w:ascii="宋体" w:hAnsi="宋体" w:eastAsia="宋体" w:cs="宋体"/>
                <w:spacing w:val="8"/>
                <w:sz w:val="20"/>
                <w:szCs w:val="20"/>
              </w:rPr>
              <w:t>评标委员会共同确定</w:t>
            </w:r>
            <w:r>
              <w:rPr>
                <w:rFonts w:hint="eastAsia" w:ascii="宋体" w:hAnsi="宋体" w:eastAsia="宋体" w:cs="宋体"/>
                <w:spacing w:val="8"/>
                <w:sz w:val="20"/>
                <w:szCs w:val="20"/>
                <w:lang w:val="en-US" w:eastAsia="zh-CN"/>
              </w:rPr>
              <w:t>没</w:t>
            </w:r>
            <w:r>
              <w:rPr>
                <w:rFonts w:ascii="宋体" w:hAnsi="宋体" w:eastAsia="宋体" w:cs="宋体"/>
                <w:spacing w:val="8"/>
                <w:sz w:val="20"/>
                <w:szCs w:val="20"/>
              </w:rPr>
              <w:t>有实质上不响应招标文件要求的；</w:t>
            </w:r>
            <w:bookmarkEnd w:id="508"/>
            <w:bookmarkEnd w:id="509"/>
            <w:bookmarkEnd w:id="510"/>
          </w:p>
        </w:tc>
        <w:tc>
          <w:tcPr>
            <w:tcW w:w="978" w:type="dxa"/>
            <w:tcBorders>
              <w:left w:val="single" w:color="000000" w:sz="2" w:space="0"/>
            </w:tcBorders>
            <w:vAlign w:val="top"/>
          </w:tcPr>
          <w:p w14:paraId="2AE41932">
            <w:pPr>
              <w:pStyle w:val="32"/>
            </w:pPr>
          </w:p>
        </w:tc>
        <w:tc>
          <w:tcPr>
            <w:tcW w:w="581" w:type="dxa"/>
            <w:tcBorders>
              <w:right w:val="single" w:color="000000" w:sz="2" w:space="0"/>
            </w:tcBorders>
            <w:vAlign w:val="top"/>
          </w:tcPr>
          <w:p w14:paraId="492EF3CE">
            <w:pPr>
              <w:pStyle w:val="32"/>
            </w:pPr>
          </w:p>
        </w:tc>
      </w:tr>
      <w:tr w14:paraId="61F49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32" w:type="dxa"/>
            <w:vMerge w:val="continue"/>
            <w:tcBorders>
              <w:left w:val="single" w:color="000000" w:sz="2" w:space="0"/>
              <w:right w:val="single" w:color="000000" w:sz="2" w:space="0"/>
            </w:tcBorders>
            <w:textDirection w:val="tbRlV"/>
            <w:vAlign w:val="top"/>
          </w:tcPr>
          <w:p w14:paraId="381E6E3B">
            <w:pPr>
              <w:pStyle w:val="32"/>
            </w:pPr>
          </w:p>
        </w:tc>
        <w:tc>
          <w:tcPr>
            <w:tcW w:w="598" w:type="dxa"/>
            <w:tcBorders>
              <w:top w:val="single" w:color="000000" w:sz="2" w:space="0"/>
              <w:left w:val="single" w:color="000000" w:sz="2" w:space="0"/>
              <w:right w:val="single" w:color="000000" w:sz="2" w:space="0"/>
            </w:tcBorders>
            <w:vAlign w:val="top"/>
          </w:tcPr>
          <w:p w14:paraId="435FBBFF">
            <w:pPr>
              <w:spacing w:before="226" w:line="187" w:lineRule="auto"/>
              <w:ind w:left="255"/>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5791" w:type="dxa"/>
            <w:tcBorders>
              <w:top w:val="single" w:color="000000" w:sz="2" w:space="0"/>
              <w:left w:val="single" w:color="000000" w:sz="2" w:space="0"/>
              <w:right w:val="single" w:color="000000" w:sz="2" w:space="0"/>
            </w:tcBorders>
            <w:vAlign w:val="top"/>
          </w:tcPr>
          <w:p w14:paraId="1E9E118D">
            <w:pPr>
              <w:spacing w:before="182" w:line="227" w:lineRule="auto"/>
              <w:outlineLvl w:val="0"/>
              <w:rPr>
                <w:rFonts w:ascii="宋体" w:hAnsi="宋体" w:eastAsia="宋体" w:cs="宋体"/>
                <w:sz w:val="20"/>
                <w:szCs w:val="20"/>
              </w:rPr>
            </w:pPr>
            <w:bookmarkStart w:id="511" w:name="_Toc18949"/>
            <w:bookmarkStart w:id="512" w:name="_Toc17397"/>
            <w:r>
              <w:rPr>
                <w:rFonts w:hint="eastAsia" w:ascii="宋体" w:hAnsi="宋体" w:eastAsia="宋体" w:cs="宋体"/>
                <w:spacing w:val="9"/>
                <w:sz w:val="20"/>
                <w:szCs w:val="20"/>
              </w:rPr>
              <w:t>投标的政府采购项目完成期限未超过招标文件规定期限的；</w:t>
            </w:r>
            <w:bookmarkEnd w:id="511"/>
            <w:bookmarkEnd w:id="512"/>
          </w:p>
        </w:tc>
        <w:tc>
          <w:tcPr>
            <w:tcW w:w="978" w:type="dxa"/>
            <w:tcBorders>
              <w:top w:val="single" w:color="000000" w:sz="2" w:space="0"/>
              <w:left w:val="single" w:color="000000" w:sz="2" w:space="0"/>
              <w:right w:val="single" w:color="000000" w:sz="2" w:space="0"/>
            </w:tcBorders>
            <w:vAlign w:val="top"/>
          </w:tcPr>
          <w:p w14:paraId="5B886000">
            <w:pPr>
              <w:pStyle w:val="32"/>
            </w:pPr>
          </w:p>
        </w:tc>
        <w:tc>
          <w:tcPr>
            <w:tcW w:w="581" w:type="dxa"/>
            <w:tcBorders>
              <w:top w:val="single" w:color="000000" w:sz="2" w:space="0"/>
              <w:left w:val="single" w:color="000000" w:sz="2" w:space="0"/>
              <w:right w:val="single" w:color="000000" w:sz="2" w:space="0"/>
            </w:tcBorders>
            <w:vAlign w:val="top"/>
          </w:tcPr>
          <w:p w14:paraId="0722EAD6">
            <w:pPr>
              <w:pStyle w:val="32"/>
            </w:pPr>
          </w:p>
        </w:tc>
      </w:tr>
      <w:tr w14:paraId="764F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59A53AA0">
            <w:pPr>
              <w:pStyle w:val="32"/>
            </w:pPr>
          </w:p>
        </w:tc>
        <w:tc>
          <w:tcPr>
            <w:tcW w:w="598" w:type="dxa"/>
            <w:tcBorders>
              <w:left w:val="single" w:color="000000" w:sz="2" w:space="0"/>
            </w:tcBorders>
            <w:vAlign w:val="top"/>
          </w:tcPr>
          <w:p w14:paraId="1C450AB0">
            <w:pPr>
              <w:spacing w:before="207" w:line="189" w:lineRule="auto"/>
              <w:ind w:left="251"/>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5791" w:type="dxa"/>
            <w:tcBorders>
              <w:right w:val="single" w:color="000000" w:sz="2" w:space="0"/>
            </w:tcBorders>
            <w:vAlign w:val="top"/>
          </w:tcPr>
          <w:p w14:paraId="08F61E71">
            <w:pPr>
              <w:spacing w:before="174" w:line="227" w:lineRule="auto"/>
              <w:ind w:left="111"/>
              <w:outlineLvl w:val="0"/>
              <w:rPr>
                <w:rFonts w:ascii="宋体" w:hAnsi="宋体" w:eastAsia="宋体" w:cs="宋体"/>
                <w:sz w:val="20"/>
                <w:szCs w:val="20"/>
              </w:rPr>
            </w:pPr>
            <w:bookmarkStart w:id="513" w:name="_Toc13998"/>
            <w:bookmarkStart w:id="514" w:name="_Toc9463"/>
            <w:r>
              <w:rPr>
                <w:rFonts w:hint="eastAsia" w:ascii="宋体" w:hAnsi="宋体" w:eastAsia="宋体" w:cs="宋体"/>
                <w:sz w:val="20"/>
                <w:szCs w:val="20"/>
              </w:rPr>
              <w:t>投标文件载明的技术规格、技术标准、货物包装方式、检验标准和方法等，</w:t>
            </w:r>
            <w:r>
              <w:rPr>
                <w:rFonts w:hint="eastAsia" w:ascii="宋体" w:hAnsi="宋体" w:eastAsia="宋体" w:cs="宋体"/>
                <w:sz w:val="20"/>
                <w:szCs w:val="20"/>
                <w:lang w:val="en-US" w:eastAsia="zh-CN"/>
              </w:rPr>
              <w:t>均</w:t>
            </w:r>
            <w:r>
              <w:rPr>
                <w:rFonts w:hint="eastAsia" w:ascii="宋体" w:hAnsi="宋体" w:eastAsia="宋体" w:cs="宋体"/>
                <w:sz w:val="20"/>
                <w:szCs w:val="20"/>
              </w:rPr>
              <w:t>符合招标文件要求；</w:t>
            </w:r>
            <w:bookmarkEnd w:id="513"/>
            <w:bookmarkEnd w:id="514"/>
          </w:p>
        </w:tc>
        <w:tc>
          <w:tcPr>
            <w:tcW w:w="978" w:type="dxa"/>
            <w:tcBorders>
              <w:left w:val="single" w:color="000000" w:sz="2" w:space="0"/>
            </w:tcBorders>
            <w:vAlign w:val="top"/>
          </w:tcPr>
          <w:p w14:paraId="0E09D2A5">
            <w:pPr>
              <w:pStyle w:val="32"/>
            </w:pPr>
          </w:p>
        </w:tc>
        <w:tc>
          <w:tcPr>
            <w:tcW w:w="581" w:type="dxa"/>
            <w:tcBorders>
              <w:right w:val="single" w:color="000000" w:sz="2" w:space="0"/>
            </w:tcBorders>
            <w:vAlign w:val="top"/>
          </w:tcPr>
          <w:p w14:paraId="0198D5AF">
            <w:pPr>
              <w:pStyle w:val="32"/>
            </w:pPr>
          </w:p>
        </w:tc>
      </w:tr>
      <w:tr w14:paraId="4715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09232DF1">
            <w:pPr>
              <w:pStyle w:val="32"/>
            </w:pPr>
          </w:p>
        </w:tc>
        <w:tc>
          <w:tcPr>
            <w:tcW w:w="598" w:type="dxa"/>
            <w:tcBorders>
              <w:left w:val="single" w:color="000000" w:sz="2" w:space="0"/>
            </w:tcBorders>
            <w:vAlign w:val="top"/>
          </w:tcPr>
          <w:p w14:paraId="5D04B0DE">
            <w:pPr>
              <w:spacing w:before="206" w:line="189" w:lineRule="auto"/>
              <w:ind w:left="251"/>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5791" w:type="dxa"/>
            <w:tcBorders>
              <w:right w:val="single" w:color="000000" w:sz="2" w:space="0"/>
            </w:tcBorders>
            <w:vAlign w:val="top"/>
          </w:tcPr>
          <w:p w14:paraId="0ECA0CCA">
            <w:pPr>
              <w:spacing w:before="172" w:line="228" w:lineRule="auto"/>
              <w:ind w:left="112"/>
              <w:outlineLvl w:val="0"/>
              <w:rPr>
                <w:rFonts w:ascii="宋体" w:hAnsi="宋体" w:eastAsia="宋体" w:cs="宋体"/>
                <w:sz w:val="20"/>
                <w:szCs w:val="20"/>
              </w:rPr>
            </w:pPr>
            <w:bookmarkStart w:id="515" w:name="_Toc6025"/>
            <w:bookmarkStart w:id="516" w:name="_Toc20346"/>
            <w:r>
              <w:rPr>
                <w:rFonts w:hint="eastAsia" w:ascii="宋体" w:hAnsi="宋体" w:eastAsia="宋体" w:cs="宋体"/>
                <w:sz w:val="20"/>
                <w:szCs w:val="20"/>
              </w:rPr>
              <w:t>投标文件</w:t>
            </w:r>
            <w:r>
              <w:rPr>
                <w:rFonts w:hint="eastAsia" w:ascii="宋体" w:hAnsi="宋体" w:eastAsia="宋体" w:cs="宋体"/>
                <w:sz w:val="20"/>
                <w:szCs w:val="20"/>
                <w:lang w:val="en-US" w:eastAsia="zh-CN"/>
              </w:rPr>
              <w:t>没</w:t>
            </w:r>
            <w:r>
              <w:rPr>
                <w:rFonts w:hint="eastAsia" w:ascii="宋体" w:hAnsi="宋体" w:eastAsia="宋体" w:cs="宋体"/>
                <w:sz w:val="20"/>
                <w:szCs w:val="20"/>
              </w:rPr>
              <w:t>有采购人不能接受</w:t>
            </w:r>
            <w:r>
              <w:rPr>
                <w:rFonts w:hint="eastAsia" w:ascii="宋体" w:hAnsi="宋体" w:eastAsia="宋体" w:cs="宋体"/>
                <w:sz w:val="20"/>
                <w:szCs w:val="20"/>
                <w:lang w:val="en-US" w:eastAsia="zh-CN"/>
              </w:rPr>
              <w:t>的</w:t>
            </w:r>
            <w:r>
              <w:rPr>
                <w:rFonts w:hint="eastAsia" w:ascii="宋体" w:hAnsi="宋体" w:eastAsia="宋体" w:cs="宋体"/>
                <w:sz w:val="20"/>
                <w:szCs w:val="20"/>
              </w:rPr>
              <w:t>条件</w:t>
            </w:r>
            <w:bookmarkEnd w:id="515"/>
            <w:bookmarkEnd w:id="516"/>
          </w:p>
        </w:tc>
        <w:tc>
          <w:tcPr>
            <w:tcW w:w="978" w:type="dxa"/>
            <w:tcBorders>
              <w:left w:val="single" w:color="000000" w:sz="2" w:space="0"/>
            </w:tcBorders>
            <w:vAlign w:val="top"/>
          </w:tcPr>
          <w:p w14:paraId="785E2E17">
            <w:pPr>
              <w:pStyle w:val="32"/>
            </w:pPr>
          </w:p>
        </w:tc>
        <w:tc>
          <w:tcPr>
            <w:tcW w:w="581" w:type="dxa"/>
            <w:tcBorders>
              <w:right w:val="single" w:color="000000" w:sz="2" w:space="0"/>
            </w:tcBorders>
            <w:vAlign w:val="top"/>
          </w:tcPr>
          <w:p w14:paraId="70B1E614">
            <w:pPr>
              <w:pStyle w:val="32"/>
            </w:pPr>
          </w:p>
        </w:tc>
      </w:tr>
      <w:tr w14:paraId="3EEF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674802A4">
            <w:pPr>
              <w:pStyle w:val="32"/>
            </w:pPr>
          </w:p>
        </w:tc>
        <w:tc>
          <w:tcPr>
            <w:tcW w:w="598" w:type="dxa"/>
            <w:tcBorders>
              <w:left w:val="single" w:color="000000" w:sz="2" w:space="0"/>
            </w:tcBorders>
            <w:vAlign w:val="top"/>
          </w:tcPr>
          <w:p w14:paraId="7891FC32">
            <w:pPr>
              <w:spacing w:before="206" w:line="189" w:lineRule="auto"/>
              <w:ind w:left="251"/>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5791" w:type="dxa"/>
            <w:tcBorders>
              <w:right w:val="single" w:color="000000" w:sz="2" w:space="0"/>
            </w:tcBorders>
            <w:vAlign w:val="top"/>
          </w:tcPr>
          <w:p w14:paraId="0A5844CC">
            <w:pPr>
              <w:spacing w:before="172" w:line="228" w:lineRule="auto"/>
              <w:ind w:left="112"/>
              <w:outlineLvl w:val="0"/>
              <w:rPr>
                <w:rFonts w:hint="eastAsia" w:ascii="宋体" w:hAnsi="宋体" w:eastAsia="宋体" w:cs="宋体"/>
                <w:spacing w:val="8"/>
                <w:sz w:val="20"/>
                <w:szCs w:val="20"/>
              </w:rPr>
            </w:pPr>
            <w:bookmarkStart w:id="517" w:name="_Toc32676"/>
            <w:bookmarkStart w:id="518" w:name="_Toc2567"/>
            <w:r>
              <w:rPr>
                <w:rFonts w:hint="eastAsia" w:ascii="宋体" w:hAnsi="宋体" w:eastAsia="宋体" w:cs="宋体"/>
                <w:spacing w:val="8"/>
                <w:sz w:val="20"/>
                <w:szCs w:val="20"/>
              </w:rPr>
              <w:t>投标人之间或者投标人与采购人</w:t>
            </w:r>
            <w:r>
              <w:rPr>
                <w:rFonts w:hint="eastAsia" w:ascii="宋体" w:hAnsi="宋体" w:eastAsia="宋体" w:cs="宋体"/>
                <w:spacing w:val="8"/>
                <w:sz w:val="20"/>
                <w:szCs w:val="20"/>
                <w:lang w:val="en-US" w:eastAsia="zh-CN"/>
              </w:rPr>
              <w:t>没有</w:t>
            </w:r>
            <w:r>
              <w:rPr>
                <w:rFonts w:hint="eastAsia" w:ascii="宋体" w:hAnsi="宋体" w:eastAsia="宋体" w:cs="宋体"/>
                <w:spacing w:val="8"/>
                <w:sz w:val="20"/>
                <w:szCs w:val="20"/>
              </w:rPr>
              <w:t>串通投标；</w:t>
            </w:r>
            <w:bookmarkEnd w:id="517"/>
            <w:bookmarkEnd w:id="518"/>
          </w:p>
        </w:tc>
        <w:tc>
          <w:tcPr>
            <w:tcW w:w="978" w:type="dxa"/>
            <w:tcBorders>
              <w:left w:val="single" w:color="000000" w:sz="2" w:space="0"/>
            </w:tcBorders>
            <w:vAlign w:val="top"/>
          </w:tcPr>
          <w:p w14:paraId="1431CC3A">
            <w:pPr>
              <w:pStyle w:val="32"/>
            </w:pPr>
          </w:p>
        </w:tc>
        <w:tc>
          <w:tcPr>
            <w:tcW w:w="581" w:type="dxa"/>
            <w:tcBorders>
              <w:right w:val="single" w:color="000000" w:sz="2" w:space="0"/>
            </w:tcBorders>
            <w:vAlign w:val="top"/>
          </w:tcPr>
          <w:p w14:paraId="26DAB961">
            <w:pPr>
              <w:pStyle w:val="32"/>
            </w:pPr>
          </w:p>
        </w:tc>
      </w:tr>
      <w:tr w14:paraId="2F82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3F3D1DEF">
            <w:pPr>
              <w:pStyle w:val="32"/>
            </w:pPr>
          </w:p>
        </w:tc>
        <w:tc>
          <w:tcPr>
            <w:tcW w:w="598" w:type="dxa"/>
            <w:tcBorders>
              <w:left w:val="single" w:color="000000" w:sz="2" w:space="0"/>
            </w:tcBorders>
            <w:vAlign w:val="top"/>
          </w:tcPr>
          <w:p w14:paraId="561D1F9B">
            <w:pPr>
              <w:spacing w:before="206" w:line="189" w:lineRule="auto"/>
              <w:ind w:left="251"/>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5791" w:type="dxa"/>
            <w:tcBorders>
              <w:right w:val="single" w:color="000000" w:sz="2" w:space="0"/>
            </w:tcBorders>
            <w:vAlign w:val="top"/>
          </w:tcPr>
          <w:p w14:paraId="32B64781">
            <w:pPr>
              <w:spacing w:before="172" w:line="228" w:lineRule="auto"/>
              <w:ind w:left="112"/>
              <w:outlineLvl w:val="0"/>
              <w:rPr>
                <w:rFonts w:hint="eastAsia" w:ascii="宋体" w:hAnsi="宋体" w:eastAsia="宋体" w:cs="宋体"/>
                <w:spacing w:val="8"/>
                <w:sz w:val="20"/>
                <w:szCs w:val="20"/>
              </w:rPr>
            </w:pPr>
            <w:bookmarkStart w:id="519" w:name="_Toc27066"/>
            <w:bookmarkStart w:id="520" w:name="_Toc1040"/>
            <w:r>
              <w:rPr>
                <w:rFonts w:hint="eastAsia" w:ascii="宋体" w:hAnsi="宋体" w:eastAsia="宋体" w:cs="宋体"/>
                <w:spacing w:val="8"/>
                <w:sz w:val="20"/>
                <w:szCs w:val="20"/>
                <w:lang w:val="en-US" w:eastAsia="zh-CN"/>
              </w:rPr>
              <w:t>不存在</w:t>
            </w:r>
            <w:r>
              <w:rPr>
                <w:rFonts w:hint="eastAsia" w:ascii="宋体" w:hAnsi="宋体" w:eastAsia="宋体" w:cs="宋体"/>
                <w:spacing w:val="8"/>
                <w:sz w:val="20"/>
                <w:szCs w:val="20"/>
              </w:rPr>
              <w:t>以行贿手段谋取中标或者以其他弄虚作假方式投标的；</w:t>
            </w:r>
            <w:bookmarkEnd w:id="519"/>
            <w:bookmarkEnd w:id="520"/>
          </w:p>
        </w:tc>
        <w:tc>
          <w:tcPr>
            <w:tcW w:w="978" w:type="dxa"/>
            <w:tcBorders>
              <w:left w:val="single" w:color="000000" w:sz="2" w:space="0"/>
            </w:tcBorders>
            <w:vAlign w:val="top"/>
          </w:tcPr>
          <w:p w14:paraId="38F1E188">
            <w:pPr>
              <w:pStyle w:val="32"/>
            </w:pPr>
          </w:p>
        </w:tc>
        <w:tc>
          <w:tcPr>
            <w:tcW w:w="581" w:type="dxa"/>
            <w:tcBorders>
              <w:right w:val="single" w:color="000000" w:sz="2" w:space="0"/>
            </w:tcBorders>
            <w:vAlign w:val="top"/>
          </w:tcPr>
          <w:p w14:paraId="073906BA">
            <w:pPr>
              <w:pStyle w:val="32"/>
            </w:pPr>
          </w:p>
        </w:tc>
      </w:tr>
      <w:tr w14:paraId="0F256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6FDA7F18">
            <w:pPr>
              <w:pStyle w:val="32"/>
            </w:pPr>
          </w:p>
        </w:tc>
        <w:tc>
          <w:tcPr>
            <w:tcW w:w="598" w:type="dxa"/>
            <w:tcBorders>
              <w:left w:val="single" w:color="000000" w:sz="2" w:space="0"/>
            </w:tcBorders>
            <w:vAlign w:val="top"/>
          </w:tcPr>
          <w:p w14:paraId="5E9AD5B3">
            <w:pPr>
              <w:spacing w:before="206" w:line="189" w:lineRule="auto"/>
              <w:ind w:left="251"/>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5791" w:type="dxa"/>
            <w:tcBorders>
              <w:right w:val="single" w:color="000000" w:sz="2" w:space="0"/>
            </w:tcBorders>
            <w:vAlign w:val="top"/>
          </w:tcPr>
          <w:p w14:paraId="7D436A4C">
            <w:pPr>
              <w:spacing w:before="172" w:line="228" w:lineRule="auto"/>
              <w:ind w:left="112"/>
              <w:outlineLvl w:val="0"/>
              <w:rPr>
                <w:rFonts w:hint="eastAsia" w:ascii="宋体" w:hAnsi="宋体" w:eastAsia="宋体" w:cs="宋体"/>
                <w:spacing w:val="8"/>
                <w:sz w:val="20"/>
                <w:szCs w:val="20"/>
              </w:rPr>
            </w:pPr>
            <w:bookmarkStart w:id="521" w:name="_Toc15604"/>
            <w:bookmarkStart w:id="522" w:name="_Toc20757"/>
            <w:r>
              <w:rPr>
                <w:rFonts w:hint="eastAsia" w:ascii="宋体" w:hAnsi="宋体" w:eastAsia="宋体" w:cs="宋体"/>
                <w:spacing w:val="8"/>
                <w:sz w:val="20"/>
                <w:szCs w:val="20"/>
              </w:rPr>
              <w:t>满足招标文件实质性要求的其他情形.</w:t>
            </w:r>
            <w:bookmarkEnd w:id="521"/>
            <w:bookmarkEnd w:id="522"/>
          </w:p>
        </w:tc>
        <w:tc>
          <w:tcPr>
            <w:tcW w:w="978" w:type="dxa"/>
            <w:tcBorders>
              <w:left w:val="single" w:color="000000" w:sz="2" w:space="0"/>
            </w:tcBorders>
            <w:vAlign w:val="top"/>
          </w:tcPr>
          <w:p w14:paraId="020555EA">
            <w:pPr>
              <w:pStyle w:val="32"/>
            </w:pPr>
          </w:p>
        </w:tc>
        <w:tc>
          <w:tcPr>
            <w:tcW w:w="581" w:type="dxa"/>
            <w:tcBorders>
              <w:right w:val="single" w:color="000000" w:sz="2" w:space="0"/>
            </w:tcBorders>
            <w:vAlign w:val="top"/>
          </w:tcPr>
          <w:p w14:paraId="351FE30C">
            <w:pPr>
              <w:pStyle w:val="32"/>
            </w:pPr>
          </w:p>
        </w:tc>
      </w:tr>
      <w:tr w14:paraId="06D6B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832" w:type="dxa"/>
            <w:tcBorders>
              <w:left w:val="single" w:color="000000" w:sz="2" w:space="0"/>
              <w:bottom w:val="single" w:color="000000" w:sz="2" w:space="0"/>
              <w:right w:val="single" w:color="000000" w:sz="2" w:space="0"/>
            </w:tcBorders>
            <w:vAlign w:val="top"/>
          </w:tcPr>
          <w:p w14:paraId="1E899B3A">
            <w:pPr>
              <w:pStyle w:val="32"/>
            </w:pPr>
          </w:p>
        </w:tc>
        <w:tc>
          <w:tcPr>
            <w:tcW w:w="6389" w:type="dxa"/>
            <w:gridSpan w:val="2"/>
            <w:tcBorders>
              <w:left w:val="single" w:color="000000" w:sz="2" w:space="0"/>
              <w:bottom w:val="single" w:color="000000" w:sz="2" w:space="0"/>
              <w:right w:val="single" w:color="000000" w:sz="2" w:space="0"/>
            </w:tcBorders>
            <w:vAlign w:val="top"/>
          </w:tcPr>
          <w:p w14:paraId="51F2A019">
            <w:pPr>
              <w:spacing w:before="174" w:line="228" w:lineRule="auto"/>
              <w:ind w:left="116"/>
              <w:outlineLvl w:val="0"/>
              <w:rPr>
                <w:rFonts w:ascii="宋体" w:hAnsi="宋体" w:eastAsia="宋体" w:cs="宋体"/>
                <w:sz w:val="20"/>
                <w:szCs w:val="20"/>
              </w:rPr>
            </w:pPr>
            <w:bookmarkStart w:id="523" w:name="_Toc20504"/>
            <w:bookmarkStart w:id="524" w:name="_Toc15892"/>
            <w:bookmarkStart w:id="525" w:name="_Toc25793"/>
            <w:r>
              <w:rPr>
                <w:rFonts w:ascii="宋体" w:hAnsi="宋体" w:eastAsia="宋体" w:cs="宋体"/>
                <w:spacing w:val="8"/>
                <w:sz w:val="20"/>
                <w:szCs w:val="20"/>
              </w:rPr>
              <w:t>结论：是否通过评审（须填写通过或不通过）</w:t>
            </w:r>
            <w:bookmarkEnd w:id="523"/>
            <w:bookmarkEnd w:id="524"/>
            <w:bookmarkEnd w:id="525"/>
          </w:p>
          <w:p w14:paraId="7F575B6A">
            <w:pPr>
              <w:spacing w:before="191" w:line="228" w:lineRule="auto"/>
              <w:ind w:left="111"/>
              <w:outlineLvl w:val="0"/>
              <w:rPr>
                <w:rFonts w:ascii="宋体" w:hAnsi="宋体" w:eastAsia="宋体" w:cs="宋体"/>
                <w:sz w:val="20"/>
                <w:szCs w:val="20"/>
              </w:rPr>
            </w:pPr>
            <w:bookmarkStart w:id="526" w:name="_Toc18205"/>
            <w:bookmarkStart w:id="527" w:name="_Toc6791"/>
            <w:bookmarkStart w:id="528" w:name="_Toc30767"/>
            <w:r>
              <w:rPr>
                <w:rFonts w:ascii="宋体" w:hAnsi="宋体" w:eastAsia="宋体" w:cs="宋体"/>
                <w:spacing w:val="7"/>
                <w:sz w:val="20"/>
                <w:szCs w:val="20"/>
              </w:rPr>
              <w:t>注：如有一项不合格，作废标处理。</w:t>
            </w:r>
            <w:bookmarkEnd w:id="526"/>
            <w:bookmarkEnd w:id="527"/>
            <w:bookmarkEnd w:id="528"/>
          </w:p>
        </w:tc>
        <w:tc>
          <w:tcPr>
            <w:tcW w:w="1559" w:type="dxa"/>
            <w:gridSpan w:val="2"/>
            <w:tcBorders>
              <w:left w:val="single" w:color="000000" w:sz="2" w:space="0"/>
              <w:bottom w:val="single" w:color="000000" w:sz="2" w:space="0"/>
              <w:right w:val="single" w:color="000000" w:sz="2" w:space="0"/>
            </w:tcBorders>
            <w:vAlign w:val="top"/>
          </w:tcPr>
          <w:p w14:paraId="542010A0">
            <w:pPr>
              <w:pStyle w:val="32"/>
            </w:pPr>
          </w:p>
        </w:tc>
      </w:tr>
    </w:tbl>
    <w:p w14:paraId="04DD632C">
      <w:pPr>
        <w:pStyle w:val="9"/>
        <w:numPr>
          <w:ilvl w:val="0"/>
          <w:numId w:val="0"/>
        </w:numPr>
        <w:spacing w:before="135" w:line="360" w:lineRule="auto"/>
        <w:jc w:val="both"/>
        <w:rPr>
          <w:rFonts w:hint="default" w:ascii="宋体" w:hAnsi="宋体" w:eastAsia="宋体" w:cs="宋体"/>
          <w:sz w:val="36"/>
          <w:szCs w:val="36"/>
          <w:lang w:val="en-US" w:eastAsia="zh-CN"/>
        </w:rPr>
      </w:pPr>
    </w:p>
    <w:p w14:paraId="744C6700">
      <w:pPr>
        <w:pStyle w:val="9"/>
        <w:numPr>
          <w:ilvl w:val="0"/>
          <w:numId w:val="0"/>
        </w:numPr>
        <w:spacing w:before="135" w:line="360" w:lineRule="auto"/>
        <w:jc w:val="both"/>
        <w:rPr>
          <w:rFonts w:hint="default" w:ascii="宋体" w:hAnsi="宋体" w:eastAsia="宋体" w:cs="宋体"/>
          <w:sz w:val="36"/>
          <w:szCs w:val="36"/>
          <w:lang w:val="en-US" w:eastAsia="zh-CN"/>
        </w:rPr>
      </w:pPr>
    </w:p>
    <w:p w14:paraId="601BFBCE">
      <w:pPr>
        <w:pStyle w:val="9"/>
        <w:numPr>
          <w:ilvl w:val="0"/>
          <w:numId w:val="0"/>
        </w:numPr>
        <w:spacing w:before="135" w:line="360" w:lineRule="auto"/>
        <w:jc w:val="both"/>
        <w:rPr>
          <w:rFonts w:hint="default" w:ascii="宋体" w:hAnsi="宋体" w:eastAsia="宋体" w:cs="宋体"/>
          <w:sz w:val="36"/>
          <w:szCs w:val="36"/>
          <w:lang w:val="en-US" w:eastAsia="zh-CN"/>
        </w:rPr>
      </w:pPr>
    </w:p>
    <w:p w14:paraId="109B3937">
      <w:pPr>
        <w:pStyle w:val="9"/>
        <w:numPr>
          <w:ilvl w:val="0"/>
          <w:numId w:val="0"/>
        </w:numPr>
        <w:spacing w:before="135" w:line="360" w:lineRule="auto"/>
        <w:jc w:val="both"/>
        <w:rPr>
          <w:rFonts w:hint="default" w:ascii="宋体" w:hAnsi="宋体" w:eastAsia="宋体" w:cs="宋体"/>
          <w:sz w:val="36"/>
          <w:szCs w:val="36"/>
          <w:lang w:val="en-US" w:eastAsia="zh-CN"/>
        </w:rPr>
      </w:pPr>
    </w:p>
    <w:p w14:paraId="7C7AF245">
      <w:pPr>
        <w:pStyle w:val="9"/>
        <w:numPr>
          <w:ilvl w:val="0"/>
          <w:numId w:val="0"/>
        </w:numPr>
        <w:spacing w:before="135" w:line="360" w:lineRule="auto"/>
        <w:jc w:val="both"/>
        <w:rPr>
          <w:rFonts w:hint="default" w:ascii="宋体" w:hAnsi="宋体" w:eastAsia="宋体" w:cs="宋体"/>
          <w:sz w:val="36"/>
          <w:szCs w:val="36"/>
          <w:lang w:val="en-US" w:eastAsia="zh-CN"/>
        </w:rPr>
      </w:pPr>
    </w:p>
    <w:p w14:paraId="28B59F55">
      <w:pPr>
        <w:spacing w:line="254" w:lineRule="auto"/>
        <w:rPr>
          <w:rFonts w:ascii="Arial"/>
          <w:sz w:val="21"/>
        </w:rPr>
      </w:pPr>
    </w:p>
    <w:p w14:paraId="0AAF9C95">
      <w:pPr>
        <w:spacing w:line="254" w:lineRule="auto"/>
        <w:rPr>
          <w:rFonts w:ascii="Arial"/>
          <w:sz w:val="21"/>
        </w:rPr>
      </w:pPr>
    </w:p>
    <w:p w14:paraId="55F7FC88">
      <w:pPr>
        <w:spacing w:before="162"/>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评分办法（综合评分法）及评分标准</w:t>
      </w:r>
    </w:p>
    <w:p w14:paraId="514FC047">
      <w:pPr>
        <w:pStyle w:val="21"/>
        <w:jc w:val="center"/>
        <w:rPr>
          <w:rFonts w:hint="eastAsia" w:ascii="宋体" w:hAnsi="宋体" w:eastAsia="宋体" w:cs="宋体"/>
          <w:b/>
          <w:bCs/>
          <w:sz w:val="24"/>
          <w:szCs w:val="24"/>
          <w:lang w:val="en-US" w:eastAsia="zh-CN"/>
        </w:rPr>
      </w:pPr>
    </w:p>
    <w:p w14:paraId="5CFAF921">
      <w:pPr>
        <w:pStyle w:val="21"/>
        <w:jc w:val="center"/>
        <w:rPr>
          <w:rFonts w:hint="default"/>
          <w:lang w:val="en-US" w:eastAsia="zh-CN"/>
        </w:rPr>
      </w:pPr>
      <w:r>
        <w:rPr>
          <w:rFonts w:hint="eastAsia" w:ascii="宋体" w:hAnsi="宋体" w:eastAsia="宋体" w:cs="宋体"/>
          <w:b/>
          <w:bCs/>
          <w:sz w:val="24"/>
          <w:szCs w:val="24"/>
          <w:lang w:val="en-US" w:eastAsia="zh-CN"/>
        </w:rPr>
        <w:t>第一包、第二包、第三包</w:t>
      </w:r>
    </w:p>
    <w:tbl>
      <w:tblPr>
        <w:tblStyle w:val="31"/>
        <w:tblpPr w:leftFromText="180" w:rightFromText="180" w:vertAnchor="text" w:horzAnchor="page" w:tblpX="481" w:tblpY="270"/>
        <w:tblOverlap w:val="never"/>
        <w:tblW w:w="110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600"/>
        <w:gridCol w:w="899"/>
        <w:gridCol w:w="621"/>
        <w:gridCol w:w="8029"/>
      </w:tblGrid>
      <w:tr w14:paraId="62C62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869" w:type="dxa"/>
            <w:vAlign w:val="center"/>
          </w:tcPr>
          <w:p w14:paraId="22F39B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r>
              <w:rPr>
                <w:sz w:val="20"/>
                <w:szCs w:val="20"/>
              </w:rPr>
              <w:t>评分项目</w:t>
            </w:r>
          </w:p>
        </w:tc>
        <w:tc>
          <w:tcPr>
            <w:tcW w:w="1499" w:type="dxa"/>
            <w:gridSpan w:val="2"/>
            <w:vAlign w:val="center"/>
          </w:tcPr>
          <w:p w14:paraId="00664A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r>
              <w:rPr>
                <w:sz w:val="20"/>
                <w:szCs w:val="20"/>
              </w:rPr>
              <w:t>评审项目</w:t>
            </w:r>
          </w:p>
        </w:tc>
        <w:tc>
          <w:tcPr>
            <w:tcW w:w="621" w:type="dxa"/>
            <w:vAlign w:val="center"/>
          </w:tcPr>
          <w:p w14:paraId="680635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r>
              <w:rPr>
                <w:sz w:val="20"/>
                <w:szCs w:val="20"/>
              </w:rPr>
              <w:t>分值</w:t>
            </w:r>
          </w:p>
        </w:tc>
        <w:tc>
          <w:tcPr>
            <w:tcW w:w="8029" w:type="dxa"/>
            <w:vAlign w:val="center"/>
          </w:tcPr>
          <w:p w14:paraId="34B0D3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r>
              <w:rPr>
                <w:sz w:val="20"/>
                <w:szCs w:val="20"/>
              </w:rPr>
              <w:t>评标要点及说明</w:t>
            </w:r>
          </w:p>
        </w:tc>
      </w:tr>
      <w:tr w14:paraId="5D50E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trPr>
        <w:tc>
          <w:tcPr>
            <w:tcW w:w="869" w:type="dxa"/>
            <w:vAlign w:val="center"/>
          </w:tcPr>
          <w:p w14:paraId="6DF007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p w14:paraId="6A5853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r>
              <w:rPr>
                <w:sz w:val="20"/>
                <w:szCs w:val="20"/>
              </w:rPr>
              <w:t>报价部分</w:t>
            </w:r>
          </w:p>
          <w:p w14:paraId="1FAB3B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1499" w:type="dxa"/>
            <w:gridSpan w:val="2"/>
            <w:vAlign w:val="center"/>
          </w:tcPr>
          <w:p w14:paraId="7FEAB0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r>
              <w:rPr>
                <w:sz w:val="20"/>
                <w:szCs w:val="20"/>
              </w:rPr>
              <w:t>投标报价</w:t>
            </w:r>
          </w:p>
        </w:tc>
        <w:tc>
          <w:tcPr>
            <w:tcW w:w="621" w:type="dxa"/>
            <w:vAlign w:val="center"/>
          </w:tcPr>
          <w:p w14:paraId="6D916A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r>
              <w:rPr>
                <w:rFonts w:hint="eastAsia"/>
                <w:sz w:val="20"/>
                <w:szCs w:val="20"/>
                <w:lang w:val="en-US" w:eastAsia="zh-CN"/>
              </w:rPr>
              <w:t>30</w:t>
            </w:r>
            <w:r>
              <w:rPr>
                <w:sz w:val="20"/>
                <w:szCs w:val="20"/>
              </w:rPr>
              <w:t>分</w:t>
            </w:r>
          </w:p>
        </w:tc>
        <w:tc>
          <w:tcPr>
            <w:tcW w:w="8029" w:type="dxa"/>
            <w:vAlign w:val="top"/>
          </w:tcPr>
          <w:p w14:paraId="6D74D6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0"/>
                <w:szCs w:val="20"/>
              </w:rPr>
            </w:pPr>
            <w:r>
              <w:rPr>
                <w:sz w:val="20"/>
                <w:szCs w:val="20"/>
              </w:rPr>
              <w:t>价格分应当采用低价优先法计算，即满足招标文件要求且投标价格最低的投标报价为评标基准价，其价格分为满分。</w:t>
            </w:r>
          </w:p>
          <w:p w14:paraId="7AE9F1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0"/>
                <w:szCs w:val="20"/>
              </w:rPr>
            </w:pPr>
            <w:r>
              <w:rPr>
                <w:sz w:val="20"/>
                <w:szCs w:val="20"/>
              </w:rPr>
              <w:t>其他供应商的价格分统一按照下列公式计算：投标报价得分=（评标基准价/投标报价）×100×权重</w:t>
            </w:r>
          </w:p>
          <w:p w14:paraId="57E362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0"/>
                <w:szCs w:val="20"/>
              </w:rPr>
            </w:pPr>
            <w:r>
              <w:rPr>
                <w:sz w:val="20"/>
                <w:szCs w:val="20"/>
              </w:rPr>
              <w:t>备注：投标报价得分四舍五入后，小数点后保留两位有效数。</w:t>
            </w:r>
          </w:p>
          <w:p w14:paraId="7A9618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sz w:val="20"/>
                <w:szCs w:val="20"/>
                <w:lang w:val="en-US" w:eastAsia="zh-CN"/>
              </w:rPr>
            </w:pPr>
            <w:r>
              <w:rPr>
                <w:rFonts w:hint="eastAsia" w:eastAsia="宋体"/>
                <w:sz w:val="20"/>
                <w:szCs w:val="20"/>
                <w:lang w:val="en-US" w:eastAsia="zh-CN"/>
              </w:rPr>
              <w:t>注：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小微企业，其投标报价扣除10%后参与评审。对于同时属于小微企业、监狱企业残疾人福利性单位的，不重复进行投标报价扣除。</w:t>
            </w:r>
          </w:p>
        </w:tc>
      </w:tr>
      <w:tr w14:paraId="53FE1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69" w:type="dxa"/>
            <w:vMerge w:val="restart"/>
            <w:vAlign w:val="center"/>
          </w:tcPr>
          <w:p w14:paraId="1336DC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600" w:type="dxa"/>
            <w:vMerge w:val="restart"/>
            <w:vAlign w:val="center"/>
          </w:tcPr>
          <w:p w14:paraId="53140B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商务部分</w:t>
            </w:r>
          </w:p>
        </w:tc>
        <w:tc>
          <w:tcPr>
            <w:tcW w:w="899" w:type="dxa"/>
            <w:shd w:val="clear" w:color="auto" w:fill="auto"/>
            <w:vAlign w:val="center"/>
          </w:tcPr>
          <w:p w14:paraId="28AA07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Arial" w:hAnsi="Arial" w:eastAsia="宋体" w:cs="Arial"/>
                <w:snapToGrid w:val="0"/>
                <w:color w:val="000000"/>
                <w:kern w:val="0"/>
                <w:sz w:val="20"/>
                <w:szCs w:val="20"/>
                <w:lang w:val="en-US" w:eastAsia="zh-CN" w:bidi="ar-SA"/>
              </w:rPr>
            </w:pPr>
            <w:r>
              <w:rPr>
                <w:rFonts w:hint="eastAsia" w:eastAsia="宋体"/>
                <w:sz w:val="20"/>
                <w:szCs w:val="20"/>
                <w:lang w:val="en-US" w:eastAsia="zh-CN"/>
              </w:rPr>
              <w:t>配送车辆</w:t>
            </w:r>
          </w:p>
        </w:tc>
        <w:tc>
          <w:tcPr>
            <w:tcW w:w="621" w:type="dxa"/>
            <w:shd w:val="clear" w:color="auto" w:fill="auto"/>
            <w:vAlign w:val="center"/>
          </w:tcPr>
          <w:p w14:paraId="4B36C2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Arial" w:hAnsi="Arial" w:eastAsia="宋体" w:cs="Arial"/>
                <w:snapToGrid w:val="0"/>
                <w:color w:val="000000"/>
                <w:kern w:val="0"/>
                <w:sz w:val="20"/>
                <w:szCs w:val="20"/>
                <w:lang w:val="en-US" w:eastAsia="zh-CN" w:bidi="ar-SA"/>
              </w:rPr>
            </w:pPr>
            <w:r>
              <w:rPr>
                <w:rFonts w:hint="eastAsia" w:eastAsia="宋体"/>
                <w:sz w:val="20"/>
                <w:szCs w:val="20"/>
                <w:lang w:val="en-US" w:eastAsia="zh-CN"/>
              </w:rPr>
              <w:t>4分</w:t>
            </w:r>
          </w:p>
        </w:tc>
        <w:tc>
          <w:tcPr>
            <w:tcW w:w="8029" w:type="dxa"/>
            <w:shd w:val="clear" w:color="auto" w:fill="auto"/>
            <w:vAlign w:val="top"/>
          </w:tcPr>
          <w:p w14:paraId="59F761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Arial" w:hAnsi="Arial" w:eastAsia="宋体" w:cs="Arial"/>
                <w:snapToGrid w:val="0"/>
                <w:color w:val="000000"/>
                <w:kern w:val="0"/>
                <w:sz w:val="20"/>
                <w:szCs w:val="20"/>
                <w:lang w:val="en-US" w:eastAsia="zh-CN" w:bidi="ar-SA"/>
              </w:rPr>
            </w:pPr>
            <w:r>
              <w:rPr>
                <w:rFonts w:hint="eastAsia" w:ascii="Arial" w:hAnsi="Arial" w:eastAsia="宋体" w:cs="Arial"/>
                <w:snapToGrid w:val="0"/>
                <w:color w:val="000000"/>
                <w:kern w:val="0"/>
                <w:sz w:val="20"/>
                <w:szCs w:val="20"/>
                <w:lang w:val="en-US" w:eastAsia="zh-CN" w:bidi="ar-SA"/>
              </w:rPr>
              <w:t>具有满足项目所需的专业配送车辆或冷链运送车，每</w:t>
            </w:r>
            <w:r>
              <w:rPr>
                <w:rFonts w:hint="eastAsia" w:eastAsia="宋体" w:cs="Arial"/>
                <w:snapToGrid w:val="0"/>
                <w:color w:val="000000"/>
                <w:kern w:val="0"/>
                <w:sz w:val="20"/>
                <w:szCs w:val="20"/>
                <w:lang w:val="en-US" w:eastAsia="zh-CN" w:bidi="ar-SA"/>
              </w:rPr>
              <w:t>多</w:t>
            </w:r>
            <w:r>
              <w:rPr>
                <w:rFonts w:hint="eastAsia" w:ascii="Arial" w:hAnsi="Arial" w:eastAsia="宋体" w:cs="Arial"/>
                <w:snapToGrid w:val="0"/>
                <w:color w:val="000000"/>
                <w:kern w:val="0"/>
                <w:sz w:val="20"/>
                <w:szCs w:val="20"/>
                <w:lang w:val="en-US" w:eastAsia="zh-CN" w:bidi="ar-SA"/>
              </w:rPr>
              <w:t>1辆得</w:t>
            </w:r>
            <w:r>
              <w:rPr>
                <w:rFonts w:hint="eastAsia" w:eastAsia="宋体" w:cs="Arial"/>
                <w:snapToGrid w:val="0"/>
                <w:color w:val="000000"/>
                <w:kern w:val="0"/>
                <w:sz w:val="20"/>
                <w:szCs w:val="20"/>
                <w:lang w:val="en-US" w:eastAsia="zh-CN" w:bidi="ar-SA"/>
              </w:rPr>
              <w:t>1</w:t>
            </w:r>
            <w:r>
              <w:rPr>
                <w:rFonts w:hint="eastAsia" w:ascii="Arial" w:hAnsi="Arial" w:eastAsia="宋体" w:cs="Arial"/>
                <w:snapToGrid w:val="0"/>
                <w:color w:val="000000"/>
                <w:kern w:val="0"/>
                <w:sz w:val="20"/>
                <w:szCs w:val="20"/>
                <w:lang w:val="en-US" w:eastAsia="zh-CN" w:bidi="ar-SA"/>
              </w:rPr>
              <w:t>分，最高可得4分。</w:t>
            </w:r>
          </w:p>
          <w:p w14:paraId="7DD138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Arial" w:hAnsi="Arial" w:eastAsia="宋体" w:cs="Arial"/>
                <w:snapToGrid w:val="0"/>
                <w:color w:val="000000"/>
                <w:kern w:val="0"/>
                <w:sz w:val="20"/>
                <w:szCs w:val="20"/>
                <w:lang w:val="en-US" w:eastAsia="zh-CN" w:bidi="ar-SA"/>
              </w:rPr>
            </w:pPr>
            <w:r>
              <w:rPr>
                <w:rFonts w:hint="eastAsia" w:ascii="Arial" w:hAnsi="Arial" w:eastAsia="宋体" w:cs="Arial"/>
                <w:snapToGrid w:val="0"/>
                <w:color w:val="000000"/>
                <w:kern w:val="0"/>
                <w:sz w:val="20"/>
                <w:szCs w:val="20"/>
                <w:lang w:val="en-US" w:eastAsia="zh-CN" w:bidi="ar-SA"/>
              </w:rPr>
              <w:t>注：（1、自有车辆的须提供：车辆图片、机动车辆行驶证；2、租赁车辆的须提供：车辆图片、机动车行驶证、租赁合同；</w:t>
            </w:r>
            <w:r>
              <w:rPr>
                <w:rFonts w:hint="eastAsia" w:eastAsia="宋体" w:cs="Arial"/>
                <w:snapToGrid w:val="0"/>
                <w:color w:val="000000"/>
                <w:kern w:val="0"/>
                <w:sz w:val="20"/>
                <w:szCs w:val="20"/>
                <w:lang w:val="en-US" w:eastAsia="zh-CN" w:bidi="ar-SA"/>
              </w:rPr>
              <w:t>未提供证明材料或提供的证明材料无法辨别的不得分）</w:t>
            </w:r>
          </w:p>
        </w:tc>
      </w:tr>
      <w:tr w14:paraId="26F0B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869" w:type="dxa"/>
            <w:vMerge w:val="continue"/>
            <w:vAlign w:val="center"/>
          </w:tcPr>
          <w:p w14:paraId="04B092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600" w:type="dxa"/>
            <w:vMerge w:val="continue"/>
            <w:vAlign w:val="center"/>
          </w:tcPr>
          <w:p w14:paraId="130BBD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p>
        </w:tc>
        <w:tc>
          <w:tcPr>
            <w:tcW w:w="899" w:type="dxa"/>
            <w:vAlign w:val="center"/>
          </w:tcPr>
          <w:p w14:paraId="021937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人员配备</w:t>
            </w:r>
          </w:p>
        </w:tc>
        <w:tc>
          <w:tcPr>
            <w:tcW w:w="621" w:type="dxa"/>
            <w:vAlign w:val="center"/>
          </w:tcPr>
          <w:p w14:paraId="6B4656C4">
            <w:pPr>
              <w:keepNext w:val="0"/>
              <w:keepLines w:val="0"/>
              <w:pageBreakBefore w:val="0"/>
              <w:widowControl/>
              <w:kinsoku w:val="0"/>
              <w:wordWrap/>
              <w:overflowPunct/>
              <w:topLinePunct w:val="0"/>
              <w:autoSpaceDE w:val="0"/>
              <w:autoSpaceDN w:val="0"/>
              <w:bidi w:val="0"/>
              <w:adjustRightInd w:val="0"/>
              <w:snapToGrid w:val="0"/>
              <w:spacing w:line="360" w:lineRule="auto"/>
              <w:ind w:firstLine="200" w:firstLineChars="100"/>
              <w:jc w:val="both"/>
              <w:textAlignment w:val="baseline"/>
              <w:rPr>
                <w:rFonts w:hint="default" w:eastAsia="宋体"/>
                <w:sz w:val="20"/>
                <w:szCs w:val="20"/>
                <w:lang w:val="en-US" w:eastAsia="zh-CN"/>
              </w:rPr>
            </w:pPr>
            <w:r>
              <w:rPr>
                <w:rFonts w:hint="eastAsia" w:eastAsia="宋体"/>
                <w:sz w:val="20"/>
                <w:szCs w:val="20"/>
                <w:lang w:val="en-US" w:eastAsia="zh-CN"/>
              </w:rPr>
              <w:t>8分</w:t>
            </w:r>
          </w:p>
        </w:tc>
        <w:tc>
          <w:tcPr>
            <w:tcW w:w="8029" w:type="dxa"/>
            <w:vAlign w:val="top"/>
          </w:tcPr>
          <w:p w14:paraId="27B33D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eastAsia="宋体"/>
                <w:sz w:val="20"/>
                <w:szCs w:val="20"/>
                <w:lang w:val="en-US" w:eastAsia="zh-CN"/>
              </w:rPr>
            </w:pPr>
            <w:r>
              <w:rPr>
                <w:rFonts w:hint="eastAsia" w:eastAsia="宋体"/>
                <w:sz w:val="20"/>
                <w:szCs w:val="20"/>
                <w:lang w:val="en-US" w:eastAsia="zh-CN"/>
              </w:rPr>
              <w:t>1.</w:t>
            </w:r>
            <w:r>
              <w:rPr>
                <w:rFonts w:hint="eastAsia"/>
                <w:sz w:val="20"/>
                <w:szCs w:val="20"/>
              </w:rPr>
              <w:t>投标供应商拟投入本项目服务团队人员：包括但不限于项目负责人、</w:t>
            </w:r>
            <w:r>
              <w:rPr>
                <w:rFonts w:hint="eastAsia" w:eastAsia="宋体"/>
                <w:sz w:val="20"/>
                <w:szCs w:val="20"/>
                <w:lang w:val="en-US" w:eastAsia="zh-CN"/>
              </w:rPr>
              <w:t>质量负责人</w:t>
            </w:r>
            <w:r>
              <w:rPr>
                <w:rFonts w:hint="eastAsia"/>
                <w:sz w:val="20"/>
                <w:szCs w:val="20"/>
              </w:rPr>
              <w:t>（需具有执业中药师资格证）、调度人员、配送人员、售后服务人员等5人或以上；满足得</w:t>
            </w:r>
            <w:r>
              <w:rPr>
                <w:rFonts w:hint="eastAsia" w:eastAsia="宋体"/>
                <w:sz w:val="20"/>
                <w:szCs w:val="20"/>
                <w:lang w:val="en-US" w:eastAsia="zh-CN"/>
              </w:rPr>
              <w:t>5</w:t>
            </w:r>
            <w:r>
              <w:rPr>
                <w:rFonts w:hint="eastAsia"/>
                <w:sz w:val="20"/>
                <w:szCs w:val="20"/>
              </w:rPr>
              <w:t>分；每缺少一人扣1分</w:t>
            </w:r>
            <w:r>
              <w:rPr>
                <w:rFonts w:hint="eastAsia" w:eastAsia="宋体"/>
                <w:sz w:val="20"/>
                <w:szCs w:val="20"/>
                <w:lang w:eastAsia="zh-CN"/>
              </w:rPr>
              <w:t>，</w:t>
            </w:r>
            <w:r>
              <w:rPr>
                <w:rFonts w:hint="eastAsia"/>
                <w:sz w:val="20"/>
                <w:szCs w:val="20"/>
              </w:rPr>
              <w:t>扣完为止。①提供服务本项目人员名单②身份证复印件③有效</w:t>
            </w:r>
            <w:r>
              <w:rPr>
                <w:rFonts w:hint="eastAsia" w:eastAsia="宋体"/>
                <w:sz w:val="20"/>
                <w:szCs w:val="20"/>
                <w:lang w:val="en-US" w:eastAsia="zh-CN"/>
              </w:rPr>
              <w:t>的</w:t>
            </w:r>
            <w:r>
              <w:rPr>
                <w:rFonts w:hint="eastAsia"/>
                <w:sz w:val="20"/>
                <w:szCs w:val="20"/>
              </w:rPr>
              <w:t>健康证</w:t>
            </w:r>
            <w:r>
              <w:rPr>
                <w:rFonts w:hint="eastAsia" w:eastAsia="宋体"/>
                <w:sz w:val="20"/>
                <w:szCs w:val="20"/>
                <w:lang w:val="en-US" w:eastAsia="zh-CN"/>
              </w:rPr>
              <w:t>明</w:t>
            </w:r>
            <w:r>
              <w:rPr>
                <w:rFonts w:hint="eastAsia"/>
                <w:sz w:val="20"/>
                <w:szCs w:val="20"/>
              </w:rPr>
              <w:t>④人员有效期内劳务合同⑤</w:t>
            </w:r>
            <w:r>
              <w:rPr>
                <w:rFonts w:hint="eastAsia" w:eastAsia="宋体"/>
                <w:sz w:val="20"/>
                <w:szCs w:val="20"/>
                <w:lang w:val="en-US" w:eastAsia="zh-CN"/>
              </w:rPr>
              <w:t>近</w:t>
            </w:r>
            <w:r>
              <w:rPr>
                <w:rFonts w:hint="eastAsia"/>
                <w:sz w:val="20"/>
                <w:szCs w:val="20"/>
              </w:rPr>
              <w:t>6个月</w:t>
            </w:r>
            <w:r>
              <w:rPr>
                <w:rFonts w:hint="eastAsia" w:eastAsia="宋体"/>
                <w:sz w:val="20"/>
                <w:szCs w:val="20"/>
                <w:lang w:val="en-US" w:eastAsia="zh-CN"/>
              </w:rPr>
              <w:t>任意一个月</w:t>
            </w:r>
            <w:r>
              <w:rPr>
                <w:rFonts w:hint="eastAsia"/>
                <w:sz w:val="20"/>
                <w:szCs w:val="20"/>
              </w:rPr>
              <w:t>社保缴纳证明⑥质量负责人员</w:t>
            </w:r>
            <w:r>
              <w:rPr>
                <w:rFonts w:hint="eastAsia" w:eastAsia="宋体"/>
                <w:sz w:val="20"/>
                <w:szCs w:val="20"/>
                <w:lang w:val="en-US" w:eastAsia="zh-CN"/>
              </w:rPr>
              <w:t>须提供在本单位注册的执业中药师资格证</w:t>
            </w:r>
          </w:p>
          <w:p w14:paraId="4FE0DF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2.除质量负责人外，每增加1名质量员</w:t>
            </w:r>
            <w:r>
              <w:rPr>
                <w:rFonts w:hint="eastAsia"/>
                <w:sz w:val="20"/>
                <w:szCs w:val="20"/>
              </w:rPr>
              <w:t>（需具有执业中药师资格证）</w:t>
            </w:r>
            <w:r>
              <w:rPr>
                <w:rFonts w:hint="eastAsia" w:eastAsia="宋体"/>
                <w:sz w:val="20"/>
                <w:szCs w:val="20"/>
                <w:lang w:val="en-US" w:eastAsia="zh-CN"/>
              </w:rPr>
              <w:t>加1分;最高得2分(需提供</w:t>
            </w:r>
            <w:r>
              <w:rPr>
                <w:rFonts w:hint="eastAsia"/>
                <w:sz w:val="20"/>
                <w:szCs w:val="20"/>
              </w:rPr>
              <w:t>①身份证复印件②有效</w:t>
            </w:r>
            <w:r>
              <w:rPr>
                <w:rFonts w:hint="eastAsia" w:eastAsia="宋体"/>
                <w:sz w:val="20"/>
                <w:szCs w:val="20"/>
                <w:lang w:val="en-US" w:eastAsia="zh-CN"/>
              </w:rPr>
              <w:t>的</w:t>
            </w:r>
            <w:r>
              <w:rPr>
                <w:rFonts w:hint="eastAsia"/>
                <w:sz w:val="20"/>
                <w:szCs w:val="20"/>
              </w:rPr>
              <w:t>健康证</w:t>
            </w:r>
            <w:r>
              <w:rPr>
                <w:rFonts w:hint="eastAsia" w:eastAsia="宋体"/>
                <w:sz w:val="20"/>
                <w:szCs w:val="20"/>
                <w:lang w:val="en-US" w:eastAsia="zh-CN"/>
              </w:rPr>
              <w:t>明</w:t>
            </w:r>
            <w:r>
              <w:rPr>
                <w:rFonts w:hint="eastAsia"/>
                <w:sz w:val="20"/>
                <w:szCs w:val="20"/>
              </w:rPr>
              <w:t>③人员有效期内劳务合同④</w:t>
            </w:r>
            <w:r>
              <w:rPr>
                <w:rFonts w:hint="eastAsia" w:eastAsia="宋体"/>
                <w:sz w:val="20"/>
                <w:szCs w:val="20"/>
                <w:lang w:val="en-US" w:eastAsia="zh-CN"/>
              </w:rPr>
              <w:t>近</w:t>
            </w:r>
            <w:r>
              <w:rPr>
                <w:rFonts w:hint="eastAsia"/>
                <w:sz w:val="20"/>
                <w:szCs w:val="20"/>
              </w:rPr>
              <w:t>6个月</w:t>
            </w:r>
            <w:r>
              <w:rPr>
                <w:rFonts w:hint="eastAsia" w:eastAsia="宋体"/>
                <w:sz w:val="20"/>
                <w:szCs w:val="20"/>
                <w:lang w:val="en-US" w:eastAsia="zh-CN"/>
              </w:rPr>
              <w:t>任意一个月</w:t>
            </w:r>
            <w:r>
              <w:rPr>
                <w:rFonts w:hint="eastAsia"/>
                <w:sz w:val="20"/>
                <w:szCs w:val="20"/>
              </w:rPr>
              <w:t>社保缴纳证明⑤</w:t>
            </w:r>
            <w:r>
              <w:rPr>
                <w:rFonts w:hint="eastAsia" w:eastAsia="宋体"/>
                <w:sz w:val="20"/>
                <w:szCs w:val="20"/>
                <w:lang w:val="en-US" w:eastAsia="zh-CN"/>
              </w:rPr>
              <w:t>注册在本单位的执业中药师资格证，不提供或提供不全不得分)</w:t>
            </w:r>
          </w:p>
          <w:p w14:paraId="521001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3.项目团队中除基本的配送人员外，每增加1名配送人员加0.5分,此项满分1分。(此项需提供配送人员</w:t>
            </w:r>
            <w:r>
              <w:rPr>
                <w:rFonts w:hint="eastAsia"/>
                <w:sz w:val="20"/>
                <w:szCs w:val="20"/>
              </w:rPr>
              <w:t>①身份证复印件②有效</w:t>
            </w:r>
            <w:r>
              <w:rPr>
                <w:rFonts w:hint="eastAsia" w:eastAsia="宋体"/>
                <w:sz w:val="20"/>
                <w:szCs w:val="20"/>
                <w:lang w:val="en-US" w:eastAsia="zh-CN"/>
              </w:rPr>
              <w:t>的</w:t>
            </w:r>
            <w:r>
              <w:rPr>
                <w:rFonts w:hint="eastAsia"/>
                <w:sz w:val="20"/>
                <w:szCs w:val="20"/>
              </w:rPr>
              <w:t>健康证</w:t>
            </w:r>
            <w:r>
              <w:rPr>
                <w:rFonts w:hint="eastAsia" w:eastAsia="宋体"/>
                <w:sz w:val="20"/>
                <w:szCs w:val="20"/>
                <w:lang w:val="en-US" w:eastAsia="zh-CN"/>
              </w:rPr>
              <w:t>明</w:t>
            </w:r>
            <w:r>
              <w:rPr>
                <w:rFonts w:hint="eastAsia"/>
                <w:sz w:val="20"/>
                <w:szCs w:val="20"/>
              </w:rPr>
              <w:t>③人员有效期内劳务合同④</w:t>
            </w:r>
            <w:r>
              <w:rPr>
                <w:rFonts w:hint="eastAsia" w:eastAsia="宋体"/>
                <w:sz w:val="20"/>
                <w:szCs w:val="20"/>
                <w:lang w:val="en-US" w:eastAsia="zh-CN"/>
              </w:rPr>
              <w:t>近</w:t>
            </w:r>
            <w:r>
              <w:rPr>
                <w:rFonts w:hint="eastAsia"/>
                <w:sz w:val="20"/>
                <w:szCs w:val="20"/>
              </w:rPr>
              <w:t>6个月</w:t>
            </w:r>
            <w:r>
              <w:rPr>
                <w:rFonts w:hint="eastAsia" w:eastAsia="宋体"/>
                <w:sz w:val="20"/>
                <w:szCs w:val="20"/>
                <w:lang w:val="en-US" w:eastAsia="zh-CN"/>
              </w:rPr>
              <w:t>任意一个月</w:t>
            </w:r>
            <w:r>
              <w:rPr>
                <w:rFonts w:hint="eastAsia"/>
                <w:sz w:val="20"/>
                <w:szCs w:val="20"/>
              </w:rPr>
              <w:t>社保缴纳证明</w:t>
            </w:r>
            <w:r>
              <w:rPr>
                <w:rFonts w:hint="eastAsia" w:eastAsia="宋体"/>
                <w:sz w:val="20"/>
                <w:szCs w:val="20"/>
                <w:lang w:val="en-US" w:eastAsia="zh-CN"/>
              </w:rPr>
              <w:t>，否则此项不得分)</w:t>
            </w:r>
          </w:p>
          <w:p w14:paraId="2F034A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eastAsia="宋体"/>
                <w:sz w:val="20"/>
                <w:szCs w:val="20"/>
                <w:lang w:val="en-US" w:eastAsia="zh-CN"/>
              </w:rPr>
            </w:pPr>
            <w:r>
              <w:rPr>
                <w:rFonts w:hint="eastAsia" w:eastAsia="宋体"/>
                <w:sz w:val="20"/>
                <w:szCs w:val="20"/>
                <w:lang w:val="en-US" w:eastAsia="zh-CN"/>
              </w:rPr>
              <w:t>注：以上人员不得互相兼任</w:t>
            </w:r>
          </w:p>
        </w:tc>
      </w:tr>
      <w:tr w14:paraId="6D06C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9" w:type="dxa"/>
            <w:vMerge w:val="continue"/>
            <w:tcBorders>
              <w:bottom w:val="nil"/>
            </w:tcBorders>
            <w:vAlign w:val="center"/>
          </w:tcPr>
          <w:p w14:paraId="1A61E2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600" w:type="dxa"/>
            <w:vMerge w:val="restart"/>
            <w:vAlign w:val="center"/>
          </w:tcPr>
          <w:p w14:paraId="006337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技术部分</w:t>
            </w:r>
          </w:p>
        </w:tc>
        <w:tc>
          <w:tcPr>
            <w:tcW w:w="899" w:type="dxa"/>
            <w:vAlign w:val="center"/>
          </w:tcPr>
          <w:p w14:paraId="3325AF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sz w:val="20"/>
                <w:szCs w:val="20"/>
                <w:lang w:val="en-US" w:eastAsia="zh-CN"/>
              </w:rPr>
            </w:pPr>
            <w:r>
              <w:rPr>
                <w:rFonts w:hint="eastAsia" w:eastAsia="宋体"/>
                <w:sz w:val="20"/>
                <w:szCs w:val="20"/>
                <w:lang w:val="en-US" w:eastAsia="zh-CN"/>
              </w:rPr>
              <w:t>实施方案</w:t>
            </w:r>
          </w:p>
        </w:tc>
        <w:tc>
          <w:tcPr>
            <w:tcW w:w="621" w:type="dxa"/>
            <w:vAlign w:val="center"/>
          </w:tcPr>
          <w:p w14:paraId="1F0CE1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r>
              <w:rPr>
                <w:rFonts w:hint="eastAsia" w:eastAsia="宋体"/>
                <w:sz w:val="20"/>
                <w:szCs w:val="20"/>
                <w:lang w:val="en-US" w:eastAsia="zh-CN"/>
              </w:rPr>
              <w:t>15</w:t>
            </w:r>
            <w:r>
              <w:rPr>
                <w:sz w:val="20"/>
                <w:szCs w:val="20"/>
              </w:rPr>
              <w:t>分</w:t>
            </w:r>
          </w:p>
        </w:tc>
        <w:tc>
          <w:tcPr>
            <w:tcW w:w="8029" w:type="dxa"/>
            <w:vAlign w:val="top"/>
          </w:tcPr>
          <w:p w14:paraId="21FC5A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供应商应结合本项目实际情况及特点,制定针对本项目的实施方案，包括但不限于：</w:t>
            </w:r>
          </w:p>
          <w:p w14:paraId="39686A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①药品采购方案②药品验收方案③仓储日常管理方案④全流程质量控制方案⑤配送供应方案</w:t>
            </w:r>
          </w:p>
          <w:p w14:paraId="605A9B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以上内容完全满足需求且有利于项目实施的的15分，有一项未提供扣3分，提供内容有缺陷扣1.5分，直至扣完为止。</w:t>
            </w:r>
          </w:p>
          <w:p w14:paraId="559364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eastAsia="宋体"/>
                <w:sz w:val="20"/>
                <w:szCs w:val="20"/>
                <w:lang w:val="en-US" w:eastAsia="zh-CN"/>
              </w:rPr>
            </w:pPr>
            <w:r>
              <w:rPr>
                <w:rFonts w:hint="eastAsia" w:eastAsia="宋体"/>
                <w:sz w:val="20"/>
                <w:szCs w:val="20"/>
                <w:lang w:val="en-US" w:eastAsia="zh-CN"/>
              </w:rPr>
              <w:t>缺陷是指①存在项目实施对象错误，②内容前后逻辑错误、③地点区域错误等</w:t>
            </w:r>
          </w:p>
        </w:tc>
      </w:tr>
      <w:tr w14:paraId="2141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9" w:type="dxa"/>
            <w:vMerge w:val="restart"/>
            <w:tcBorders>
              <w:top w:val="nil"/>
            </w:tcBorders>
            <w:vAlign w:val="center"/>
          </w:tcPr>
          <w:p w14:paraId="26C8AF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600" w:type="dxa"/>
            <w:vMerge w:val="continue"/>
            <w:vAlign w:val="center"/>
          </w:tcPr>
          <w:p w14:paraId="2780B0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sz w:val="20"/>
                <w:szCs w:val="20"/>
                <w:lang w:val="en-US" w:eastAsia="zh-CN"/>
              </w:rPr>
            </w:pPr>
          </w:p>
        </w:tc>
        <w:tc>
          <w:tcPr>
            <w:tcW w:w="899" w:type="dxa"/>
            <w:vAlign w:val="center"/>
          </w:tcPr>
          <w:p w14:paraId="7A9377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default" w:eastAsia="宋体"/>
                <w:sz w:val="20"/>
                <w:szCs w:val="20"/>
                <w:lang w:val="en-US" w:eastAsia="zh-CN"/>
              </w:rPr>
              <w:t>售后服务方案及承诺</w:t>
            </w:r>
          </w:p>
        </w:tc>
        <w:tc>
          <w:tcPr>
            <w:tcW w:w="621" w:type="dxa"/>
            <w:vAlign w:val="center"/>
          </w:tcPr>
          <w:p w14:paraId="3BDC03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12分</w:t>
            </w:r>
          </w:p>
        </w:tc>
        <w:tc>
          <w:tcPr>
            <w:tcW w:w="8029" w:type="dxa"/>
            <w:vAlign w:val="top"/>
          </w:tcPr>
          <w:p w14:paraId="52FD19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根据投标人提供的售后服务方案包括但不限于</w:t>
            </w:r>
          </w:p>
          <w:p w14:paraId="2FE7B9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①售后服务计划、内容及方式②人员组成③后续保障措施④退换货措施⑤针对医疗纠纷、替代产品匹配及供应、售后服务保障措施、附带服务、药检质量问题、不良反应等特殊情况的应对措施⑥服务承诺（包括但不限于配合采购人价格调整、应急供货、质量保证、退货换货等的承诺）</w:t>
            </w:r>
          </w:p>
          <w:p w14:paraId="51A1AB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最高得12分。每缺一项扣2分；每项内容存在缺陷扣1分。</w:t>
            </w:r>
          </w:p>
          <w:p w14:paraId="02DB73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注：缺陷是指①存在项目实施对象错误，②内容前后逻辑错误、③地点区域错误等</w:t>
            </w:r>
          </w:p>
        </w:tc>
      </w:tr>
      <w:tr w14:paraId="73973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9" w:type="dxa"/>
            <w:vMerge w:val="continue"/>
            <w:vAlign w:val="center"/>
          </w:tcPr>
          <w:p w14:paraId="6FCB03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600" w:type="dxa"/>
            <w:vMerge w:val="continue"/>
            <w:vAlign w:val="center"/>
          </w:tcPr>
          <w:p w14:paraId="6DB353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sz w:val="20"/>
                <w:szCs w:val="20"/>
                <w:lang w:val="en-US" w:eastAsia="zh-CN"/>
              </w:rPr>
            </w:pPr>
          </w:p>
        </w:tc>
        <w:tc>
          <w:tcPr>
            <w:tcW w:w="899" w:type="dxa"/>
            <w:vAlign w:val="center"/>
          </w:tcPr>
          <w:p w14:paraId="2EB273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sz w:val="20"/>
                <w:szCs w:val="20"/>
                <w:lang w:val="en-US" w:eastAsia="zh-CN"/>
              </w:rPr>
            </w:pPr>
            <w:r>
              <w:rPr>
                <w:rFonts w:hint="eastAsia" w:eastAsia="宋体"/>
                <w:sz w:val="20"/>
                <w:szCs w:val="20"/>
                <w:lang w:val="en-US" w:eastAsia="zh-CN"/>
              </w:rPr>
              <w:t>仓储存放</w:t>
            </w:r>
          </w:p>
        </w:tc>
        <w:tc>
          <w:tcPr>
            <w:tcW w:w="621" w:type="dxa"/>
            <w:vAlign w:val="center"/>
          </w:tcPr>
          <w:p w14:paraId="719EC0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6分</w:t>
            </w:r>
          </w:p>
        </w:tc>
        <w:tc>
          <w:tcPr>
            <w:tcW w:w="8029" w:type="dxa"/>
            <w:vAlign w:val="top"/>
          </w:tcPr>
          <w:p w14:paraId="190978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（1）中药饮片仓储面积：满分3分</w:t>
            </w:r>
          </w:p>
          <w:p w14:paraId="403C0B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①3分：仓储面积 1000 ㎡（含）及以上；</w:t>
            </w:r>
          </w:p>
          <w:p w14:paraId="55CA43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 xml:space="preserve">②2分：仓储面积在 800 ㎡（不含）-1000 ㎡（不含）； </w:t>
            </w:r>
          </w:p>
          <w:p w14:paraId="157FD4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③1分：仓储面积在 500 ㎡（不含）-800 ㎡（含）</w:t>
            </w:r>
          </w:p>
          <w:p w14:paraId="6D4BA0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④得0分：仓储面积在 500 ㎡以下或未提供证明材料、无法辨识证明材料内容或证明材料信息不一致的。</w:t>
            </w:r>
          </w:p>
          <w:p w14:paraId="02DD7C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注：须提供①库房租赁合同或产权证明等证明材料（库房租赁合同或产权证明上相应信息需与投标供应商药品经营许可证上单位名称、库房地址、库房面积一致）、②附仓库位置平面图（须明确体现中药饮片库，须标明中药饮片库实际面积）、③库房照片。</w:t>
            </w:r>
          </w:p>
          <w:p w14:paraId="0A396E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（2）现代化物流及运行设备：满分3分，具体分值要求如下：</w:t>
            </w:r>
          </w:p>
          <w:p w14:paraId="3A04B8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① 常温库、阴凉库、冷藏库及留样室需提供产权证明或租赁合同并注明用途、场地照片等证明材料；全部满足要求得1分。未提供证明材料、无法辨识证明材料内容或证明材料信息不一致的不得分。</w:t>
            </w:r>
          </w:p>
          <w:p w14:paraId="099052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②具有投标供应商或其产品的生产厂家具有中药的购销、储存、养护和运输管理的条件及信息识别管理设备、存储设备、视频监控设备、仓库配置空调机组、温湿度监测及控制设备、抽湿机、排气扇、灭蚊灯、门禁管理系统防止药品被盗替换或混入假药等证明材料。全部满足得2分。每缺少一种设备扣0.5分，扣完为止。未提供证明材料、无法辨识证明材料内容或证明材料信息不一致的不得分。</w:t>
            </w:r>
          </w:p>
        </w:tc>
      </w:tr>
      <w:tr w14:paraId="5C003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9" w:type="dxa"/>
            <w:vMerge w:val="continue"/>
            <w:vAlign w:val="center"/>
          </w:tcPr>
          <w:p w14:paraId="39A808F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600" w:type="dxa"/>
            <w:vMerge w:val="continue"/>
            <w:vAlign w:val="center"/>
          </w:tcPr>
          <w:p w14:paraId="1D9DE7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sz w:val="20"/>
                <w:szCs w:val="20"/>
                <w:lang w:val="en-US" w:eastAsia="zh-CN"/>
              </w:rPr>
            </w:pPr>
          </w:p>
        </w:tc>
        <w:tc>
          <w:tcPr>
            <w:tcW w:w="899" w:type="dxa"/>
            <w:vAlign w:val="center"/>
          </w:tcPr>
          <w:p w14:paraId="03D161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sz w:val="20"/>
                <w:szCs w:val="20"/>
                <w:lang w:val="en-US" w:eastAsia="zh-CN"/>
              </w:rPr>
            </w:pPr>
            <w:r>
              <w:rPr>
                <w:rFonts w:hint="eastAsia" w:eastAsia="宋体"/>
                <w:sz w:val="20"/>
                <w:szCs w:val="20"/>
                <w:lang w:val="en-US" w:eastAsia="zh-CN"/>
              </w:rPr>
              <w:t>中药饮片追溯档案</w:t>
            </w:r>
          </w:p>
        </w:tc>
        <w:tc>
          <w:tcPr>
            <w:tcW w:w="621" w:type="dxa"/>
            <w:vAlign w:val="center"/>
          </w:tcPr>
          <w:p w14:paraId="6F3694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3分</w:t>
            </w:r>
          </w:p>
        </w:tc>
        <w:tc>
          <w:tcPr>
            <w:tcW w:w="8029" w:type="dxa"/>
            <w:vAlign w:val="top"/>
          </w:tcPr>
          <w:p w14:paraId="07E11A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投标人或投标人所投产品的生产企业具备中药饮片二维码溯源档案的。并提供：能够扫描的二维码及扫码后呈现的中药饮片溯源档案，溯源档案能体现中药饮片名称、产地、生产批号、生产日期、质检报告、生产厂家，需提供证明材料；</w:t>
            </w:r>
          </w:p>
          <w:p w14:paraId="60169B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（证明材料：有效的二维码图片及经二维码扫描后呈现的相关数据包括：中药饮片名称、产地、生产批号、生产日期、质检报告、生产厂家。）</w:t>
            </w:r>
          </w:p>
          <w:p w14:paraId="7130CC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注：提供招标标项产品总数量的30%及以上种品种的追溯档案，得3分；提供招标标项产品总数量的20%及以上种品种的追溯档案，得2分，提供招标标项产品总数量的10%及以上种品种的追溯档案，得1分；提供招标标项产品总数量的10%以下种品种的追溯档案，不得分。</w:t>
            </w:r>
          </w:p>
        </w:tc>
      </w:tr>
      <w:tr w14:paraId="0C032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8" w:hRule="atLeast"/>
        </w:trPr>
        <w:tc>
          <w:tcPr>
            <w:tcW w:w="869" w:type="dxa"/>
            <w:vMerge w:val="continue"/>
            <w:vAlign w:val="center"/>
          </w:tcPr>
          <w:p w14:paraId="04589B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600" w:type="dxa"/>
            <w:vMerge w:val="continue"/>
            <w:vAlign w:val="center"/>
          </w:tcPr>
          <w:p w14:paraId="2080FB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sz w:val="20"/>
                <w:szCs w:val="20"/>
                <w:lang w:val="en-US" w:eastAsia="zh-CN"/>
              </w:rPr>
            </w:pPr>
          </w:p>
        </w:tc>
        <w:tc>
          <w:tcPr>
            <w:tcW w:w="899" w:type="dxa"/>
            <w:vAlign w:val="center"/>
          </w:tcPr>
          <w:p w14:paraId="0B2DC4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样品评审</w:t>
            </w:r>
          </w:p>
        </w:tc>
        <w:tc>
          <w:tcPr>
            <w:tcW w:w="621" w:type="dxa"/>
            <w:vAlign w:val="center"/>
          </w:tcPr>
          <w:p w14:paraId="7AB448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17分</w:t>
            </w:r>
          </w:p>
        </w:tc>
        <w:tc>
          <w:tcPr>
            <w:tcW w:w="8029" w:type="dxa"/>
            <w:vAlign w:val="top"/>
          </w:tcPr>
          <w:p w14:paraId="191E56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（1）需按采购文件要求完整提供样品（第一包：11种；包2：10种：包3：10种），满分5分，缺项不得分。</w:t>
            </w:r>
          </w:p>
          <w:p w14:paraId="5D492A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（2）评标专家依据传统经验鉴别方式（看、摸、闻、尝等）对每种样品的外观、气味、触觉、味觉、颜色、纹理、药材的轻重质感、断面的光滑与粗糙程度等进行评审：</w:t>
            </w:r>
          </w:p>
          <w:p w14:paraId="03ADC4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default" w:ascii="Calibri" w:hAnsi="Calibri" w:eastAsia="宋体" w:cs="Calibri"/>
                <w:sz w:val="18"/>
                <w:szCs w:val="18"/>
                <w:lang w:val="en-US" w:eastAsia="zh-CN"/>
              </w:rPr>
              <w:t>①</w:t>
            </w:r>
            <w:r>
              <w:rPr>
                <w:rFonts w:hint="eastAsia" w:eastAsia="宋体"/>
                <w:sz w:val="20"/>
                <w:szCs w:val="20"/>
                <w:lang w:val="en-US" w:eastAsia="zh-CN"/>
              </w:rPr>
              <w:t>看（外观鉴定、颜色鉴定）：样品片形规整均一，大小、长短、薄厚适宜，色泽自然均匀，表面及切面纹理及质感清晰自然；</w:t>
            </w:r>
          </w:p>
          <w:p w14:paraId="21E64E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default" w:ascii="Calibri" w:hAnsi="Calibri" w:eastAsia="宋体" w:cs="Calibri"/>
                <w:sz w:val="18"/>
                <w:szCs w:val="18"/>
                <w:lang w:val="en-US" w:eastAsia="zh-CN"/>
              </w:rPr>
              <w:t>②</w:t>
            </w:r>
            <w:r>
              <w:rPr>
                <w:rFonts w:hint="eastAsia" w:eastAsia="宋体"/>
                <w:sz w:val="20"/>
                <w:szCs w:val="20"/>
                <w:lang w:val="en-US" w:eastAsia="zh-CN"/>
              </w:rPr>
              <w:t>摸（质地鉴定）：轻重质感，断面的光滑度、有无明显杂质；</w:t>
            </w:r>
          </w:p>
          <w:p w14:paraId="46353F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default" w:ascii="Calibri" w:hAnsi="Calibri" w:eastAsia="宋体" w:cs="Calibri"/>
                <w:sz w:val="18"/>
                <w:szCs w:val="18"/>
                <w:lang w:val="en-US" w:eastAsia="zh-CN"/>
              </w:rPr>
              <w:t>③</w:t>
            </w:r>
            <w:r>
              <w:rPr>
                <w:rFonts w:hint="eastAsia" w:eastAsia="宋体"/>
                <w:sz w:val="20"/>
                <w:szCs w:val="20"/>
                <w:lang w:val="en-US" w:eastAsia="zh-CN"/>
              </w:rPr>
              <w:t>闻（气味鉴定）：色泽自然，气味醇正，特有芳香气息浓烈；</w:t>
            </w:r>
          </w:p>
          <w:p w14:paraId="622C1D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ascii="Calibri" w:hAnsi="Calibri" w:eastAsia="宋体" w:cs="Calibri"/>
                <w:sz w:val="22"/>
                <w:szCs w:val="22"/>
                <w:lang w:val="en-US" w:eastAsia="zh-CN"/>
              </w:rPr>
              <w:t>④</w:t>
            </w:r>
            <w:r>
              <w:rPr>
                <w:rFonts w:hint="eastAsia" w:eastAsia="宋体"/>
                <w:sz w:val="20"/>
                <w:szCs w:val="20"/>
                <w:lang w:val="en-US" w:eastAsia="zh-CN"/>
              </w:rPr>
              <w:t>尝：无异味，无腐败变质等异味。</w:t>
            </w:r>
          </w:p>
          <w:p w14:paraId="2ED50E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具体分值要求：</w:t>
            </w:r>
          </w:p>
          <w:p w14:paraId="2B18F4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①总分9分，每种样品得分＝9/标项样品总品种数。</w:t>
            </w:r>
          </w:p>
          <w:p w14:paraId="603673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②未按要求提供样品及样品包装袋标签的，该项不计分。</w:t>
            </w:r>
          </w:p>
          <w:p w14:paraId="4F233B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③出现1种以上假劣药品样品，该项不计分。</w:t>
            </w:r>
          </w:p>
          <w:p w14:paraId="1C9719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④分四个等级：满分9分</w:t>
            </w:r>
          </w:p>
          <w:p w14:paraId="598185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优等级别得：9/标项样品总品种数</w:t>
            </w:r>
          </w:p>
          <w:p w14:paraId="461B95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良等级别得：优等级别得分*70%</w:t>
            </w:r>
          </w:p>
          <w:p w14:paraId="1B0E06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中等级别得：良等级别得分*70%</w:t>
            </w:r>
          </w:p>
          <w:p w14:paraId="5C8009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差等级别得：中等级别得分*50%</w:t>
            </w:r>
          </w:p>
          <w:p w14:paraId="6A04A9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（保留2位小数）</w:t>
            </w:r>
          </w:p>
          <w:p w14:paraId="5493E1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sz w:val="21"/>
                <w:szCs w:val="24"/>
                <w:lang w:val="en-US" w:eastAsia="zh-CN"/>
              </w:rPr>
              <w:t>（3）投标企业应按照现行版《中华人民共和国药典》的相关规定或地方标准保证产品的质量，在投标文件内提供招标所要求的样品产品相应的质量保证证明材料（出厂质量检验合格证或经国家认证的第三方检测报告）；提供全部样品质量保证证明材料得分3分，提供不全得1分，不提供得0分。</w:t>
            </w:r>
          </w:p>
        </w:tc>
      </w:tr>
      <w:tr w14:paraId="37124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9" w:type="dxa"/>
            <w:vMerge w:val="continue"/>
            <w:tcBorders>
              <w:bottom w:val="nil"/>
            </w:tcBorders>
            <w:vAlign w:val="center"/>
          </w:tcPr>
          <w:p w14:paraId="0F1B47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0"/>
                <w:szCs w:val="20"/>
              </w:rPr>
            </w:pPr>
          </w:p>
        </w:tc>
        <w:tc>
          <w:tcPr>
            <w:tcW w:w="600" w:type="dxa"/>
            <w:vMerge w:val="continue"/>
            <w:vAlign w:val="center"/>
          </w:tcPr>
          <w:p w14:paraId="2FAF10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sz w:val="20"/>
                <w:szCs w:val="20"/>
                <w:lang w:val="en-US" w:eastAsia="zh-CN"/>
              </w:rPr>
            </w:pPr>
          </w:p>
        </w:tc>
        <w:tc>
          <w:tcPr>
            <w:tcW w:w="899" w:type="dxa"/>
            <w:vAlign w:val="center"/>
          </w:tcPr>
          <w:p w14:paraId="32C486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常用紧急药品配送时间</w:t>
            </w:r>
          </w:p>
        </w:tc>
        <w:tc>
          <w:tcPr>
            <w:tcW w:w="621" w:type="dxa"/>
            <w:vAlign w:val="center"/>
          </w:tcPr>
          <w:p w14:paraId="61F5B4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sz w:val="20"/>
                <w:szCs w:val="20"/>
                <w:lang w:val="en-US" w:eastAsia="zh-CN"/>
              </w:rPr>
            </w:pPr>
            <w:r>
              <w:rPr>
                <w:rFonts w:hint="eastAsia" w:eastAsia="宋体"/>
                <w:sz w:val="20"/>
                <w:szCs w:val="20"/>
                <w:lang w:val="en-US" w:eastAsia="zh-CN"/>
              </w:rPr>
              <w:t>5分</w:t>
            </w:r>
          </w:p>
        </w:tc>
        <w:tc>
          <w:tcPr>
            <w:tcW w:w="8029" w:type="dxa"/>
            <w:vAlign w:val="top"/>
          </w:tcPr>
          <w:p w14:paraId="7B87B7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接到采购人的通知后，投标人立即将采购人所需常用紧急药品送至采购人单位，投标人承诺完成常用紧急药品配送的时间：</w:t>
            </w:r>
          </w:p>
          <w:p w14:paraId="728183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能6小时内将常用紧急送至采购人单位得5分，</w:t>
            </w:r>
          </w:p>
          <w:p w14:paraId="508DBF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能6-7（不含）小时内将常用紧急送至采购人单位得3分，</w:t>
            </w:r>
          </w:p>
          <w:p w14:paraId="0D9D72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能7-8（不含）小时内将常用紧急送至采购人单位得1分，</w:t>
            </w:r>
          </w:p>
          <w:p w14:paraId="63414D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超过8小时以上不得分。</w:t>
            </w:r>
          </w:p>
          <w:p w14:paraId="189488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投标人须提供（10：00-20：00）任一时间节点从投标人配送点到喀什地区维吾尔医医院的高德或百度地图实时在线导航截图（盖公章）作为参考依据，评标委员会有权根据实际导航距离评审投标人承诺合理性，虚假承诺或实际时间不合理的不得分】</w:t>
            </w:r>
          </w:p>
        </w:tc>
      </w:tr>
    </w:tbl>
    <w:p w14:paraId="69176CC4">
      <w:pPr>
        <w:jc w:val="both"/>
        <w:rPr>
          <w:rFonts w:hint="eastAsia"/>
          <w:sz w:val="28"/>
          <w:szCs w:val="28"/>
          <w:lang w:val="en-US" w:eastAsia="zh-CN"/>
        </w:rPr>
      </w:pPr>
    </w:p>
    <w:p w14:paraId="4A98142D">
      <w:pPr>
        <w:jc w:val="center"/>
        <w:rPr>
          <w:rFonts w:hint="eastAsia"/>
          <w:sz w:val="28"/>
          <w:szCs w:val="28"/>
          <w:lang w:val="en-US" w:eastAsia="zh-CN"/>
        </w:rPr>
      </w:pPr>
    </w:p>
    <w:p w14:paraId="10DB6036">
      <w:pPr>
        <w:jc w:val="center"/>
        <w:rPr>
          <w:rFonts w:hint="eastAsia"/>
          <w:sz w:val="28"/>
          <w:szCs w:val="28"/>
          <w:lang w:val="en-US" w:eastAsia="zh-CN"/>
        </w:rPr>
      </w:pPr>
    </w:p>
    <w:p w14:paraId="476A5258">
      <w:pPr>
        <w:jc w:val="center"/>
        <w:rPr>
          <w:rFonts w:hint="eastAsia"/>
          <w:sz w:val="28"/>
          <w:szCs w:val="28"/>
          <w:lang w:val="en-US" w:eastAsia="zh-CN"/>
        </w:rPr>
      </w:pPr>
      <w:r>
        <w:rPr>
          <w:rFonts w:hint="eastAsia"/>
          <w:sz w:val="28"/>
          <w:szCs w:val="28"/>
          <w:lang w:val="en-US" w:eastAsia="zh-CN"/>
        </w:rPr>
        <w:t>第五包</w:t>
      </w:r>
    </w:p>
    <w:tbl>
      <w:tblPr>
        <w:tblStyle w:val="31"/>
        <w:tblpPr w:leftFromText="180" w:rightFromText="180" w:vertAnchor="text" w:horzAnchor="page" w:tblpX="669" w:tblpY="270"/>
        <w:tblOverlap w:val="never"/>
        <w:tblW w:w="108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030"/>
        <w:gridCol w:w="960"/>
        <w:gridCol w:w="674"/>
        <w:gridCol w:w="7236"/>
      </w:tblGrid>
      <w:tr w14:paraId="247DA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30" w:type="dxa"/>
            <w:vAlign w:val="center"/>
          </w:tcPr>
          <w:p w14:paraId="4C9D20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评分项目</w:t>
            </w:r>
          </w:p>
        </w:tc>
        <w:tc>
          <w:tcPr>
            <w:tcW w:w="1990" w:type="dxa"/>
            <w:gridSpan w:val="2"/>
            <w:vAlign w:val="center"/>
          </w:tcPr>
          <w:p w14:paraId="412070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评审项目</w:t>
            </w:r>
          </w:p>
        </w:tc>
        <w:tc>
          <w:tcPr>
            <w:tcW w:w="674" w:type="dxa"/>
            <w:vAlign w:val="center"/>
          </w:tcPr>
          <w:p w14:paraId="67BCDC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分值</w:t>
            </w:r>
          </w:p>
        </w:tc>
        <w:tc>
          <w:tcPr>
            <w:tcW w:w="7236" w:type="dxa"/>
            <w:vAlign w:val="center"/>
          </w:tcPr>
          <w:p w14:paraId="57F21D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评标要点及说明</w:t>
            </w:r>
          </w:p>
        </w:tc>
      </w:tr>
      <w:tr w14:paraId="562F4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trPr>
        <w:tc>
          <w:tcPr>
            <w:tcW w:w="930" w:type="dxa"/>
            <w:vAlign w:val="center"/>
          </w:tcPr>
          <w:p w14:paraId="5A0F1D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p w14:paraId="7AC374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报价部分</w:t>
            </w:r>
          </w:p>
          <w:p w14:paraId="0B93DD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990" w:type="dxa"/>
            <w:gridSpan w:val="2"/>
            <w:vAlign w:val="center"/>
          </w:tcPr>
          <w:p w14:paraId="4EDBE8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投标报价</w:t>
            </w:r>
          </w:p>
        </w:tc>
        <w:tc>
          <w:tcPr>
            <w:tcW w:w="674" w:type="dxa"/>
            <w:vAlign w:val="center"/>
          </w:tcPr>
          <w:p w14:paraId="39B6C1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lang w:val="en-US" w:eastAsia="zh-CN"/>
              </w:rPr>
              <w:t>30</w:t>
            </w:r>
            <w:r>
              <w:t>分</w:t>
            </w:r>
          </w:p>
        </w:tc>
        <w:tc>
          <w:tcPr>
            <w:tcW w:w="7236" w:type="dxa"/>
            <w:vAlign w:val="top"/>
          </w:tcPr>
          <w:p w14:paraId="714494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价格分应当采用低价优先法计算，即满足招标文件要求且投标价格最低的投标报价为评标基准价，其价格分为满分。</w:t>
            </w:r>
          </w:p>
          <w:p w14:paraId="0852DA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其他供应商的价格分统一按照下列公式计算：投标报价得分=（评标基准价/投标报价）×100×权重</w:t>
            </w:r>
          </w:p>
          <w:p w14:paraId="147B6B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备注：投标报价得分四舍五入后，小数点后保留两位有效数。</w:t>
            </w:r>
          </w:p>
          <w:p w14:paraId="0E6CD6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注：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小微企业，其投标报价扣除10%后参与评审。对于同时属于小微企业、监狱企业残疾人福利性单位的，不重复进行投标报价扣除。</w:t>
            </w:r>
          </w:p>
        </w:tc>
      </w:tr>
      <w:tr w14:paraId="10C23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30" w:type="dxa"/>
            <w:vMerge w:val="restart"/>
            <w:tcBorders>
              <w:bottom w:val="nil"/>
            </w:tcBorders>
            <w:vAlign w:val="center"/>
          </w:tcPr>
          <w:p w14:paraId="68AD49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ED691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5869F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1F291E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16CEB2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72B121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43CF5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9B7C7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CC69B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23974F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7431E8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26369D4B">
            <w:pPr>
              <w:pStyle w:val="20"/>
              <w:rPr>
                <w:rFonts w:hint="eastAsia" w:eastAsia="宋体"/>
                <w:lang w:val="en-US" w:eastAsia="zh-CN"/>
              </w:rPr>
            </w:pPr>
          </w:p>
          <w:p w14:paraId="2ACC1213">
            <w:pPr>
              <w:pStyle w:val="20"/>
              <w:rPr>
                <w:rFonts w:hint="eastAsia" w:eastAsia="宋体"/>
                <w:lang w:val="en-US" w:eastAsia="zh-CN"/>
              </w:rPr>
            </w:pPr>
          </w:p>
          <w:p w14:paraId="1FAB0F64">
            <w:pPr>
              <w:pStyle w:val="20"/>
              <w:rPr>
                <w:rFonts w:hint="eastAsia" w:eastAsia="宋体"/>
                <w:lang w:val="en-US" w:eastAsia="zh-CN"/>
              </w:rPr>
            </w:pPr>
          </w:p>
          <w:p w14:paraId="7FB2D6F8">
            <w:pPr>
              <w:pStyle w:val="20"/>
              <w:rPr>
                <w:rFonts w:hint="eastAsia" w:eastAsia="宋体"/>
                <w:lang w:val="en-US" w:eastAsia="zh-CN"/>
              </w:rPr>
            </w:pPr>
          </w:p>
          <w:p w14:paraId="78A9EC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8E6C2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4F5ED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商务和技术部分</w:t>
            </w:r>
          </w:p>
        </w:tc>
        <w:tc>
          <w:tcPr>
            <w:tcW w:w="1030" w:type="dxa"/>
            <w:vMerge w:val="restart"/>
            <w:vAlign w:val="center"/>
          </w:tcPr>
          <w:p w14:paraId="18581E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商务部分</w:t>
            </w:r>
          </w:p>
        </w:tc>
        <w:tc>
          <w:tcPr>
            <w:tcW w:w="960" w:type="dxa"/>
            <w:vAlign w:val="center"/>
          </w:tcPr>
          <w:p w14:paraId="52AF0A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sz w:val="20"/>
                <w:szCs w:val="20"/>
                <w:lang w:val="en-US" w:eastAsia="zh-CN"/>
              </w:rPr>
              <w:t>配送车辆</w:t>
            </w:r>
            <w:r>
              <w:rPr>
                <w:rFonts w:hint="eastAsia" w:eastAsia="宋体"/>
                <w:lang w:val="en-US" w:eastAsia="zh-CN"/>
              </w:rPr>
              <w:t xml:space="preserve"> </w:t>
            </w:r>
          </w:p>
        </w:tc>
        <w:tc>
          <w:tcPr>
            <w:tcW w:w="674" w:type="dxa"/>
            <w:vAlign w:val="center"/>
          </w:tcPr>
          <w:p w14:paraId="08A913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8分</w:t>
            </w:r>
          </w:p>
        </w:tc>
        <w:tc>
          <w:tcPr>
            <w:tcW w:w="7236" w:type="dxa"/>
            <w:vAlign w:val="top"/>
          </w:tcPr>
          <w:p w14:paraId="310EE3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lang w:val="en-US"/>
              </w:rPr>
            </w:pPr>
            <w:r>
              <w:rPr>
                <w:rFonts w:hint="default"/>
                <w:lang w:val="en-US"/>
              </w:rPr>
              <w:t>具有满足项目所需的专业配送车辆或冷链运送车，每多1辆得</w:t>
            </w:r>
            <w:r>
              <w:rPr>
                <w:rFonts w:hint="eastAsia" w:eastAsia="宋体"/>
                <w:lang w:val="en-US" w:eastAsia="zh-CN"/>
              </w:rPr>
              <w:t>2</w:t>
            </w:r>
            <w:r>
              <w:rPr>
                <w:rFonts w:hint="default"/>
                <w:lang w:val="en-US"/>
              </w:rPr>
              <w:t>分，最高可得</w:t>
            </w:r>
            <w:r>
              <w:rPr>
                <w:rFonts w:hint="eastAsia" w:eastAsia="宋体"/>
                <w:lang w:val="en-US" w:eastAsia="zh-CN"/>
              </w:rPr>
              <w:t>8</w:t>
            </w:r>
            <w:r>
              <w:rPr>
                <w:rFonts w:hint="default"/>
                <w:lang w:val="en-US"/>
              </w:rPr>
              <w:t>分。</w:t>
            </w:r>
          </w:p>
          <w:p w14:paraId="2CCDFE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lang w:val="en-US"/>
              </w:rPr>
            </w:pPr>
            <w:r>
              <w:rPr>
                <w:rFonts w:hint="eastAsia" w:ascii="Arial" w:hAnsi="Arial" w:eastAsia="宋体" w:cs="Arial"/>
                <w:snapToGrid w:val="0"/>
                <w:color w:val="000000"/>
                <w:kern w:val="0"/>
                <w:sz w:val="20"/>
                <w:szCs w:val="20"/>
                <w:lang w:val="en-US" w:eastAsia="zh-CN" w:bidi="ar-SA"/>
              </w:rPr>
              <w:t>注：（1、自有车辆的须提供：车辆图片、机动车辆行驶证；2、租赁车辆的须提供：车辆图片、机动车行驶证、租赁合同；</w:t>
            </w:r>
            <w:r>
              <w:rPr>
                <w:rFonts w:hint="eastAsia" w:eastAsia="宋体" w:cs="Arial"/>
                <w:snapToGrid w:val="0"/>
                <w:color w:val="000000"/>
                <w:kern w:val="0"/>
                <w:sz w:val="20"/>
                <w:szCs w:val="20"/>
                <w:lang w:val="en-US" w:eastAsia="zh-CN" w:bidi="ar-SA"/>
              </w:rPr>
              <w:t>未提供证明材料或提供的证明材料无法辨别的不得分）</w:t>
            </w:r>
          </w:p>
        </w:tc>
      </w:tr>
      <w:tr w14:paraId="68E8E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930" w:type="dxa"/>
            <w:vMerge w:val="continue"/>
            <w:vAlign w:val="center"/>
          </w:tcPr>
          <w:p w14:paraId="2A0BA9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420189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tc>
        <w:tc>
          <w:tcPr>
            <w:tcW w:w="960" w:type="dxa"/>
            <w:vAlign w:val="center"/>
          </w:tcPr>
          <w:p w14:paraId="62DED1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人员配备</w:t>
            </w:r>
          </w:p>
        </w:tc>
        <w:tc>
          <w:tcPr>
            <w:tcW w:w="674" w:type="dxa"/>
            <w:vAlign w:val="center"/>
          </w:tcPr>
          <w:p w14:paraId="6E24FD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13分</w:t>
            </w:r>
          </w:p>
        </w:tc>
        <w:tc>
          <w:tcPr>
            <w:tcW w:w="7236" w:type="dxa"/>
            <w:vAlign w:val="top"/>
          </w:tcPr>
          <w:p w14:paraId="144557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eastAsia="宋体"/>
                <w:lang w:val="en-US" w:eastAsia="zh-CN"/>
              </w:rPr>
            </w:pPr>
            <w:r>
              <w:rPr>
                <w:rFonts w:hint="eastAsia" w:eastAsia="宋体"/>
                <w:lang w:val="en-US" w:eastAsia="zh-CN"/>
              </w:rPr>
              <w:t>1.投标供应商拟投入本项目服务团队人员：包括但不限于项目负责人、质量负责人员（需具有执业中药师资格证）、调度人员、配送人员、售后服务人员等5人或以上；满足得5分；每缺少一人扣1分，扣完为止。①提供服务本项目人员名单②身份证复印件③有效的健康证明④人员有效期内劳务合同⑤近6个月任意一个月社保缴纳证明⑥质量负责人员须提供在本单位注册的执业中药师资格证</w:t>
            </w:r>
          </w:p>
          <w:p w14:paraId="11C10F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2.除质量负责人外，每增加1名质量员（需具有执业中药师资格证）加2分;最高得4分(需提供①身份证复印件②有效的健康证明③人员有效期内劳务合同④近6个月任意一个月社保缴纳证明⑤注册在本单位的执业中药师资格证，不提供或提供不全不得分)</w:t>
            </w:r>
          </w:p>
          <w:p w14:paraId="16BE2A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3.项目团队中除基本的配送人员外，每增加1名</w:t>
            </w:r>
            <w:r>
              <w:rPr>
                <w:rFonts w:hint="eastAsia" w:eastAsia="宋体"/>
                <w:sz w:val="20"/>
                <w:szCs w:val="20"/>
                <w:lang w:val="en-US" w:eastAsia="zh-CN"/>
              </w:rPr>
              <w:t>配送人员</w:t>
            </w:r>
            <w:r>
              <w:rPr>
                <w:rFonts w:hint="eastAsia" w:eastAsia="宋体"/>
                <w:lang w:val="en-US" w:eastAsia="zh-CN"/>
              </w:rPr>
              <w:t>加2分,此项满分4分。(此项需提供配送人员</w:t>
            </w:r>
            <w:r>
              <w:rPr>
                <w:rFonts w:hint="eastAsia"/>
              </w:rPr>
              <w:t>①身份证复印件②有效健康证③人员有效期内劳务合同④</w:t>
            </w:r>
            <w:r>
              <w:rPr>
                <w:rFonts w:hint="eastAsia" w:eastAsia="宋体"/>
                <w:lang w:val="en-US" w:eastAsia="zh-CN"/>
              </w:rPr>
              <w:t>近</w:t>
            </w:r>
            <w:r>
              <w:rPr>
                <w:rFonts w:hint="eastAsia"/>
              </w:rPr>
              <w:t>6个月</w:t>
            </w:r>
            <w:r>
              <w:rPr>
                <w:rFonts w:hint="eastAsia" w:eastAsia="宋体"/>
                <w:lang w:val="en-US" w:eastAsia="zh-CN"/>
              </w:rPr>
              <w:t>任意一个月</w:t>
            </w:r>
            <w:r>
              <w:rPr>
                <w:rFonts w:hint="eastAsia"/>
              </w:rPr>
              <w:t>社保缴纳证明</w:t>
            </w:r>
            <w:r>
              <w:rPr>
                <w:rFonts w:hint="eastAsia" w:eastAsia="宋体"/>
                <w:lang w:val="en-US" w:eastAsia="zh-CN"/>
              </w:rPr>
              <w:t>，否则此项不得分)</w:t>
            </w:r>
          </w:p>
          <w:p w14:paraId="5FE428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eastAsia="宋体"/>
                <w:lang w:val="en-US" w:eastAsia="zh-CN"/>
              </w:rPr>
            </w:pPr>
            <w:r>
              <w:rPr>
                <w:rFonts w:hint="default" w:eastAsia="宋体"/>
                <w:lang w:val="en-US" w:eastAsia="zh-CN"/>
              </w:rPr>
              <w:t>注：以上人员不得互相兼任</w:t>
            </w:r>
          </w:p>
        </w:tc>
      </w:tr>
      <w:tr w14:paraId="063BC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vMerge w:val="continue"/>
            <w:tcBorders>
              <w:top w:val="nil"/>
              <w:bottom w:val="nil"/>
            </w:tcBorders>
            <w:vAlign w:val="center"/>
          </w:tcPr>
          <w:p w14:paraId="1ACBEE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restart"/>
            <w:vAlign w:val="center"/>
          </w:tcPr>
          <w:p w14:paraId="12F309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3B956C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5D213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技术部分</w:t>
            </w:r>
          </w:p>
        </w:tc>
        <w:tc>
          <w:tcPr>
            <w:tcW w:w="960" w:type="dxa"/>
            <w:vAlign w:val="center"/>
          </w:tcPr>
          <w:p w14:paraId="6CF3D9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r>
              <w:rPr>
                <w:rFonts w:hint="eastAsia" w:eastAsia="宋体"/>
                <w:lang w:val="en-US" w:eastAsia="zh-CN"/>
              </w:rPr>
              <w:t>实施方案</w:t>
            </w:r>
          </w:p>
        </w:tc>
        <w:tc>
          <w:tcPr>
            <w:tcW w:w="674" w:type="dxa"/>
            <w:vAlign w:val="center"/>
          </w:tcPr>
          <w:p w14:paraId="304143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eastAsia="宋体"/>
                <w:lang w:val="en-US" w:eastAsia="zh-CN"/>
              </w:rPr>
              <w:t>15</w:t>
            </w:r>
            <w:r>
              <w:t>分</w:t>
            </w:r>
          </w:p>
        </w:tc>
        <w:tc>
          <w:tcPr>
            <w:tcW w:w="7236" w:type="dxa"/>
            <w:vAlign w:val="top"/>
          </w:tcPr>
          <w:p w14:paraId="244E90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供应商应结合本项目实际情况及特点,制定针对本项目的实施方案，实施方包括但不限于：①药品采购方案②药品验收方案③仓储日常管理方案④全流程质量控制方案⑤配送供应方案</w:t>
            </w:r>
          </w:p>
          <w:p w14:paraId="31AC6D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以上内容完全满足需求且有利于项目实施的的15分，有一项未提供扣3分，提供内容有缺陷扣1.5分，直至扣完为止。</w:t>
            </w:r>
          </w:p>
          <w:p w14:paraId="536025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eastAsia="宋体"/>
                <w:lang w:val="en-US" w:eastAsia="zh-CN"/>
              </w:rPr>
            </w:pPr>
            <w:r>
              <w:rPr>
                <w:rFonts w:hint="eastAsia" w:eastAsia="宋体"/>
                <w:lang w:val="en-US" w:eastAsia="zh-CN"/>
              </w:rPr>
              <w:t>缺陷是指①存在项目实施对象错误，②内容前后逻辑错误、③地点区域错误等</w:t>
            </w:r>
          </w:p>
        </w:tc>
      </w:tr>
      <w:tr w14:paraId="5D353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tcBorders>
              <w:top w:val="nil"/>
              <w:bottom w:val="nil"/>
            </w:tcBorders>
            <w:vAlign w:val="center"/>
          </w:tcPr>
          <w:p w14:paraId="3641A6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2867BB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tc>
        <w:tc>
          <w:tcPr>
            <w:tcW w:w="960" w:type="dxa"/>
            <w:vAlign w:val="center"/>
          </w:tcPr>
          <w:p w14:paraId="0F1FEB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default" w:eastAsia="宋体"/>
                <w:lang w:val="en-US" w:eastAsia="zh-CN"/>
              </w:rPr>
              <w:t>售后服务方案及承诺</w:t>
            </w:r>
          </w:p>
        </w:tc>
        <w:tc>
          <w:tcPr>
            <w:tcW w:w="674" w:type="dxa"/>
            <w:vAlign w:val="center"/>
          </w:tcPr>
          <w:p w14:paraId="2BA43B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18分</w:t>
            </w:r>
          </w:p>
        </w:tc>
        <w:tc>
          <w:tcPr>
            <w:tcW w:w="7236" w:type="dxa"/>
            <w:vAlign w:val="top"/>
          </w:tcPr>
          <w:p w14:paraId="5662D2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根据投标人提供的售后服务方案包括但不限于</w:t>
            </w:r>
          </w:p>
          <w:p w14:paraId="1C02DF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①售后服务计划、内容及方式②人员组成③后续保障措施④退换货措施⑤针对医疗纠纷、替代产品匹配及供应、售后服务保障措施、附带服务、药检质量问题、不良反应等特殊情况的应对措施⑥服务承诺（包括但不限于配合采购人价格调整、应急供货、质量保证、退货换货等的承诺）</w:t>
            </w:r>
          </w:p>
          <w:p w14:paraId="53B160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最高得18分。每缺一项扣3分；每项内容存在缺陷扣1.5分。</w:t>
            </w:r>
          </w:p>
          <w:p w14:paraId="4784A9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注：缺陷是指①存在项目实施对象错误，②内容前后逻辑错误、③地点区域错误等</w:t>
            </w:r>
          </w:p>
        </w:tc>
      </w:tr>
      <w:tr w14:paraId="3FB72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tcBorders>
              <w:top w:val="nil"/>
              <w:bottom w:val="nil"/>
            </w:tcBorders>
            <w:vAlign w:val="center"/>
          </w:tcPr>
          <w:p w14:paraId="6071E8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110878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tc>
        <w:tc>
          <w:tcPr>
            <w:tcW w:w="960" w:type="dxa"/>
            <w:vAlign w:val="center"/>
          </w:tcPr>
          <w:p w14:paraId="1E2A79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质量要求</w:t>
            </w:r>
          </w:p>
        </w:tc>
        <w:tc>
          <w:tcPr>
            <w:tcW w:w="674" w:type="dxa"/>
            <w:vAlign w:val="center"/>
          </w:tcPr>
          <w:p w14:paraId="2E5990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5分</w:t>
            </w:r>
          </w:p>
        </w:tc>
        <w:tc>
          <w:tcPr>
            <w:tcW w:w="7236" w:type="dxa"/>
            <w:vAlign w:val="top"/>
          </w:tcPr>
          <w:p w14:paraId="2D5B8B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sz w:val="20"/>
                <w:szCs w:val="20"/>
                <w:lang w:val="en-US" w:eastAsia="zh-CN"/>
              </w:rPr>
              <w:t>投标企业应按照现行版《中华人民共和国药典》的相关规定或地方标准保证产品的质量，</w:t>
            </w:r>
            <w:r>
              <w:rPr>
                <w:rFonts w:hint="eastAsia"/>
                <w:sz w:val="21"/>
                <w:szCs w:val="24"/>
                <w:lang w:val="en-US" w:eastAsia="zh-CN"/>
              </w:rPr>
              <w:t>在投标文件内提供招标所要求的产品相应的质量保证证明材料</w:t>
            </w:r>
            <w:r>
              <w:rPr>
                <w:rFonts w:hint="eastAsia" w:eastAsia="宋体"/>
                <w:sz w:val="20"/>
                <w:szCs w:val="20"/>
                <w:lang w:val="en-US" w:eastAsia="zh-CN"/>
              </w:rPr>
              <w:t>（出厂质量检验合格证或经国家认证的第三方检测报告）；提供全部质量保证证明材料得分5分，提供不全得3分，不提供得0分。</w:t>
            </w:r>
          </w:p>
        </w:tc>
      </w:tr>
      <w:tr w14:paraId="07BD1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tcBorders>
              <w:top w:val="nil"/>
              <w:bottom w:val="nil"/>
            </w:tcBorders>
            <w:vAlign w:val="center"/>
          </w:tcPr>
          <w:p w14:paraId="2D896B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2BFF7F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tc>
        <w:tc>
          <w:tcPr>
            <w:tcW w:w="960" w:type="dxa"/>
            <w:vAlign w:val="center"/>
          </w:tcPr>
          <w:p w14:paraId="433418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r>
              <w:rPr>
                <w:rFonts w:hint="eastAsia" w:eastAsia="宋体"/>
                <w:lang w:val="en-US" w:eastAsia="zh-CN"/>
              </w:rPr>
              <w:t>仓储存放</w:t>
            </w:r>
          </w:p>
        </w:tc>
        <w:tc>
          <w:tcPr>
            <w:tcW w:w="674" w:type="dxa"/>
            <w:vAlign w:val="center"/>
          </w:tcPr>
          <w:p w14:paraId="5A3FD0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6分</w:t>
            </w:r>
          </w:p>
        </w:tc>
        <w:tc>
          <w:tcPr>
            <w:tcW w:w="7236" w:type="dxa"/>
            <w:vAlign w:val="top"/>
          </w:tcPr>
          <w:p w14:paraId="7E74B1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（1）中药饮片仓储面积：满分3分</w:t>
            </w:r>
          </w:p>
          <w:p w14:paraId="1C0790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 xml:space="preserve">①得3分：场地面积＞500㎡，得3分； </w:t>
            </w:r>
          </w:p>
          <w:p w14:paraId="509853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 xml:space="preserve">②得2分：500㎡≥场地面积＞300㎡，得2分； </w:t>
            </w:r>
          </w:p>
          <w:p w14:paraId="5E0B38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③得1分：300㎡≥场地面积＞100㎡，得1分；</w:t>
            </w:r>
          </w:p>
          <w:p w14:paraId="58907C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④得0分：仓储面积在100 ㎡以下或未提供证明材料、无法辨识证明材料内容或证明材料信息不一致的。</w:t>
            </w:r>
          </w:p>
          <w:p w14:paraId="5A67BC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注：须提供①库房租赁合同或产权证明等证明材料（库房租赁合同或产权证明上相应信息需与投标供应商药品经营许可证上单位名称、库房地址、库房面积一致）、②附仓库位置平面图（须明确体现中药饮片库，须标明中药饮片库实际面积）③库房照片。</w:t>
            </w:r>
          </w:p>
          <w:p w14:paraId="41561C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（2）现代化物流及运行设备：满分3分，具体分值要求如下：</w:t>
            </w:r>
          </w:p>
          <w:p w14:paraId="5226CB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① 常温库、阴凉库、冷藏库及留样室需提供产权证明或租赁合同并注明用途、场地照片等证明材料；全部满足要求得1分。未提供证明材料、无法辨识证明材料内容或证明材料信息不一致的不得分。</w:t>
            </w:r>
          </w:p>
          <w:p w14:paraId="272118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lang w:val="en-US" w:eastAsia="zh-CN"/>
              </w:rPr>
            </w:pPr>
            <w:r>
              <w:rPr>
                <w:rFonts w:hint="eastAsia" w:eastAsia="宋体"/>
                <w:lang w:val="en-US" w:eastAsia="zh-CN"/>
              </w:rPr>
              <w:t>②具有投标供应商或其产品的生产厂家具有中药的购销、储存、养护和运输管理的条件及信息识别管理设备、存储设备、视频监控设备、仓库配置空调机组、温湿度监测及控制设备、抽湿机、排气扇、灭蚊灯、门禁管理系统防止药品被盗替换或混入假药等证明材料。全部满足得2分。每缺少一种设备扣0.5分，扣完为止。未提供证明材料、无法辨识证明材料内容或证明材料信息不一致的不得分。</w:t>
            </w:r>
          </w:p>
        </w:tc>
      </w:tr>
      <w:tr w14:paraId="45C94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tcBorders>
              <w:top w:val="nil"/>
              <w:bottom w:val="nil"/>
            </w:tcBorders>
            <w:vAlign w:val="center"/>
          </w:tcPr>
          <w:p w14:paraId="19FF41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70E77F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tc>
        <w:tc>
          <w:tcPr>
            <w:tcW w:w="960" w:type="dxa"/>
            <w:vAlign w:val="center"/>
          </w:tcPr>
          <w:p w14:paraId="20C710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sz w:val="20"/>
                <w:szCs w:val="20"/>
                <w:lang w:val="en-US" w:eastAsia="zh-CN"/>
              </w:rPr>
              <w:t>常用紧急药品配送时间</w:t>
            </w:r>
          </w:p>
        </w:tc>
        <w:tc>
          <w:tcPr>
            <w:tcW w:w="674" w:type="dxa"/>
            <w:vAlign w:val="center"/>
          </w:tcPr>
          <w:p w14:paraId="09CA47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sz w:val="20"/>
                <w:szCs w:val="20"/>
                <w:lang w:val="en-US" w:eastAsia="zh-CN"/>
              </w:rPr>
              <w:t>5分</w:t>
            </w:r>
          </w:p>
        </w:tc>
        <w:tc>
          <w:tcPr>
            <w:tcW w:w="7236" w:type="dxa"/>
            <w:vAlign w:val="top"/>
          </w:tcPr>
          <w:p w14:paraId="3A73CC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接到采购人的通知后，投标人立即将采购人所需常用紧急药品送至采购人单位，投标人承诺完成常用紧急药品配送的时间：</w:t>
            </w:r>
          </w:p>
          <w:p w14:paraId="2DE3AF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能6小时内将常用紧急送至采购人单位得5分，</w:t>
            </w:r>
          </w:p>
          <w:p w14:paraId="673AE9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能6-7（不含）小时内将常用紧急送至采购人单位得3分，</w:t>
            </w:r>
          </w:p>
          <w:p w14:paraId="0DCA99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能7-8（不含）小时内将常用紧急送至采购人单位得1分，</w:t>
            </w:r>
          </w:p>
          <w:p w14:paraId="47C0E0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eastAsia="宋体"/>
                <w:sz w:val="20"/>
                <w:szCs w:val="20"/>
                <w:lang w:val="en-US" w:eastAsia="zh-CN"/>
              </w:rPr>
            </w:pPr>
            <w:r>
              <w:rPr>
                <w:rFonts w:hint="eastAsia" w:eastAsia="宋体"/>
                <w:sz w:val="20"/>
                <w:szCs w:val="20"/>
                <w:lang w:val="en-US" w:eastAsia="zh-CN"/>
              </w:rPr>
              <w:t>超过8小时以上不得分。</w:t>
            </w:r>
          </w:p>
          <w:p w14:paraId="45651C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eastAsia="宋体"/>
                <w:lang w:val="en-US" w:eastAsia="zh-CN"/>
              </w:rPr>
            </w:pPr>
            <w:r>
              <w:rPr>
                <w:rFonts w:hint="eastAsia" w:eastAsia="宋体"/>
                <w:sz w:val="20"/>
                <w:szCs w:val="20"/>
                <w:lang w:val="en-US" w:eastAsia="zh-CN"/>
              </w:rPr>
              <w:t>【投标人须提供（10：00-20：00）任一时间节点从投标人配送点到喀什地区维吾尔医医院的高德或百度地图实时在线导航截图（盖公章）作为参考依据，评标委员会有权根据实际导航距离评审投标人承诺合理性，虚假承诺或实际时间不合理的不得分】</w:t>
            </w:r>
          </w:p>
        </w:tc>
      </w:tr>
    </w:tbl>
    <w:p w14:paraId="6C6D7886">
      <w:pPr>
        <w:rPr>
          <w:rFonts w:hint="default"/>
          <w:lang w:val="en-US" w:eastAsia="zh-CN"/>
        </w:rPr>
      </w:pPr>
    </w:p>
    <w:p w14:paraId="517CDB7F">
      <w:pPr>
        <w:rPr>
          <w:rFonts w:hint="default"/>
          <w:lang w:val="en-US" w:eastAsia="zh-CN"/>
        </w:rPr>
      </w:pPr>
    </w:p>
    <w:p w14:paraId="23C39136">
      <w:pPr>
        <w:rPr>
          <w:rFonts w:hint="default"/>
          <w:lang w:val="en-US" w:eastAsia="zh-CN"/>
        </w:rPr>
      </w:pPr>
    </w:p>
    <w:p w14:paraId="2A13325B">
      <w:pPr>
        <w:rPr>
          <w:rFonts w:hint="default"/>
          <w:lang w:val="en-US" w:eastAsia="zh-CN"/>
        </w:rPr>
      </w:pPr>
    </w:p>
    <w:p w14:paraId="70F9480E">
      <w:pPr>
        <w:rPr>
          <w:rFonts w:hint="default"/>
          <w:lang w:val="en-US" w:eastAsia="zh-CN"/>
        </w:rPr>
      </w:pPr>
    </w:p>
    <w:p w14:paraId="61FB9A3B">
      <w:pPr>
        <w:rPr>
          <w:rFonts w:hint="default"/>
          <w:lang w:val="en-US" w:eastAsia="zh-CN"/>
        </w:rPr>
      </w:pPr>
    </w:p>
    <w:p w14:paraId="079F5068">
      <w:pPr>
        <w:pStyle w:val="9"/>
        <w:rPr>
          <w:rFonts w:hint="default"/>
          <w:lang w:val="en-US" w:eastAsia="zh-CN"/>
        </w:rPr>
      </w:pPr>
    </w:p>
    <w:p w14:paraId="63E359A3">
      <w:pPr>
        <w:pStyle w:val="10"/>
        <w:rPr>
          <w:rFonts w:hint="default"/>
          <w:lang w:val="en-US" w:eastAsia="zh-CN"/>
        </w:rPr>
      </w:pPr>
    </w:p>
    <w:p w14:paraId="012515D5">
      <w:pPr>
        <w:rPr>
          <w:rFonts w:hint="default"/>
          <w:lang w:val="en-US" w:eastAsia="zh-CN"/>
        </w:rPr>
      </w:pPr>
    </w:p>
    <w:p w14:paraId="4B8A6861">
      <w:pPr>
        <w:pStyle w:val="21"/>
        <w:rPr>
          <w:rFonts w:hint="default"/>
          <w:lang w:val="en-US" w:eastAsia="zh-CN"/>
        </w:rPr>
      </w:pPr>
    </w:p>
    <w:p w14:paraId="5F63FD35">
      <w:pPr>
        <w:pStyle w:val="9"/>
        <w:rPr>
          <w:rFonts w:hint="default"/>
          <w:lang w:val="en-US" w:eastAsia="zh-CN"/>
        </w:rPr>
      </w:pPr>
    </w:p>
    <w:p w14:paraId="79962B31">
      <w:pPr>
        <w:pStyle w:val="10"/>
        <w:rPr>
          <w:rFonts w:hint="default"/>
          <w:lang w:val="en-US" w:eastAsia="zh-CN"/>
        </w:rPr>
      </w:pPr>
    </w:p>
    <w:p w14:paraId="19E2EC5A">
      <w:pPr>
        <w:rPr>
          <w:rFonts w:hint="default"/>
          <w:lang w:val="en-US" w:eastAsia="zh-CN"/>
        </w:rPr>
      </w:pPr>
    </w:p>
    <w:p w14:paraId="1B6C6678">
      <w:pPr>
        <w:pStyle w:val="21"/>
        <w:rPr>
          <w:rFonts w:hint="default"/>
          <w:lang w:val="en-US" w:eastAsia="zh-CN"/>
        </w:rPr>
      </w:pPr>
    </w:p>
    <w:p w14:paraId="47CD786A">
      <w:pPr>
        <w:pStyle w:val="9"/>
        <w:rPr>
          <w:rFonts w:hint="default"/>
          <w:lang w:val="en-US" w:eastAsia="zh-CN"/>
        </w:rPr>
      </w:pPr>
    </w:p>
    <w:p w14:paraId="5F8EF218">
      <w:pPr>
        <w:pStyle w:val="10"/>
        <w:rPr>
          <w:rFonts w:hint="default"/>
          <w:lang w:val="en-US" w:eastAsia="zh-CN"/>
        </w:rPr>
      </w:pPr>
    </w:p>
    <w:p w14:paraId="51748246">
      <w:pPr>
        <w:rPr>
          <w:rFonts w:hint="default"/>
          <w:lang w:val="en-US" w:eastAsia="zh-CN"/>
        </w:rPr>
      </w:pPr>
    </w:p>
    <w:p w14:paraId="50F7EA53">
      <w:pPr>
        <w:pStyle w:val="10"/>
        <w:ind w:left="0" w:leftChars="0" w:firstLine="0" w:firstLineChars="0"/>
        <w:rPr>
          <w:rFonts w:hint="default"/>
          <w:lang w:val="en-US" w:eastAsia="zh-CN"/>
        </w:rPr>
      </w:pPr>
    </w:p>
    <w:p w14:paraId="49B2C302">
      <w:pPr>
        <w:rPr>
          <w:rFonts w:hint="default"/>
          <w:lang w:val="en-US" w:eastAsia="zh-CN"/>
        </w:rPr>
      </w:pPr>
    </w:p>
    <w:p w14:paraId="41CA9B68">
      <w:pPr>
        <w:pStyle w:val="21"/>
        <w:rPr>
          <w:rFonts w:hint="default"/>
          <w:lang w:val="en-US" w:eastAsia="zh-CN"/>
        </w:rPr>
      </w:pPr>
    </w:p>
    <w:p w14:paraId="3FC3E44F">
      <w:pPr>
        <w:pStyle w:val="9"/>
        <w:rPr>
          <w:rFonts w:hint="default"/>
          <w:lang w:val="en-US" w:eastAsia="zh-CN"/>
        </w:rPr>
      </w:pPr>
    </w:p>
    <w:p w14:paraId="1C7DB8FD">
      <w:pPr>
        <w:pStyle w:val="10"/>
        <w:rPr>
          <w:rFonts w:hint="default"/>
          <w:lang w:val="en-US" w:eastAsia="zh-CN"/>
        </w:rPr>
      </w:pPr>
    </w:p>
    <w:p w14:paraId="14A17E59">
      <w:pPr>
        <w:rPr>
          <w:rFonts w:hint="default"/>
          <w:lang w:val="en-US" w:eastAsia="zh-CN"/>
        </w:rPr>
      </w:pPr>
    </w:p>
    <w:p w14:paraId="53F28ADD">
      <w:pPr>
        <w:pStyle w:val="21"/>
        <w:rPr>
          <w:rFonts w:hint="default"/>
          <w:lang w:val="en-US" w:eastAsia="zh-CN"/>
        </w:rPr>
      </w:pPr>
    </w:p>
    <w:p w14:paraId="7F1D714D">
      <w:pPr>
        <w:pStyle w:val="9"/>
        <w:rPr>
          <w:rFonts w:hint="default"/>
          <w:lang w:val="en-US" w:eastAsia="zh-CN"/>
        </w:rPr>
      </w:pPr>
    </w:p>
    <w:p w14:paraId="3BA580C0">
      <w:pPr>
        <w:pStyle w:val="10"/>
        <w:rPr>
          <w:rFonts w:hint="default"/>
          <w:lang w:val="en-US" w:eastAsia="zh-CN"/>
        </w:rPr>
      </w:pPr>
    </w:p>
    <w:p w14:paraId="651E6FA1">
      <w:pPr>
        <w:rPr>
          <w:rFonts w:hint="default"/>
          <w:lang w:val="en-US" w:eastAsia="zh-CN"/>
        </w:rPr>
      </w:pPr>
    </w:p>
    <w:p w14:paraId="56469BC8">
      <w:pPr>
        <w:pStyle w:val="21"/>
        <w:rPr>
          <w:rFonts w:hint="default"/>
          <w:lang w:val="en-US" w:eastAsia="zh-CN"/>
        </w:rPr>
      </w:pPr>
    </w:p>
    <w:p w14:paraId="571917FB">
      <w:pPr>
        <w:pStyle w:val="9"/>
        <w:rPr>
          <w:rFonts w:hint="default"/>
          <w:lang w:val="en-US" w:eastAsia="zh-CN"/>
        </w:rPr>
      </w:pPr>
    </w:p>
    <w:p w14:paraId="51CF4EE6">
      <w:pPr>
        <w:pStyle w:val="10"/>
        <w:rPr>
          <w:rFonts w:hint="default"/>
          <w:lang w:val="en-US" w:eastAsia="zh-CN"/>
        </w:rPr>
      </w:pPr>
    </w:p>
    <w:p w14:paraId="5749423E">
      <w:pPr>
        <w:rPr>
          <w:rFonts w:hint="default"/>
          <w:lang w:val="en-US" w:eastAsia="zh-CN"/>
        </w:rPr>
      </w:pPr>
    </w:p>
    <w:p w14:paraId="453E166A">
      <w:pPr>
        <w:rPr>
          <w:rFonts w:hint="default"/>
          <w:lang w:val="en-US" w:eastAsia="zh-CN"/>
        </w:rPr>
      </w:pPr>
    </w:p>
    <w:p w14:paraId="6F1501FB">
      <w:pPr>
        <w:rPr>
          <w:rFonts w:hint="default"/>
          <w:lang w:val="en-US" w:eastAsia="zh-CN"/>
        </w:rPr>
      </w:pPr>
    </w:p>
    <w:p w14:paraId="3AEC9A46">
      <w:pPr>
        <w:rPr>
          <w:rFonts w:hint="default"/>
          <w:lang w:val="en-US" w:eastAsia="zh-CN"/>
        </w:rPr>
      </w:pPr>
    </w:p>
    <w:p w14:paraId="5D9196AC">
      <w:pPr>
        <w:rPr>
          <w:rFonts w:hint="default"/>
          <w:lang w:val="en-US" w:eastAsia="zh-CN"/>
        </w:rPr>
      </w:pPr>
    </w:p>
    <w:p w14:paraId="52E6A995">
      <w:pPr>
        <w:pStyle w:val="9"/>
        <w:rPr>
          <w:rFonts w:hint="default"/>
          <w:lang w:val="en-US" w:eastAsia="zh-CN"/>
        </w:rPr>
      </w:pPr>
    </w:p>
    <w:p w14:paraId="1B0299A9">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0"/>
        <w:rPr>
          <w:rStyle w:val="30"/>
          <w:rFonts w:hint="default" w:ascii="Arial" w:hAnsi="Arial" w:eastAsia="宋体" w:cs="Arial"/>
          <w:b w:val="0"/>
          <w:bCs/>
          <w:sz w:val="60"/>
          <w:szCs w:val="40"/>
          <w:lang w:val="en-US" w:eastAsia="zh-CN"/>
        </w:rPr>
      </w:pPr>
      <w:bookmarkStart w:id="529" w:name="_Toc6194"/>
      <w:r>
        <w:rPr>
          <w:rStyle w:val="30"/>
          <w:rFonts w:hint="default" w:ascii="Arial" w:hAnsi="Arial" w:eastAsia="宋体" w:cs="Arial"/>
          <w:b w:val="0"/>
          <w:bCs/>
          <w:sz w:val="60"/>
          <w:szCs w:val="40"/>
          <w:lang w:val="en-US" w:eastAsia="zh-CN"/>
        </w:rPr>
        <w:t>第三册</w:t>
      </w:r>
      <w:bookmarkEnd w:id="529"/>
    </w:p>
    <w:p w14:paraId="5FF851BB">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default" w:ascii="Arial" w:hAnsi="Arial" w:eastAsia="宋体" w:cs="Arial"/>
          <w:b w:val="0"/>
          <w:bCs/>
          <w:sz w:val="60"/>
          <w:szCs w:val="40"/>
          <w:lang w:val="en-US" w:eastAsia="zh-CN"/>
        </w:rPr>
      </w:pPr>
    </w:p>
    <w:p w14:paraId="49EA4AFA">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default" w:ascii="Arial" w:hAnsi="Arial" w:eastAsia="宋体" w:cs="Arial"/>
          <w:b w:val="0"/>
          <w:bCs/>
          <w:sz w:val="60"/>
          <w:szCs w:val="40"/>
          <w:lang w:val="en-US" w:eastAsia="zh-CN"/>
        </w:rPr>
      </w:pPr>
    </w:p>
    <w:p w14:paraId="3536E1BB">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default" w:ascii="Arial" w:hAnsi="Arial" w:eastAsia="宋体" w:cs="Arial"/>
          <w:b w:val="0"/>
          <w:bCs/>
          <w:sz w:val="60"/>
          <w:szCs w:val="40"/>
          <w:lang w:val="en-US" w:eastAsia="zh-CN"/>
        </w:rPr>
      </w:pPr>
    </w:p>
    <w:p w14:paraId="3AC63728">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default" w:ascii="Arial" w:hAnsi="Arial" w:eastAsia="宋体" w:cs="Arial"/>
          <w:b w:val="0"/>
          <w:bCs/>
          <w:sz w:val="60"/>
          <w:szCs w:val="40"/>
          <w:lang w:val="en-US" w:eastAsia="zh-CN"/>
        </w:rPr>
      </w:pPr>
    </w:p>
    <w:p w14:paraId="3C2101A4">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default" w:ascii="Arial" w:hAnsi="Arial" w:eastAsia="宋体" w:cs="Arial"/>
          <w:b w:val="0"/>
          <w:bCs/>
          <w:sz w:val="60"/>
          <w:szCs w:val="40"/>
          <w:lang w:val="en-US" w:eastAsia="zh-CN"/>
        </w:rPr>
      </w:pPr>
    </w:p>
    <w:p w14:paraId="567FCDE9">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default" w:ascii="Arial" w:hAnsi="Arial" w:eastAsia="宋体" w:cs="Arial"/>
          <w:b w:val="0"/>
          <w:bCs/>
          <w:sz w:val="60"/>
          <w:szCs w:val="40"/>
          <w:lang w:val="en-US" w:eastAsia="zh-CN"/>
        </w:rPr>
      </w:pPr>
    </w:p>
    <w:p w14:paraId="4D9D73F2">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Style w:val="30"/>
          <w:rFonts w:hint="default" w:ascii="Arial" w:hAnsi="Arial" w:eastAsia="宋体" w:cs="Arial"/>
          <w:b w:val="0"/>
          <w:bCs/>
          <w:sz w:val="60"/>
          <w:szCs w:val="40"/>
          <w:lang w:val="en-US" w:eastAsia="zh-CN"/>
        </w:rPr>
      </w:pPr>
    </w:p>
    <w:p w14:paraId="45B47446">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Style w:val="30"/>
          <w:rFonts w:hint="default" w:ascii="Arial" w:hAnsi="Arial" w:eastAsia="宋体" w:cs="Arial"/>
          <w:b w:val="0"/>
          <w:bCs/>
          <w:sz w:val="60"/>
          <w:szCs w:val="40"/>
          <w:lang w:val="en-US" w:eastAsia="zh-CN"/>
        </w:rPr>
      </w:pPr>
    </w:p>
    <w:p w14:paraId="74384787">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Style w:val="30"/>
          <w:rFonts w:hint="eastAsia" w:asciiTheme="minorEastAsia" w:hAnsiTheme="minorEastAsia" w:eastAsiaTheme="minorEastAsia" w:cstheme="minorEastAsia"/>
          <w:b w:val="0"/>
          <w:bCs/>
          <w:sz w:val="44"/>
          <w:szCs w:val="24"/>
          <w:lang w:val="en-US" w:eastAsia="zh-CN"/>
        </w:rPr>
      </w:pPr>
    </w:p>
    <w:p w14:paraId="651B01DA">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Style w:val="30"/>
          <w:rFonts w:hint="eastAsia" w:asciiTheme="minorEastAsia" w:hAnsiTheme="minorEastAsia" w:eastAsiaTheme="minorEastAsia" w:cstheme="minorEastAsia"/>
          <w:b w:val="0"/>
          <w:bCs/>
          <w:sz w:val="44"/>
          <w:szCs w:val="24"/>
          <w:lang w:val="en-US" w:eastAsia="zh-CN"/>
        </w:rPr>
      </w:pPr>
      <w:bookmarkStart w:id="530" w:name="_Toc27690"/>
      <w:r>
        <w:rPr>
          <w:rStyle w:val="30"/>
          <w:rFonts w:hint="eastAsia" w:asciiTheme="minorEastAsia" w:hAnsiTheme="minorEastAsia" w:eastAsiaTheme="minorEastAsia" w:cstheme="minorEastAsia"/>
          <w:b w:val="0"/>
          <w:bCs/>
          <w:sz w:val="44"/>
          <w:szCs w:val="24"/>
          <w:lang w:val="en-US" w:eastAsia="zh-CN"/>
        </w:rPr>
        <w:t>第七章 政府采购合同格式</w:t>
      </w:r>
      <w:bookmarkEnd w:id="530"/>
    </w:p>
    <w:p w14:paraId="191471C3">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Style w:val="30"/>
          <w:rFonts w:hint="default" w:asciiTheme="minorEastAsia" w:hAnsiTheme="minorEastAsia" w:eastAsiaTheme="minorEastAsia" w:cstheme="minorEastAsia"/>
          <w:b w:val="0"/>
          <w:bCs/>
          <w:sz w:val="44"/>
          <w:szCs w:val="24"/>
          <w:lang w:val="en-US" w:eastAsia="zh-CN"/>
        </w:rPr>
      </w:pPr>
    </w:p>
    <w:p w14:paraId="4AFE4838">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w:t>
      </w:r>
      <w:r>
        <w:rPr>
          <w:rFonts w:hint="eastAsia" w:asciiTheme="minorEastAsia" w:hAnsiTheme="minorEastAsia" w:eastAsiaTheme="minorEastAsia" w:cstheme="minorEastAsia"/>
          <w:b/>
          <w:sz w:val="24"/>
          <w:szCs w:val="24"/>
          <w:highlight w:val="none"/>
        </w:rPr>
        <w:t>本合同为参考合同，实际以最终签订为准。</w:t>
      </w:r>
      <w:r>
        <w:rPr>
          <w:rFonts w:hint="eastAsia" w:asciiTheme="minorEastAsia" w:hAnsiTheme="minorEastAsia" w:eastAsiaTheme="minorEastAsia" w:cstheme="minorEastAsia"/>
          <w:b/>
          <w:color w:val="auto"/>
          <w:sz w:val="24"/>
          <w:szCs w:val="24"/>
          <w:highlight w:val="none"/>
          <w:lang w:val="en-US" w:eastAsia="zh-CN"/>
        </w:rPr>
        <w:t>)</w:t>
      </w:r>
    </w:p>
    <w:p w14:paraId="63D26DC4">
      <w:pPr>
        <w:pageBreakBefore w:val="0"/>
        <w:kinsoku/>
        <w:wordWrap/>
        <w:overflowPunct/>
        <w:topLinePunct w:val="0"/>
        <w:bidi w:val="0"/>
        <w:spacing w:line="360" w:lineRule="auto"/>
        <w:jc w:val="right"/>
        <w:rPr>
          <w:rFonts w:hint="eastAsia" w:asciiTheme="minorEastAsia" w:hAnsiTheme="minorEastAsia" w:eastAsiaTheme="minorEastAsia" w:cstheme="minorEastAsia"/>
          <w:b/>
          <w:color w:val="auto"/>
          <w:sz w:val="24"/>
          <w:szCs w:val="24"/>
          <w:highlight w:val="none"/>
        </w:rPr>
      </w:pPr>
    </w:p>
    <w:p w14:paraId="526FC723">
      <w:pPr>
        <w:pageBreakBefore w:val="0"/>
        <w:kinsoku/>
        <w:wordWrap/>
        <w:overflowPunct/>
        <w:topLinePunct w:val="0"/>
        <w:bidi w:val="0"/>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合同编号：____________</w:t>
      </w:r>
    </w:p>
    <w:p w14:paraId="0C53148E">
      <w:pPr>
        <w:pStyle w:val="24"/>
        <w:pageBreakBefore w:val="0"/>
        <w:kinsoku/>
        <w:wordWrap/>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rPr>
      </w:pPr>
    </w:p>
    <w:p w14:paraId="3193ECDB">
      <w:pPr>
        <w:pStyle w:val="24"/>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中药饮片采购</w:t>
      </w:r>
      <w:r>
        <w:rPr>
          <w:rFonts w:hint="eastAsia" w:asciiTheme="minorEastAsia" w:hAnsiTheme="minorEastAsia" w:eastAsiaTheme="minorEastAsia" w:cstheme="minorEastAsia"/>
          <w:b/>
          <w:bCs/>
          <w:color w:val="auto"/>
          <w:sz w:val="24"/>
          <w:szCs w:val="24"/>
          <w:highlight w:val="none"/>
        </w:rPr>
        <w:t>合同</w:t>
      </w:r>
    </w:p>
    <w:p w14:paraId="705EABE1">
      <w:pPr>
        <w:pageBreakBefore w:val="0"/>
        <w:kinsoku/>
        <w:wordWrap/>
        <w:overflowPunct/>
        <w:topLinePunct w:val="0"/>
        <w:bidi w:val="0"/>
        <w:spacing w:line="360" w:lineRule="auto"/>
        <w:ind w:firstLine="4096" w:firstLineChars="1700"/>
        <w:rPr>
          <w:rFonts w:hint="eastAsia" w:asciiTheme="minorEastAsia" w:hAnsiTheme="minorEastAsia" w:eastAsiaTheme="minorEastAsia" w:cstheme="minorEastAsia"/>
          <w:b/>
          <w:color w:val="auto"/>
          <w:sz w:val="24"/>
          <w:szCs w:val="24"/>
          <w:highlight w:val="none"/>
        </w:rPr>
      </w:pPr>
    </w:p>
    <w:p w14:paraId="732C2916">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甲方</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医疗机构）</w:t>
      </w:r>
      <w:r>
        <w:rPr>
          <w:rFonts w:hint="eastAsia" w:asciiTheme="minorEastAsia" w:hAnsiTheme="minorEastAsia" w:eastAsiaTheme="minorEastAsia" w:cstheme="minorEastAsia"/>
          <w:b/>
          <w:color w:val="auto"/>
          <w:sz w:val="24"/>
          <w:szCs w:val="24"/>
          <w:highlight w:val="none"/>
        </w:rPr>
        <w:t xml:space="preserve">：喀什地区维吾尔医医院   </w:t>
      </w:r>
    </w:p>
    <w:p w14:paraId="25D80F34">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法定代表人：</w:t>
      </w:r>
    </w:p>
    <w:p w14:paraId="616DB53F">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通讯地址：</w:t>
      </w:r>
    </w:p>
    <w:p w14:paraId="4EBD58F1">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联系电话：</w:t>
      </w:r>
    </w:p>
    <w:p w14:paraId="7B05C18D">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电子邮箱：</w:t>
      </w:r>
    </w:p>
    <w:p w14:paraId="5A13F30B">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乙方</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药品供应企业）</w:t>
      </w:r>
      <w:r>
        <w:rPr>
          <w:rFonts w:hint="eastAsia" w:asciiTheme="minorEastAsia" w:hAnsiTheme="minorEastAsia" w:eastAsiaTheme="minorEastAsia" w:cstheme="minorEastAsia"/>
          <w:b/>
          <w:color w:val="auto"/>
          <w:sz w:val="24"/>
          <w:szCs w:val="24"/>
          <w:highlight w:val="none"/>
        </w:rPr>
        <w:t xml:space="preserve">： </w:t>
      </w:r>
    </w:p>
    <w:p w14:paraId="3F61D854">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法定代表人：</w:t>
      </w:r>
    </w:p>
    <w:p w14:paraId="1EB5C7E9">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通讯地址：</w:t>
      </w:r>
    </w:p>
    <w:p w14:paraId="2CB1E4B6">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联系电话：</w:t>
      </w:r>
    </w:p>
    <w:p w14:paraId="3D631B7B">
      <w:pPr>
        <w:pageBreakBefore w:val="0"/>
        <w:widowControl/>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电子邮箱：</w:t>
      </w:r>
    </w:p>
    <w:p w14:paraId="65733C1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为了更好的发展中医药事业，甲乙双方本着</w:t>
      </w:r>
      <w:r>
        <w:rPr>
          <w:rFonts w:hint="eastAsia" w:asciiTheme="minorEastAsia" w:hAnsiTheme="minorEastAsia" w:eastAsiaTheme="minorEastAsia" w:cstheme="minorEastAsia"/>
          <w:color w:val="auto"/>
          <w:sz w:val="24"/>
          <w:szCs w:val="24"/>
          <w:highlight w:val="none"/>
          <w:lang w:val="en-US" w:eastAsia="zh-CN"/>
        </w:rPr>
        <w:t>平等、</w:t>
      </w:r>
      <w:r>
        <w:rPr>
          <w:rFonts w:hint="eastAsia" w:asciiTheme="minorEastAsia" w:hAnsiTheme="minorEastAsia" w:eastAsiaTheme="minorEastAsia" w:cstheme="minorEastAsia"/>
          <w:color w:val="auto"/>
          <w:sz w:val="24"/>
          <w:szCs w:val="24"/>
          <w:highlight w:val="none"/>
        </w:rPr>
        <w:t>诚信</w:t>
      </w:r>
      <w:r>
        <w:rPr>
          <w:rFonts w:hint="eastAsia" w:asciiTheme="minorEastAsia" w:hAnsiTheme="minorEastAsia" w:eastAsiaTheme="minorEastAsia" w:cstheme="minorEastAsia"/>
          <w:color w:val="auto"/>
          <w:sz w:val="24"/>
          <w:szCs w:val="24"/>
          <w:highlight w:val="none"/>
          <w:lang w:val="en-US" w:eastAsia="zh-CN"/>
        </w:rPr>
        <w:t>信用</w:t>
      </w:r>
      <w:r>
        <w:rPr>
          <w:rFonts w:hint="eastAsia" w:asciiTheme="minorEastAsia" w:hAnsiTheme="minorEastAsia" w:eastAsiaTheme="minorEastAsia" w:cstheme="minorEastAsia"/>
          <w:color w:val="auto"/>
          <w:sz w:val="24"/>
          <w:szCs w:val="24"/>
          <w:highlight w:val="none"/>
        </w:rPr>
        <w:t>原则，</w:t>
      </w:r>
      <w:r>
        <w:rPr>
          <w:rFonts w:hint="eastAsia" w:asciiTheme="minorEastAsia" w:hAnsiTheme="minorEastAsia" w:eastAsiaTheme="minorEastAsia" w:cstheme="minorEastAsia"/>
          <w:color w:val="auto"/>
          <w:sz w:val="24"/>
          <w:szCs w:val="24"/>
          <w:highlight w:val="none"/>
          <w:lang w:val="en-US" w:eastAsia="zh-CN"/>
        </w:rPr>
        <w:t>明确双方权利和义务</w:t>
      </w:r>
      <w:r>
        <w:rPr>
          <w:rFonts w:hint="eastAsia" w:asciiTheme="minorEastAsia" w:hAnsiTheme="minorEastAsia" w:eastAsiaTheme="minorEastAsia" w:cstheme="minorEastAsia"/>
          <w:color w:val="auto"/>
          <w:sz w:val="24"/>
          <w:szCs w:val="24"/>
          <w:highlight w:val="none"/>
        </w:rPr>
        <w:t>，甲乙方双方依据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《中华人民共和国</w:t>
      </w:r>
      <w:r>
        <w:rPr>
          <w:rFonts w:hint="eastAsia" w:asciiTheme="minorEastAsia" w:hAnsiTheme="minorEastAsia" w:eastAsiaTheme="minorEastAsia" w:cstheme="minorEastAsia"/>
          <w:color w:val="auto"/>
          <w:sz w:val="24"/>
          <w:szCs w:val="24"/>
          <w:highlight w:val="none"/>
          <w:lang w:val="en-US" w:eastAsia="zh-CN"/>
        </w:rPr>
        <w:t>药品法》</w:t>
      </w:r>
      <w:r>
        <w:rPr>
          <w:rFonts w:hint="eastAsia" w:asciiTheme="minorEastAsia" w:hAnsiTheme="minorEastAsia" w:eastAsiaTheme="minorEastAsia" w:cstheme="minorEastAsia"/>
          <w:color w:val="auto"/>
          <w:sz w:val="24"/>
          <w:szCs w:val="24"/>
          <w:highlight w:val="none"/>
        </w:rPr>
        <w:t>《中药饮片管理法》、《医疗机构药事管理规定》</w:t>
      </w:r>
      <w:r>
        <w:rPr>
          <w:rFonts w:hint="eastAsia" w:asciiTheme="minorEastAsia" w:hAnsiTheme="minorEastAsia" w:eastAsiaTheme="minorEastAsia" w:cstheme="minorEastAsia"/>
          <w:color w:val="auto"/>
          <w:sz w:val="24"/>
          <w:szCs w:val="24"/>
          <w:highlight w:val="none"/>
          <w:lang w:val="en-US" w:eastAsia="zh-CN"/>
        </w:rPr>
        <w:t>《中华</w:t>
      </w:r>
      <w:r>
        <w:rPr>
          <w:rFonts w:hint="eastAsia" w:asciiTheme="minorEastAsia" w:hAnsiTheme="minorEastAsia" w:eastAsiaTheme="minorEastAsia" w:cstheme="minorEastAsia"/>
          <w:color w:val="auto"/>
          <w:sz w:val="24"/>
          <w:szCs w:val="24"/>
          <w:highlight w:val="none"/>
        </w:rPr>
        <w:t>人民共和国</w:t>
      </w:r>
      <w:r>
        <w:rPr>
          <w:rFonts w:hint="eastAsia" w:asciiTheme="minorEastAsia" w:hAnsiTheme="minorEastAsia" w:eastAsiaTheme="minorEastAsia" w:cstheme="minorEastAsia"/>
          <w:color w:val="auto"/>
          <w:sz w:val="24"/>
          <w:szCs w:val="24"/>
          <w:highlight w:val="none"/>
          <w:lang w:val="en-US" w:eastAsia="zh-CN"/>
        </w:rPr>
        <w:t>民法典</w:t>
      </w:r>
      <w:r>
        <w:rPr>
          <w:rFonts w:hint="eastAsia" w:asciiTheme="minorEastAsia" w:hAnsiTheme="minorEastAsia" w:eastAsiaTheme="minorEastAsia" w:cstheme="minorEastAsia"/>
          <w:color w:val="auto"/>
          <w:sz w:val="24"/>
          <w:szCs w:val="24"/>
          <w:highlight w:val="none"/>
        </w:rPr>
        <w:t>》等</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法律法规的规定，经平等协商</w:t>
      </w:r>
      <w:r>
        <w:rPr>
          <w:rFonts w:hint="eastAsia" w:asciiTheme="minorEastAsia" w:hAnsiTheme="minorEastAsia" w:eastAsiaTheme="minorEastAsia" w:cstheme="minorEastAsia"/>
          <w:color w:val="auto"/>
          <w:sz w:val="24"/>
          <w:szCs w:val="24"/>
          <w:highlight w:val="none"/>
          <w:lang w:val="en-US" w:eastAsia="zh-CN"/>
        </w:rPr>
        <w:t>特立订本合同，</w:t>
      </w:r>
      <w:r>
        <w:rPr>
          <w:rFonts w:hint="eastAsia" w:asciiTheme="minorEastAsia" w:hAnsiTheme="minorEastAsia" w:eastAsiaTheme="minorEastAsia" w:cstheme="minorEastAsia"/>
          <w:color w:val="auto"/>
          <w:sz w:val="24"/>
          <w:szCs w:val="24"/>
          <w:highlight w:val="none"/>
        </w:rPr>
        <w:t>以共同遵守:</w:t>
      </w:r>
    </w:p>
    <w:p w14:paraId="218BB466">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第一条　采购产品期限、品名、价格、质量标准（见附件）</w:t>
      </w:r>
      <w:r>
        <w:rPr>
          <w:rFonts w:hint="eastAsia" w:asciiTheme="minorEastAsia" w:hAnsiTheme="minorEastAsia" w:eastAsiaTheme="minorEastAsia" w:cstheme="minorEastAsia"/>
          <w:b/>
          <w:color w:val="auto"/>
          <w:sz w:val="24"/>
          <w:szCs w:val="24"/>
          <w:highlight w:val="none"/>
          <w:lang w:val="en-US" w:eastAsia="zh-CN"/>
        </w:rPr>
        <w:t>未见清单，建议在合同中增加采购品名、价格、数量、质量标准的条款，如果单独制作采购清单附件，该附件应有甲乙双方签字盖章确认并与采购合同一并留存。</w:t>
      </w:r>
    </w:p>
    <w:p w14:paraId="27615A74">
      <w:pPr>
        <w:pStyle w:val="25"/>
        <w:keepNext w:val="0"/>
        <w:keepLines w:val="0"/>
        <w:pageBreakBefore w:val="0"/>
        <w:kinsoku/>
        <w:wordWrap/>
        <w:overflowPunct/>
        <w:topLinePunct w:val="0"/>
        <w:bidi w:val="0"/>
        <w:spacing w:after="0" w:line="360" w:lineRule="auto"/>
        <w:ind w:left="0" w:leftChars="0" w:right="17" w:rightChars="8"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1．此次采购产品期限</w:t>
      </w:r>
      <w:r>
        <w:rPr>
          <w:rFonts w:hint="eastAsia" w:asciiTheme="minorEastAsia" w:hAnsiTheme="minorEastAsia" w:eastAsiaTheme="minorEastAsia" w:cstheme="minorEastAsia"/>
          <w:b w:val="0"/>
          <w:bCs/>
          <w:color w:val="auto"/>
          <w:sz w:val="24"/>
          <w:szCs w:val="24"/>
          <w:highlight w:val="none"/>
          <w:lang w:eastAsia="zh-CN"/>
        </w:rPr>
        <w:t>暂定一年，如遇特殊情况按需调整</w:t>
      </w:r>
      <w:r>
        <w:rPr>
          <w:rFonts w:hint="eastAsia" w:asciiTheme="minorEastAsia" w:hAnsiTheme="minorEastAsia" w:eastAsiaTheme="minorEastAsia" w:cstheme="minorEastAsia"/>
          <w:b w:val="0"/>
          <w:bCs/>
          <w:color w:val="auto"/>
          <w:sz w:val="24"/>
          <w:szCs w:val="24"/>
          <w:highlight w:val="none"/>
        </w:rPr>
        <w:t>，合同期限内因乙方原因导致不能履约或质量无法保障，甲方有权</w:t>
      </w:r>
      <w:r>
        <w:rPr>
          <w:rFonts w:hint="eastAsia" w:asciiTheme="minorEastAsia" w:hAnsiTheme="minorEastAsia" w:eastAsiaTheme="minorEastAsia" w:cstheme="minorEastAsia"/>
          <w:b w:val="0"/>
          <w:bCs/>
          <w:color w:val="auto"/>
          <w:sz w:val="24"/>
          <w:szCs w:val="24"/>
          <w:highlight w:val="none"/>
          <w:lang w:val="en-US" w:eastAsia="zh-CN"/>
        </w:rPr>
        <w:t>解除合同或</w:t>
      </w:r>
      <w:r>
        <w:rPr>
          <w:rFonts w:hint="eastAsia" w:asciiTheme="minorEastAsia" w:hAnsiTheme="minorEastAsia" w:eastAsiaTheme="minorEastAsia" w:cstheme="minorEastAsia"/>
          <w:b w:val="0"/>
          <w:bCs/>
          <w:color w:val="auto"/>
          <w:sz w:val="24"/>
          <w:szCs w:val="24"/>
          <w:highlight w:val="none"/>
        </w:rPr>
        <w:t>调整供应品种或再引进其他供应商。</w:t>
      </w:r>
      <w:r>
        <w:rPr>
          <w:rFonts w:hint="eastAsia" w:asciiTheme="minorEastAsia" w:hAnsiTheme="minorEastAsia" w:eastAsiaTheme="minorEastAsia" w:cstheme="minorEastAsia"/>
          <w:b w:val="0"/>
          <w:bCs/>
          <w:color w:val="auto"/>
          <w:sz w:val="24"/>
          <w:szCs w:val="24"/>
          <w:highlight w:val="none"/>
          <w:lang w:val="en-US" w:eastAsia="zh-CN"/>
        </w:rPr>
        <w:t>甲方解除合同的，乙方应按合同价的30%向甲方支付违约金。</w:t>
      </w:r>
    </w:p>
    <w:p w14:paraId="6E28D4E3">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．质量标准：在符合</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"http://www.baidu.com/link?url=sk4nyY6vq-c0FsLacoELAyFbsp85kPJFkNFdS50MylAb8OGmaYInPVR7o33NuQQPkBOiC_SlJcmk4Pf8GpyQma" \t "_blank"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《中国药典》20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版</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或国家其他质量标准的基础上，同时满足附件的质量要求（见附件）。</w:t>
      </w:r>
      <w:r>
        <w:rPr>
          <w:rFonts w:hint="eastAsia" w:asciiTheme="minorEastAsia" w:hAnsiTheme="minorEastAsia" w:eastAsiaTheme="minorEastAsia" w:cstheme="minorEastAsia"/>
          <w:color w:val="auto"/>
          <w:sz w:val="24"/>
          <w:szCs w:val="24"/>
          <w:highlight w:val="none"/>
          <w:lang w:val="en-US" w:eastAsia="zh-CN"/>
        </w:rPr>
        <w:t>未见附件，院方对药品质量的要求的附件应由乙方签字盖章确认，并由甲方留存一份。</w:t>
      </w:r>
    </w:p>
    <w:p w14:paraId="511F2D40">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p>
    <w:p w14:paraId="370F0C26">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第二条　付款</w:t>
      </w:r>
    </w:p>
    <w:p w14:paraId="5E9AEDB3">
      <w:pPr>
        <w:pStyle w:val="46"/>
        <w:keepNext w:val="0"/>
        <w:keepLines w:val="0"/>
        <w:pageBreakBefore w:val="0"/>
        <w:widowControl w:val="0"/>
        <w:kinsoku/>
        <w:wordWrap/>
        <w:overflowPunct/>
        <w:topLinePunct w:val="0"/>
        <w:bidi w:val="0"/>
        <w:adjustRightInd w:val="0"/>
        <w:snapToGrid w:val="0"/>
        <w:spacing w:line="360" w:lineRule="auto"/>
        <w:ind w:firstLine="562"/>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1.付款周期：</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02DF6CD">
      <w:pPr>
        <w:pStyle w:val="46"/>
        <w:keepNext w:val="0"/>
        <w:keepLines w:val="0"/>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 xml:space="preserve">乙方开户行：              账号：                          </w:t>
      </w:r>
      <w:r>
        <w:rPr>
          <w:rFonts w:hint="eastAsia" w:asciiTheme="minorEastAsia" w:hAnsiTheme="minorEastAsia" w:eastAsiaTheme="minorEastAsia" w:cstheme="minorEastAsia"/>
          <w:color w:val="auto"/>
          <w:sz w:val="24"/>
          <w:szCs w:val="24"/>
          <w:highlight w:val="none"/>
          <w:u w:val="none"/>
          <w:lang w:val="en-US" w:eastAsia="zh-CN"/>
        </w:rPr>
        <w:t>。</w:t>
      </w:r>
    </w:p>
    <w:p w14:paraId="3E4EF35B">
      <w:pPr>
        <w:pStyle w:val="25"/>
        <w:keepNext w:val="0"/>
        <w:keepLines w:val="0"/>
        <w:pageBreakBefore w:val="0"/>
        <w:kinsoku/>
        <w:wordWrap/>
        <w:overflowPunct/>
        <w:topLinePunct w:val="0"/>
        <w:bidi w:val="0"/>
        <w:spacing w:after="0" w:line="360" w:lineRule="auto"/>
        <w:ind w:left="0" w:leftChars="0" w:right="17" w:rightChars="8"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2.前款中表述的“付款资料”包括但不限于乙方开具的以甲方为抬头的符合税法要求的增值税专用发票及销售清单。                                          </w:t>
      </w:r>
    </w:p>
    <w:p w14:paraId="4409DABE">
      <w:pPr>
        <w:keepNext w:val="0"/>
        <w:keepLines w:val="0"/>
        <w:pageBreakBefore w:val="0"/>
        <w:widowControl/>
        <w:kinsoku/>
        <w:wordWrap/>
        <w:overflowPunct/>
        <w:topLinePunct w:val="0"/>
        <w:autoSpaceDE/>
        <w:autoSpaceDN/>
        <w:bidi w:val="0"/>
        <w:adjustRightInd/>
        <w:snapToGrid/>
        <w:spacing w:before="313" w:beforeLines="10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第三条　订单生产、验收、交货及运费承担</w:t>
      </w:r>
    </w:p>
    <w:p w14:paraId="2AC0018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2"/>
          <w:sz w:val="24"/>
          <w:szCs w:val="24"/>
          <w:highlight w:val="none"/>
          <w:lang w:val="en-US" w:eastAsia="zh-CN" w:bidi="ar-SA"/>
        </w:rPr>
        <w:t>乙方必须保障产品齐全，保证中药饮片质量，按甲方通知方式（向乙方指定送货人以电话、短信、发电子邮件的方式，乙方送货人姓名：</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联系电话：</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xml:space="preserve">  电子邮箱号：</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）至少提前1天通知中药饮片品种、数量、供货方式等，乙方不得以任何借口（如无货，采购量少等）不执行甲方中药饮片采购计划从而影响甲方的临床用药，保证临床用药不断货。（乙方需提供《承诺函》）</w:t>
      </w:r>
      <w:r>
        <w:rPr>
          <w:rFonts w:hint="eastAsia" w:asciiTheme="minorEastAsia" w:hAnsiTheme="minorEastAsia" w:eastAsiaTheme="minorEastAsia" w:cstheme="minorEastAsia"/>
          <w:color w:val="auto"/>
          <w:sz w:val="24"/>
          <w:szCs w:val="24"/>
          <w:highlight w:val="none"/>
        </w:rPr>
        <w:t>甲方质管人员对乙方生产的产品进行验收，经验收合格后，甲方质管人员应在乙方的销售出库单据上进行签字确认后入库。</w:t>
      </w:r>
      <w:r>
        <w:rPr>
          <w:rFonts w:hint="eastAsia" w:asciiTheme="minorEastAsia" w:hAnsiTheme="minorEastAsia" w:eastAsiaTheme="minorEastAsia" w:cstheme="minorEastAsia"/>
          <w:color w:val="auto"/>
          <w:sz w:val="24"/>
          <w:szCs w:val="24"/>
          <w:highlight w:val="none"/>
          <w:lang w:val="en-US" w:eastAsia="zh-CN"/>
        </w:rPr>
        <w:t>为避免事后发生纠纷，建议院方每次通知乙方供货前，将本批次所需要的中药药片制作书面订货清单，内容应包括药品种类、数量、质量要求、规格、送货时间、送货地点等内容，订货清单由乙方盖章确认（可以提前将订货清单电子版发送乙方指定人员电子邮箱，并由乙方人员送货时向甲方提供经乙方盖章确认的订货清单由甲方留存，电子邮件通讯记录应当保留）</w:t>
      </w:r>
    </w:p>
    <w:p w14:paraId="2C949653">
      <w:pPr>
        <w:pStyle w:val="46"/>
        <w:keepNext w:val="0"/>
        <w:keepLines w:val="0"/>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val="en-US" w:eastAsia="zh-CN" w:bidi="ar-SA"/>
        </w:rPr>
        <w:t>.每次配送的时间和数量以甲方的采购计划为准，原则上发出计划后24小时内送达采购人指定地点。乙方应保证所配送的中药饮片的品种、规格、及生产企业相一致。</w:t>
      </w:r>
    </w:p>
    <w:p w14:paraId="344D40F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乙方所供中药饮片应符合《中华人民共和国药典》或食品药品监督管理部门规定的相关标准，按甲方中药饮片用药标准送货，送货时应附相应批号的中药饮片检验报告书，以备验收检查，确保临床用药安全有效。</w:t>
      </w:r>
    </w:p>
    <w:p w14:paraId="247C5BA4">
      <w:pPr>
        <w:pStyle w:val="25"/>
        <w:keepNext w:val="0"/>
        <w:keepLines w:val="0"/>
        <w:pageBreakBefore w:val="0"/>
        <w:kinsoku/>
        <w:wordWrap/>
        <w:overflowPunct/>
        <w:topLinePunct w:val="0"/>
        <w:bidi w:val="0"/>
        <w:spacing w:after="0" w:line="360" w:lineRule="auto"/>
        <w:ind w:left="0" w:leftChars="0" w:right="17" w:rightChars="8"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.乙方送货到以下交货地址，运输费用由乙方承担。交货地址为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EF839F4">
      <w:pPr>
        <w:pStyle w:val="25"/>
        <w:keepNext w:val="0"/>
        <w:keepLines w:val="0"/>
        <w:pageBreakBefore w:val="0"/>
        <w:kinsoku/>
        <w:wordWrap/>
        <w:overflowPunct/>
        <w:topLinePunct w:val="0"/>
        <w:bidi w:val="0"/>
        <w:spacing w:after="0" w:line="360" w:lineRule="auto"/>
        <w:ind w:left="0" w:leftChars="0" w:right="17" w:rightChars="8"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甲方应当场对产品数量及包装外观进行验收，检查商品名称是否相符、零货数量是否短少、整件数目是否相符或者商品包装是否破损，如有不符的，须与乙方配送员当场确认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并由乙方三日内重新配送</w:t>
      </w:r>
      <w:r>
        <w:rPr>
          <w:rFonts w:hint="eastAsia" w:asciiTheme="minorEastAsia" w:hAnsiTheme="minorEastAsia" w:eastAsiaTheme="minorEastAsia" w:cstheme="minorEastAsia"/>
          <w:color w:val="auto"/>
          <w:sz w:val="24"/>
          <w:szCs w:val="24"/>
          <w:highlight w:val="none"/>
        </w:rPr>
        <w:t>。产品质量验收由甲方根据其收货进度及使用进度进行。</w:t>
      </w:r>
    </w:p>
    <w:p w14:paraId="52306AC3">
      <w:pPr>
        <w:pStyle w:val="25"/>
        <w:keepNext w:val="0"/>
        <w:keepLines w:val="0"/>
        <w:pageBreakBefore w:val="0"/>
        <w:kinsoku/>
        <w:wordWrap/>
        <w:overflowPunct/>
        <w:topLinePunct w:val="0"/>
        <w:bidi w:val="0"/>
        <w:spacing w:after="0" w:line="360" w:lineRule="auto"/>
        <w:ind w:left="0" w:leftChars="0" w:right="17" w:rightChars="8"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.甲方指导乙方产品包装的设计，乙方负责包装，包装费用、相关制版和印刷等材料费用均由乙方负责承担。合作期间，乙方应合理控制包装材料的库存数量。</w:t>
      </w:r>
    </w:p>
    <w:p w14:paraId="1DDC3DEE">
      <w:pPr>
        <w:keepNext w:val="0"/>
        <w:keepLines w:val="0"/>
        <w:pageBreakBefore w:val="0"/>
        <w:widowControl/>
        <w:kinsoku/>
        <w:wordWrap/>
        <w:overflowPunct/>
        <w:topLinePunct w:val="0"/>
        <w:autoSpaceDE/>
        <w:autoSpaceDN/>
        <w:bidi w:val="0"/>
        <w:adjustRightInd/>
        <w:snapToGrid/>
        <w:spacing w:before="313" w:beforeLines="10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第四条　质量责任</w:t>
      </w:r>
    </w:p>
    <w:p w14:paraId="5369AB6C">
      <w:pPr>
        <w:pStyle w:val="25"/>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1.乙方负责按GMP及国家相关药政法律法规组织生产，并对质量负责</w:t>
      </w:r>
      <w:r>
        <w:rPr>
          <w:rFonts w:hint="eastAsia" w:asciiTheme="minorEastAsia" w:hAnsiTheme="minorEastAsia" w:eastAsiaTheme="minorEastAsia" w:cstheme="minorEastAsia"/>
          <w:color w:val="auto"/>
          <w:kern w:val="0"/>
          <w:sz w:val="24"/>
          <w:szCs w:val="24"/>
          <w:highlight w:val="none"/>
        </w:rPr>
        <w:t xml:space="preserve">。甲方在质量验收中发现质量问题时有权拒收或要求乙方退换，乙方应按甲方要求及时取回或予以退换。中药饮片在销售过程中出现质量问题时应根据双方签订的质量保证协议处理。因乙方中药饮片质量问题导致甲方被国家相关主管部门处罚的，所产生的罚款等一切费用由乙方承担（包括但不限于乙方因此而支出的信息费、差旅费、律师费、诉讼费、保全费、保管费等），给甲方造成社会不良影响的，乙方应积极主动协调处理并赔偿甲方全部损失。 </w:t>
      </w:r>
    </w:p>
    <w:p w14:paraId="1DE5E091">
      <w:pPr>
        <w:pStyle w:val="25"/>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2.中药饮片原包装完好情况下，如产生滞销、近效期、破损等情况时，甲方有权要求退换货，乙方应及时按甲方要求退换，退换货产生的物流等相关费用由乙方承担。</w:t>
      </w:r>
    </w:p>
    <w:p w14:paraId="009A7DB7">
      <w:pPr>
        <w:pStyle w:val="25"/>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3.甲方在质保期内发现中药饮片存在质量问题的，</w:t>
      </w:r>
      <w:r>
        <w:rPr>
          <w:rFonts w:hint="eastAsia" w:asciiTheme="minorEastAsia" w:hAnsiTheme="minorEastAsia" w:eastAsiaTheme="minorEastAsia" w:cstheme="minorEastAsia"/>
          <w:color w:val="auto"/>
          <w:kern w:val="0"/>
          <w:sz w:val="24"/>
          <w:szCs w:val="24"/>
          <w:highlight w:val="none"/>
          <w:lang w:val="en-US" w:eastAsia="zh-CN"/>
        </w:rPr>
        <w:t>甲方向有关部门进行汇报</w:t>
      </w:r>
      <w:r>
        <w:rPr>
          <w:rFonts w:hint="eastAsia" w:asciiTheme="minorEastAsia" w:hAnsiTheme="minorEastAsia" w:eastAsiaTheme="minorEastAsia" w:cstheme="minorEastAsia"/>
          <w:color w:val="auto"/>
          <w:kern w:val="0"/>
          <w:sz w:val="24"/>
          <w:szCs w:val="24"/>
          <w:highlight w:val="none"/>
        </w:rPr>
        <w:t>，甲方已支付的相应货款，乙方应及时退回或在征得甲方同意的情况下折抵下一批货款。</w:t>
      </w:r>
    </w:p>
    <w:p w14:paraId="4EE391BC">
      <w:pPr>
        <w:pStyle w:val="25"/>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因乙方中药饮片质量问题导致甲方遭受第三方索赔产生的全部损失由乙方承担（包括但不限于甲方因此而支出的罚款、违约金或赔偿金、利息、滞纳金、信息费、差旅费、律师费、诉讼费、保全费、保管费及商誉损失等），给甲方造成社会不良影响的，乙方应积极主动协调处理。</w:t>
      </w:r>
    </w:p>
    <w:p w14:paraId="07B7ACC5">
      <w:pPr>
        <w:pStyle w:val="25"/>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5.甲方以乙方供应品种的一个月账期设立中药饮片质量保证金，质量保证金对乙方供应饮片全品种质保。</w:t>
      </w:r>
    </w:p>
    <w:p w14:paraId="2299A414">
      <w:pPr>
        <w:pStyle w:val="46"/>
        <w:keepNext w:val="0"/>
        <w:keepLines w:val="0"/>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6.在供货期间因出现上级部门政策性第三方中药饮片交易平台或其他集中采购有同类品种采购时，甲方有权终止合同自行转集中采购（乙方提供《承诺函》）。未见承诺函要求乙方提供</w:t>
      </w:r>
    </w:p>
    <w:p w14:paraId="20ADA122">
      <w:pPr>
        <w:pStyle w:val="46"/>
        <w:keepNext w:val="0"/>
        <w:keepLines w:val="0"/>
        <w:pageBreakBefore w:val="0"/>
        <w:widowControl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7.乙方需按照甲方要求提供人员进行中药饮片库房及草药房的劳务工作</w:t>
      </w:r>
    </w:p>
    <w:p w14:paraId="38000E40">
      <w:pPr>
        <w:keepNext w:val="0"/>
        <w:keepLines w:val="0"/>
        <w:pageBreakBefore w:val="0"/>
        <w:kinsoku/>
        <w:wordWrap/>
        <w:overflowPunct/>
        <w:topLinePunct w:val="0"/>
        <w:autoSpaceDE w:val="0"/>
        <w:autoSpaceDN w:val="0"/>
        <w:bidi w:val="0"/>
        <w:adjustRightInd w:val="0"/>
        <w:spacing w:line="360" w:lineRule="auto"/>
        <w:ind w:right="17" w:rightChars="8"/>
        <w:textAlignment w:val="auto"/>
        <w:rPr>
          <w:rFonts w:hint="eastAsia" w:asciiTheme="minorEastAsia" w:hAnsiTheme="minorEastAsia" w:eastAsiaTheme="minorEastAsia" w:cstheme="minorEastAsia"/>
          <w:b/>
          <w:color w:val="auto"/>
          <w:sz w:val="24"/>
          <w:szCs w:val="24"/>
          <w:highlight w:val="none"/>
        </w:rPr>
      </w:pPr>
    </w:p>
    <w:p w14:paraId="5F86FB92">
      <w:pPr>
        <w:keepNext w:val="0"/>
        <w:keepLines w:val="0"/>
        <w:pageBreakBefore w:val="0"/>
        <w:kinsoku/>
        <w:wordWrap/>
        <w:overflowPunct/>
        <w:topLinePunct w:val="0"/>
        <w:autoSpaceDE w:val="0"/>
        <w:autoSpaceDN w:val="0"/>
        <w:bidi w:val="0"/>
        <w:adjustRightInd w:val="0"/>
        <w:spacing w:line="360" w:lineRule="auto"/>
        <w:ind w:right="17" w:rightChars="8"/>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条　</w:t>
      </w:r>
      <w:r>
        <w:rPr>
          <w:rFonts w:hint="eastAsia" w:asciiTheme="minorEastAsia" w:hAnsiTheme="minorEastAsia" w:eastAsiaTheme="minorEastAsia" w:cstheme="minorEastAsia"/>
          <w:b/>
          <w:bCs/>
          <w:color w:val="auto"/>
          <w:kern w:val="0"/>
          <w:sz w:val="24"/>
          <w:szCs w:val="24"/>
          <w:highlight w:val="none"/>
        </w:rPr>
        <w:t>双方主体资格</w:t>
      </w:r>
    </w:p>
    <w:p w14:paraId="711CF0B1">
      <w:pPr>
        <w:keepNext w:val="0"/>
        <w:keepLines w:val="0"/>
        <w:pageBreakBefore w:val="0"/>
        <w:kinsoku/>
        <w:wordWrap/>
        <w:overflowPunct/>
        <w:topLinePunct w:val="0"/>
        <w:autoSpaceDE w:val="0"/>
        <w:autoSpaceDN w:val="0"/>
        <w:bidi w:val="0"/>
        <w:adjustRightInd w:val="0"/>
        <w:spacing w:line="360" w:lineRule="auto"/>
        <w:ind w:right="17" w:rightChars="8"/>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乙双方须依据国家有关规定向对方提供真实合法有效的证照复印件，其中包括：《药品经营/生产许可证》、《企业营业执照》、《增值税一般纳税人资格证书》、《银行账户开户许可证》、法定代表人身份证明、法人授权委托书以及公章、发票专用章、药品出库专用章、质量管理专用章（检验专用章或质量保证专用章）、法人印章等原始印记，以上资料须加盖公章。</w:t>
      </w:r>
    </w:p>
    <w:p w14:paraId="3733B44C">
      <w:pPr>
        <w:pStyle w:val="25"/>
        <w:keepNext w:val="0"/>
        <w:keepLines w:val="0"/>
        <w:pageBreakBefore w:val="0"/>
        <w:kinsoku/>
        <w:wordWrap/>
        <w:overflowPunct/>
        <w:topLinePunct w:val="0"/>
        <w:bidi w:val="0"/>
        <w:spacing w:after="0" w:line="360" w:lineRule="auto"/>
        <w:ind w:left="0" w:leftChars="0" w:right="17" w:rightChars="8" w:firstLine="0" w:firstLine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2.甲、乙双方若变更上述资料，应及时书面告知对方，并向对方重新提交变更后的相关证照资料，如不能及时重新提交变更后的证照资料而给对方造成经济损失的，由资料变更方承担全部赔偿责任。</w:t>
      </w:r>
    </w:p>
    <w:p w14:paraId="60938782">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bCs/>
          <w:color w:val="auto"/>
          <w:sz w:val="24"/>
          <w:szCs w:val="24"/>
          <w:highlight w:val="none"/>
        </w:rPr>
      </w:pPr>
    </w:p>
    <w:p w14:paraId="2CD241C0">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条  保密条款</w:t>
      </w:r>
    </w:p>
    <w:p w14:paraId="644CF5A8">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1．双方保证从对方取得且无法自公开渠道获取的商业秘密（包括但不限于技术信息、经营信息及其他商业秘密等），未经对方同意，一方不得向任何第三方泄露该商业秘密的全部或部分内容。</w:t>
      </w:r>
    </w:p>
    <w:p w14:paraId="07A2FAC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2．除应相关政府部门、司法机构及监管部门等要求外，未经对方同意，任何一方均不得将本合同内容向第三方公开或泄露，本规定在本合同终止后继续有效。</w:t>
      </w:r>
    </w:p>
    <w:p w14:paraId="53BC4D33">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3．任何一方违反上述保密义务，应承担相应的违约责任并赔偿由此给对方造成的损失。</w:t>
      </w:r>
    </w:p>
    <w:p w14:paraId="65E18384">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bCs/>
          <w:color w:val="auto"/>
          <w:sz w:val="24"/>
          <w:szCs w:val="24"/>
          <w:highlight w:val="none"/>
        </w:rPr>
      </w:pPr>
    </w:p>
    <w:p w14:paraId="3D0A29FE">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条</w:t>
      </w: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b/>
          <w:color w:val="auto"/>
          <w:sz w:val="24"/>
          <w:szCs w:val="24"/>
          <w:highlight w:val="none"/>
        </w:rPr>
        <w:t>违约责任</w:t>
      </w:r>
    </w:p>
    <w:p w14:paraId="43125B5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z w:val="24"/>
          <w:szCs w:val="24"/>
          <w:highlight w:val="none"/>
        </w:rPr>
        <w:t>乙方不能交货的，甲方有权单方解除本合同并禁止</w:t>
      </w:r>
      <w:r>
        <w:rPr>
          <w:rFonts w:hint="eastAsia" w:asciiTheme="minorEastAsia" w:hAnsiTheme="minorEastAsia" w:eastAsiaTheme="minorEastAsia" w:cstheme="minorEastAsia"/>
          <w:bCs/>
          <w:color w:val="auto"/>
          <w:sz w:val="24"/>
          <w:szCs w:val="24"/>
          <w:highlight w:val="none"/>
        </w:rPr>
        <w:t>乙方参加今后的招标</w:t>
      </w:r>
      <w:r>
        <w:rPr>
          <w:rFonts w:hint="eastAsia" w:asciiTheme="minorEastAsia" w:hAnsiTheme="minorEastAsia" w:eastAsiaTheme="minorEastAsia" w:cstheme="minorEastAsia"/>
          <w:color w:val="auto"/>
          <w:sz w:val="24"/>
          <w:szCs w:val="24"/>
          <w:highlight w:val="none"/>
        </w:rPr>
        <w:t xml:space="preserve">，同时乙方应按不能交货部分货款的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％向甲方支付违约金。</w:t>
      </w:r>
    </w:p>
    <w:p w14:paraId="0907B25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2.乙方不能按期交货的，须自接到订单起 </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个工作日与甲方协商，甲方同意乙方延期的，乙方应在新的交货期前完成交货；乙方逾期交货的，每逾期一天，应按照逾期交货部分货款的万分之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向甲方支付违约金；甲方不同意延期的或经延期乙方仍不能完成交货的，甲方有权终止本合同，同时乙方应赔偿因此给甲方造成的损失。</w:t>
      </w:r>
    </w:p>
    <w:p w14:paraId="06880E58">
      <w:pPr>
        <w:pStyle w:val="25"/>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3．乙方所交中药饮片不符合同约定的质量标准，由此造成的一切不良后果由乙方承担全部责任，并由乙方赔偿因此给甲方造成的全部损失（</w:t>
      </w:r>
      <w:r>
        <w:rPr>
          <w:rFonts w:hint="eastAsia" w:asciiTheme="minorEastAsia" w:hAnsiTheme="minorEastAsia" w:eastAsiaTheme="minorEastAsia" w:cstheme="minorEastAsia"/>
          <w:color w:val="auto"/>
          <w:kern w:val="0"/>
          <w:sz w:val="24"/>
          <w:szCs w:val="24"/>
          <w:highlight w:val="none"/>
        </w:rPr>
        <w:t>包括但不限于甲方支出的差旅费、律师费、诉讼费、保全费、保管费</w:t>
      </w:r>
      <w:r>
        <w:rPr>
          <w:rFonts w:hint="eastAsia" w:asciiTheme="minorEastAsia" w:hAnsiTheme="minorEastAsia" w:eastAsiaTheme="minorEastAsia" w:cstheme="minorEastAsia"/>
          <w:color w:val="auto"/>
          <w:sz w:val="24"/>
          <w:szCs w:val="24"/>
          <w:highlight w:val="none"/>
        </w:rPr>
        <w:t>等直接损失和间接损失）</w:t>
      </w:r>
    </w:p>
    <w:p w14:paraId="5B1F41CC">
      <w:pPr>
        <w:keepNext w:val="0"/>
        <w:keepLines w:val="0"/>
        <w:pageBreakBefore w:val="0"/>
        <w:widowControl/>
        <w:numPr>
          <w:ilvl w:val="0"/>
          <w:numId w:val="19"/>
        </w:numPr>
        <w:kinsoku/>
        <w:wordWrap/>
        <w:overflowPunct/>
        <w:topLinePunct w:val="0"/>
        <w:bidi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如乙方无法保障中药饮片质量，则甲方有权调整中药饮片品种或选择</w:t>
      </w:r>
      <w:r>
        <w:rPr>
          <w:rFonts w:hint="eastAsia" w:asciiTheme="minorEastAsia" w:hAnsiTheme="minorEastAsia" w:eastAsiaTheme="minorEastAsia" w:cstheme="minorEastAsia"/>
          <w:color w:val="auto"/>
          <w:sz w:val="24"/>
          <w:szCs w:val="24"/>
          <w:highlight w:val="none"/>
        </w:rPr>
        <w:t>从其他途径购买。</w:t>
      </w:r>
    </w:p>
    <w:p w14:paraId="0F649967">
      <w:pPr>
        <w:keepNext w:val="0"/>
        <w:keepLines w:val="0"/>
        <w:pageBreakBefore w:val="0"/>
        <w:widowControl/>
        <w:kinsoku/>
        <w:wordWrap/>
        <w:overflowPunct/>
        <w:topLinePunct w:val="0"/>
        <w:bidi w:val="0"/>
        <w:spacing w:before="100" w:after="100" w:line="360" w:lineRule="auto"/>
        <w:ind w:right="31" w:rightChars="15"/>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5.如</w:t>
      </w:r>
      <w:r>
        <w:rPr>
          <w:rFonts w:hint="eastAsia" w:asciiTheme="minorEastAsia" w:hAnsiTheme="minorEastAsia" w:eastAsiaTheme="minorEastAsia" w:cstheme="minorEastAsia"/>
          <w:color w:val="auto"/>
          <w:sz w:val="24"/>
          <w:szCs w:val="24"/>
          <w:highlight w:val="none"/>
        </w:rPr>
        <w:t>乙方不能为甲方</w:t>
      </w:r>
      <w:r>
        <w:rPr>
          <w:rFonts w:hint="eastAsia" w:asciiTheme="minorEastAsia" w:hAnsiTheme="minorEastAsia" w:eastAsiaTheme="minorEastAsia" w:cstheme="minorEastAsia"/>
          <w:color w:val="auto"/>
          <w:kern w:val="0"/>
          <w:sz w:val="24"/>
          <w:szCs w:val="24"/>
          <w:highlight w:val="none"/>
        </w:rPr>
        <w:t>提供及时有效的售后服务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同一品种</w:t>
      </w:r>
      <w:r>
        <w:rPr>
          <w:rFonts w:hint="eastAsia" w:asciiTheme="minorEastAsia" w:hAnsiTheme="minorEastAsia" w:eastAsiaTheme="minorEastAsia" w:cstheme="minorEastAsia"/>
          <w:color w:val="auto"/>
          <w:kern w:val="0"/>
          <w:sz w:val="24"/>
          <w:szCs w:val="24"/>
          <w:highlight w:val="none"/>
          <w:lang w:val="en-US" w:eastAsia="zh-CN"/>
        </w:rPr>
        <w:t>中药饮片在3日内</w:t>
      </w:r>
      <w:r>
        <w:rPr>
          <w:rFonts w:hint="eastAsia" w:asciiTheme="minorEastAsia" w:hAnsiTheme="minorEastAsia" w:eastAsiaTheme="minorEastAsia" w:cstheme="minorEastAsia"/>
          <w:color w:val="auto"/>
          <w:kern w:val="0"/>
          <w:sz w:val="24"/>
          <w:szCs w:val="24"/>
          <w:highlight w:val="none"/>
        </w:rPr>
        <w:t>连续三次无法供货或者供货期内两次</w:t>
      </w:r>
      <w:r>
        <w:rPr>
          <w:rFonts w:hint="eastAsia" w:asciiTheme="minorEastAsia" w:hAnsiTheme="minorEastAsia" w:eastAsiaTheme="minorEastAsia" w:cstheme="minorEastAsia"/>
          <w:color w:val="auto"/>
          <w:kern w:val="0"/>
          <w:sz w:val="24"/>
          <w:szCs w:val="24"/>
          <w:highlight w:val="none"/>
          <w:lang w:val="en-US" w:eastAsia="zh-CN"/>
        </w:rPr>
        <w:t>中药饮片</w:t>
      </w:r>
      <w:r>
        <w:rPr>
          <w:rFonts w:hint="eastAsia" w:asciiTheme="minorEastAsia" w:hAnsiTheme="minorEastAsia" w:eastAsiaTheme="minorEastAsia" w:cstheme="minorEastAsia"/>
          <w:color w:val="auto"/>
          <w:kern w:val="0"/>
          <w:sz w:val="24"/>
          <w:szCs w:val="24"/>
          <w:highlight w:val="none"/>
        </w:rPr>
        <w:t>验收不合格的，</w:t>
      </w:r>
      <w:r>
        <w:rPr>
          <w:rFonts w:hint="eastAsia" w:asciiTheme="minorEastAsia" w:hAnsiTheme="minorEastAsia" w:eastAsiaTheme="minorEastAsia" w:cstheme="minorEastAsia"/>
          <w:color w:val="auto"/>
          <w:sz w:val="24"/>
          <w:szCs w:val="24"/>
          <w:highlight w:val="none"/>
          <w:lang w:val="en-US" w:eastAsia="zh-CN"/>
        </w:rPr>
        <w:t xml:space="preserve">乙方应向甲方支付违约金 </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kern w:val="0"/>
          <w:sz w:val="24"/>
          <w:szCs w:val="24"/>
          <w:highlight w:val="none"/>
          <w:lang w:val="en-US" w:eastAsia="zh-CN"/>
        </w:rPr>
        <w:t>甲方</w:t>
      </w:r>
      <w:r>
        <w:rPr>
          <w:rFonts w:hint="eastAsia" w:asciiTheme="minorEastAsia" w:hAnsiTheme="minorEastAsia" w:eastAsiaTheme="minorEastAsia" w:cstheme="minorEastAsia"/>
          <w:color w:val="auto"/>
          <w:kern w:val="0"/>
          <w:sz w:val="24"/>
          <w:szCs w:val="24"/>
          <w:highlight w:val="none"/>
        </w:rPr>
        <w:t>有权取消</w:t>
      </w:r>
      <w:r>
        <w:rPr>
          <w:rFonts w:hint="eastAsia" w:asciiTheme="minorEastAsia" w:hAnsiTheme="minorEastAsia" w:eastAsiaTheme="minorEastAsia" w:cstheme="minorEastAsia"/>
          <w:color w:val="auto"/>
          <w:kern w:val="0"/>
          <w:sz w:val="24"/>
          <w:szCs w:val="24"/>
          <w:highlight w:val="none"/>
          <w:lang w:val="en-US" w:eastAsia="zh-CN"/>
        </w:rPr>
        <w:t>乙方</w:t>
      </w:r>
      <w:r>
        <w:rPr>
          <w:rFonts w:hint="eastAsia" w:asciiTheme="minorEastAsia" w:hAnsiTheme="minorEastAsia" w:eastAsiaTheme="minorEastAsia" w:cstheme="minorEastAsia"/>
          <w:color w:val="auto"/>
          <w:kern w:val="0"/>
          <w:sz w:val="24"/>
          <w:szCs w:val="24"/>
          <w:highlight w:val="none"/>
        </w:rPr>
        <w:t>的供货资格。（</w:t>
      </w:r>
      <w:r>
        <w:rPr>
          <w:rFonts w:hint="eastAsia" w:asciiTheme="minorEastAsia" w:hAnsiTheme="minorEastAsia" w:eastAsiaTheme="minorEastAsia" w:cstheme="minorEastAsia"/>
          <w:color w:val="auto"/>
          <w:kern w:val="0"/>
          <w:sz w:val="24"/>
          <w:szCs w:val="24"/>
          <w:highlight w:val="none"/>
          <w:lang w:val="en-US" w:eastAsia="zh-CN"/>
        </w:rPr>
        <w:t>乙方需</w:t>
      </w:r>
      <w:r>
        <w:rPr>
          <w:rFonts w:hint="eastAsia" w:asciiTheme="minorEastAsia" w:hAnsiTheme="minorEastAsia" w:eastAsiaTheme="minorEastAsia" w:cstheme="minorEastAsia"/>
          <w:color w:val="auto"/>
          <w:kern w:val="0"/>
          <w:sz w:val="24"/>
          <w:szCs w:val="24"/>
          <w:highlight w:val="none"/>
        </w:rPr>
        <w:t>提供《承诺函》）</w:t>
      </w:r>
    </w:p>
    <w:p w14:paraId="68E41DDF">
      <w:pPr>
        <w:keepNext w:val="0"/>
        <w:keepLines w:val="0"/>
        <w:pageBreakBefore w:val="0"/>
        <w:widowControl/>
        <w:numPr>
          <w:ilvl w:val="0"/>
          <w:numId w:val="0"/>
        </w:numPr>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任何一方违反本合同约定的，应立即纠正或停止相关行为，承担相应的法律责任，并赔偿造成的相应损失。</w:t>
      </w:r>
    </w:p>
    <w:p w14:paraId="6FC64D47">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p>
    <w:p w14:paraId="4466F2D8">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条　争议的解决</w:t>
      </w:r>
    </w:p>
    <w:p w14:paraId="44B82047">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凡因本合同及本合同的履行发生争议的，双方应友好协商解决，协商解决不成，由甲方所在地人民法院裁决。</w:t>
      </w:r>
    </w:p>
    <w:p w14:paraId="1E4F06FC">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p>
    <w:p w14:paraId="47EC1847">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条　其他</w:t>
      </w:r>
    </w:p>
    <w:p w14:paraId="169E8896">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1．本合同期限为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年，自</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日起至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日止。</w:t>
      </w:r>
    </w:p>
    <w:p w14:paraId="528A2A30">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2．如乙方在履行合同过程中违约，甲方有权从质量保证金中直接扣除违约金及给甲方造成的损失。</w:t>
      </w:r>
    </w:p>
    <w:p w14:paraId="6CC7091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3．乙方不得采用任何物质、非物质利益等不正当手段贿赂甲方工作人员，否则，甲方有权单方终止本合同。本条款的效力不得被双方其他任何形式任何时间的约定变更或替换。</w:t>
      </w:r>
    </w:p>
    <w:p w14:paraId="30A19895">
      <w:pPr>
        <w:pStyle w:val="14"/>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4．乙方应保证具有较强的本地化服务能力，配有较强的技术队伍，能为甲方提供快速的售后服务响应，保证接到甲方通知后到达现场服务时间小于2小时。</w:t>
      </w:r>
    </w:p>
    <w:p w14:paraId="05E7D6A1">
      <w:pPr>
        <w:pStyle w:val="25"/>
        <w:keepNext w:val="0"/>
        <w:keepLines w:val="0"/>
        <w:pageBreakBefore w:val="0"/>
        <w:kinsoku/>
        <w:wordWrap/>
        <w:overflowPunct/>
        <w:topLinePunct w:val="0"/>
        <w:bidi w:val="0"/>
        <w:spacing w:line="360" w:lineRule="auto"/>
        <w:ind w:left="0" w:leftChars="0" w:right="42" w:rightChars="2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5．双方签订的《中药饮片质量保证协议》是本合同的组成部分，与本合同具有同等法律效力。</w:t>
      </w:r>
    </w:p>
    <w:p w14:paraId="5EFFBFA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pacing w:val="-5"/>
          <w:sz w:val="24"/>
          <w:szCs w:val="24"/>
          <w:highlight w:val="none"/>
        </w:rPr>
        <w:t>双方保证各自的主体资格真实合法，且在本合同期限内持续有效。</w:t>
      </w:r>
    </w:p>
    <w:p w14:paraId="7C861D37">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7．本合同自双方</w:t>
      </w:r>
      <w:r>
        <w:rPr>
          <w:rFonts w:hint="eastAsia" w:asciiTheme="minorEastAsia" w:hAnsiTheme="minorEastAsia" w:eastAsiaTheme="minorEastAsia" w:cstheme="minorEastAsia"/>
          <w:color w:val="auto"/>
          <w:sz w:val="24"/>
          <w:szCs w:val="24"/>
          <w:highlight w:val="none"/>
          <w:lang w:val="en-US" w:eastAsia="zh-CN"/>
        </w:rPr>
        <w:t>法定代表人或授权委托人</w:t>
      </w:r>
      <w:r>
        <w:rPr>
          <w:rFonts w:hint="eastAsia" w:asciiTheme="minorEastAsia" w:hAnsiTheme="minorEastAsia" w:eastAsiaTheme="minorEastAsia" w:cstheme="minorEastAsia"/>
          <w:color w:val="auto"/>
          <w:sz w:val="24"/>
          <w:szCs w:val="24"/>
          <w:highlight w:val="none"/>
        </w:rPr>
        <w:t>签字盖章之日起生效。</w:t>
      </w:r>
    </w:p>
    <w:p w14:paraId="5B8EAFA7">
      <w:pPr>
        <w:keepNext w:val="0"/>
        <w:keepLines w:val="0"/>
        <w:pageBreakBefore w:val="0"/>
        <w:widowControl/>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8．本合同一式陆份，双方各执叁份，具有同等法律效力。</w:t>
      </w:r>
    </w:p>
    <w:p w14:paraId="7B7A1E7F">
      <w:pPr>
        <w:pageBreakBefore w:val="0"/>
        <w:kinsoku/>
        <w:wordWrap/>
        <w:overflowPunct/>
        <w:topLinePunct w:val="0"/>
        <w:bidi w:val="0"/>
        <w:spacing w:line="360" w:lineRule="auto"/>
        <w:rPr>
          <w:rFonts w:hint="eastAsia" w:asciiTheme="minorEastAsia" w:hAnsiTheme="minorEastAsia" w:eastAsiaTheme="minorEastAsia" w:cstheme="minorEastAsia"/>
          <w:color w:val="auto"/>
          <w:spacing w:val="-5"/>
          <w:sz w:val="24"/>
          <w:szCs w:val="24"/>
          <w:highlight w:val="none"/>
        </w:rPr>
      </w:pPr>
    </w:p>
    <w:p w14:paraId="0CFE745F">
      <w:pPr>
        <w:pStyle w:val="14"/>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甲方（章）：    </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乙方（章）：</w:t>
      </w:r>
    </w:p>
    <w:p w14:paraId="3FAC28ED">
      <w:pPr>
        <w:pStyle w:val="14"/>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0AFE755F">
      <w:pPr>
        <w:pStyle w:val="14"/>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授权代表人：               授权代表人：</w:t>
      </w:r>
    </w:p>
    <w:p w14:paraId="48DFCBD8">
      <w:pPr>
        <w:pStyle w:val="14"/>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2B0C83C3">
      <w:pPr>
        <w:pStyle w:val="14"/>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签署日期：   年  月  日    签署日期：   年  月  日</w:t>
      </w:r>
    </w:p>
    <w:p w14:paraId="325D5C46">
      <w:pPr>
        <w:pStyle w:val="14"/>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lang w:eastAsia="zh-CN"/>
        </w:rPr>
      </w:pPr>
    </w:p>
    <w:p w14:paraId="1CE08A70">
      <w:pPr>
        <w:pStyle w:val="14"/>
        <w:pageBreakBefore w:val="0"/>
        <w:widowControl/>
        <w:numPr>
          <w:ilvl w:val="0"/>
          <w:numId w:val="20"/>
        </w:numPr>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授权委托人签字需要提供：乙方给委托人出具的授权委托书原件（委托权限应明确授权代表人有代表乙方签订合同的授权）、法定代表人身份证明书原件、乙方营业执照复印件（加盖公章）、授权委托人身份证复印件（加盖公章），注意合同签订日期应在成交通知书载明时期之日起30日内完成。</w:t>
      </w:r>
    </w:p>
    <w:p w14:paraId="78B67EB8">
      <w:pPr>
        <w:pStyle w:val="14"/>
        <w:pageBreakBefore w:val="0"/>
        <w:widowControl/>
        <w:numPr>
          <w:ilvl w:val="0"/>
          <w:numId w:val="20"/>
        </w:numPr>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合同中未见价格条款，建议甲乙双方将药品价格写入合同条款。</w:t>
      </w:r>
    </w:p>
    <w:p w14:paraId="6DFE4C94">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br w:type="page"/>
      </w:r>
      <w:r>
        <w:rPr>
          <w:rFonts w:hint="eastAsia" w:asciiTheme="minorEastAsia" w:hAnsiTheme="minorEastAsia" w:eastAsiaTheme="minorEastAsia" w:cstheme="minorEastAsia"/>
          <w:b w:val="0"/>
          <w:bCs w:val="0"/>
          <w:color w:val="auto"/>
          <w:sz w:val="24"/>
          <w:szCs w:val="24"/>
          <w:highlight w:val="none"/>
        </w:rPr>
        <w:t>中药饮片质量保证协议</w:t>
      </w:r>
    </w:p>
    <w:p w14:paraId="57F330FC">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4"/>
          <w:szCs w:val="24"/>
          <w:highlight w:val="none"/>
        </w:rPr>
      </w:pPr>
    </w:p>
    <w:p w14:paraId="44E4D87F">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甲方（</w:t>
      </w:r>
      <w:r>
        <w:rPr>
          <w:rFonts w:hint="eastAsia" w:asciiTheme="minorEastAsia" w:hAnsiTheme="minorEastAsia" w:eastAsiaTheme="minorEastAsia" w:cstheme="minorEastAsia"/>
          <w:b w:val="0"/>
          <w:bCs w:val="0"/>
          <w:color w:val="auto"/>
          <w:sz w:val="24"/>
          <w:szCs w:val="24"/>
          <w:highlight w:val="none"/>
          <w:lang w:val="en-US" w:eastAsia="zh-CN"/>
        </w:rPr>
        <w:t>医疗机构</w:t>
      </w:r>
      <w:r>
        <w:rPr>
          <w:rFonts w:hint="eastAsia" w:asciiTheme="minorEastAsia" w:hAnsiTheme="minorEastAsia" w:eastAsiaTheme="minorEastAsia" w:cstheme="minorEastAsia"/>
          <w:b w:val="0"/>
          <w:bCs w:val="0"/>
          <w:color w:val="auto"/>
          <w:sz w:val="24"/>
          <w:szCs w:val="24"/>
          <w:highlight w:val="none"/>
        </w:rPr>
        <w:t>）：</w:t>
      </w:r>
    </w:p>
    <w:p w14:paraId="61337171">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法定代表人：</w:t>
      </w:r>
    </w:p>
    <w:p w14:paraId="2B369AA1">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通讯地址：</w:t>
      </w:r>
    </w:p>
    <w:p w14:paraId="0D3DFC7E">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联系电话：</w:t>
      </w:r>
    </w:p>
    <w:p w14:paraId="4B262602">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电子邮箱：</w:t>
      </w:r>
    </w:p>
    <w:p w14:paraId="270AE031">
      <w:pPr>
        <w:pStyle w:val="21"/>
        <w:rPr>
          <w:rFonts w:hint="eastAsia"/>
        </w:rPr>
      </w:pPr>
    </w:p>
    <w:p w14:paraId="31247EA3">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乙方（</w:t>
      </w:r>
      <w:r>
        <w:rPr>
          <w:rFonts w:hint="eastAsia" w:asciiTheme="minorEastAsia" w:hAnsiTheme="minorEastAsia" w:eastAsiaTheme="minorEastAsia" w:cstheme="minorEastAsia"/>
          <w:b w:val="0"/>
          <w:bCs w:val="0"/>
          <w:color w:val="auto"/>
          <w:sz w:val="24"/>
          <w:szCs w:val="24"/>
          <w:highlight w:val="none"/>
          <w:lang w:val="en-US" w:eastAsia="zh-CN"/>
        </w:rPr>
        <w:t>药品供应企业</w:t>
      </w:r>
      <w:r>
        <w:rPr>
          <w:rFonts w:hint="eastAsia" w:asciiTheme="minorEastAsia" w:hAnsiTheme="minorEastAsia" w:eastAsiaTheme="minorEastAsia" w:cstheme="minorEastAsia"/>
          <w:b w:val="0"/>
          <w:bCs w:val="0"/>
          <w:color w:val="auto"/>
          <w:sz w:val="24"/>
          <w:szCs w:val="24"/>
          <w:highlight w:val="none"/>
        </w:rPr>
        <w:t>）：</w:t>
      </w:r>
    </w:p>
    <w:p w14:paraId="0BF06BD0">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法定代表人：</w:t>
      </w:r>
    </w:p>
    <w:p w14:paraId="4B26984B">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通讯地址：</w:t>
      </w:r>
    </w:p>
    <w:p w14:paraId="153DFF89">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联系电话：</w:t>
      </w:r>
    </w:p>
    <w:p w14:paraId="6B71D45F">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电子邮箱：</w:t>
      </w:r>
    </w:p>
    <w:p w14:paraId="18425A80">
      <w:pPr>
        <w:keepNext/>
        <w:keepLines/>
        <w:pageBreakBefore w:val="0"/>
        <w:widowControl w:val="0"/>
        <w:numPr>
          <w:ilvl w:val="0"/>
          <w:numId w:val="0"/>
        </w:numPr>
        <w:shd w:val="clear" w:color="auto" w:fill="FFFFFF"/>
        <w:tabs>
          <w:tab w:val="left" w:pos="720"/>
        </w:tabs>
        <w:kinsoku/>
        <w:wordWrap/>
        <w:overflowPunct/>
        <w:topLinePunct w:val="0"/>
        <w:autoSpaceDE/>
        <w:autoSpaceDN/>
        <w:bidi w:val="0"/>
        <w:adjustRightInd w:val="0"/>
        <w:snapToGrid/>
        <w:spacing w:before="0" w:beforeAutospacing="0" w:after="75" w:afterAutospacing="0" w:line="360" w:lineRule="auto"/>
        <w:ind w:firstLine="480" w:firstLineChars="200"/>
        <w:textAlignment w:val="baseline"/>
        <w:outlineLvl w:val="9"/>
        <w:rPr>
          <w:rFonts w:hint="eastAsia" w:asciiTheme="minorEastAsia" w:hAnsiTheme="minorEastAsia" w:eastAsiaTheme="minorEastAsia" w:cstheme="minorEastAsia"/>
          <w:b w:val="0"/>
          <w:bCs w:val="0"/>
          <w:color w:val="auto"/>
          <w:kern w:val="2"/>
          <w:sz w:val="24"/>
          <w:szCs w:val="24"/>
          <w:highlight w:val="none"/>
        </w:rPr>
      </w:pPr>
      <w:bookmarkStart w:id="531" w:name="_Toc14759"/>
      <w:r>
        <w:rPr>
          <w:rFonts w:hint="eastAsia" w:asciiTheme="minorEastAsia" w:hAnsiTheme="minorEastAsia" w:eastAsiaTheme="minorEastAsia" w:cstheme="minorEastAsia"/>
          <w:b w:val="0"/>
          <w:bCs w:val="0"/>
          <w:color w:val="auto"/>
          <w:kern w:val="2"/>
          <w:sz w:val="24"/>
          <w:szCs w:val="24"/>
          <w:highlight w:val="none"/>
        </w:rPr>
        <w:t>为了保证中药饮片质量，明确责任，维护双方权益，甲、乙双方本着平等互利、公平、公正、协商一致的原则，根据《</w:t>
      </w:r>
      <w:r>
        <w:rPr>
          <w:rFonts w:hint="eastAsia" w:asciiTheme="minorEastAsia" w:hAnsiTheme="minorEastAsia" w:eastAsiaTheme="minorEastAsia" w:cstheme="minorEastAsia"/>
          <w:b w:val="0"/>
          <w:bCs w:val="0"/>
          <w:color w:val="auto"/>
          <w:kern w:val="2"/>
          <w:sz w:val="24"/>
          <w:szCs w:val="24"/>
          <w:highlight w:val="none"/>
          <w:u w:val="none"/>
        </w:rPr>
        <w:t>中华人民共和国</w:t>
      </w:r>
      <w:r>
        <w:rPr>
          <w:rFonts w:hint="eastAsia" w:asciiTheme="minorEastAsia" w:hAnsiTheme="minorEastAsia" w:eastAsiaTheme="minorEastAsia" w:cstheme="minorEastAsia"/>
          <w:b w:val="0"/>
          <w:bCs w:val="0"/>
          <w:color w:val="auto"/>
          <w:kern w:val="2"/>
          <w:sz w:val="24"/>
          <w:szCs w:val="24"/>
          <w:highlight w:val="none"/>
        </w:rPr>
        <w:t>药品管理法》、《药品生产质量管理规范（GMP）》、《药品经营质量管理规范（GSP）》等法律、法规以及相关规定，达成中药饮片质量保证协议如下：</w:t>
      </w:r>
      <w:bookmarkEnd w:id="531"/>
    </w:p>
    <w:p w14:paraId="56C8F5B5">
      <w:pPr>
        <w:pageBreakBefore w:val="0"/>
        <w:numPr>
          <w:ilvl w:val="0"/>
          <w:numId w:val="21"/>
        </w:numPr>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乙方须是具有法定资质的中药饮片生产或经营企业，且具有履行供货合同的能力。乙方须向甲方提供加盖公章的合法、有效、符合规定的药品生产（经营）许可证、营业执照、《税务登记证》、《组织机构代码证》、印模、随货同行单（票）样式、银行开户户名、开户银行及账号、开户证明等企业资质证照的复印件，且对其真实性、有效性负责。</w:t>
      </w:r>
    </w:p>
    <w:p w14:paraId="04C6B79F">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rPr>
        <w:t>二、乙方向甲方提供的中药饮片必须在符合</w:t>
      </w:r>
      <w:r>
        <w:rPr>
          <w:rFonts w:hint="eastAsia" w:asciiTheme="minorEastAsia" w:hAnsiTheme="minorEastAsia" w:eastAsiaTheme="minorEastAsia" w:cstheme="minorEastAsia"/>
          <w:b w:val="0"/>
          <w:bCs w:val="0"/>
          <w:color w:val="auto"/>
          <w:sz w:val="24"/>
          <w:szCs w:val="24"/>
          <w:highlight w:val="none"/>
        </w:rPr>
        <w:fldChar w:fldCharType="begin"/>
      </w:r>
      <w:r>
        <w:rPr>
          <w:rFonts w:hint="eastAsia" w:asciiTheme="minorEastAsia" w:hAnsiTheme="minorEastAsia" w:eastAsiaTheme="minorEastAsia" w:cstheme="minorEastAsia"/>
          <w:b w:val="0"/>
          <w:bCs w:val="0"/>
          <w:color w:val="auto"/>
          <w:sz w:val="24"/>
          <w:szCs w:val="24"/>
          <w:highlight w:val="none"/>
        </w:rPr>
        <w:instrText xml:space="preserve"> HYPERLINK "http://www.baidu.com/link?url=sk4nyY6vq-c0FsLacoELAyFbsp85kPJFkNFdS50MylAb8OGmaYInPVR7o33NuQQPkBOiC_SlJcmk4Pf8GpyQma" \t "_blank" </w:instrText>
      </w:r>
      <w:r>
        <w:rPr>
          <w:rFonts w:hint="eastAsia" w:asciiTheme="minorEastAsia" w:hAnsiTheme="minorEastAsia" w:eastAsiaTheme="minorEastAsia" w:cstheme="minorEastAsia"/>
          <w:b w:val="0"/>
          <w:bCs w:val="0"/>
          <w:color w:val="auto"/>
          <w:sz w:val="24"/>
          <w:szCs w:val="24"/>
          <w:highlight w:val="none"/>
        </w:rPr>
        <w:fldChar w:fldCharType="separate"/>
      </w:r>
      <w:r>
        <w:rPr>
          <w:rFonts w:hint="eastAsia" w:asciiTheme="minorEastAsia" w:hAnsiTheme="minorEastAsia" w:eastAsiaTheme="minorEastAsia" w:cstheme="minorEastAsia"/>
          <w:b w:val="0"/>
          <w:bCs w:val="0"/>
          <w:color w:val="auto"/>
          <w:sz w:val="24"/>
          <w:szCs w:val="24"/>
          <w:highlight w:val="none"/>
        </w:rPr>
        <w:t>《中国药典》20</w:t>
      </w:r>
      <w:r>
        <w:rPr>
          <w:rFonts w:hint="eastAsia" w:asciiTheme="minorEastAsia" w:hAnsiTheme="minorEastAsia" w:eastAsiaTheme="minorEastAsia" w:cstheme="minorEastAsia"/>
          <w:b w:val="0"/>
          <w:bCs w:val="0"/>
          <w:color w:val="auto"/>
          <w:sz w:val="24"/>
          <w:szCs w:val="24"/>
          <w:highlight w:val="none"/>
          <w:lang w:val="en-US" w:eastAsia="zh-CN"/>
        </w:rPr>
        <w:t>20</w:t>
      </w:r>
      <w:r>
        <w:rPr>
          <w:rFonts w:hint="eastAsia" w:asciiTheme="minorEastAsia" w:hAnsiTheme="minorEastAsia" w:eastAsiaTheme="minorEastAsia" w:cstheme="minorEastAsia"/>
          <w:b w:val="0"/>
          <w:bCs w:val="0"/>
          <w:color w:val="auto"/>
          <w:sz w:val="24"/>
          <w:szCs w:val="24"/>
          <w:highlight w:val="none"/>
        </w:rPr>
        <w:t>版</w:t>
      </w:r>
      <w:r>
        <w:rPr>
          <w:rFonts w:hint="eastAsia" w:asciiTheme="minorEastAsia" w:hAnsiTheme="minorEastAsia" w:eastAsiaTheme="minorEastAsia" w:cstheme="minorEastAsia"/>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sz w:val="24"/>
          <w:szCs w:val="24"/>
          <w:highlight w:val="none"/>
        </w:rPr>
        <w:t>或国家其他质量标准的基础上，同时满足合同附件的质量要求（见</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合同附件）相关饮片须提供相应的毒性饮片加工资质或野生动物及其产品经营利用许可证资质等或送新疆药检所检测。</w:t>
      </w:r>
      <w:r>
        <w:rPr>
          <w:rFonts w:hint="eastAsia" w:asciiTheme="minorEastAsia" w:hAnsiTheme="minorEastAsia" w:eastAsiaTheme="minorEastAsia" w:cstheme="minorEastAsia"/>
          <w:b w:val="0"/>
          <w:bCs w:val="0"/>
          <w:color w:val="auto"/>
          <w:sz w:val="24"/>
          <w:szCs w:val="24"/>
          <w:highlight w:val="none"/>
          <w:lang w:val="en-US" w:eastAsia="zh-CN"/>
        </w:rPr>
        <w:t>若甲方分批采购，甲方需制作该批次药品的种类、数量及质量要求的附件清单，经乙方盖章确认后一份交由甲方留存。未见相关合同附件，如院方对本合同药品质量有特殊要求，建议在合同附件中载明要求的内容并经对方盖章确认留存。如果院方分批次购买药品，建议将每次购买的物品的质量要求制作附件清单并经对方盖章确认留存。</w:t>
      </w:r>
    </w:p>
    <w:p w14:paraId="6BCF6DF1">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乙方在首次向甲方供货和乙方的销售业务人员发生变换时，须向甲方提供加盖公章原印章的销售人员身份证复印件及加盖乙方公章和法定代表人印章（或者签名）的法人授权书，授权书应载明：授权销售品种、地域、期限、权限、销售人员的身份证号码等内容。</w:t>
      </w:r>
    </w:p>
    <w:p w14:paraId="628E0E32">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四、进口的中药饮片，乙方须提供与所供应的中药饮片相符的并加盖有供货单位质量管理机构原印章的《进口药品注册证》、《进口药材批件》、《进口药品检验报告书》</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《药品经营许可证》或《药品生产许可证》、《企业法人营业执照》、《进口药品报检报告书》、《进口药品通关单》、出厂检验报告书、原产地证明</w:t>
      </w:r>
      <w:r>
        <w:rPr>
          <w:rFonts w:hint="eastAsia" w:asciiTheme="minorEastAsia" w:hAnsiTheme="minorEastAsia" w:eastAsiaTheme="minorEastAsia" w:cstheme="minorEastAsia"/>
          <w:b w:val="0"/>
          <w:bCs w:val="0"/>
          <w:color w:val="auto"/>
          <w:sz w:val="24"/>
          <w:szCs w:val="24"/>
          <w:highlight w:val="none"/>
        </w:rPr>
        <w:t>等复印件，进口中药饮片应有中文标签和中文说明书。</w:t>
      </w:r>
    </w:p>
    <w:p w14:paraId="67D51FD7">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五、乙方向甲方供应的中药饮片，须随货附有所供同批号中药饮片加盖有供货单位公章原印章或质量检验管理机构专用章原印章的质量检验报告书。</w:t>
      </w:r>
    </w:p>
    <w:p w14:paraId="4269E69F">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乙方向甲方提供的中药饮片的包装、标签、说明书等须符合国家的有关规定，其包装能确保中药饮片质量和运输要求，运输途中须按中药饮片储存特性和保管运输要求，中药饮片须印有或贴有标签，且必须注明品名、规格、产地、生产企业、生产批号、生产日期、有效期等内容，实施批准文号管理的中药饮片还必须注明批准文号。</w:t>
      </w:r>
    </w:p>
    <w:p w14:paraId="49E69C5E">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七、乙方销售给甲方的中药饮片，须随货向甲方提供随货同行单（票），内容包括供货单位、品名、产地、规格、生产厂商、批号、生产日期、有效期、数量、收货地址、收货单位、发货日期等内容，内容须与实物相符并加盖公章，否则甲方有权拒收。</w:t>
      </w:r>
    </w:p>
    <w:p w14:paraId="2BAAABE4">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八、乙方向甲方提供的中药饮片，以交货日计算：有效期三年以上（含三年）的中药饮片生产批号应在12个月内。乙方供货时，原则上是一个品种10件内一个批号，</w:t>
      </w:r>
      <w:r>
        <w:rPr>
          <w:rFonts w:hint="eastAsia" w:asciiTheme="minorEastAsia" w:hAnsiTheme="minorEastAsia" w:eastAsiaTheme="minorEastAsia" w:cstheme="minorEastAsia"/>
          <w:b w:val="0"/>
          <w:bCs w:val="0"/>
          <w:color w:val="auto"/>
          <w:sz w:val="24"/>
          <w:szCs w:val="24"/>
          <w:highlight w:val="none"/>
          <w:lang w:val="en-US" w:eastAsia="zh-CN"/>
        </w:rPr>
        <w:t>20</w:t>
      </w:r>
      <w:r>
        <w:rPr>
          <w:rFonts w:hint="eastAsia" w:asciiTheme="minorEastAsia" w:hAnsiTheme="minorEastAsia" w:eastAsiaTheme="minorEastAsia" w:cstheme="minorEastAsia"/>
          <w:b w:val="0"/>
          <w:bCs w:val="0"/>
          <w:color w:val="auto"/>
          <w:sz w:val="24"/>
          <w:szCs w:val="24"/>
          <w:highlight w:val="none"/>
        </w:rPr>
        <w:t>件以内不超过二个批号。整件药品应有合格证，合格证应加盖检验员印章、质检印章。</w:t>
      </w:r>
    </w:p>
    <w:p w14:paraId="3870DEF5">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九、乙方须按照国家规定及时、据实开据合法税票，税票应列明药品的品名、规格、产地、单位、数量、单价、金额等</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甲方付款前乙方应先向甲方提供相应的税务发票，否则甲方有权决绝付款。</w:t>
      </w:r>
    </w:p>
    <w:p w14:paraId="086A840A">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中药饮片运输的质量保证及责任：乙方应按包装的要求采用密闭运输工具运输，针对天气、道路情况及路程采取适当有效的措施，保证中药饮片在途运输的质量和安全。中药饮片因仓储不当或在运输途中所造成的一切损失或损坏，全部由乙方负责，乙方须将中药饮片送达甲方指定的收货地点。</w:t>
      </w:r>
    </w:p>
    <w:p w14:paraId="447A47E8">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十一、甲方责任</w:t>
      </w:r>
    </w:p>
    <w:p w14:paraId="49BC0244">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1、甲方向乙方购进中药饮片时，应向乙方提供合法、有效的企业资质证书包括《药品经营许可证》、营业执照副本等加盖印章的复印件。</w:t>
      </w:r>
    </w:p>
    <w:p w14:paraId="551E48B3">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2、乙方中药饮片运输达到甲方后，甲方应在</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日内及时验收。甲方在药品验收、经营或使用中药饮片时发现质量问题，应及时通知乙方，并提供详细、确定的质量信息，配合乙方做好调查取证和善后处理工作</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若乙方药品存在质量问题，乙方应在接到甲方药品质量异议之日起七日内重新为甲方提供符合质量要求的中药饮片。</w:t>
      </w:r>
    </w:p>
    <w:p w14:paraId="5551A6A2">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3、甲方在中药饮片验收合格并双方互签验收合格的相关文书后，应按合同期限付给货款。</w:t>
      </w:r>
    </w:p>
    <w:p w14:paraId="2E6528B5">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十二、乙方责任</w:t>
      </w:r>
    </w:p>
    <w:p w14:paraId="36310C68">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1、乙方承诺对所提供的中药饮片承担全部质量责任，凡属产品质量问题，甲方有权向乙方退货。如双方对中药饮片质量产生争议，以甲方所在地的法定检验部门的检验报告为准，乙方承担一切费用。</w:t>
      </w:r>
      <w:r>
        <w:rPr>
          <w:rFonts w:hint="eastAsia" w:asciiTheme="minorEastAsia" w:hAnsiTheme="minorEastAsia" w:eastAsiaTheme="minorEastAsia" w:cstheme="minorEastAsia"/>
          <w:b w:val="0"/>
          <w:bCs w:val="0"/>
          <w:color w:val="auto"/>
          <w:sz w:val="24"/>
          <w:szCs w:val="24"/>
          <w:highlight w:val="none"/>
          <w:lang w:val="en-US" w:eastAsia="zh-CN"/>
        </w:rPr>
        <w:t>甲方的收货行为不代表对乙方所供中药饮片最终质量的认可，乙方仍承担中药饮片在有效期内的质量担保责任。</w:t>
      </w:r>
    </w:p>
    <w:p w14:paraId="2380C5C1">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2、乙方承诺提供的中药饮片因质量问题（包括包装质量）所产生的一切不良后果以及造成甲方的损失， 均由乙方承担全部责任并无条件赔偿一切损失，损失金额由甲方确定，乙方无条件执行。</w:t>
      </w:r>
    </w:p>
    <w:p w14:paraId="4B39F77E">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3、乙方承诺在接到甲方查询时，以甲方函（电话）到达之日起二天内须向甲方作出明确答复，逾期造成的后果均由乙方承担全部责任。</w:t>
      </w:r>
    </w:p>
    <w:p w14:paraId="6A51175A">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4、乙方承诺保证所提供的资料的合法性和真实性，如因提供虚假资料等问题而产生的一切不良后果，均由乙方负完全责任并无条件赔偿一切损失。</w:t>
      </w:r>
    </w:p>
    <w:p w14:paraId="16AE8F2E">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5、乙方承诺按GSP等国家有关规定储存甲方所需中药饮片，由于乙方储存不当造成的中药饮片质量问题由乙方承担全部责任。</w:t>
      </w:r>
    </w:p>
    <w:p w14:paraId="2596F20D">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乙方承诺保证所提供的中药饮片包装上印有的商品条码是经过相关主管部门核准注册、备案，如印有未经核准注册、备案或者伪造的商品条码的而产生的一切不良后果由乙方负完全责任并无条件赔偿一切损失。</w:t>
      </w:r>
    </w:p>
    <w:p w14:paraId="78938379">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十三、本协议所涉及的条款，如与有关法律、法规有悖，则以现行法律法规的规定为准。</w:t>
      </w:r>
    </w:p>
    <w:p w14:paraId="2652134D">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十四、本协议未尽事宜，由双方协调解决。双方发生争议时应先友好协商解决，协商不成时，通过甲方所在地人民法院诉讼解决。</w:t>
      </w:r>
    </w:p>
    <w:p w14:paraId="77658F7F">
      <w:pPr>
        <w:pageBreakBefore w:val="0"/>
        <w:kinsoku/>
        <w:wordWrap/>
        <w:overflowPunct/>
        <w:topLinePunct w:val="0"/>
        <w:bidi w:val="0"/>
        <w:spacing w:line="360" w:lineRule="auto"/>
        <w:ind w:firstLine="470" w:firstLineChars="19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十五、本协议一式四份，甲方叁份、乙方壹份，自甲乙双方签字盖章之日起生效，有效期限</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rPr>
        <w:t>年。</w:t>
      </w:r>
    </w:p>
    <w:p w14:paraId="24F344F1">
      <w:pPr>
        <w:pageBreakBefore w:val="0"/>
        <w:kinsoku/>
        <w:wordWrap/>
        <w:overflowPunct/>
        <w:topLinePunct w:val="0"/>
        <w:bidi w:val="0"/>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甲方（盖章）：                 乙方（盖章）：</w:t>
      </w:r>
    </w:p>
    <w:p w14:paraId="32157192">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法定代表人：                  法定代表人：</w:t>
      </w:r>
    </w:p>
    <w:p w14:paraId="26A104A7">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代理人：                      代理人：</w:t>
      </w:r>
    </w:p>
    <w:p w14:paraId="1BC949A4">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rPr>
      </w:pPr>
    </w:p>
    <w:p w14:paraId="5162D742">
      <w:pPr>
        <w:pageBreakBefore w:val="0"/>
        <w:kinsoku/>
        <w:wordWrap/>
        <w:overflowPunct/>
        <w:topLinePunct w:val="0"/>
        <w:bidi w:val="0"/>
        <w:spacing w:line="360" w:lineRule="auto"/>
        <w:ind w:firstLine="470" w:firstLineChars="196"/>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签订日期：    年  月  日</w:t>
      </w:r>
    </w:p>
    <w:p w14:paraId="40449571">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Style w:val="30"/>
          <w:rFonts w:hint="default" w:asciiTheme="minorEastAsia" w:hAnsiTheme="minorEastAsia" w:eastAsiaTheme="minorEastAsia" w:cstheme="minorEastAsia"/>
          <w:b w:val="0"/>
          <w:bCs/>
          <w:sz w:val="44"/>
          <w:szCs w:val="24"/>
          <w:lang w:val="en-US" w:eastAsia="zh-CN"/>
        </w:rPr>
      </w:pPr>
    </w:p>
    <w:sectPr>
      <w:pgSz w:w="11906" w:h="16838"/>
      <w:pgMar w:top="1440" w:right="1803" w:bottom="144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MV Boli"/>
    <w:panose1 w:val="020205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8A8C">
    <w:pPr>
      <w:jc w:val="both"/>
      <w:rPr>
        <w:rFonts w:hint="default" w:ascii="宋体" w:hAnsi="宋体" w:eastAsia="宋体" w:cs="宋体"/>
        <w:b w:val="0"/>
        <w:bCs w:val="0"/>
        <w:color w:val="000000" w:themeColor="text1"/>
        <w:sz w:val="21"/>
        <w:szCs w:val="21"/>
        <w:u w:val="doubl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9525">
          <w14:solidFill>
            <w14:srgbClr w14:val="000000"/>
          </w14:solidFill>
          <w14:round/>
        </w14:textOutline>
        <w14:textFill>
          <w14:solidFill>
            <w14:schemeClr w14:val="tx1"/>
          </w14:solidFill>
        </w14:textFill>
        <w14:props3d w14:extrusionH="0" w14:contourW="0" w14:prstMaterial="clear"/>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CBC3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3CBC38">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b w:val="0"/>
        <w:bCs w:val="0"/>
        <w:color w:val="000000" w:themeColor="text1"/>
        <w:sz w:val="21"/>
        <w:szCs w:val="21"/>
        <w:u w:val="doubl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9525">
          <w14:solidFill>
            <w14:srgbClr w14:val="000000"/>
          </w14:solidFill>
          <w14:round/>
        </w14:textOutline>
        <w14:textFill>
          <w14:solidFill>
            <w14:schemeClr w14:val="tx1"/>
          </w14:solidFill>
        </w14:textFill>
        <w14:props3d w14:extrusionH="0" w14:contourW="0" w14:prstMaterial="clear"/>
      </w:rPr>
      <w:t xml:space="preserve">                                                                                      </w:t>
    </w:r>
  </w:p>
  <w:p w14:paraId="171F3C80">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7573">
    <w:pPr>
      <w:pStyle w:val="16"/>
      <w:pBdr>
        <w:bottom w:val="double" w:color="auto" w:sz="8" w:space="1"/>
      </w:pBdr>
    </w:pPr>
    <w:r>
      <w:drawing>
        <wp:inline distT="0" distB="0" distL="114300" distR="114300">
          <wp:extent cx="3077845" cy="373380"/>
          <wp:effectExtent l="0" t="0" r="8255" b="762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3077845"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D3317"/>
    <w:multiLevelType w:val="singleLevel"/>
    <w:tmpl w:val="8D2D3317"/>
    <w:lvl w:ilvl="0" w:tentative="0">
      <w:start w:val="1"/>
      <w:numFmt w:val="decimal"/>
      <w:lvlText w:val="%1."/>
      <w:lvlJc w:val="left"/>
      <w:pPr>
        <w:tabs>
          <w:tab w:val="left" w:pos="312"/>
        </w:tabs>
      </w:pPr>
    </w:lvl>
  </w:abstractNum>
  <w:abstractNum w:abstractNumId="1">
    <w:nsid w:val="96782D1D"/>
    <w:multiLevelType w:val="singleLevel"/>
    <w:tmpl w:val="96782D1D"/>
    <w:lvl w:ilvl="0" w:tentative="0">
      <w:start w:val="8"/>
      <w:numFmt w:val="decimal"/>
      <w:suff w:val="nothing"/>
      <w:lvlText w:val="%1、"/>
      <w:lvlJc w:val="left"/>
    </w:lvl>
  </w:abstractNum>
  <w:abstractNum w:abstractNumId="2">
    <w:nsid w:val="9ABBF934"/>
    <w:multiLevelType w:val="singleLevel"/>
    <w:tmpl w:val="9ABBF934"/>
    <w:lvl w:ilvl="0" w:tentative="0">
      <w:start w:val="2"/>
      <w:numFmt w:val="chineseCounting"/>
      <w:suff w:val="nothing"/>
      <w:lvlText w:val="（%1）"/>
      <w:lvlJc w:val="left"/>
      <w:rPr>
        <w:rFonts w:hint="eastAsia"/>
      </w:rPr>
    </w:lvl>
  </w:abstractNum>
  <w:abstractNum w:abstractNumId="3">
    <w:nsid w:val="9EE749A1"/>
    <w:multiLevelType w:val="singleLevel"/>
    <w:tmpl w:val="9EE749A1"/>
    <w:lvl w:ilvl="0" w:tentative="0">
      <w:start w:val="1"/>
      <w:numFmt w:val="decimal"/>
      <w:suff w:val="nothing"/>
      <w:lvlText w:val="%1．"/>
      <w:lvlJc w:val="left"/>
    </w:lvl>
  </w:abstractNum>
  <w:abstractNum w:abstractNumId="4">
    <w:nsid w:val="CA734401"/>
    <w:multiLevelType w:val="singleLevel"/>
    <w:tmpl w:val="CA734401"/>
    <w:lvl w:ilvl="0" w:tentative="0">
      <w:start w:val="1"/>
      <w:numFmt w:val="decimal"/>
      <w:pStyle w:val="19"/>
      <w:lvlText w:val="%1."/>
      <w:lvlJc w:val="left"/>
      <w:pPr>
        <w:tabs>
          <w:tab w:val="left" w:pos="2040"/>
        </w:tabs>
        <w:ind w:left="2040" w:hanging="360"/>
      </w:pPr>
    </w:lvl>
  </w:abstractNum>
  <w:abstractNum w:abstractNumId="5">
    <w:nsid w:val="E96E9D40"/>
    <w:multiLevelType w:val="singleLevel"/>
    <w:tmpl w:val="E96E9D40"/>
    <w:lvl w:ilvl="0" w:tentative="0">
      <w:start w:val="1"/>
      <w:numFmt w:val="decimal"/>
      <w:lvlText w:val="%1."/>
      <w:lvlJc w:val="left"/>
      <w:pPr>
        <w:tabs>
          <w:tab w:val="left" w:pos="312"/>
        </w:tabs>
      </w:pPr>
    </w:lvl>
  </w:abstractNum>
  <w:abstractNum w:abstractNumId="6">
    <w:nsid w:val="E9FB8EC1"/>
    <w:multiLevelType w:val="singleLevel"/>
    <w:tmpl w:val="E9FB8EC1"/>
    <w:lvl w:ilvl="0" w:tentative="0">
      <w:start w:val="1"/>
      <w:numFmt w:val="chineseCounting"/>
      <w:suff w:val="nothing"/>
      <w:lvlText w:val="%1、"/>
      <w:lvlJc w:val="left"/>
      <w:rPr>
        <w:rFonts w:hint="eastAsia"/>
      </w:rPr>
    </w:lvl>
  </w:abstractNum>
  <w:abstractNum w:abstractNumId="7">
    <w:nsid w:val="EA8D05CB"/>
    <w:multiLevelType w:val="singleLevel"/>
    <w:tmpl w:val="EA8D05CB"/>
    <w:lvl w:ilvl="0" w:tentative="0">
      <w:start w:val="3"/>
      <w:numFmt w:val="chineseCounting"/>
      <w:suff w:val="space"/>
      <w:lvlText w:val="第%1章"/>
      <w:lvlJc w:val="left"/>
      <w:rPr>
        <w:rFonts w:hint="eastAsia"/>
      </w:rPr>
    </w:lvl>
  </w:abstractNum>
  <w:abstractNum w:abstractNumId="8">
    <w:nsid w:val="ECCB6227"/>
    <w:multiLevelType w:val="singleLevel"/>
    <w:tmpl w:val="ECCB6227"/>
    <w:lvl w:ilvl="0" w:tentative="0">
      <w:start w:val="5"/>
      <w:numFmt w:val="decimal"/>
      <w:suff w:val="nothing"/>
      <w:lvlText w:val="%1、"/>
      <w:lvlJc w:val="left"/>
      <w:rPr>
        <w:rFonts w:hint="default" w:ascii="宋体" w:hAnsi="宋体" w:eastAsia="宋体" w:cs="宋体"/>
        <w:sz w:val="30"/>
        <w:szCs w:val="30"/>
      </w:rPr>
    </w:lvl>
  </w:abstractNum>
  <w:abstractNum w:abstractNumId="9">
    <w:nsid w:val="EEAE46E1"/>
    <w:multiLevelType w:val="singleLevel"/>
    <w:tmpl w:val="EEAE46E1"/>
    <w:lvl w:ilvl="0" w:tentative="0">
      <w:start w:val="3"/>
      <w:numFmt w:val="chineseCounting"/>
      <w:suff w:val="nothing"/>
      <w:lvlText w:val="%1、"/>
      <w:lvlJc w:val="left"/>
      <w:rPr>
        <w:rFonts w:hint="eastAsia"/>
      </w:rPr>
    </w:lvl>
  </w:abstractNum>
  <w:abstractNum w:abstractNumId="10">
    <w:nsid w:val="F2632A78"/>
    <w:multiLevelType w:val="singleLevel"/>
    <w:tmpl w:val="F2632A78"/>
    <w:lvl w:ilvl="0" w:tentative="0">
      <w:start w:val="1"/>
      <w:numFmt w:val="decimal"/>
      <w:suff w:val="nothing"/>
      <w:lvlText w:val="%1．"/>
      <w:lvlJc w:val="left"/>
    </w:lvl>
  </w:abstractNum>
  <w:abstractNum w:abstractNumId="11">
    <w:nsid w:val="F493F228"/>
    <w:multiLevelType w:val="singleLevel"/>
    <w:tmpl w:val="F493F228"/>
    <w:lvl w:ilvl="0" w:tentative="0">
      <w:start w:val="1"/>
      <w:numFmt w:val="decimal"/>
      <w:suff w:val="nothing"/>
      <w:lvlText w:val="%1、"/>
      <w:lvlJc w:val="left"/>
      <w:rPr>
        <w:rFonts w:hint="default" w:ascii="宋体" w:hAnsi="宋体" w:eastAsia="宋体" w:cs="宋体"/>
      </w:rPr>
    </w:lvl>
  </w:abstractNum>
  <w:abstractNum w:abstractNumId="12">
    <w:nsid w:val="FDFC708F"/>
    <w:multiLevelType w:val="singleLevel"/>
    <w:tmpl w:val="FDFC708F"/>
    <w:lvl w:ilvl="0" w:tentative="0">
      <w:start w:val="4"/>
      <w:numFmt w:val="decimal"/>
      <w:suff w:val="nothing"/>
      <w:lvlText w:val="%1．"/>
      <w:lvlJc w:val="left"/>
    </w:lvl>
  </w:abstractNum>
  <w:abstractNum w:abstractNumId="13">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4">
    <w:nsid w:val="2CAF4503"/>
    <w:multiLevelType w:val="singleLevel"/>
    <w:tmpl w:val="2CAF4503"/>
    <w:lvl w:ilvl="0" w:tentative="0">
      <w:start w:val="2"/>
      <w:numFmt w:val="decimal"/>
      <w:suff w:val="nothing"/>
      <w:lvlText w:val="%1、"/>
      <w:lvlJc w:val="left"/>
    </w:lvl>
  </w:abstractNum>
  <w:abstractNum w:abstractNumId="15">
    <w:nsid w:val="2E483E6A"/>
    <w:multiLevelType w:val="singleLevel"/>
    <w:tmpl w:val="2E483E6A"/>
    <w:lvl w:ilvl="0" w:tentative="0">
      <w:start w:val="1"/>
      <w:numFmt w:val="decimal"/>
      <w:suff w:val="nothing"/>
      <w:lvlText w:val="%1、"/>
      <w:lvlJc w:val="left"/>
    </w:lvl>
  </w:abstractNum>
  <w:abstractNum w:abstractNumId="16">
    <w:nsid w:val="3152A0EC"/>
    <w:multiLevelType w:val="singleLevel"/>
    <w:tmpl w:val="3152A0EC"/>
    <w:lvl w:ilvl="0" w:tentative="0">
      <w:start w:val="1"/>
      <w:numFmt w:val="chineseCounting"/>
      <w:suff w:val="nothing"/>
      <w:lvlText w:val="%1、"/>
      <w:lvlJc w:val="left"/>
      <w:rPr>
        <w:rFonts w:hint="eastAsia"/>
      </w:rPr>
    </w:lvl>
  </w:abstractNum>
  <w:abstractNum w:abstractNumId="17">
    <w:nsid w:val="343274B2"/>
    <w:multiLevelType w:val="singleLevel"/>
    <w:tmpl w:val="343274B2"/>
    <w:lvl w:ilvl="0" w:tentative="0">
      <w:start w:val="1"/>
      <w:numFmt w:val="decimal"/>
      <w:suff w:val="nothing"/>
      <w:lvlText w:val="%1．"/>
      <w:lvlJc w:val="left"/>
    </w:lvl>
  </w:abstractNum>
  <w:abstractNum w:abstractNumId="18">
    <w:nsid w:val="54CDD58E"/>
    <w:multiLevelType w:val="singleLevel"/>
    <w:tmpl w:val="54CDD58E"/>
    <w:lvl w:ilvl="0" w:tentative="0">
      <w:start w:val="1"/>
      <w:numFmt w:val="decimal"/>
      <w:lvlText w:val="%1."/>
      <w:lvlJc w:val="left"/>
      <w:pPr>
        <w:tabs>
          <w:tab w:val="left" w:pos="312"/>
        </w:tabs>
      </w:pPr>
    </w:lvl>
  </w:abstractNum>
  <w:abstractNum w:abstractNumId="19">
    <w:nsid w:val="55CBDB69"/>
    <w:multiLevelType w:val="singleLevel"/>
    <w:tmpl w:val="55CBDB69"/>
    <w:lvl w:ilvl="0" w:tentative="0">
      <w:start w:val="2"/>
      <w:numFmt w:val="chineseCounting"/>
      <w:suff w:val="space"/>
      <w:lvlText w:val="第%1章"/>
      <w:lvlJc w:val="left"/>
      <w:rPr>
        <w:rFonts w:hint="eastAsia"/>
      </w:rPr>
    </w:lvl>
  </w:abstractNum>
  <w:abstractNum w:abstractNumId="20">
    <w:nsid w:val="628750D9"/>
    <w:multiLevelType w:val="multilevel"/>
    <w:tmpl w:val="628750D9"/>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3"/>
  </w:num>
  <w:num w:numId="2">
    <w:abstractNumId w:val="4"/>
  </w:num>
  <w:num w:numId="3">
    <w:abstractNumId w:val="0"/>
  </w:num>
  <w:num w:numId="4">
    <w:abstractNumId w:val="9"/>
  </w:num>
  <w:num w:numId="5">
    <w:abstractNumId w:val="10"/>
  </w:num>
  <w:num w:numId="6">
    <w:abstractNumId w:val="3"/>
  </w:num>
  <w:num w:numId="7">
    <w:abstractNumId w:val="17"/>
  </w:num>
  <w:num w:numId="8">
    <w:abstractNumId w:val="19"/>
  </w:num>
  <w:num w:numId="9">
    <w:abstractNumId w:val="14"/>
  </w:num>
  <w:num w:numId="10">
    <w:abstractNumId w:val="11"/>
  </w:num>
  <w:num w:numId="11">
    <w:abstractNumId w:val="8"/>
  </w:num>
  <w:num w:numId="12">
    <w:abstractNumId w:val="15"/>
  </w:num>
  <w:num w:numId="13">
    <w:abstractNumId w:val="1"/>
  </w:num>
  <w:num w:numId="14">
    <w:abstractNumId w:val="7"/>
  </w:num>
  <w:num w:numId="15">
    <w:abstractNumId w:val="6"/>
  </w:num>
  <w:num w:numId="16">
    <w:abstractNumId w:val="2"/>
  </w:num>
  <w:num w:numId="17">
    <w:abstractNumId w:val="5"/>
  </w:num>
  <w:num w:numId="18">
    <w:abstractNumId w:val="20"/>
  </w:num>
  <w:num w:numId="19">
    <w:abstractNumId w:val="12"/>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11D16"/>
    <w:rsid w:val="001B54C1"/>
    <w:rsid w:val="015754F6"/>
    <w:rsid w:val="02005B8D"/>
    <w:rsid w:val="03431DBC"/>
    <w:rsid w:val="039667A9"/>
    <w:rsid w:val="03D90444"/>
    <w:rsid w:val="03FA1A04"/>
    <w:rsid w:val="04531FA4"/>
    <w:rsid w:val="046248DD"/>
    <w:rsid w:val="048B7990"/>
    <w:rsid w:val="04F03C97"/>
    <w:rsid w:val="051C2CDE"/>
    <w:rsid w:val="05946D18"/>
    <w:rsid w:val="06527A7A"/>
    <w:rsid w:val="06A05249"/>
    <w:rsid w:val="06BA27AF"/>
    <w:rsid w:val="06C54CB0"/>
    <w:rsid w:val="06F3181D"/>
    <w:rsid w:val="06F35CC1"/>
    <w:rsid w:val="06F36DEE"/>
    <w:rsid w:val="07DE24CD"/>
    <w:rsid w:val="08AA23AF"/>
    <w:rsid w:val="08FF7541"/>
    <w:rsid w:val="09864BCA"/>
    <w:rsid w:val="09FC30DE"/>
    <w:rsid w:val="0A222B45"/>
    <w:rsid w:val="0B154457"/>
    <w:rsid w:val="0B7E55A4"/>
    <w:rsid w:val="0BDE2A9B"/>
    <w:rsid w:val="0CB90E13"/>
    <w:rsid w:val="0D240982"/>
    <w:rsid w:val="0DAE46EF"/>
    <w:rsid w:val="0EBB3568"/>
    <w:rsid w:val="0EC56195"/>
    <w:rsid w:val="0F2B28F3"/>
    <w:rsid w:val="0F732917"/>
    <w:rsid w:val="0F735BF1"/>
    <w:rsid w:val="0F9B3C02"/>
    <w:rsid w:val="12BC340B"/>
    <w:rsid w:val="12DC5631"/>
    <w:rsid w:val="12F17558"/>
    <w:rsid w:val="12F31522"/>
    <w:rsid w:val="13433B2C"/>
    <w:rsid w:val="13441D7E"/>
    <w:rsid w:val="149E726C"/>
    <w:rsid w:val="14FC0436"/>
    <w:rsid w:val="158033C7"/>
    <w:rsid w:val="15CE1DD3"/>
    <w:rsid w:val="15D078F9"/>
    <w:rsid w:val="165B5150"/>
    <w:rsid w:val="16685D83"/>
    <w:rsid w:val="167C182F"/>
    <w:rsid w:val="17052454"/>
    <w:rsid w:val="177471B6"/>
    <w:rsid w:val="17CE41FD"/>
    <w:rsid w:val="18115FA7"/>
    <w:rsid w:val="188C387F"/>
    <w:rsid w:val="190873AA"/>
    <w:rsid w:val="1927145E"/>
    <w:rsid w:val="198926BE"/>
    <w:rsid w:val="19940C3D"/>
    <w:rsid w:val="1A0E09F0"/>
    <w:rsid w:val="1B3A5814"/>
    <w:rsid w:val="1B3C333B"/>
    <w:rsid w:val="1B9969DF"/>
    <w:rsid w:val="1BBE4697"/>
    <w:rsid w:val="1C4177DA"/>
    <w:rsid w:val="1C4E5A1B"/>
    <w:rsid w:val="1C93332B"/>
    <w:rsid w:val="1C946398"/>
    <w:rsid w:val="1CAF2123"/>
    <w:rsid w:val="1D7348B6"/>
    <w:rsid w:val="1D904BBA"/>
    <w:rsid w:val="1DAF2DA3"/>
    <w:rsid w:val="1F6113CC"/>
    <w:rsid w:val="1FDC333E"/>
    <w:rsid w:val="21352D06"/>
    <w:rsid w:val="22761828"/>
    <w:rsid w:val="22A068B5"/>
    <w:rsid w:val="230961F8"/>
    <w:rsid w:val="23103A2A"/>
    <w:rsid w:val="232E5C5F"/>
    <w:rsid w:val="233D5EA2"/>
    <w:rsid w:val="238E494F"/>
    <w:rsid w:val="23CE7442"/>
    <w:rsid w:val="23D20DD9"/>
    <w:rsid w:val="246A2758"/>
    <w:rsid w:val="24B413CE"/>
    <w:rsid w:val="24C34ACD"/>
    <w:rsid w:val="25007ACF"/>
    <w:rsid w:val="257162D7"/>
    <w:rsid w:val="257858B7"/>
    <w:rsid w:val="259D0E7A"/>
    <w:rsid w:val="26094580"/>
    <w:rsid w:val="26182FCE"/>
    <w:rsid w:val="26D0702D"/>
    <w:rsid w:val="26E825C8"/>
    <w:rsid w:val="27CC1EEA"/>
    <w:rsid w:val="28AF339E"/>
    <w:rsid w:val="28B5297E"/>
    <w:rsid w:val="29457F3A"/>
    <w:rsid w:val="29922F84"/>
    <w:rsid w:val="2A070FB7"/>
    <w:rsid w:val="2A564355"/>
    <w:rsid w:val="2A6401B8"/>
    <w:rsid w:val="2A693A20"/>
    <w:rsid w:val="2A7725E1"/>
    <w:rsid w:val="2B157704"/>
    <w:rsid w:val="2C416A03"/>
    <w:rsid w:val="2C493B09"/>
    <w:rsid w:val="2C5A7AC4"/>
    <w:rsid w:val="2CAB47C4"/>
    <w:rsid w:val="2D0B0DBF"/>
    <w:rsid w:val="2DD218DC"/>
    <w:rsid w:val="2E3D58F0"/>
    <w:rsid w:val="2E9B4EE4"/>
    <w:rsid w:val="2F230642"/>
    <w:rsid w:val="2F5F53F2"/>
    <w:rsid w:val="300239C5"/>
    <w:rsid w:val="30450A8C"/>
    <w:rsid w:val="3138414C"/>
    <w:rsid w:val="317B29B7"/>
    <w:rsid w:val="32CD7A68"/>
    <w:rsid w:val="33482D6D"/>
    <w:rsid w:val="33734ABF"/>
    <w:rsid w:val="33923FE8"/>
    <w:rsid w:val="33F1438B"/>
    <w:rsid w:val="34226699"/>
    <w:rsid w:val="345C0152"/>
    <w:rsid w:val="348002E4"/>
    <w:rsid w:val="356B5D2D"/>
    <w:rsid w:val="36624145"/>
    <w:rsid w:val="36CA4E33"/>
    <w:rsid w:val="375B2943"/>
    <w:rsid w:val="380C0417"/>
    <w:rsid w:val="38DD7AB3"/>
    <w:rsid w:val="38DF7CCF"/>
    <w:rsid w:val="38EA6BFC"/>
    <w:rsid w:val="39196589"/>
    <w:rsid w:val="39D13599"/>
    <w:rsid w:val="39F350B4"/>
    <w:rsid w:val="3A0128CA"/>
    <w:rsid w:val="3A1053C4"/>
    <w:rsid w:val="3A1219DE"/>
    <w:rsid w:val="3A5E2E76"/>
    <w:rsid w:val="3A886145"/>
    <w:rsid w:val="3ADE7B13"/>
    <w:rsid w:val="3C1852A6"/>
    <w:rsid w:val="3D5B3F34"/>
    <w:rsid w:val="3E046562"/>
    <w:rsid w:val="3E244D08"/>
    <w:rsid w:val="3EDE27D7"/>
    <w:rsid w:val="3F005802"/>
    <w:rsid w:val="3F0F0FF5"/>
    <w:rsid w:val="3F5C373C"/>
    <w:rsid w:val="3F8D02A9"/>
    <w:rsid w:val="3FDD022C"/>
    <w:rsid w:val="409B7103"/>
    <w:rsid w:val="40C31C84"/>
    <w:rsid w:val="41083B3B"/>
    <w:rsid w:val="411B561D"/>
    <w:rsid w:val="426B4382"/>
    <w:rsid w:val="432F1853"/>
    <w:rsid w:val="43A51F6A"/>
    <w:rsid w:val="43AE09CA"/>
    <w:rsid w:val="43F32881"/>
    <w:rsid w:val="442962A2"/>
    <w:rsid w:val="446E0159"/>
    <w:rsid w:val="447D570E"/>
    <w:rsid w:val="44AB6CB7"/>
    <w:rsid w:val="44B87626"/>
    <w:rsid w:val="452E1696"/>
    <w:rsid w:val="45722E1F"/>
    <w:rsid w:val="464A780E"/>
    <w:rsid w:val="477C493B"/>
    <w:rsid w:val="47B2035D"/>
    <w:rsid w:val="48763A1A"/>
    <w:rsid w:val="48F468BF"/>
    <w:rsid w:val="4961028C"/>
    <w:rsid w:val="49755AE6"/>
    <w:rsid w:val="49DE7B2F"/>
    <w:rsid w:val="4A804742"/>
    <w:rsid w:val="4A842484"/>
    <w:rsid w:val="4AD056CA"/>
    <w:rsid w:val="4B131C23"/>
    <w:rsid w:val="4B4B2FA2"/>
    <w:rsid w:val="4BF06294"/>
    <w:rsid w:val="4CBD57DA"/>
    <w:rsid w:val="4CBE1552"/>
    <w:rsid w:val="4CC21042"/>
    <w:rsid w:val="4D161017"/>
    <w:rsid w:val="4D9F1383"/>
    <w:rsid w:val="4DC4703C"/>
    <w:rsid w:val="4DD03C33"/>
    <w:rsid w:val="4E881E17"/>
    <w:rsid w:val="4F056094"/>
    <w:rsid w:val="4F135B85"/>
    <w:rsid w:val="4FD6304E"/>
    <w:rsid w:val="5006393C"/>
    <w:rsid w:val="503F0BFC"/>
    <w:rsid w:val="50E34060"/>
    <w:rsid w:val="52127C6C"/>
    <w:rsid w:val="522913A2"/>
    <w:rsid w:val="52611D16"/>
    <w:rsid w:val="537D50FD"/>
    <w:rsid w:val="53DD0E57"/>
    <w:rsid w:val="53E10314"/>
    <w:rsid w:val="53FF2B7C"/>
    <w:rsid w:val="544669FD"/>
    <w:rsid w:val="548B440F"/>
    <w:rsid w:val="54F975CB"/>
    <w:rsid w:val="551D415D"/>
    <w:rsid w:val="5592481B"/>
    <w:rsid w:val="57462870"/>
    <w:rsid w:val="57D60097"/>
    <w:rsid w:val="5A0C1B4F"/>
    <w:rsid w:val="5A504131"/>
    <w:rsid w:val="5AC16DDD"/>
    <w:rsid w:val="5AC62645"/>
    <w:rsid w:val="5BA26C0E"/>
    <w:rsid w:val="5CA72002"/>
    <w:rsid w:val="5CAD53A5"/>
    <w:rsid w:val="5CD728E8"/>
    <w:rsid w:val="5CEE378D"/>
    <w:rsid w:val="5D0D397A"/>
    <w:rsid w:val="5D0E2082"/>
    <w:rsid w:val="5E5D506F"/>
    <w:rsid w:val="5E800D5D"/>
    <w:rsid w:val="61202383"/>
    <w:rsid w:val="61A37C17"/>
    <w:rsid w:val="62085A73"/>
    <w:rsid w:val="621041A6"/>
    <w:rsid w:val="621710AD"/>
    <w:rsid w:val="62E25B42"/>
    <w:rsid w:val="63956A94"/>
    <w:rsid w:val="643735C6"/>
    <w:rsid w:val="647A1DAB"/>
    <w:rsid w:val="64F01814"/>
    <w:rsid w:val="654E5711"/>
    <w:rsid w:val="65556AA0"/>
    <w:rsid w:val="658E3D60"/>
    <w:rsid w:val="662446C4"/>
    <w:rsid w:val="66C40D2A"/>
    <w:rsid w:val="67AC6DD1"/>
    <w:rsid w:val="68B3036C"/>
    <w:rsid w:val="68E27288"/>
    <w:rsid w:val="693469CC"/>
    <w:rsid w:val="69F85C4B"/>
    <w:rsid w:val="6A097E59"/>
    <w:rsid w:val="6A1A3E14"/>
    <w:rsid w:val="6A696B49"/>
    <w:rsid w:val="6A95793E"/>
    <w:rsid w:val="6B215608"/>
    <w:rsid w:val="6B8359E9"/>
    <w:rsid w:val="6BB844E0"/>
    <w:rsid w:val="6CB9033C"/>
    <w:rsid w:val="6D6816CF"/>
    <w:rsid w:val="6D8E0F08"/>
    <w:rsid w:val="6DD95D94"/>
    <w:rsid w:val="6DFB3F5C"/>
    <w:rsid w:val="6E2E4332"/>
    <w:rsid w:val="6E414065"/>
    <w:rsid w:val="6E602011"/>
    <w:rsid w:val="6E7B6F4D"/>
    <w:rsid w:val="6F784448"/>
    <w:rsid w:val="7007442A"/>
    <w:rsid w:val="70C25205"/>
    <w:rsid w:val="70DA745A"/>
    <w:rsid w:val="714300F4"/>
    <w:rsid w:val="71A62431"/>
    <w:rsid w:val="724229DF"/>
    <w:rsid w:val="72655E48"/>
    <w:rsid w:val="74145D78"/>
    <w:rsid w:val="74A92964"/>
    <w:rsid w:val="74D07EF1"/>
    <w:rsid w:val="75C37A55"/>
    <w:rsid w:val="75D752AF"/>
    <w:rsid w:val="76571F4C"/>
    <w:rsid w:val="76DD13A7"/>
    <w:rsid w:val="76E47C83"/>
    <w:rsid w:val="77884BF0"/>
    <w:rsid w:val="7A3B1DB6"/>
    <w:rsid w:val="7B424F78"/>
    <w:rsid w:val="7BAB0442"/>
    <w:rsid w:val="7BAC3049"/>
    <w:rsid w:val="7C294A5D"/>
    <w:rsid w:val="7C3E1BE4"/>
    <w:rsid w:val="7CAD4FBB"/>
    <w:rsid w:val="7CAF2AE1"/>
    <w:rsid w:val="7E26477D"/>
    <w:rsid w:val="7E6B2A38"/>
    <w:rsid w:val="7E77762F"/>
    <w:rsid w:val="7E8906CE"/>
    <w:rsid w:val="7EC068FE"/>
    <w:rsid w:val="7EFB200E"/>
    <w:rsid w:val="7F923FF5"/>
    <w:rsid w:val="7F985626"/>
    <w:rsid w:val="7FA93818"/>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widowControl w:val="0"/>
      <w:spacing w:before="260" w:beforeLines="0" w:after="260" w:afterLines="0" w:line="415" w:lineRule="auto"/>
      <w:outlineLvl w:val="2"/>
    </w:pPr>
    <w:rPr>
      <w:rFonts w:cs="Angsana New"/>
      <w:b/>
      <w:bCs/>
      <w:sz w:val="32"/>
      <w:szCs w:val="32"/>
      <w:lang w:bidi="th-TH"/>
    </w:rPr>
  </w:style>
  <w:style w:type="paragraph" w:styleId="5">
    <w:name w:val="heading 4"/>
    <w:basedOn w:val="1"/>
    <w:next w:val="1"/>
    <w:qFormat/>
    <w:uiPriority w:val="0"/>
    <w:pPr>
      <w:keepNext/>
      <w:keepLines/>
      <w:numPr>
        <w:ilvl w:val="3"/>
        <w:numId w:val="1"/>
      </w:numPr>
      <w:ind w:firstLine="0" w:firstLineChars="0"/>
      <w:outlineLvl w:val="3"/>
    </w:pPr>
    <w:rPr>
      <w:b/>
      <w:bCs/>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widowControl/>
      <w:spacing w:before="120" w:after="0" w:line="240" w:lineRule="auto"/>
      <w:ind w:left="0" w:firstLine="3584"/>
    </w:pPr>
  </w:style>
  <w:style w:type="paragraph" w:styleId="8">
    <w:name w:val="annotation text"/>
    <w:basedOn w:val="1"/>
    <w:qFormat/>
    <w:uiPriority w:val="0"/>
    <w:pPr>
      <w:jc w:val="left"/>
    </w:pPr>
  </w:style>
  <w:style w:type="paragraph" w:styleId="9">
    <w:name w:val="Body Text"/>
    <w:basedOn w:val="1"/>
    <w:next w:val="10"/>
    <w:semiHidden/>
    <w:qFormat/>
    <w:uiPriority w:val="0"/>
    <w:rPr>
      <w:rFonts w:ascii="微软雅黑" w:hAnsi="微软雅黑" w:eastAsia="微软雅黑" w:cs="微软雅黑"/>
      <w:sz w:val="28"/>
      <w:szCs w:val="28"/>
      <w:lang w:val="en-US" w:eastAsia="en-US" w:bidi="ar-SA"/>
    </w:rPr>
  </w:style>
  <w:style w:type="paragraph" w:styleId="10">
    <w:name w:val="Body Text First Indent"/>
    <w:basedOn w:val="9"/>
    <w:next w:val="1"/>
    <w:qFormat/>
    <w:uiPriority w:val="99"/>
    <w:pPr>
      <w:tabs>
        <w:tab w:val="left" w:pos="567"/>
      </w:tabs>
      <w:autoSpaceDE w:val="0"/>
      <w:autoSpaceDN w:val="0"/>
      <w:adjustRightInd w:val="0"/>
      <w:spacing w:line="312" w:lineRule="atLeast"/>
      <w:ind w:firstLine="420"/>
    </w:pPr>
    <w:rPr>
      <w:kern w:val="0"/>
    </w:rPr>
  </w:style>
  <w:style w:type="paragraph" w:styleId="11">
    <w:name w:val="Body Text Indent"/>
    <w:basedOn w:val="1"/>
    <w:next w:val="12"/>
    <w:qFormat/>
    <w:uiPriority w:val="0"/>
    <w:pPr>
      <w:spacing w:line="360" w:lineRule="auto"/>
      <w:ind w:firstLine="570"/>
    </w:pPr>
    <w:rPr>
      <w:sz w:val="24"/>
    </w:rPr>
  </w:style>
  <w:style w:type="paragraph" w:styleId="12">
    <w:name w:val="toc 5"/>
    <w:basedOn w:val="1"/>
    <w:next w:val="1"/>
    <w:qFormat/>
    <w:uiPriority w:val="39"/>
    <w:pPr>
      <w:ind w:left="1680" w:leftChars="80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9">
    <w:name w:val="List Number 5"/>
    <w:basedOn w:val="1"/>
    <w:qFormat/>
    <w:uiPriority w:val="0"/>
    <w:pPr>
      <w:numPr>
        <w:ilvl w:val="0"/>
        <w:numId w:val="2"/>
      </w:numPr>
    </w:pPr>
  </w:style>
  <w:style w:type="paragraph" w:styleId="20">
    <w:name w:val="List"/>
    <w:basedOn w:val="1"/>
    <w:unhideWhenUsed/>
    <w:qFormat/>
    <w:uiPriority w:val="99"/>
    <w:pPr>
      <w:ind w:left="200" w:hanging="200" w:hangingChars="200"/>
      <w:contextualSpacing/>
    </w:pPr>
  </w:style>
  <w:style w:type="paragraph" w:styleId="21">
    <w:name w:val="footnote text"/>
    <w:basedOn w:val="1"/>
    <w:next w:val="9"/>
    <w:qFormat/>
    <w:uiPriority w:val="0"/>
    <w:pPr>
      <w:snapToGrid w:val="0"/>
      <w:jc w:val="left"/>
    </w:pPr>
    <w:rPr>
      <w:sz w:val="18"/>
    </w:rPr>
  </w:style>
  <w:style w:type="paragraph" w:styleId="22">
    <w:name w:val="index 7"/>
    <w:basedOn w:val="1"/>
    <w:next w:val="1"/>
    <w:qFormat/>
    <w:uiPriority w:val="0"/>
    <w:pPr>
      <w:autoSpaceDE/>
      <w:autoSpaceDN/>
      <w:adjustRightInd/>
      <w:ind w:left="1200" w:leftChars="1200"/>
    </w:pPr>
    <w:rPr>
      <w:color w:val="auto"/>
      <w:kern w:val="2"/>
      <w:szCs w:val="24"/>
    </w:rPr>
  </w:style>
  <w:style w:type="paragraph" w:styleId="23">
    <w:name w:val="toc 2"/>
    <w:basedOn w:val="1"/>
    <w:next w:val="1"/>
    <w:qFormat/>
    <w:uiPriority w:val="0"/>
    <w:pPr>
      <w:ind w:left="420" w:leftChars="200"/>
    </w:p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Body Text First Indent 2"/>
    <w:basedOn w:val="1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列出段落1"/>
    <w:basedOn w:val="1"/>
    <w:qFormat/>
    <w:uiPriority w:val="99"/>
    <w:pPr>
      <w:ind w:firstLine="420" w:firstLineChars="200"/>
    </w:pPr>
  </w:style>
  <w:style w:type="character" w:customStyle="1" w:styleId="30">
    <w:name w:val="标题 1 Char"/>
    <w:link w:val="2"/>
    <w:qFormat/>
    <w:uiPriority w:val="0"/>
    <w:rPr>
      <w:rFonts w:ascii="宋体"/>
      <w:b/>
      <w:kern w:val="44"/>
      <w:sz w:val="32"/>
      <w:szCs w:val="20"/>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仿宋" w:hAnsi="仿宋" w:eastAsia="仿宋" w:cs="仿宋"/>
      <w:sz w:val="24"/>
      <w:szCs w:val="24"/>
      <w:lang w:val="en-US" w:eastAsia="en-US" w:bidi="ar-SA"/>
    </w:rPr>
  </w:style>
  <w:style w:type="paragraph" w:customStyle="1" w:styleId="33">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4">
    <w:name w:val="正文文本1"/>
    <w:basedOn w:val="1"/>
    <w:qFormat/>
    <w:uiPriority w:val="0"/>
    <w:pPr>
      <w:shd w:val="clear" w:color="auto" w:fill="FFFFFF"/>
      <w:spacing w:line="360" w:lineRule="auto"/>
      <w:ind w:firstLine="400"/>
    </w:pPr>
    <w:rPr>
      <w:rFonts w:ascii="MingLiU" w:hAnsi="MingLiU" w:eastAsia="MingLiU" w:cs="MingLiU"/>
      <w:sz w:val="42"/>
      <w:szCs w:val="42"/>
      <w:lang w:val="zh-CN" w:bidi="zh-CN"/>
    </w:rPr>
  </w:style>
  <w:style w:type="paragraph" w:customStyle="1" w:styleId="35">
    <w:name w:val="正文缩进1"/>
    <w:basedOn w:val="1"/>
    <w:next w:val="11"/>
    <w:qFormat/>
    <w:uiPriority w:val="0"/>
    <w:pPr>
      <w:autoSpaceDE w:val="0"/>
      <w:autoSpaceDN w:val="0"/>
      <w:adjustRightInd w:val="0"/>
      <w:ind w:firstLine="420"/>
      <w:jc w:val="left"/>
    </w:pPr>
    <w:rPr>
      <w:rFonts w:ascii="宋体"/>
      <w:kern w:val="0"/>
      <w:sz w:val="24"/>
      <w:szCs w:val="20"/>
    </w:rPr>
  </w:style>
  <w:style w:type="character" w:customStyle="1" w:styleId="36">
    <w:name w:val="font51"/>
    <w:basedOn w:val="28"/>
    <w:qFormat/>
    <w:uiPriority w:val="0"/>
    <w:rPr>
      <w:rFonts w:hint="eastAsia" w:ascii="宋体" w:hAnsi="宋体" w:eastAsia="宋体" w:cs="宋体"/>
      <w:b/>
      <w:bCs/>
      <w:color w:val="000000"/>
      <w:sz w:val="24"/>
      <w:szCs w:val="24"/>
      <w:u w:val="none"/>
    </w:rPr>
  </w:style>
  <w:style w:type="character" w:customStyle="1" w:styleId="37">
    <w:name w:val="font21"/>
    <w:basedOn w:val="28"/>
    <w:qFormat/>
    <w:uiPriority w:val="0"/>
    <w:rPr>
      <w:rFonts w:hint="eastAsia" w:ascii="宋体" w:hAnsi="宋体" w:eastAsia="宋体" w:cs="宋体"/>
      <w:color w:val="000000"/>
      <w:sz w:val="24"/>
      <w:szCs w:val="24"/>
      <w:u w:val="none"/>
    </w:rPr>
  </w:style>
  <w:style w:type="character" w:customStyle="1" w:styleId="38">
    <w:name w:val="font61"/>
    <w:basedOn w:val="28"/>
    <w:qFormat/>
    <w:uiPriority w:val="0"/>
    <w:rPr>
      <w:rFonts w:hint="eastAsia" w:ascii="宋体" w:hAnsi="宋体" w:eastAsia="宋体" w:cs="宋体"/>
      <w:color w:val="000000"/>
      <w:sz w:val="16"/>
      <w:szCs w:val="16"/>
      <w:u w:val="none"/>
    </w:rPr>
  </w:style>
  <w:style w:type="character" w:customStyle="1" w:styleId="39">
    <w:name w:val="font71"/>
    <w:basedOn w:val="28"/>
    <w:qFormat/>
    <w:uiPriority w:val="0"/>
    <w:rPr>
      <w:rFonts w:hint="eastAsia" w:ascii="宋体" w:hAnsi="宋体" w:eastAsia="宋体" w:cs="宋体"/>
      <w:color w:val="000000"/>
      <w:sz w:val="16"/>
      <w:szCs w:val="16"/>
      <w:u w:val="none"/>
    </w:rPr>
  </w:style>
  <w:style w:type="character" w:customStyle="1" w:styleId="40">
    <w:name w:val="font81"/>
    <w:basedOn w:val="28"/>
    <w:qFormat/>
    <w:uiPriority w:val="0"/>
    <w:rPr>
      <w:rFonts w:hint="eastAsia" w:ascii="宋体" w:hAnsi="宋体" w:eastAsia="宋体" w:cs="宋体"/>
      <w:color w:val="000000"/>
      <w:sz w:val="24"/>
      <w:szCs w:val="24"/>
      <w:u w:val="none"/>
    </w:rPr>
  </w:style>
  <w:style w:type="character" w:customStyle="1" w:styleId="41">
    <w:name w:val="font41"/>
    <w:basedOn w:val="28"/>
    <w:qFormat/>
    <w:uiPriority w:val="0"/>
    <w:rPr>
      <w:rFonts w:hint="eastAsia" w:ascii="宋体" w:hAnsi="宋体" w:eastAsia="宋体" w:cs="宋体"/>
      <w:color w:val="000000"/>
      <w:sz w:val="24"/>
      <w:szCs w:val="24"/>
      <w:u w:val="none"/>
    </w:rPr>
  </w:style>
  <w:style w:type="character" w:customStyle="1" w:styleId="42">
    <w:name w:val="font91"/>
    <w:basedOn w:val="28"/>
    <w:qFormat/>
    <w:uiPriority w:val="0"/>
    <w:rPr>
      <w:rFonts w:hint="eastAsia" w:ascii="宋体" w:hAnsi="宋体" w:eastAsia="宋体" w:cs="宋体"/>
      <w:b/>
      <w:bCs/>
      <w:color w:val="000000"/>
      <w:sz w:val="24"/>
      <w:szCs w:val="24"/>
      <w:u w:val="none"/>
    </w:rPr>
  </w:style>
  <w:style w:type="character" w:customStyle="1" w:styleId="43">
    <w:name w:val="font101"/>
    <w:basedOn w:val="28"/>
    <w:qFormat/>
    <w:uiPriority w:val="0"/>
    <w:rPr>
      <w:rFonts w:hint="eastAsia" w:ascii="宋体" w:hAnsi="宋体" w:eastAsia="宋体" w:cs="宋体"/>
      <w:color w:val="000000"/>
      <w:sz w:val="24"/>
      <w:szCs w:val="24"/>
      <w:u w:val="none"/>
    </w:rPr>
  </w:style>
  <w:style w:type="character" w:customStyle="1" w:styleId="44">
    <w:name w:val="font11"/>
    <w:basedOn w:val="28"/>
    <w:qFormat/>
    <w:uiPriority w:val="0"/>
    <w:rPr>
      <w:rFonts w:hint="eastAsia" w:ascii="宋体" w:hAnsi="宋体" w:eastAsia="宋体" w:cs="宋体"/>
      <w:color w:val="000000"/>
      <w:sz w:val="24"/>
      <w:szCs w:val="24"/>
      <w:u w:val="none"/>
    </w:rPr>
  </w:style>
  <w:style w:type="paragraph" w:customStyle="1" w:styleId="45">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7">
    <w:name w:val="缺省文本"/>
    <w:qFormat/>
    <w:uiPriority w:val="99"/>
    <w:pPr>
      <w:widowControl w:val="0"/>
      <w:autoSpaceDE w:val="0"/>
      <w:autoSpaceDN w:val="0"/>
      <w:adjustRightInd w:val="0"/>
    </w:pPr>
    <w:rPr>
      <w:rFonts w:ascii="Calibri" w:hAnsi="Calibri" w:eastAsia="宋体" w:cs="Times New Roman"/>
      <w:color w:val="00000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154</Pages>
  <Words>26983</Words>
  <Characters>29578</Characters>
  <Lines>0</Lines>
  <Paragraphs>0</Paragraphs>
  <TotalTime>8</TotalTime>
  <ScaleCrop>false</ScaleCrop>
  <LinksUpToDate>false</LinksUpToDate>
  <CharactersWithSpaces>32945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2025-05-07T03:51:00Z</dcterms:created>
  <dc:creator>❤️轨迹</dc:creator>
  <cp:lastModifiedBy>❤️轨迹</cp:lastModifiedBy>
  <dcterms:modified xsi:type="dcterms:W3CDTF">2025-07-01T11:38:03Z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4D32D611E60347B4B6AF6E4F2EFB8135_13</vt:lpwstr>
  </property>
  <property fmtid="{D5CDD505-2E9C-101B-9397-08002B2CF9AE}" pid="4" name="KSOTemplateDocerSaveRecord">
    <vt:lpwstr>eyJoZGlkIjoiZDE4NmI0NzY3ZmYyMzMxYTJhNzVhM2RmMmIxZjQxYTciLCJ1c2VySWQiOiI2MTg4MzE0NDQifQ==</vt:lpwstr>
  </property>
</Properties>
</file>