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9268D">
      <w:pPr>
        <w:pStyle w:val="1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48"/>
          <w:szCs w:val="48"/>
          <w:highlight w:val="none"/>
          <w:lang w:val="en-US" w:eastAsia="zh-CN"/>
        </w:rPr>
      </w:pPr>
    </w:p>
    <w:p w14:paraId="0CCF733B">
      <w:pPr>
        <w:pStyle w:val="1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val="0"/>
          <w:color w:val="auto"/>
          <w:sz w:val="48"/>
          <w:szCs w:val="48"/>
          <w:highlight w:val="none"/>
          <w:lang w:eastAsia="zh-CN"/>
        </w:rPr>
      </w:pPr>
      <w:r>
        <w:rPr>
          <w:rFonts w:hint="eastAsia" w:ascii="宋体" w:hAnsi="宋体" w:eastAsia="宋体" w:cs="宋体"/>
          <w:b/>
          <w:color w:val="auto"/>
          <w:sz w:val="48"/>
          <w:szCs w:val="48"/>
          <w:highlight w:val="none"/>
          <w:lang w:val="en-US" w:eastAsia="zh-CN"/>
        </w:rPr>
        <w:t>市属单位2025年防暴装备采购项目</w:t>
      </w:r>
    </w:p>
    <w:p w14:paraId="4019FF55">
      <w:pPr>
        <w:pStyle w:val="16"/>
        <w:keepNext w:val="0"/>
        <w:keepLines w:val="0"/>
        <w:pageBreakBefore w:val="0"/>
        <w:widowControl w:val="0"/>
        <w:kinsoku/>
        <w:wordWrap/>
        <w:overflowPunct/>
        <w:topLinePunct w:val="0"/>
        <w:autoSpaceDE w:val="0"/>
        <w:autoSpaceDN w:val="0"/>
        <w:bidi w:val="0"/>
        <w:adjustRightInd w:val="0"/>
        <w:snapToGrid w:val="0"/>
        <w:textAlignment w:val="auto"/>
        <w:rPr>
          <w:rFonts w:hint="eastAsia" w:ascii="宋体" w:hAnsi="宋体" w:eastAsia="宋体" w:cs="宋体"/>
          <w:color w:val="auto"/>
          <w:sz w:val="32"/>
          <w:szCs w:val="32"/>
          <w:highlight w:val="none"/>
        </w:rPr>
      </w:pPr>
    </w:p>
    <w:p w14:paraId="0A0FE825">
      <w:pPr>
        <w:pStyle w:val="17"/>
        <w:rPr>
          <w:rFonts w:hint="eastAsia" w:ascii="宋体" w:hAnsi="宋体" w:eastAsia="宋体" w:cs="宋体"/>
          <w:color w:val="auto"/>
          <w:sz w:val="32"/>
          <w:szCs w:val="32"/>
          <w:highlight w:val="none"/>
        </w:rPr>
      </w:pPr>
    </w:p>
    <w:p w14:paraId="62148074">
      <w:pPr>
        <w:pStyle w:val="18"/>
        <w:rPr>
          <w:rFonts w:hint="eastAsia" w:ascii="宋体" w:hAnsi="宋体" w:eastAsia="宋体" w:cs="宋体"/>
          <w:color w:val="auto"/>
          <w:sz w:val="32"/>
          <w:szCs w:val="32"/>
          <w:highlight w:val="none"/>
        </w:rPr>
      </w:pPr>
    </w:p>
    <w:p w14:paraId="1D65D505">
      <w:pPr>
        <w:jc w:val="center"/>
        <w:rPr>
          <w:rFonts w:hint="eastAsia" w:ascii="宋体" w:hAnsi="宋体" w:eastAsia="宋体" w:cs="宋体"/>
          <w:color w:val="auto"/>
          <w:sz w:val="32"/>
          <w:szCs w:val="32"/>
          <w:highlight w:val="none"/>
        </w:rPr>
      </w:pPr>
    </w:p>
    <w:p w14:paraId="7F8416E1">
      <w:pPr>
        <w:jc w:val="center"/>
        <w:rPr>
          <w:rFonts w:hint="eastAsia" w:ascii="宋体" w:hAnsi="宋体" w:eastAsia="宋体" w:cs="宋体"/>
          <w:color w:val="auto"/>
          <w:sz w:val="32"/>
          <w:szCs w:val="32"/>
          <w:highlight w:val="none"/>
        </w:rPr>
      </w:pPr>
    </w:p>
    <w:p w14:paraId="7CCA44BD">
      <w:pPr>
        <w:rPr>
          <w:rFonts w:hint="eastAsia" w:ascii="宋体" w:hAnsi="宋体" w:eastAsia="宋体" w:cs="宋体"/>
          <w:color w:val="auto"/>
          <w:sz w:val="32"/>
          <w:szCs w:val="32"/>
          <w:highlight w:val="none"/>
        </w:rPr>
      </w:pPr>
    </w:p>
    <w:p w14:paraId="616CE3A7">
      <w:pPr>
        <w:tabs>
          <w:tab w:val="left" w:pos="1960"/>
          <w:tab w:val="left" w:pos="3480"/>
          <w:tab w:val="left" w:pos="4980"/>
        </w:tabs>
        <w:spacing w:line="360" w:lineRule="auto"/>
        <w:jc w:val="center"/>
        <w:rPr>
          <w:rFonts w:hint="eastAsia" w:ascii="宋体" w:hAnsi="宋体" w:eastAsia="宋体" w:cs="宋体"/>
          <w:b/>
          <w:color w:val="auto"/>
          <w:sz w:val="72"/>
          <w:szCs w:val="18"/>
          <w:highlight w:val="none"/>
        </w:rPr>
      </w:pPr>
      <w:r>
        <w:rPr>
          <w:rFonts w:hint="eastAsia" w:ascii="宋体" w:hAnsi="宋体" w:eastAsia="宋体" w:cs="宋体"/>
          <w:b/>
          <w:color w:val="auto"/>
          <w:sz w:val="72"/>
          <w:szCs w:val="18"/>
          <w:highlight w:val="none"/>
        </w:rPr>
        <w:t>招标文件</w:t>
      </w:r>
    </w:p>
    <w:p w14:paraId="5B03D2B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bCs w:val="0"/>
          <w:color w:val="auto"/>
          <w:sz w:val="28"/>
          <w:szCs w:val="28"/>
          <w:highlight w:val="none"/>
          <w:lang w:eastAsia="zh-CN"/>
        </w:rPr>
        <w:t>（</w:t>
      </w:r>
      <w:r>
        <w:rPr>
          <w:rFonts w:hint="eastAsia" w:ascii="宋体" w:hAnsi="宋体" w:eastAsia="宋体" w:cs="宋体"/>
          <w:b/>
          <w:bCs w:val="0"/>
          <w:color w:val="auto"/>
          <w:sz w:val="28"/>
          <w:szCs w:val="28"/>
          <w:highlight w:val="none"/>
        </w:rPr>
        <w:t>项目编号：</w:t>
      </w:r>
      <w:r>
        <w:rPr>
          <w:rFonts w:hint="eastAsia" w:ascii="宋体" w:hAnsi="宋体" w:eastAsia="宋体" w:cs="宋体"/>
          <w:b/>
          <w:bCs w:val="0"/>
          <w:color w:val="auto"/>
          <w:sz w:val="28"/>
          <w:szCs w:val="28"/>
          <w:highlight w:val="none"/>
          <w:lang w:val="en-US" w:eastAsia="zh-CN"/>
        </w:rPr>
        <w:t>NO.2025(HZXR)040</w:t>
      </w:r>
      <w:r>
        <w:rPr>
          <w:rFonts w:hint="eastAsia" w:ascii="宋体" w:hAnsi="宋体" w:eastAsia="宋体" w:cs="宋体"/>
          <w:b/>
          <w:bCs w:val="0"/>
          <w:color w:val="auto"/>
          <w:sz w:val="28"/>
          <w:szCs w:val="28"/>
          <w:highlight w:val="none"/>
          <w:lang w:eastAsia="zh-CN"/>
        </w:rPr>
        <w:t>）</w:t>
      </w:r>
    </w:p>
    <w:p w14:paraId="69D2F163">
      <w:pPr>
        <w:keepNext w:val="0"/>
        <w:keepLines w:val="0"/>
        <w:pageBreakBefore w:val="0"/>
        <w:widowControl w:val="0"/>
        <w:tabs>
          <w:tab w:val="left" w:pos="1134"/>
          <w:tab w:val="left" w:pos="5481"/>
          <w:tab w:val="left" w:pos="5859"/>
        </w:tabs>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color w:val="auto"/>
          <w:sz w:val="28"/>
          <w:szCs w:val="28"/>
          <w:highlight w:val="none"/>
        </w:rPr>
      </w:pPr>
    </w:p>
    <w:p w14:paraId="7E893F10">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8"/>
          <w:szCs w:val="28"/>
          <w:highlight w:val="none"/>
        </w:rPr>
      </w:pPr>
    </w:p>
    <w:p w14:paraId="3D998F9D">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8"/>
          <w:szCs w:val="28"/>
          <w:highlight w:val="none"/>
        </w:rPr>
      </w:pPr>
    </w:p>
    <w:p w14:paraId="103EB9AE">
      <w:pPr>
        <w:pStyle w:val="15"/>
        <w:keepNext w:val="0"/>
        <w:keepLines w:val="0"/>
        <w:pageBreakBefore w:val="0"/>
        <w:widowControl w:val="0"/>
        <w:kinsoku/>
        <w:wordWrap/>
        <w:overflowPunct/>
        <w:topLinePunct w:val="0"/>
        <w:bidi w:val="0"/>
        <w:adjustRightInd/>
        <w:snapToGrid w:val="0"/>
        <w:spacing w:after="0" w:line="440" w:lineRule="exact"/>
        <w:textAlignment w:val="auto"/>
        <w:rPr>
          <w:rFonts w:hint="eastAsia" w:ascii="宋体" w:hAnsi="宋体" w:eastAsia="宋体" w:cs="宋体"/>
          <w:color w:val="auto"/>
          <w:sz w:val="28"/>
          <w:szCs w:val="28"/>
          <w:highlight w:val="none"/>
        </w:rPr>
      </w:pPr>
    </w:p>
    <w:p w14:paraId="11267A4C">
      <w:pPr>
        <w:pStyle w:val="16"/>
        <w:rPr>
          <w:rFonts w:hint="eastAsia" w:ascii="宋体" w:hAnsi="宋体" w:eastAsia="宋体" w:cs="宋体"/>
          <w:color w:val="auto"/>
          <w:sz w:val="28"/>
          <w:szCs w:val="28"/>
          <w:highlight w:val="none"/>
        </w:rPr>
      </w:pPr>
    </w:p>
    <w:p w14:paraId="096736D8">
      <w:pPr>
        <w:pStyle w:val="17"/>
        <w:rPr>
          <w:rFonts w:hint="eastAsia" w:ascii="宋体" w:hAnsi="宋体" w:eastAsia="宋体" w:cs="宋体"/>
          <w:color w:val="auto"/>
          <w:sz w:val="28"/>
          <w:szCs w:val="28"/>
          <w:highlight w:val="none"/>
        </w:rPr>
      </w:pPr>
    </w:p>
    <w:p w14:paraId="379DF4FD">
      <w:pPr>
        <w:pStyle w:val="18"/>
        <w:ind w:left="0" w:leftChars="0" w:firstLine="0" w:firstLineChars="0"/>
        <w:rPr>
          <w:rFonts w:hint="eastAsia"/>
          <w:color w:val="auto"/>
          <w:highlight w:val="none"/>
        </w:rPr>
      </w:pPr>
    </w:p>
    <w:p w14:paraId="4DE72F7E">
      <w:pPr>
        <w:pStyle w:val="16"/>
        <w:keepNext w:val="0"/>
        <w:keepLines w:val="0"/>
        <w:pageBreakBefore w:val="0"/>
        <w:widowControl w:val="0"/>
        <w:kinsoku/>
        <w:wordWrap/>
        <w:overflowPunct/>
        <w:topLinePunct w:val="0"/>
        <w:bidi w:val="0"/>
        <w:adjustRightInd/>
        <w:snapToGrid w:val="0"/>
        <w:spacing w:line="440" w:lineRule="exact"/>
        <w:textAlignment w:val="auto"/>
        <w:rPr>
          <w:rFonts w:hint="eastAsia" w:ascii="宋体" w:hAnsi="宋体" w:eastAsia="宋体" w:cs="宋体"/>
          <w:color w:val="auto"/>
          <w:sz w:val="28"/>
          <w:szCs w:val="28"/>
          <w:highlight w:val="none"/>
        </w:rPr>
      </w:pPr>
    </w:p>
    <w:p w14:paraId="5FD0E7E7">
      <w:pPr>
        <w:pStyle w:val="16"/>
        <w:keepNext w:val="0"/>
        <w:keepLines w:val="0"/>
        <w:pageBreakBefore w:val="0"/>
        <w:widowControl w:val="0"/>
        <w:kinsoku/>
        <w:wordWrap/>
        <w:overflowPunct/>
        <w:topLinePunct w:val="0"/>
        <w:bidi w:val="0"/>
        <w:adjustRightInd/>
        <w:snapToGrid w:val="0"/>
        <w:spacing w:line="440" w:lineRule="exact"/>
        <w:textAlignment w:val="auto"/>
        <w:rPr>
          <w:rFonts w:hint="eastAsia" w:ascii="宋体" w:hAnsi="宋体" w:eastAsia="宋体" w:cs="宋体"/>
          <w:color w:val="auto"/>
          <w:sz w:val="28"/>
          <w:szCs w:val="28"/>
          <w:highlight w:val="none"/>
        </w:rPr>
      </w:pPr>
    </w:p>
    <w:tbl>
      <w:tblPr>
        <w:tblStyle w:val="3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5"/>
        <w:gridCol w:w="5144"/>
      </w:tblGrid>
      <w:tr w14:paraId="2F4CD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235" w:type="dxa"/>
            <w:noWrap w:val="0"/>
            <w:vAlign w:val="center"/>
          </w:tcPr>
          <w:p w14:paraId="3137FC9F">
            <w:pPr>
              <w:tabs>
                <w:tab w:val="left" w:pos="2431"/>
                <w:tab w:val="left" w:pos="2943"/>
              </w:tabs>
              <w:adjustRightInd w:val="0"/>
              <w:snapToGrid w:val="0"/>
              <w:spacing w:line="36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sz w:val="28"/>
                <w:szCs w:val="28"/>
                <w:highlight w:val="none"/>
              </w:rPr>
              <w:t>采</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购</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人</w:t>
            </w:r>
            <w:r>
              <w:rPr>
                <w:rFonts w:hint="eastAsia" w:ascii="宋体" w:hAnsi="宋体" w:eastAsia="宋体" w:cs="宋体"/>
                <w:bCs/>
                <w:color w:val="auto"/>
                <w:sz w:val="28"/>
                <w:szCs w:val="28"/>
                <w:highlight w:val="none"/>
                <w:lang w:val="en-US" w:eastAsia="zh-CN"/>
              </w:rPr>
              <w:t>：</w:t>
            </w:r>
          </w:p>
        </w:tc>
        <w:tc>
          <w:tcPr>
            <w:tcW w:w="5144" w:type="dxa"/>
            <w:noWrap w:val="0"/>
            <w:vAlign w:val="center"/>
          </w:tcPr>
          <w:p w14:paraId="34C29A5D">
            <w:pPr>
              <w:tabs>
                <w:tab w:val="left" w:pos="2431"/>
                <w:tab w:val="left" w:pos="2943"/>
              </w:tabs>
              <w:adjustRightInd w:val="0"/>
              <w:snapToGrid w:val="0"/>
              <w:spacing w:line="360" w:lineRule="exact"/>
              <w:jc w:val="both"/>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市属单位</w:t>
            </w:r>
          </w:p>
        </w:tc>
      </w:tr>
      <w:tr w14:paraId="3DC2F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2235" w:type="dxa"/>
            <w:noWrap w:val="0"/>
            <w:vAlign w:val="center"/>
          </w:tcPr>
          <w:p w14:paraId="3C42D2FF">
            <w:pPr>
              <w:tabs>
                <w:tab w:val="left" w:pos="2431"/>
                <w:tab w:val="left" w:pos="2943"/>
              </w:tabs>
              <w:adjustRightInd w:val="0"/>
              <w:snapToGrid w:val="0"/>
              <w:spacing w:line="360" w:lineRule="exact"/>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eastAsia="zh-CN"/>
              </w:rPr>
              <w:t>采购</w:t>
            </w:r>
            <w:r>
              <w:rPr>
                <w:rFonts w:hint="eastAsia" w:ascii="宋体" w:hAnsi="宋体" w:eastAsia="宋体" w:cs="宋体"/>
                <w:bCs/>
                <w:color w:val="auto"/>
                <w:sz w:val="28"/>
                <w:szCs w:val="28"/>
                <w:highlight w:val="none"/>
              </w:rPr>
              <w:t>代理机构</w:t>
            </w:r>
            <w:r>
              <w:rPr>
                <w:rFonts w:hint="eastAsia" w:ascii="宋体" w:hAnsi="宋体" w:eastAsia="宋体" w:cs="宋体"/>
                <w:bCs/>
                <w:color w:val="auto"/>
                <w:sz w:val="28"/>
                <w:szCs w:val="28"/>
                <w:highlight w:val="none"/>
                <w:lang w:eastAsia="zh-CN"/>
              </w:rPr>
              <w:t>：</w:t>
            </w:r>
          </w:p>
        </w:tc>
        <w:tc>
          <w:tcPr>
            <w:tcW w:w="5144" w:type="dxa"/>
            <w:noWrap w:val="0"/>
            <w:vAlign w:val="center"/>
          </w:tcPr>
          <w:p w14:paraId="54A8B61F">
            <w:pPr>
              <w:tabs>
                <w:tab w:val="left" w:pos="2431"/>
                <w:tab w:val="left" w:pos="2943"/>
              </w:tabs>
              <w:adjustRightInd w:val="0"/>
              <w:snapToGrid w:val="0"/>
              <w:spacing w:line="360" w:lineRule="exact"/>
              <w:jc w:val="both"/>
              <w:rPr>
                <w:rFonts w:hint="default" w:ascii="宋体" w:hAnsi="宋体" w:eastAsia="宋体" w:cs="宋体"/>
                <w:bCs/>
                <w:color w:val="auto"/>
                <w:sz w:val="28"/>
                <w:szCs w:val="28"/>
                <w:highlight w:val="none"/>
                <w:lang w:val="en-US" w:eastAsia="zh-CN"/>
              </w:rPr>
            </w:pPr>
            <w:r>
              <w:rPr>
                <w:rFonts w:hint="default" w:ascii="宋体" w:hAnsi="宋体" w:eastAsia="宋体" w:cs="宋体"/>
                <w:bCs/>
                <w:color w:val="auto"/>
                <w:sz w:val="28"/>
                <w:szCs w:val="28"/>
                <w:highlight w:val="none"/>
                <w:lang w:val="en-US" w:eastAsia="zh-CN"/>
              </w:rPr>
              <w:t>新疆华展鑫荣项目管理咨询有限公司</w:t>
            </w:r>
          </w:p>
        </w:tc>
      </w:tr>
      <w:tr w14:paraId="50D1F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2235" w:type="dxa"/>
            <w:noWrap w:val="0"/>
            <w:vAlign w:val="center"/>
          </w:tcPr>
          <w:p w14:paraId="7E2AB581">
            <w:pPr>
              <w:tabs>
                <w:tab w:val="left" w:pos="2431"/>
                <w:tab w:val="left" w:pos="2943"/>
              </w:tabs>
              <w:adjustRightInd w:val="0"/>
              <w:snapToGrid w:val="0"/>
              <w:spacing w:line="360" w:lineRule="exact"/>
              <w:jc w:val="center"/>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日        期</w:t>
            </w:r>
            <w:r>
              <w:rPr>
                <w:rFonts w:hint="eastAsia" w:ascii="宋体" w:hAnsi="宋体" w:eastAsia="宋体" w:cs="宋体"/>
                <w:bCs/>
                <w:color w:val="auto"/>
                <w:sz w:val="28"/>
                <w:szCs w:val="28"/>
                <w:highlight w:val="none"/>
                <w:lang w:eastAsia="zh-CN"/>
              </w:rPr>
              <w:t>：</w:t>
            </w:r>
          </w:p>
        </w:tc>
        <w:tc>
          <w:tcPr>
            <w:tcW w:w="5144" w:type="dxa"/>
            <w:noWrap w:val="0"/>
            <w:vAlign w:val="center"/>
          </w:tcPr>
          <w:p w14:paraId="77D62CE6">
            <w:pPr>
              <w:tabs>
                <w:tab w:val="left" w:pos="2431"/>
                <w:tab w:val="left" w:pos="2943"/>
              </w:tabs>
              <w:adjustRightInd w:val="0"/>
              <w:snapToGrid w:val="0"/>
              <w:spacing w:line="360" w:lineRule="exact"/>
              <w:jc w:val="both"/>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eastAsia="zh-CN"/>
              </w:rPr>
              <w:t>202</w:t>
            </w:r>
            <w:r>
              <w:rPr>
                <w:rFonts w:hint="eastAsia" w:ascii="宋体" w:hAnsi="宋体" w:eastAsia="宋体" w:cs="宋体"/>
                <w:bCs/>
                <w:color w:val="auto"/>
                <w:sz w:val="28"/>
                <w:szCs w:val="28"/>
                <w:highlight w:val="none"/>
                <w:lang w:val="en-US" w:eastAsia="zh-CN"/>
              </w:rPr>
              <w:t>5</w:t>
            </w:r>
            <w:r>
              <w:rPr>
                <w:rFonts w:hint="eastAsia" w:ascii="宋体" w:hAnsi="宋体" w:eastAsia="宋体" w:cs="宋体"/>
                <w:bCs/>
                <w:color w:val="auto"/>
                <w:sz w:val="28"/>
                <w:szCs w:val="28"/>
                <w:highlight w:val="none"/>
                <w:lang w:eastAsia="zh-CN"/>
              </w:rPr>
              <w:t>年</w:t>
            </w:r>
            <w:r>
              <w:rPr>
                <w:rFonts w:hint="eastAsia" w:ascii="宋体" w:hAnsi="宋体" w:eastAsia="宋体" w:cs="宋体"/>
                <w:bCs/>
                <w:color w:val="auto"/>
                <w:sz w:val="28"/>
                <w:szCs w:val="28"/>
                <w:highlight w:val="none"/>
                <w:lang w:val="en-US" w:eastAsia="zh-CN"/>
              </w:rPr>
              <w:t>7</w:t>
            </w:r>
            <w:r>
              <w:rPr>
                <w:rFonts w:hint="eastAsia" w:ascii="宋体" w:hAnsi="宋体" w:eastAsia="宋体" w:cs="宋体"/>
                <w:bCs/>
                <w:color w:val="auto"/>
                <w:sz w:val="28"/>
                <w:szCs w:val="28"/>
                <w:highlight w:val="none"/>
                <w:lang w:eastAsia="zh-CN"/>
              </w:rPr>
              <w:t>月</w:t>
            </w:r>
          </w:p>
        </w:tc>
      </w:tr>
    </w:tbl>
    <w:p w14:paraId="3B4FDC5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p>
    <w:p w14:paraId="15892B6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8"/>
          <w:szCs w:val="28"/>
          <w:highlight w:val="none"/>
        </w:rPr>
      </w:pPr>
    </w:p>
    <w:p w14:paraId="2D5B538B">
      <w:pPr>
        <w:spacing w:line="400" w:lineRule="atLeast"/>
        <w:jc w:val="center"/>
        <w:rPr>
          <w:rFonts w:hint="eastAsia" w:ascii="宋体" w:hAnsi="宋体" w:eastAsia="宋体" w:cs="宋体"/>
          <w:b/>
          <w:color w:val="auto"/>
          <w:sz w:val="24"/>
          <w:szCs w:val="24"/>
          <w:highlight w:val="none"/>
        </w:rPr>
        <w:sectPr>
          <w:headerReference r:id="rId3" w:type="default"/>
          <w:footerReference r:id="rId4" w:type="default"/>
          <w:type w:val="continuous"/>
          <w:pgSz w:w="11906" w:h="16838"/>
          <w:pgMar w:top="1418" w:right="1274" w:bottom="1418" w:left="1418" w:header="851" w:footer="992" w:gutter="0"/>
          <w:pgNumType w:fmt="decimal" w:start="2"/>
          <w:cols w:space="720" w:num="1"/>
          <w:docGrid w:type="linesAndChars" w:linePitch="312" w:charSpace="0"/>
        </w:sectPr>
      </w:pPr>
    </w:p>
    <w:p w14:paraId="4B4EDE14">
      <w:pPr>
        <w:spacing w:line="400" w:lineRule="atLeast"/>
        <w:jc w:val="center"/>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目</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录</w:t>
      </w:r>
    </w:p>
    <w:p w14:paraId="2E5BDC79">
      <w:pPr>
        <w:pStyle w:val="28"/>
        <w:tabs>
          <w:tab w:val="right" w:leader="dot" w:pos="9214"/>
        </w:tabs>
        <w:spacing w:line="360" w:lineRule="auto"/>
        <w:rPr>
          <w:color w:val="auto"/>
          <w:sz w:val="28"/>
          <w:szCs w:val="28"/>
          <w:highlight w:val="none"/>
        </w:rPr>
      </w:pP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TOC \o "1-3" \h \u </w:instrText>
      </w:r>
      <w:r>
        <w:rPr>
          <w:rFonts w:hint="eastAsia" w:ascii="宋体" w:hAnsi="宋体" w:eastAsia="宋体" w:cs="宋体"/>
          <w:b/>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_Toc30721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第一部分 </w:t>
      </w:r>
      <w:r>
        <w:rPr>
          <w:rFonts w:hint="eastAsia" w:ascii="宋体" w:hAnsi="宋体" w:eastAsia="宋体" w:cs="宋体"/>
          <w:color w:val="auto"/>
          <w:sz w:val="28"/>
          <w:szCs w:val="28"/>
          <w:highlight w:val="none"/>
          <w:lang w:val="en-US" w:eastAsia="zh-CN"/>
        </w:rPr>
        <w:t>公开招标公告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_Toc30721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B7BF697">
      <w:pPr>
        <w:pStyle w:val="28"/>
        <w:tabs>
          <w:tab w:val="right" w:leader="dot" w:pos="9214"/>
        </w:tabs>
        <w:spacing w:line="360" w:lineRule="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_Toc24833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第二部分 </w:t>
      </w:r>
      <w:r>
        <w:rPr>
          <w:rFonts w:hint="eastAsia" w:ascii="宋体" w:hAnsi="宋体" w:eastAsia="宋体" w:cs="宋体"/>
          <w:color w:val="auto"/>
          <w:sz w:val="28"/>
          <w:szCs w:val="28"/>
          <w:highlight w:val="none"/>
          <w:lang w:eastAsia="zh-CN"/>
        </w:rPr>
        <w:t>投标供应商</w:t>
      </w:r>
      <w:r>
        <w:rPr>
          <w:rFonts w:hint="eastAsia" w:ascii="宋体" w:hAnsi="宋体" w:eastAsia="宋体" w:cs="宋体"/>
          <w:color w:val="auto"/>
          <w:sz w:val="28"/>
          <w:szCs w:val="28"/>
          <w:highlight w:val="none"/>
        </w:rPr>
        <w:t>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_Toc24833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F0AC434">
      <w:pPr>
        <w:pStyle w:val="28"/>
        <w:tabs>
          <w:tab w:val="right" w:leader="dot" w:pos="9214"/>
        </w:tabs>
        <w:spacing w:line="360" w:lineRule="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_Toc20243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第三部分 </w:t>
      </w:r>
      <w:r>
        <w:rPr>
          <w:rFonts w:hint="eastAsia" w:ascii="宋体" w:hAnsi="宋体" w:eastAsia="宋体" w:cs="宋体"/>
          <w:color w:val="auto"/>
          <w:sz w:val="28"/>
          <w:szCs w:val="28"/>
          <w:highlight w:val="none"/>
          <w:lang w:eastAsia="zh-CN"/>
        </w:rPr>
        <w:t>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_Toc20243 \h </w:instrText>
      </w:r>
      <w:r>
        <w:rPr>
          <w:color w:val="auto"/>
          <w:sz w:val="28"/>
          <w:szCs w:val="28"/>
          <w:highlight w:val="none"/>
        </w:rPr>
        <w:fldChar w:fldCharType="separate"/>
      </w:r>
      <w:r>
        <w:rPr>
          <w:color w:val="auto"/>
          <w:sz w:val="28"/>
          <w:szCs w:val="28"/>
          <w:highlight w:val="none"/>
        </w:rPr>
        <w:t>17</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2BEB15D">
      <w:pPr>
        <w:pStyle w:val="28"/>
        <w:tabs>
          <w:tab w:val="right" w:leader="dot" w:pos="9214"/>
        </w:tabs>
        <w:spacing w:line="360" w:lineRule="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_Toc10524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en-US" w:eastAsia="zh-CN"/>
        </w:rPr>
        <w:t>第四部分 评标办法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_Toc10524 \h </w:instrText>
      </w:r>
      <w:r>
        <w:rPr>
          <w:color w:val="auto"/>
          <w:sz w:val="28"/>
          <w:szCs w:val="28"/>
          <w:highlight w:val="none"/>
        </w:rPr>
        <w:fldChar w:fldCharType="separate"/>
      </w:r>
      <w:r>
        <w:rPr>
          <w:color w:val="auto"/>
          <w:sz w:val="28"/>
          <w:szCs w:val="28"/>
          <w:highlight w:val="none"/>
        </w:rPr>
        <w:t>17</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89F8F1A">
      <w:pPr>
        <w:pStyle w:val="28"/>
        <w:tabs>
          <w:tab w:val="right" w:leader="dot" w:pos="9214"/>
        </w:tabs>
        <w:spacing w:line="360" w:lineRule="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_Toc5716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eastAsia="zh-CN"/>
        </w:rPr>
        <w:t>五</w:t>
      </w:r>
      <w:r>
        <w:rPr>
          <w:rFonts w:hint="eastAsia" w:ascii="宋体" w:hAnsi="宋体" w:eastAsia="宋体" w:cs="宋体"/>
          <w:color w:val="auto"/>
          <w:sz w:val="28"/>
          <w:szCs w:val="28"/>
          <w:highlight w:val="none"/>
        </w:rPr>
        <w:t>部分 政府采购合同</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_Toc5716 \h </w:instrText>
      </w:r>
      <w:r>
        <w:rPr>
          <w:color w:val="auto"/>
          <w:sz w:val="28"/>
          <w:szCs w:val="28"/>
          <w:highlight w:val="none"/>
        </w:rPr>
        <w:fldChar w:fldCharType="separate"/>
      </w:r>
      <w:r>
        <w:rPr>
          <w:color w:val="auto"/>
          <w:sz w:val="28"/>
          <w:szCs w:val="28"/>
          <w:highlight w:val="none"/>
        </w:rPr>
        <w:t>38</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6CF8B03">
      <w:pPr>
        <w:pStyle w:val="28"/>
        <w:tabs>
          <w:tab w:val="right" w:leader="dot" w:pos="9214"/>
        </w:tabs>
        <w:spacing w:line="360" w:lineRule="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_Toc28776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eastAsia="zh-CN"/>
        </w:rPr>
        <w:t>六</w:t>
      </w:r>
      <w:r>
        <w:rPr>
          <w:rFonts w:hint="eastAsia" w:ascii="宋体" w:hAnsi="宋体" w:eastAsia="宋体" w:cs="宋体"/>
          <w:color w:val="auto"/>
          <w:sz w:val="28"/>
          <w:szCs w:val="28"/>
          <w:highlight w:val="none"/>
        </w:rPr>
        <w:t>部分</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_Toc28776 \h </w:instrText>
      </w:r>
      <w:r>
        <w:rPr>
          <w:color w:val="auto"/>
          <w:sz w:val="28"/>
          <w:szCs w:val="28"/>
          <w:highlight w:val="none"/>
        </w:rPr>
        <w:fldChar w:fldCharType="separate"/>
      </w:r>
      <w:r>
        <w:rPr>
          <w:color w:val="auto"/>
          <w:sz w:val="28"/>
          <w:szCs w:val="28"/>
          <w:highlight w:val="none"/>
        </w:rPr>
        <w:t>44</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52D2660">
      <w:pPr>
        <w:pStyle w:val="28"/>
        <w:tabs>
          <w:tab w:val="right" w:leader="dot" w:pos="9214"/>
        </w:tabs>
        <w:spacing w:line="360" w:lineRule="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_Toc30434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eastAsia="zh-CN"/>
        </w:rPr>
        <w:t>七</w:t>
      </w:r>
      <w:r>
        <w:rPr>
          <w:rFonts w:hint="eastAsia" w:ascii="宋体" w:hAnsi="宋体" w:eastAsia="宋体" w:cs="宋体"/>
          <w:color w:val="auto"/>
          <w:sz w:val="28"/>
          <w:szCs w:val="28"/>
          <w:highlight w:val="none"/>
        </w:rPr>
        <w:t>部分 附件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_Toc30434 \h </w:instrText>
      </w:r>
      <w:r>
        <w:rPr>
          <w:color w:val="auto"/>
          <w:sz w:val="28"/>
          <w:szCs w:val="28"/>
          <w:highlight w:val="none"/>
        </w:rPr>
        <w:fldChar w:fldCharType="separate"/>
      </w:r>
      <w:r>
        <w:rPr>
          <w:color w:val="auto"/>
          <w:sz w:val="28"/>
          <w:szCs w:val="28"/>
          <w:highlight w:val="none"/>
        </w:rPr>
        <w:t>68</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590D018">
      <w:pPr>
        <w:pStyle w:val="28"/>
        <w:tabs>
          <w:tab w:val="right" w:leader="dot" w:pos="9214"/>
        </w:tabs>
        <w:spacing w:line="360" w:lineRule="auto"/>
        <w:rPr>
          <w:rFonts w:hint="eastAsia" w:ascii="宋体" w:hAnsi="宋体" w:eastAsia="宋体" w:cs="宋体"/>
          <w:color w:val="auto"/>
          <w:szCs w:val="21"/>
          <w:highlight w:val="none"/>
        </w:rPr>
      </w:pPr>
      <w:r>
        <w:rPr>
          <w:rFonts w:hint="eastAsia" w:ascii="宋体" w:hAnsi="宋体" w:eastAsia="宋体" w:cs="宋体"/>
          <w:color w:val="auto"/>
          <w:sz w:val="28"/>
          <w:szCs w:val="28"/>
          <w:highlight w:val="none"/>
        </w:rPr>
        <w:fldChar w:fldCharType="end"/>
      </w:r>
    </w:p>
    <w:p w14:paraId="76D223D7">
      <w:pPr>
        <w:pStyle w:val="3"/>
        <w:keepNext/>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32"/>
          <w:szCs w:val="32"/>
          <w:highlight w:val="none"/>
        </w:rPr>
        <w:sectPr>
          <w:footerReference r:id="rId5" w:type="default"/>
          <w:pgSz w:w="11906" w:h="16838"/>
          <w:pgMar w:top="1418" w:right="1274" w:bottom="1418" w:left="1418" w:header="850" w:footer="964" w:gutter="0"/>
          <w:pgNumType w:fmt="decimal" w:start="2"/>
          <w:cols w:space="720" w:num="1"/>
          <w:docGrid w:type="linesAndChars" w:linePitch="312" w:charSpace="0"/>
        </w:sectPr>
      </w:pPr>
      <w:bookmarkStart w:id="0" w:name="_Toc349573118"/>
      <w:bookmarkStart w:id="1" w:name="_Toc349637917"/>
      <w:bookmarkStart w:id="2" w:name="_Toc298240402"/>
      <w:bookmarkStart w:id="3" w:name="_Toc20666"/>
      <w:bookmarkStart w:id="4" w:name="_Toc19862"/>
      <w:bookmarkStart w:id="5" w:name="_Toc267301280"/>
    </w:p>
    <w:p w14:paraId="715BFEDA">
      <w:pPr>
        <w:pStyle w:val="3"/>
        <w:keepNext/>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lang w:val="en-US" w:eastAsia="zh-CN"/>
        </w:rPr>
      </w:pPr>
      <w:bookmarkStart w:id="6" w:name="_Toc30721"/>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 xml:space="preserve">第一部分 </w:t>
      </w:r>
      <w:bookmarkEnd w:id="0"/>
      <w:bookmarkEnd w:id="1"/>
      <w:bookmarkEnd w:id="2"/>
      <w:bookmarkEnd w:id="3"/>
      <w:bookmarkEnd w:id="4"/>
      <w:r>
        <w:rPr>
          <w:rFonts w:hint="eastAsia" w:ascii="宋体" w:hAnsi="宋体" w:eastAsia="宋体" w:cs="宋体"/>
          <w:color w:val="auto"/>
          <w:sz w:val="32"/>
          <w:szCs w:val="32"/>
          <w:highlight w:val="none"/>
          <w:lang w:val="en-US" w:eastAsia="zh-CN"/>
        </w:rPr>
        <w:t xml:space="preserve"> 市属单位2025年防暴装备采购项目                 公开招标公告</w:t>
      </w:r>
      <w:bookmarkEnd w:id="6"/>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1"/>
      </w:tblGrid>
      <w:tr w14:paraId="252F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1" w:type="dxa"/>
            <w:noWrap w:val="0"/>
            <w:vAlign w:val="center"/>
          </w:tcPr>
          <w:p w14:paraId="326C8D2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项目概况</w:t>
            </w:r>
          </w:p>
          <w:p w14:paraId="25F3AC8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u w:val="single"/>
                <w:lang w:val="en-US" w:eastAsia="zh-CN"/>
              </w:rPr>
              <w:t>市属单位2025年防暴装备采购项目</w:t>
            </w:r>
            <w:r>
              <w:rPr>
                <w:rFonts w:hint="eastAsia" w:ascii="宋体" w:hAnsi="宋体" w:eastAsia="宋体" w:cs="宋体"/>
                <w:color w:val="auto"/>
                <w:sz w:val="24"/>
                <w:szCs w:val="24"/>
                <w:highlight w:val="none"/>
                <w:lang w:val="en-US"/>
              </w:rPr>
              <w:t>的潜在</w:t>
            </w:r>
            <w:r>
              <w:rPr>
                <w:rFonts w:hint="eastAsia" w:ascii="宋体" w:hAnsi="宋体" w:eastAsia="宋体" w:cs="宋体"/>
                <w:color w:val="auto"/>
                <w:sz w:val="24"/>
                <w:szCs w:val="24"/>
                <w:highlight w:val="none"/>
                <w:lang w:val="en-US" w:eastAsia="zh-CN"/>
              </w:rPr>
              <w:t>投标供应商</w:t>
            </w:r>
            <w:r>
              <w:rPr>
                <w:rFonts w:hint="eastAsia" w:ascii="宋体" w:hAnsi="宋体" w:eastAsia="宋体" w:cs="宋体"/>
                <w:color w:val="auto"/>
                <w:sz w:val="24"/>
                <w:szCs w:val="24"/>
                <w:highlight w:val="none"/>
                <w:lang w:val="en-US"/>
              </w:rPr>
              <w:t>应在</w:t>
            </w:r>
            <w:r>
              <w:rPr>
                <w:rFonts w:hint="eastAsia" w:ascii="宋体" w:hAnsi="宋体" w:cs="宋体"/>
                <w:color w:val="auto"/>
                <w:sz w:val="24"/>
                <w:szCs w:val="24"/>
                <w:highlight w:val="none"/>
                <w:lang w:eastAsia="zh-CN"/>
              </w:rPr>
              <w:t>政采云</w:t>
            </w:r>
            <w:r>
              <w:rPr>
                <w:rFonts w:hint="eastAsia" w:ascii="宋体" w:hAnsi="宋体" w:cs="宋体"/>
                <w:color w:val="auto"/>
                <w:sz w:val="24"/>
                <w:szCs w:val="24"/>
                <w:highlight w:val="none"/>
              </w:rPr>
              <w:t>平台获取招标文件</w:t>
            </w:r>
            <w:r>
              <w:rPr>
                <w:rFonts w:hint="eastAsia" w:ascii="宋体" w:hAnsi="宋体" w:eastAsia="宋体" w:cs="宋体"/>
                <w:color w:val="auto"/>
                <w:sz w:val="24"/>
                <w:szCs w:val="24"/>
                <w:highlight w:val="none"/>
                <w:lang w:val="en-US"/>
              </w:rPr>
              <w:t>，并于</w:t>
            </w:r>
            <w:r>
              <w:rPr>
                <w:rFonts w:hint="eastAsia" w:ascii="宋体" w:hAnsi="宋体" w:eastAsia="宋体" w:cs="宋体"/>
                <w:color w:val="auto"/>
                <w:sz w:val="24"/>
                <w:szCs w:val="24"/>
                <w:highlight w:val="none"/>
                <w:lang w:val="en-US" w:eastAsia="zh-CN"/>
              </w:rPr>
              <w:t>2025年</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31</w:t>
            </w:r>
            <w:r>
              <w:rPr>
                <w:rFonts w:hint="eastAsia" w:ascii="宋体" w:hAnsi="宋体" w:eastAsia="宋体" w:cs="宋体"/>
                <w:color w:val="auto"/>
                <w:sz w:val="24"/>
                <w:szCs w:val="24"/>
                <w:highlight w:val="none"/>
                <w:lang w:val="en-US" w:eastAsia="zh-CN"/>
              </w:rPr>
              <w:t>日11:00</w:t>
            </w:r>
            <w:r>
              <w:rPr>
                <w:rFonts w:hint="eastAsia" w:ascii="宋体" w:hAnsi="宋体" w:eastAsia="宋体" w:cs="宋体"/>
                <w:color w:val="auto"/>
                <w:sz w:val="24"/>
                <w:szCs w:val="24"/>
                <w:highlight w:val="none"/>
                <w:lang w:val="en-US"/>
              </w:rPr>
              <w:t>（北京时间）前提交（上传）投标文件</w:t>
            </w:r>
            <w:r>
              <w:rPr>
                <w:rFonts w:hint="eastAsia" w:ascii="宋体" w:hAnsi="宋体" w:eastAsia="宋体" w:cs="宋体"/>
                <w:color w:val="auto"/>
                <w:highlight w:val="none"/>
              </w:rPr>
              <w:t>。</w:t>
            </w:r>
          </w:p>
        </w:tc>
      </w:tr>
    </w:tbl>
    <w:p w14:paraId="079EDF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sz w:val="24"/>
          <w:szCs w:val="24"/>
          <w:highlight w:val="none"/>
        </w:rPr>
      </w:pPr>
    </w:p>
    <w:p w14:paraId="04F0CB7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p>
    <w:p w14:paraId="38562D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val="en-US" w:eastAsia="zh-CN"/>
        </w:rPr>
        <w:t>NO.2025(HZXR)040</w:t>
      </w:r>
    </w:p>
    <w:p w14:paraId="48680B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市属单位2025年防暴装备采购项目</w:t>
      </w:r>
    </w:p>
    <w:p w14:paraId="619589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采购方式：公开招标</w:t>
      </w:r>
    </w:p>
    <w:p w14:paraId="69D0C1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ascii="宋体" w:hAnsi="宋体" w:eastAsia="宋体" w:cs="宋体"/>
          <w:color w:val="auto"/>
          <w:sz w:val="24"/>
          <w:szCs w:val="24"/>
          <w:highlight w:val="none"/>
          <w:lang w:val="en-US" w:eastAsia="zh-CN"/>
        </w:rPr>
        <w:t>482500</w:t>
      </w:r>
      <w:r>
        <w:rPr>
          <w:rFonts w:hint="eastAsia" w:ascii="宋体" w:hAnsi="宋体" w:cs="宋体"/>
          <w:color w:val="auto"/>
          <w:sz w:val="24"/>
          <w:szCs w:val="24"/>
          <w:highlight w:val="none"/>
          <w:lang w:val="en-US" w:eastAsia="zh-CN"/>
        </w:rPr>
        <w:t>元</w:t>
      </w:r>
    </w:p>
    <w:p w14:paraId="0EC1D2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最高限价（元）：</w:t>
      </w:r>
      <w:r>
        <w:rPr>
          <w:rFonts w:hint="eastAsia" w:ascii="宋体" w:hAnsi="宋体" w:eastAsia="宋体" w:cs="宋体"/>
          <w:color w:val="auto"/>
          <w:sz w:val="24"/>
          <w:szCs w:val="24"/>
          <w:highlight w:val="none"/>
          <w:lang w:val="en-US" w:eastAsia="zh-CN"/>
        </w:rPr>
        <w:t>482500</w:t>
      </w:r>
      <w:r>
        <w:rPr>
          <w:rFonts w:hint="eastAsia" w:ascii="宋体" w:hAnsi="宋体" w:cs="宋体"/>
          <w:color w:val="auto"/>
          <w:sz w:val="24"/>
          <w:szCs w:val="24"/>
          <w:highlight w:val="none"/>
          <w:lang w:val="en-US" w:eastAsia="zh-CN"/>
        </w:rPr>
        <w:t>元</w:t>
      </w:r>
    </w:p>
    <w:p w14:paraId="66DC5C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采购一批防暴装备</w:t>
      </w:r>
      <w:r>
        <w:rPr>
          <w:rFonts w:hint="eastAsia" w:ascii="宋体" w:hAnsi="宋体" w:eastAsia="宋体" w:cs="宋体"/>
          <w:color w:val="auto"/>
          <w:sz w:val="24"/>
          <w:szCs w:val="24"/>
          <w:highlight w:val="none"/>
          <w:lang w:val="en-US" w:eastAsia="zh-CN"/>
        </w:rPr>
        <w:t>（具体内容详见招标文件）。</w:t>
      </w:r>
    </w:p>
    <w:p w14:paraId="4ECBF6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lang w:val="en-US" w:eastAsia="zh-CN"/>
        </w:rPr>
        <w:t>自合同签订之日起15日内完成，按甲方指定时间、地点交付合格产品、完成调试验收。</w:t>
      </w:r>
    </w:p>
    <w:p w14:paraId="4371D9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w:t>
      </w:r>
    </w:p>
    <w:p w14:paraId="7AF8FA2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二、申请人的资格要求：</w:t>
      </w:r>
    </w:p>
    <w:p w14:paraId="4267862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0D00FE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具有独立承担民事责任的能力的</w:t>
      </w:r>
      <w:r>
        <w:rPr>
          <w:rFonts w:hint="eastAsia" w:ascii="宋体" w:hAnsi="宋体" w:eastAsia="宋体" w:cs="宋体"/>
          <w:color w:val="auto"/>
          <w:sz w:val="24"/>
          <w:szCs w:val="24"/>
          <w:highlight w:val="none"/>
          <w:lang w:eastAsia="zh-CN"/>
        </w:rPr>
        <w:t>投标供应商</w:t>
      </w:r>
      <w:r>
        <w:rPr>
          <w:rFonts w:hint="eastAsia" w:ascii="宋体" w:hAnsi="宋体" w:eastAsia="宋体" w:cs="宋体"/>
          <w:color w:val="auto"/>
          <w:sz w:val="24"/>
          <w:szCs w:val="24"/>
          <w:highlight w:val="none"/>
        </w:rPr>
        <w:t>；</w:t>
      </w:r>
    </w:p>
    <w:p w14:paraId="5E84DB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具有良好的商业信誉和健全的财务会计制度；</w:t>
      </w:r>
    </w:p>
    <w:p w14:paraId="1F061E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具有履行合同所必需的设备和专业技术能力；</w:t>
      </w:r>
    </w:p>
    <w:p w14:paraId="1D3312B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有依法缴纳税收和社会保障资金的良好记录；</w:t>
      </w:r>
    </w:p>
    <w:p w14:paraId="1FF1CB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参加本次采购活动前三年内，在经营活动中没有重大违法记录；</w:t>
      </w:r>
    </w:p>
    <w:p w14:paraId="635101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法律、行政法规规定的其他条件。</w:t>
      </w:r>
    </w:p>
    <w:p w14:paraId="6E4BAD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专门面向中小企业采购项目。根据《政府采购促进中小企业发展管理办法》（财库[2020]46号）的规定，不再执行价格评审优惠的扶持政策。</w:t>
      </w:r>
    </w:p>
    <w:p w14:paraId="352286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rPr>
        <w:t>3.本项目的特定资格要求：</w:t>
      </w:r>
      <w:r>
        <w:rPr>
          <w:rFonts w:hint="eastAsia" w:ascii="宋体" w:hAnsi="宋体" w:eastAsia="宋体" w:cs="宋体"/>
          <w:b w:val="0"/>
          <w:bCs w:val="0"/>
          <w:color w:val="auto"/>
          <w:sz w:val="24"/>
          <w:szCs w:val="24"/>
          <w:highlight w:val="none"/>
          <w:lang w:val="en-US" w:eastAsia="zh-CN"/>
        </w:rPr>
        <w:t>无</w:t>
      </w:r>
      <w:r>
        <w:rPr>
          <w:rFonts w:hint="eastAsia" w:ascii="宋体" w:hAnsi="宋体" w:eastAsia="宋体" w:cs="宋体"/>
          <w:color w:val="auto"/>
          <w:sz w:val="24"/>
          <w:szCs w:val="24"/>
          <w:highlight w:val="none"/>
          <w:lang w:val="en-US" w:eastAsia="zh-CN"/>
        </w:rPr>
        <w:t>。</w:t>
      </w:r>
    </w:p>
    <w:p w14:paraId="215DBC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三、获取（下载）招标文件</w:t>
      </w:r>
    </w:p>
    <w:p w14:paraId="67765A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eastAsia="zh-CN"/>
        </w:rPr>
        <w:t>2025年</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日至2025年</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lang w:val="en-US" w:eastAsia="zh-CN"/>
        </w:rPr>
        <w:t>日</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rPr>
        <w:t>每天上午00:00至12:00，下午12:00至23:59（北京时间，法定节假日除外）</w:t>
      </w:r>
    </w:p>
    <w:p w14:paraId="1A61FBBD">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地点：政采云平台线上</w:t>
      </w:r>
    </w:p>
    <w:p w14:paraId="5BA4A5C9">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方式：供应商登录政采云平台https://www.zcygov.cn/在线申请获取采购文件（进入“项目采购”应用，在获取采购文件菜单中选择项目，申请获取采购文件）。</w:t>
      </w:r>
    </w:p>
    <w:p w14:paraId="6834D0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售价（元）：0</w:t>
      </w:r>
    </w:p>
    <w:p w14:paraId="0878A1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四、提交投标文件截止时间、开标时间和地点</w:t>
      </w:r>
    </w:p>
    <w:p w14:paraId="195FFE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提交投标文件截止时间：</w:t>
      </w:r>
      <w:r>
        <w:rPr>
          <w:rFonts w:hint="eastAsia" w:ascii="宋体" w:hAnsi="宋体" w:eastAsia="宋体" w:cs="宋体"/>
          <w:color w:val="auto"/>
          <w:sz w:val="24"/>
          <w:szCs w:val="24"/>
          <w:highlight w:val="none"/>
          <w:lang w:val="en-US" w:eastAsia="zh-CN"/>
        </w:rPr>
        <w:t>2025年</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31</w:t>
      </w:r>
      <w:r>
        <w:rPr>
          <w:rFonts w:hint="eastAsia" w:ascii="宋体" w:hAnsi="宋体" w:eastAsia="宋体" w:cs="宋体"/>
          <w:color w:val="auto"/>
          <w:sz w:val="24"/>
          <w:szCs w:val="24"/>
          <w:highlight w:val="none"/>
          <w:lang w:val="en-US" w:eastAsia="zh-CN"/>
        </w:rPr>
        <w:t>日11:00</w:t>
      </w:r>
      <w:r>
        <w:rPr>
          <w:rFonts w:hint="eastAsia" w:ascii="宋体" w:hAnsi="宋体" w:eastAsia="宋体" w:cs="宋体"/>
          <w:color w:val="auto"/>
          <w:sz w:val="24"/>
          <w:szCs w:val="24"/>
          <w:highlight w:val="none"/>
        </w:rPr>
        <w:t>（北京时间）</w:t>
      </w:r>
    </w:p>
    <w:p w14:paraId="252B2C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投标地点：</w:t>
      </w:r>
      <w:r>
        <w:rPr>
          <w:rFonts w:hint="eastAsia" w:ascii="宋体" w:hAnsi="宋体" w:cs="宋体"/>
          <w:color w:val="auto"/>
          <w:sz w:val="24"/>
          <w:szCs w:val="24"/>
          <w:highlight w:val="none"/>
        </w:rPr>
        <w:t>请登录政采云投标客户端投标</w:t>
      </w:r>
    </w:p>
    <w:p w14:paraId="468DE4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val="en-US" w:eastAsia="zh-CN"/>
        </w:rPr>
        <w:t>2025年</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31</w:t>
      </w:r>
      <w:r>
        <w:rPr>
          <w:rFonts w:hint="eastAsia" w:ascii="宋体" w:hAnsi="宋体" w:eastAsia="宋体" w:cs="宋体"/>
          <w:color w:val="auto"/>
          <w:sz w:val="24"/>
          <w:szCs w:val="24"/>
          <w:highlight w:val="none"/>
          <w:lang w:val="en-US" w:eastAsia="zh-CN"/>
        </w:rPr>
        <w:t>日11:00</w:t>
      </w:r>
      <w:r>
        <w:rPr>
          <w:rFonts w:hint="eastAsia" w:ascii="宋体" w:hAnsi="宋体" w:eastAsia="宋体" w:cs="宋体"/>
          <w:color w:val="auto"/>
          <w:sz w:val="24"/>
          <w:szCs w:val="24"/>
          <w:highlight w:val="none"/>
        </w:rPr>
        <w:t>（北京时间）</w:t>
      </w:r>
    </w:p>
    <w:p w14:paraId="6EE5DC9F">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投标供应商</w:t>
      </w:r>
      <w:r>
        <w:rPr>
          <w:rFonts w:hint="eastAsia" w:ascii="宋体" w:hAnsi="宋体" w:cs="宋体"/>
          <w:color w:val="auto"/>
          <w:sz w:val="24"/>
          <w:szCs w:val="24"/>
          <w:highlight w:val="none"/>
        </w:rPr>
        <w:t>登录政采云平台https：//www.zcygov.cn/，进入“项目采购-开标评标-右边选择对应项目点击“进入项目”进入开标大厅</w:t>
      </w:r>
      <w:r>
        <w:rPr>
          <w:rFonts w:hint="eastAsia" w:ascii="宋体" w:hAnsi="宋体" w:cs="宋体"/>
          <w:color w:val="auto"/>
          <w:sz w:val="24"/>
          <w:szCs w:val="24"/>
          <w:highlight w:val="none"/>
          <w:lang w:eastAsia="zh-CN"/>
        </w:rPr>
        <w:t>。</w:t>
      </w:r>
    </w:p>
    <w:p w14:paraId="379854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五、公告期限</w:t>
      </w:r>
    </w:p>
    <w:p w14:paraId="43DB88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自本公告发布之日起5个工作日</w:t>
      </w:r>
      <w:r>
        <w:rPr>
          <w:rFonts w:hint="eastAsia" w:ascii="宋体" w:hAnsi="宋体" w:eastAsia="宋体" w:cs="宋体"/>
          <w:color w:val="auto"/>
          <w:sz w:val="24"/>
          <w:szCs w:val="24"/>
          <w:highlight w:val="none"/>
          <w:lang w:eastAsia="zh-CN"/>
        </w:rPr>
        <w:t>。</w:t>
      </w:r>
    </w:p>
    <w:p w14:paraId="24649D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六、其他补充事宜</w:t>
      </w:r>
    </w:p>
    <w:p w14:paraId="2909F9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本项目实行网上投标，采用电子投标文件。</w:t>
      </w:r>
    </w:p>
    <w:p w14:paraId="01B850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3E4D35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供应商将政采云电子交易客户端下载、安装完成后，可通过账号密码或CA登录客户端进行投标文件的制作。在使用政采云投标客户端时，建议使用WIN7及以上操作系统。</w:t>
      </w:r>
    </w:p>
    <w:p w14:paraId="063777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七、对本次采购提出询问，请按以下方式联系</w:t>
      </w:r>
    </w:p>
    <w:p w14:paraId="681F57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0DA0A4E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val="en-US" w:eastAsia="zh-CN"/>
        </w:rPr>
        <w:t>市属单位</w:t>
      </w:r>
    </w:p>
    <w:p w14:paraId="3995F8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val="en-US" w:eastAsia="zh-CN"/>
        </w:rPr>
        <w:t>乌鲁木齐市天山区大湾南路699号</w:t>
      </w:r>
    </w:p>
    <w:p w14:paraId="7DB808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0991-4910132</w:t>
      </w:r>
    </w:p>
    <w:p w14:paraId="250E8F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202D6C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14:paraId="10ED682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名 称：</w:t>
      </w:r>
      <w:r>
        <w:rPr>
          <w:rFonts w:hint="default" w:ascii="宋体" w:hAnsi="宋体" w:eastAsia="宋体" w:cs="宋体"/>
          <w:color w:val="auto"/>
          <w:sz w:val="24"/>
          <w:szCs w:val="24"/>
          <w:highlight w:val="none"/>
          <w:lang w:val="en-US" w:eastAsia="zh-CN"/>
        </w:rPr>
        <w:t>新疆华展鑫荣项目管理咨询有限公司</w:t>
      </w:r>
    </w:p>
    <w:p w14:paraId="3DD346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乌鲁木齐市水磨沟区金科星耀天都一号楼2单元2602室</w:t>
      </w:r>
    </w:p>
    <w:p w14:paraId="36E5F1B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联系人方式：</w:t>
      </w:r>
      <w:r>
        <w:rPr>
          <w:rFonts w:hint="eastAsia" w:ascii="宋体" w:hAnsi="宋体" w:eastAsia="宋体" w:cs="宋体"/>
          <w:color w:val="auto"/>
          <w:sz w:val="24"/>
          <w:szCs w:val="24"/>
          <w:highlight w:val="none"/>
          <w:lang w:val="en-US" w:eastAsia="zh-CN"/>
        </w:rPr>
        <w:t>0991-4182952、17716920059</w:t>
      </w:r>
    </w:p>
    <w:p w14:paraId="72A2C8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3.项目联系方式</w:t>
      </w:r>
    </w:p>
    <w:p w14:paraId="6D2FEF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lang w:eastAsia="zh-CN"/>
        </w:rPr>
        <w:t>赵玉莹</w:t>
      </w:r>
    </w:p>
    <w:p w14:paraId="70D3AE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w:t>
      </w:r>
      <w:r>
        <w:rPr>
          <w:rFonts w:hint="default" w:ascii="宋体" w:hAnsi="宋体" w:eastAsia="宋体" w:cs="宋体"/>
          <w:color w:val="auto"/>
          <w:sz w:val="24"/>
          <w:szCs w:val="24"/>
          <w:highlight w:val="none"/>
          <w:lang w:val="en-US"/>
        </w:rPr>
        <w:t xml:space="preserve"> </w:t>
      </w:r>
      <w:r>
        <w:rPr>
          <w:rFonts w:hint="eastAsia" w:ascii="宋体" w:hAnsi="宋体" w:eastAsia="宋体" w:cs="宋体"/>
          <w:color w:val="auto"/>
          <w:sz w:val="24"/>
          <w:szCs w:val="24"/>
          <w:highlight w:val="none"/>
        </w:rPr>
        <w:t xml:space="preserve"> 话：</w:t>
      </w:r>
      <w:r>
        <w:rPr>
          <w:rFonts w:hint="eastAsia" w:ascii="宋体" w:hAnsi="宋体" w:eastAsia="宋体" w:cs="宋体"/>
          <w:color w:val="auto"/>
          <w:sz w:val="24"/>
          <w:szCs w:val="24"/>
          <w:highlight w:val="none"/>
          <w:lang w:val="en-US" w:eastAsia="zh-CN"/>
        </w:rPr>
        <w:t>0991-4182952、17716920059</w:t>
      </w:r>
    </w:p>
    <w:p w14:paraId="62B10C9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p>
    <w:p w14:paraId="0BE3ACF9">
      <w:pPr>
        <w:pStyle w:val="3"/>
        <w:keepNext/>
        <w:keepLines w:val="0"/>
        <w:pageBreakBefore w:val="0"/>
        <w:widowControl w:val="0"/>
        <w:numPr>
          <w:ilvl w:val="0"/>
          <w:numId w:val="0"/>
        </w:numPr>
        <w:kinsoku/>
        <w:wordWrap/>
        <w:overflowPunct/>
        <w:topLinePunct w:val="0"/>
        <w:autoSpaceDE/>
        <w:autoSpaceDN/>
        <w:bidi w:val="0"/>
        <w:adjustRightInd w:val="0"/>
        <w:snapToGrid w:val="0"/>
        <w:spacing w:afterAutospacing="0" w:line="360" w:lineRule="auto"/>
        <w:jc w:val="center"/>
        <w:textAlignment w:val="auto"/>
        <w:rPr>
          <w:rFonts w:hint="eastAsia" w:ascii="宋体" w:hAnsi="宋体" w:eastAsia="宋体" w:cs="宋体"/>
          <w:color w:val="auto"/>
          <w:sz w:val="32"/>
          <w:szCs w:val="32"/>
          <w:highlight w:val="none"/>
        </w:rPr>
      </w:pPr>
      <w:bookmarkStart w:id="7" w:name="_Toc298240403"/>
      <w:bookmarkStart w:id="8" w:name="_Toc349637918"/>
      <w:bookmarkStart w:id="9" w:name="_Toc2509"/>
      <w:bookmarkStart w:id="10" w:name="_Toc349573119"/>
      <w:r>
        <w:rPr>
          <w:rFonts w:hint="eastAsia" w:ascii="宋体" w:hAnsi="宋体" w:eastAsia="宋体" w:cs="宋体"/>
          <w:color w:val="auto"/>
          <w:sz w:val="32"/>
          <w:szCs w:val="32"/>
          <w:highlight w:val="none"/>
        </w:rPr>
        <w:br w:type="page"/>
      </w:r>
      <w:bookmarkStart w:id="11" w:name="_Toc24833"/>
      <w:r>
        <w:rPr>
          <w:rFonts w:hint="eastAsia" w:ascii="宋体" w:hAnsi="宋体" w:eastAsia="宋体" w:cs="宋体"/>
          <w:color w:val="auto"/>
          <w:sz w:val="32"/>
          <w:szCs w:val="32"/>
          <w:highlight w:val="none"/>
        </w:rPr>
        <w:t xml:space="preserve">第二部分 </w:t>
      </w:r>
      <w:r>
        <w:rPr>
          <w:rFonts w:hint="eastAsia" w:ascii="宋体" w:hAnsi="宋体" w:eastAsia="宋体" w:cs="宋体"/>
          <w:color w:val="auto"/>
          <w:sz w:val="32"/>
          <w:szCs w:val="32"/>
          <w:highlight w:val="none"/>
          <w:lang w:eastAsia="zh-CN"/>
        </w:rPr>
        <w:t>投标供应商</w:t>
      </w:r>
      <w:r>
        <w:rPr>
          <w:rFonts w:hint="eastAsia" w:ascii="宋体" w:hAnsi="宋体" w:eastAsia="宋体" w:cs="宋体"/>
          <w:color w:val="auto"/>
          <w:sz w:val="32"/>
          <w:szCs w:val="32"/>
          <w:highlight w:val="none"/>
        </w:rPr>
        <w:t>须知</w:t>
      </w:r>
      <w:bookmarkEnd w:id="5"/>
      <w:bookmarkEnd w:id="7"/>
      <w:bookmarkEnd w:id="8"/>
      <w:bookmarkEnd w:id="9"/>
      <w:bookmarkEnd w:id="10"/>
      <w:bookmarkEnd w:id="11"/>
    </w:p>
    <w:p w14:paraId="49701027">
      <w:pPr>
        <w:pStyle w:val="4"/>
        <w:keepNext/>
        <w:pageBreakBefore w:val="0"/>
        <w:widowControl w:val="0"/>
        <w:kinsoku/>
        <w:wordWrap/>
        <w:overflowPunct/>
        <w:topLinePunct w:val="0"/>
        <w:autoSpaceDE/>
        <w:autoSpaceDN/>
        <w:bidi w:val="0"/>
        <w:adjustRightInd w:val="0"/>
        <w:snapToGrid w:val="0"/>
        <w:spacing w:before="0" w:after="0" w:afterAutospacing="0" w:line="360" w:lineRule="auto"/>
        <w:jc w:val="center"/>
        <w:textAlignment w:val="auto"/>
        <w:rPr>
          <w:rFonts w:hint="eastAsia" w:ascii="宋体" w:hAnsi="宋体" w:eastAsia="宋体" w:cs="宋体"/>
          <w:color w:val="auto"/>
          <w:sz w:val="28"/>
          <w:szCs w:val="28"/>
          <w:highlight w:val="none"/>
          <w:lang w:eastAsia="zh-CN"/>
        </w:rPr>
      </w:pPr>
      <w:bookmarkStart w:id="12" w:name="_Toc11110"/>
      <w:r>
        <w:rPr>
          <w:rFonts w:hint="eastAsia" w:ascii="宋体" w:hAnsi="宋体" w:eastAsia="宋体" w:cs="宋体"/>
          <w:color w:val="auto"/>
          <w:sz w:val="28"/>
          <w:szCs w:val="28"/>
          <w:highlight w:val="none"/>
          <w:lang w:eastAsia="zh-CN"/>
        </w:rPr>
        <w:t>投标供应商须知前附表</w:t>
      </w:r>
      <w:bookmarkEnd w:id="12"/>
    </w:p>
    <w:tbl>
      <w:tblPr>
        <w:tblStyle w:val="36"/>
        <w:tblW w:w="96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5"/>
        <w:gridCol w:w="1687"/>
        <w:gridCol w:w="7140"/>
      </w:tblGrid>
      <w:tr w14:paraId="00DD98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835" w:type="dxa"/>
            <w:tcBorders>
              <w:top w:val="single" w:color="auto" w:sz="4" w:space="0"/>
              <w:bottom w:val="single" w:color="auto" w:sz="4" w:space="0"/>
              <w:right w:val="single" w:color="auto" w:sz="4" w:space="0"/>
            </w:tcBorders>
            <w:noWrap w:val="0"/>
            <w:vAlign w:val="center"/>
          </w:tcPr>
          <w:p w14:paraId="49FE18F7">
            <w:pPr>
              <w:pStyle w:val="21"/>
              <w:keepNext w:val="0"/>
              <w:keepLines w:val="0"/>
              <w:pageBreakBefore w:val="0"/>
              <w:widowControl w:val="0"/>
              <w:kinsoku/>
              <w:wordWrap/>
              <w:overflowPunct/>
              <w:topLinePunct w:val="0"/>
              <w:autoSpaceDE/>
              <w:autoSpaceDN/>
              <w:bidi w:val="0"/>
              <w:spacing w:line="30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序号</w:t>
            </w:r>
          </w:p>
        </w:tc>
        <w:tc>
          <w:tcPr>
            <w:tcW w:w="1687" w:type="dxa"/>
            <w:tcBorders>
              <w:top w:val="single" w:color="auto" w:sz="4" w:space="0"/>
              <w:bottom w:val="single" w:color="auto" w:sz="4" w:space="0"/>
              <w:right w:val="single" w:color="auto" w:sz="4" w:space="0"/>
            </w:tcBorders>
            <w:noWrap w:val="0"/>
            <w:vAlign w:val="center"/>
          </w:tcPr>
          <w:p w14:paraId="6E24383E">
            <w:pPr>
              <w:pStyle w:val="21"/>
              <w:keepNext w:val="0"/>
              <w:keepLines w:val="0"/>
              <w:pageBreakBefore w:val="0"/>
              <w:widowControl w:val="0"/>
              <w:kinsoku/>
              <w:wordWrap/>
              <w:overflowPunct/>
              <w:topLinePunct w:val="0"/>
              <w:autoSpaceDE/>
              <w:autoSpaceDN/>
              <w:bidi w:val="0"/>
              <w:spacing w:line="30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名 称</w:t>
            </w:r>
          </w:p>
        </w:tc>
        <w:tc>
          <w:tcPr>
            <w:tcW w:w="7140" w:type="dxa"/>
            <w:tcBorders>
              <w:top w:val="single" w:color="auto" w:sz="4" w:space="0"/>
              <w:left w:val="single" w:color="auto" w:sz="4" w:space="0"/>
              <w:bottom w:val="single" w:color="auto" w:sz="4" w:space="0"/>
            </w:tcBorders>
            <w:noWrap w:val="0"/>
            <w:vAlign w:val="center"/>
          </w:tcPr>
          <w:p w14:paraId="367C8634">
            <w:pPr>
              <w:keepNext w:val="0"/>
              <w:keepLines w:val="0"/>
              <w:pageBreakBefore w:val="0"/>
              <w:widowControl w:val="0"/>
              <w:kinsoku/>
              <w:wordWrap/>
              <w:overflowPunct/>
              <w:topLinePunct w:val="0"/>
              <w:autoSpaceDE/>
              <w:autoSpaceDN/>
              <w:bidi w:val="0"/>
              <w:spacing w:line="30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内  容</w:t>
            </w:r>
          </w:p>
        </w:tc>
      </w:tr>
      <w:tr w14:paraId="35FC1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835" w:type="dxa"/>
            <w:tcBorders>
              <w:top w:val="single" w:color="auto" w:sz="4" w:space="0"/>
              <w:bottom w:val="single" w:color="auto" w:sz="4" w:space="0"/>
              <w:right w:val="single" w:color="auto" w:sz="4" w:space="0"/>
            </w:tcBorders>
            <w:noWrap w:val="0"/>
            <w:vAlign w:val="center"/>
          </w:tcPr>
          <w:p w14:paraId="330795F5">
            <w:pPr>
              <w:keepNext w:val="0"/>
              <w:keepLines w:val="0"/>
              <w:pageBreakBefore w:val="0"/>
              <w:widowControl w:val="0"/>
              <w:kinsoku/>
              <w:wordWrap/>
              <w:overflowPunct/>
              <w:topLinePunct w:val="0"/>
              <w:autoSpaceDE/>
              <w:autoSpaceDN/>
              <w:bidi w:val="0"/>
              <w:spacing w:line="30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87" w:type="dxa"/>
            <w:tcBorders>
              <w:top w:val="single" w:color="auto" w:sz="4" w:space="0"/>
              <w:bottom w:val="single" w:color="auto" w:sz="4" w:space="0"/>
              <w:right w:val="single" w:color="auto" w:sz="4" w:space="0"/>
            </w:tcBorders>
            <w:noWrap w:val="0"/>
            <w:vAlign w:val="center"/>
          </w:tcPr>
          <w:p w14:paraId="44792BEA">
            <w:pPr>
              <w:keepNext w:val="0"/>
              <w:keepLines w:val="0"/>
              <w:pageBreakBefore w:val="0"/>
              <w:widowControl w:val="0"/>
              <w:kinsoku/>
              <w:wordWrap/>
              <w:overflowPunct/>
              <w:topLinePunct w:val="0"/>
              <w:autoSpaceDE/>
              <w:autoSpaceDN/>
              <w:bidi w:val="0"/>
              <w:spacing w:line="30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140" w:type="dxa"/>
            <w:tcBorders>
              <w:top w:val="single" w:color="auto" w:sz="4" w:space="0"/>
              <w:left w:val="single" w:color="auto" w:sz="4" w:space="0"/>
              <w:bottom w:val="single" w:color="auto" w:sz="4" w:space="0"/>
            </w:tcBorders>
            <w:noWrap w:val="0"/>
            <w:vAlign w:val="center"/>
          </w:tcPr>
          <w:p w14:paraId="556BA530">
            <w:pPr>
              <w:keepNext w:val="0"/>
              <w:keepLines w:val="0"/>
              <w:pageBreakBefore w:val="0"/>
              <w:widowControl w:val="0"/>
              <w:kinsoku/>
              <w:wordWrap/>
              <w:overflowPunct/>
              <w:topLinePunct w:val="0"/>
              <w:autoSpaceDE/>
              <w:autoSpaceDN/>
              <w:bidi w:val="0"/>
              <w:spacing w:line="30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市属单位2025年防暴装备采购项目</w:t>
            </w:r>
          </w:p>
        </w:tc>
      </w:tr>
      <w:tr w14:paraId="0A33E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35" w:type="dxa"/>
            <w:tcBorders>
              <w:top w:val="single" w:color="auto" w:sz="4" w:space="0"/>
              <w:bottom w:val="single" w:color="auto" w:sz="4" w:space="0"/>
              <w:right w:val="single" w:color="auto" w:sz="4" w:space="0"/>
            </w:tcBorders>
            <w:noWrap w:val="0"/>
            <w:vAlign w:val="center"/>
          </w:tcPr>
          <w:p w14:paraId="07B73FC8">
            <w:pPr>
              <w:keepNext w:val="0"/>
              <w:keepLines w:val="0"/>
              <w:pageBreakBefore w:val="0"/>
              <w:widowControl w:val="0"/>
              <w:kinsoku/>
              <w:wordWrap/>
              <w:overflowPunct/>
              <w:topLinePunct w:val="0"/>
              <w:autoSpaceDE/>
              <w:autoSpaceDN/>
              <w:bidi w:val="0"/>
              <w:spacing w:line="30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87" w:type="dxa"/>
            <w:tcBorders>
              <w:top w:val="single" w:color="auto" w:sz="4" w:space="0"/>
              <w:bottom w:val="single" w:color="auto" w:sz="4" w:space="0"/>
              <w:right w:val="single" w:color="auto" w:sz="4" w:space="0"/>
            </w:tcBorders>
            <w:noWrap w:val="0"/>
            <w:vAlign w:val="center"/>
          </w:tcPr>
          <w:p w14:paraId="2E1BB2E8">
            <w:pPr>
              <w:keepNext w:val="0"/>
              <w:keepLines w:val="0"/>
              <w:pageBreakBefore w:val="0"/>
              <w:widowControl w:val="0"/>
              <w:kinsoku/>
              <w:wordWrap/>
              <w:overflowPunct/>
              <w:topLinePunct w:val="0"/>
              <w:autoSpaceDE/>
              <w:autoSpaceDN/>
              <w:bidi w:val="0"/>
              <w:spacing w:line="30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7140" w:type="dxa"/>
            <w:tcBorders>
              <w:top w:val="single" w:color="auto" w:sz="4" w:space="0"/>
              <w:left w:val="single" w:color="auto" w:sz="4" w:space="0"/>
              <w:bottom w:val="single" w:color="auto" w:sz="4" w:space="0"/>
            </w:tcBorders>
            <w:noWrap w:val="0"/>
            <w:vAlign w:val="center"/>
          </w:tcPr>
          <w:p w14:paraId="2B1DC168">
            <w:pPr>
              <w:keepNext w:val="0"/>
              <w:keepLines w:val="0"/>
              <w:pageBreakBefore w:val="0"/>
              <w:widowControl w:val="0"/>
              <w:kinsoku/>
              <w:wordWrap/>
              <w:overflowPunct/>
              <w:topLinePunct w:val="0"/>
              <w:autoSpaceDE/>
              <w:autoSpaceDN/>
              <w:bidi w:val="0"/>
              <w:spacing w:line="30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NO.2025(HZXR)040</w:t>
            </w:r>
          </w:p>
        </w:tc>
      </w:tr>
      <w:tr w14:paraId="529E03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835" w:type="dxa"/>
            <w:tcBorders>
              <w:top w:val="single" w:color="auto" w:sz="4" w:space="0"/>
              <w:bottom w:val="single" w:color="auto" w:sz="4" w:space="0"/>
              <w:right w:val="single" w:color="auto" w:sz="4" w:space="0"/>
            </w:tcBorders>
            <w:noWrap w:val="0"/>
            <w:vAlign w:val="center"/>
          </w:tcPr>
          <w:p w14:paraId="796F60C4">
            <w:pPr>
              <w:keepNext w:val="0"/>
              <w:keepLines w:val="0"/>
              <w:pageBreakBefore w:val="0"/>
              <w:widowControl w:val="0"/>
              <w:kinsoku/>
              <w:wordWrap/>
              <w:overflowPunct/>
              <w:topLinePunct w:val="0"/>
              <w:autoSpaceDE/>
              <w:autoSpaceDN/>
              <w:bidi w:val="0"/>
              <w:spacing w:line="30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87" w:type="dxa"/>
            <w:tcBorders>
              <w:top w:val="single" w:color="auto" w:sz="4" w:space="0"/>
              <w:bottom w:val="single" w:color="auto" w:sz="4" w:space="0"/>
              <w:right w:val="single" w:color="auto" w:sz="4" w:space="0"/>
            </w:tcBorders>
            <w:noWrap w:val="0"/>
            <w:vAlign w:val="center"/>
          </w:tcPr>
          <w:p w14:paraId="6FD48E09">
            <w:pPr>
              <w:keepNext w:val="0"/>
              <w:keepLines w:val="0"/>
              <w:pageBreakBefore w:val="0"/>
              <w:widowControl w:val="0"/>
              <w:kinsoku/>
              <w:wordWrap/>
              <w:overflowPunct/>
              <w:topLinePunct w:val="0"/>
              <w:autoSpaceDE/>
              <w:autoSpaceDN/>
              <w:bidi w:val="0"/>
              <w:spacing w:line="30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w:t>
            </w:r>
          </w:p>
        </w:tc>
        <w:tc>
          <w:tcPr>
            <w:tcW w:w="7140" w:type="dxa"/>
            <w:tcBorders>
              <w:top w:val="single" w:color="auto" w:sz="4" w:space="0"/>
              <w:left w:val="single" w:color="auto" w:sz="4" w:space="0"/>
              <w:bottom w:val="single" w:color="auto" w:sz="4" w:space="0"/>
            </w:tcBorders>
            <w:noWrap w:val="0"/>
            <w:vAlign w:val="center"/>
          </w:tcPr>
          <w:p w14:paraId="4EB5DEEF">
            <w:pPr>
              <w:keepNext w:val="0"/>
              <w:keepLines w:val="0"/>
              <w:pageBreakBefore w:val="0"/>
              <w:widowControl w:val="0"/>
              <w:kinsoku/>
              <w:wordWrap/>
              <w:overflowPunct/>
              <w:topLinePunct w:val="0"/>
              <w:autoSpaceDE/>
              <w:autoSpaceDN/>
              <w:bidi w:val="0"/>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公开招标</w:t>
            </w:r>
          </w:p>
        </w:tc>
      </w:tr>
      <w:tr w14:paraId="1081F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835" w:type="dxa"/>
            <w:tcBorders>
              <w:top w:val="single" w:color="auto" w:sz="4" w:space="0"/>
              <w:bottom w:val="single" w:color="auto" w:sz="4" w:space="0"/>
              <w:right w:val="single" w:color="auto" w:sz="4" w:space="0"/>
            </w:tcBorders>
            <w:noWrap w:val="0"/>
            <w:vAlign w:val="center"/>
          </w:tcPr>
          <w:p w14:paraId="1C470917">
            <w:pPr>
              <w:keepNext w:val="0"/>
              <w:keepLines w:val="0"/>
              <w:pageBreakBefore w:val="0"/>
              <w:widowControl w:val="0"/>
              <w:kinsoku/>
              <w:wordWrap/>
              <w:overflowPunct/>
              <w:topLinePunct w:val="0"/>
              <w:autoSpaceDE/>
              <w:autoSpaceDN/>
              <w:bidi w:val="0"/>
              <w:spacing w:line="30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687" w:type="dxa"/>
            <w:tcBorders>
              <w:top w:val="single" w:color="auto" w:sz="4" w:space="0"/>
              <w:bottom w:val="single" w:color="auto" w:sz="4" w:space="0"/>
              <w:right w:val="single" w:color="auto" w:sz="4" w:space="0"/>
            </w:tcBorders>
            <w:noWrap w:val="0"/>
            <w:vAlign w:val="center"/>
          </w:tcPr>
          <w:p w14:paraId="5E4EC0EC">
            <w:pPr>
              <w:keepNext w:val="0"/>
              <w:keepLines w:val="0"/>
              <w:pageBreakBefore w:val="0"/>
              <w:widowControl w:val="0"/>
              <w:kinsoku/>
              <w:wordWrap/>
              <w:overflowPunct/>
              <w:topLinePunct w:val="0"/>
              <w:autoSpaceDE/>
              <w:autoSpaceDN/>
              <w:bidi w:val="0"/>
              <w:spacing w:line="30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val="en-US" w:eastAsia="zh-CN"/>
              </w:rPr>
              <w:t>及</w:t>
            </w:r>
          </w:p>
          <w:p w14:paraId="19B7BD6B">
            <w:pPr>
              <w:keepNext w:val="0"/>
              <w:keepLines w:val="0"/>
              <w:pageBreakBefore w:val="0"/>
              <w:widowControl w:val="0"/>
              <w:kinsoku/>
              <w:wordWrap/>
              <w:overflowPunct/>
              <w:topLinePunct w:val="0"/>
              <w:autoSpaceDE/>
              <w:autoSpaceDN/>
              <w:bidi w:val="0"/>
              <w:spacing w:line="30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最高限价</w:t>
            </w:r>
          </w:p>
        </w:tc>
        <w:tc>
          <w:tcPr>
            <w:tcW w:w="7140" w:type="dxa"/>
            <w:tcBorders>
              <w:top w:val="single" w:color="auto" w:sz="4" w:space="0"/>
              <w:left w:val="single" w:color="auto" w:sz="4" w:space="0"/>
              <w:bottom w:val="single" w:color="auto" w:sz="4" w:space="0"/>
            </w:tcBorders>
            <w:noWrap w:val="0"/>
            <w:vAlign w:val="center"/>
          </w:tcPr>
          <w:p w14:paraId="2C2EC58C">
            <w:pPr>
              <w:keepNext w:val="0"/>
              <w:keepLines w:val="0"/>
              <w:pageBreakBefore w:val="0"/>
              <w:widowControl w:val="0"/>
              <w:kinsoku/>
              <w:wordWrap/>
              <w:overflowPunct/>
              <w:topLinePunct w:val="0"/>
              <w:autoSpaceDE/>
              <w:autoSpaceDN/>
              <w:bidi w:val="0"/>
              <w:spacing w:line="300" w:lineRule="auto"/>
              <w:textAlignment w:val="auto"/>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482500</w:t>
            </w:r>
            <w:r>
              <w:rPr>
                <w:rFonts w:hint="eastAsia" w:ascii="宋体" w:hAnsi="宋体" w:cs="宋体"/>
                <w:color w:val="auto"/>
                <w:sz w:val="24"/>
                <w:szCs w:val="24"/>
                <w:highlight w:val="none"/>
                <w:lang w:val="en-US" w:eastAsia="zh-CN"/>
              </w:rPr>
              <w:t>元，</w:t>
            </w:r>
            <w:r>
              <w:rPr>
                <w:rFonts w:hint="default" w:ascii="宋体" w:hAnsi="宋体" w:cs="宋体"/>
                <w:color w:val="auto"/>
                <w:sz w:val="24"/>
                <w:szCs w:val="24"/>
                <w:highlight w:val="none"/>
                <w:lang w:val="en-US" w:eastAsia="zh-CN"/>
              </w:rPr>
              <w:t>报价不得超过此最高限价，否则作无效投标处理。</w:t>
            </w:r>
          </w:p>
        </w:tc>
      </w:tr>
      <w:tr w14:paraId="62FAA1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35" w:type="dxa"/>
            <w:tcBorders>
              <w:top w:val="single" w:color="auto" w:sz="4" w:space="0"/>
              <w:bottom w:val="single" w:color="auto" w:sz="4" w:space="0"/>
              <w:right w:val="single" w:color="auto" w:sz="4" w:space="0"/>
            </w:tcBorders>
            <w:noWrap w:val="0"/>
            <w:vAlign w:val="center"/>
          </w:tcPr>
          <w:p w14:paraId="26D6ABBA">
            <w:pPr>
              <w:keepNext w:val="0"/>
              <w:keepLines w:val="0"/>
              <w:pageBreakBefore w:val="0"/>
              <w:widowControl w:val="0"/>
              <w:kinsoku/>
              <w:wordWrap/>
              <w:overflowPunct/>
              <w:topLinePunct w:val="0"/>
              <w:autoSpaceDE/>
              <w:autoSpaceDN/>
              <w:bidi w:val="0"/>
              <w:spacing w:line="30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687" w:type="dxa"/>
            <w:tcBorders>
              <w:top w:val="single" w:color="auto" w:sz="4" w:space="0"/>
              <w:bottom w:val="single" w:color="auto" w:sz="4" w:space="0"/>
              <w:right w:val="single" w:color="auto" w:sz="4" w:space="0"/>
            </w:tcBorders>
            <w:noWrap w:val="0"/>
            <w:vAlign w:val="center"/>
          </w:tcPr>
          <w:p w14:paraId="267CF92B">
            <w:pPr>
              <w:keepNext w:val="0"/>
              <w:keepLines w:val="0"/>
              <w:pageBreakBefore w:val="0"/>
              <w:widowControl w:val="0"/>
              <w:kinsoku/>
              <w:wordWrap/>
              <w:overflowPunct/>
              <w:topLinePunct w:val="0"/>
              <w:autoSpaceDE/>
              <w:autoSpaceDN/>
              <w:bidi w:val="0"/>
              <w:spacing w:line="30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7140" w:type="dxa"/>
            <w:tcBorders>
              <w:top w:val="single" w:color="auto" w:sz="4" w:space="0"/>
              <w:left w:val="single" w:color="auto" w:sz="4" w:space="0"/>
              <w:bottom w:val="single" w:color="auto" w:sz="4" w:space="0"/>
            </w:tcBorders>
            <w:noWrap w:val="0"/>
            <w:vAlign w:val="center"/>
          </w:tcPr>
          <w:p w14:paraId="51D780DB">
            <w:pPr>
              <w:keepNext w:val="0"/>
              <w:keepLines w:val="0"/>
              <w:pageBreakBefore w:val="0"/>
              <w:widowControl w:val="0"/>
              <w:kinsoku/>
              <w:wordWrap/>
              <w:overflowPunct/>
              <w:topLinePunct w:val="0"/>
              <w:autoSpaceDE/>
              <w:autoSpaceDN/>
              <w:bidi w:val="0"/>
              <w:spacing w:line="30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none"/>
                <w:lang w:val="en-US" w:eastAsia="zh-CN"/>
              </w:rPr>
              <w:t>采购一批防暴装备</w:t>
            </w:r>
            <w:r>
              <w:rPr>
                <w:rFonts w:hint="eastAsia" w:ascii="宋体" w:hAnsi="宋体" w:eastAsia="宋体" w:cs="宋体"/>
                <w:color w:val="auto"/>
                <w:sz w:val="24"/>
                <w:szCs w:val="24"/>
                <w:highlight w:val="none"/>
                <w:lang w:val="en-US" w:eastAsia="zh-CN"/>
              </w:rPr>
              <w:t>（具体内容详见第三部分采购需求）。</w:t>
            </w:r>
          </w:p>
        </w:tc>
      </w:tr>
      <w:tr w14:paraId="3203B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835" w:type="dxa"/>
            <w:tcBorders>
              <w:top w:val="single" w:color="auto" w:sz="4" w:space="0"/>
              <w:bottom w:val="single" w:color="auto" w:sz="4" w:space="0"/>
              <w:right w:val="single" w:color="auto" w:sz="4" w:space="0"/>
            </w:tcBorders>
            <w:noWrap w:val="0"/>
            <w:vAlign w:val="center"/>
          </w:tcPr>
          <w:p w14:paraId="2D252F06">
            <w:pPr>
              <w:keepNext w:val="0"/>
              <w:keepLines w:val="0"/>
              <w:pageBreakBefore w:val="0"/>
              <w:widowControl w:val="0"/>
              <w:kinsoku/>
              <w:wordWrap/>
              <w:overflowPunct/>
              <w:topLinePunct w:val="0"/>
              <w:autoSpaceDE/>
              <w:autoSpaceDN/>
              <w:bidi w:val="0"/>
              <w:spacing w:line="30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687" w:type="dxa"/>
            <w:tcBorders>
              <w:top w:val="single" w:color="auto" w:sz="4" w:space="0"/>
              <w:bottom w:val="single" w:color="auto" w:sz="4" w:space="0"/>
              <w:right w:val="single" w:color="auto" w:sz="4" w:space="0"/>
            </w:tcBorders>
            <w:noWrap w:val="0"/>
            <w:vAlign w:val="center"/>
          </w:tcPr>
          <w:p w14:paraId="51E90E5B">
            <w:pPr>
              <w:keepNext w:val="0"/>
              <w:keepLines w:val="0"/>
              <w:pageBreakBefore w:val="0"/>
              <w:widowControl w:val="0"/>
              <w:kinsoku/>
              <w:wordWrap/>
              <w:overflowPunct/>
              <w:topLinePunct w:val="0"/>
              <w:autoSpaceDE/>
              <w:autoSpaceDN/>
              <w:bidi w:val="0"/>
              <w:spacing w:line="30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tc>
        <w:tc>
          <w:tcPr>
            <w:tcW w:w="7140" w:type="dxa"/>
            <w:tcBorders>
              <w:top w:val="single" w:color="auto" w:sz="4" w:space="0"/>
              <w:left w:val="single" w:color="auto" w:sz="4" w:space="0"/>
              <w:bottom w:val="single" w:color="auto" w:sz="4" w:space="0"/>
            </w:tcBorders>
            <w:noWrap w:val="0"/>
            <w:vAlign w:val="center"/>
          </w:tcPr>
          <w:p w14:paraId="6D524E6E">
            <w:pPr>
              <w:keepNext w:val="0"/>
              <w:keepLines w:val="0"/>
              <w:pageBreakBefore w:val="0"/>
              <w:widowControl w:val="0"/>
              <w:kinsoku/>
              <w:wordWrap/>
              <w:overflowPunct/>
              <w:topLinePunct w:val="0"/>
              <w:autoSpaceDE/>
              <w:autoSpaceDN/>
              <w:bidi w:val="0"/>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财政资金</w:t>
            </w:r>
          </w:p>
        </w:tc>
      </w:tr>
      <w:tr w14:paraId="0CF0A7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835" w:type="dxa"/>
            <w:tcBorders>
              <w:top w:val="single" w:color="auto" w:sz="4" w:space="0"/>
              <w:bottom w:val="single" w:color="auto" w:sz="4" w:space="0"/>
              <w:right w:val="single" w:color="auto" w:sz="4" w:space="0"/>
            </w:tcBorders>
            <w:noWrap w:val="0"/>
            <w:vAlign w:val="center"/>
          </w:tcPr>
          <w:p w14:paraId="67C48A21">
            <w:pPr>
              <w:keepNext w:val="0"/>
              <w:keepLines w:val="0"/>
              <w:pageBreakBefore w:val="0"/>
              <w:widowControl w:val="0"/>
              <w:kinsoku/>
              <w:wordWrap/>
              <w:overflowPunct/>
              <w:topLinePunct w:val="0"/>
              <w:autoSpaceDE/>
              <w:autoSpaceDN/>
              <w:bidi w:val="0"/>
              <w:spacing w:line="30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687" w:type="dxa"/>
            <w:tcBorders>
              <w:top w:val="single" w:color="auto" w:sz="4" w:space="0"/>
              <w:bottom w:val="single" w:color="auto" w:sz="4" w:space="0"/>
              <w:right w:val="single" w:color="auto" w:sz="4" w:space="0"/>
            </w:tcBorders>
            <w:noWrap w:val="0"/>
            <w:vAlign w:val="center"/>
          </w:tcPr>
          <w:p w14:paraId="4AB3E86F">
            <w:pPr>
              <w:keepNext w:val="0"/>
              <w:keepLines w:val="0"/>
              <w:pageBreakBefore w:val="0"/>
              <w:widowControl w:val="0"/>
              <w:kinsoku/>
              <w:wordWrap/>
              <w:overflowPunct/>
              <w:topLinePunct w:val="0"/>
              <w:autoSpaceDE/>
              <w:autoSpaceDN/>
              <w:bidi w:val="0"/>
              <w:spacing w:line="30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 购 人</w:t>
            </w:r>
          </w:p>
        </w:tc>
        <w:tc>
          <w:tcPr>
            <w:tcW w:w="7140" w:type="dxa"/>
            <w:tcBorders>
              <w:top w:val="single" w:color="auto" w:sz="4" w:space="0"/>
              <w:left w:val="single" w:color="auto" w:sz="4" w:space="0"/>
              <w:bottom w:val="single" w:color="auto" w:sz="4" w:space="0"/>
            </w:tcBorders>
            <w:noWrap w:val="0"/>
            <w:vAlign w:val="center"/>
          </w:tcPr>
          <w:p w14:paraId="67307489">
            <w:pPr>
              <w:keepNext w:val="0"/>
              <w:keepLines w:val="0"/>
              <w:pageBreakBefore w:val="0"/>
              <w:widowControl w:val="0"/>
              <w:kinsoku/>
              <w:wordWrap/>
              <w:overflowPunct/>
              <w:topLinePunct w:val="0"/>
              <w:autoSpaceDE/>
              <w:autoSpaceDN/>
              <w:bidi w:val="0"/>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val="en-US" w:eastAsia="zh-CN"/>
              </w:rPr>
              <w:t>市属单位</w:t>
            </w:r>
          </w:p>
          <w:p w14:paraId="294560D7">
            <w:pPr>
              <w:keepNext w:val="0"/>
              <w:keepLines w:val="0"/>
              <w:pageBreakBefore w:val="0"/>
              <w:widowControl w:val="0"/>
              <w:kinsoku/>
              <w:wordWrap/>
              <w:overflowPunct/>
              <w:topLinePunct w:val="0"/>
              <w:autoSpaceDE/>
              <w:autoSpaceDN/>
              <w:bidi w:val="0"/>
              <w:spacing w:line="30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val="en-US" w:eastAsia="zh-CN"/>
              </w:rPr>
              <w:t>乌鲁木齐市天山区大湾南路699号</w:t>
            </w:r>
          </w:p>
          <w:p w14:paraId="2816C41C">
            <w:pPr>
              <w:keepNext w:val="0"/>
              <w:keepLines w:val="0"/>
              <w:pageBreakBefore w:val="0"/>
              <w:widowControl w:val="0"/>
              <w:kinsoku/>
              <w:wordWrap/>
              <w:overflowPunct/>
              <w:topLinePunct w:val="0"/>
              <w:autoSpaceDE/>
              <w:autoSpaceDN/>
              <w:bidi w:val="0"/>
              <w:spacing w:line="30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单朝龙</w:t>
            </w:r>
          </w:p>
          <w:p w14:paraId="327222BB">
            <w:pPr>
              <w:keepNext w:val="0"/>
              <w:keepLines w:val="0"/>
              <w:pageBreakBefore w:val="0"/>
              <w:widowControl w:val="0"/>
              <w:kinsoku/>
              <w:wordWrap/>
              <w:overflowPunct/>
              <w:topLinePunct w:val="0"/>
              <w:autoSpaceDE/>
              <w:autoSpaceDN/>
              <w:bidi w:val="0"/>
              <w:spacing w:line="30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lang w:val="en-US" w:eastAsia="zh-CN"/>
              </w:rPr>
              <w:t>0991-4910132</w:t>
            </w:r>
          </w:p>
        </w:tc>
      </w:tr>
      <w:tr w14:paraId="71147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5" w:hRule="atLeast"/>
          <w:jc w:val="center"/>
        </w:trPr>
        <w:tc>
          <w:tcPr>
            <w:tcW w:w="835" w:type="dxa"/>
            <w:tcBorders>
              <w:top w:val="single" w:color="auto" w:sz="4" w:space="0"/>
              <w:bottom w:val="single" w:color="auto" w:sz="4" w:space="0"/>
              <w:right w:val="single" w:color="auto" w:sz="4" w:space="0"/>
            </w:tcBorders>
            <w:noWrap w:val="0"/>
            <w:vAlign w:val="center"/>
          </w:tcPr>
          <w:p w14:paraId="5B579761">
            <w:pPr>
              <w:keepNext w:val="0"/>
              <w:keepLines w:val="0"/>
              <w:pageBreakBefore w:val="0"/>
              <w:widowControl w:val="0"/>
              <w:kinsoku/>
              <w:wordWrap/>
              <w:overflowPunct/>
              <w:topLinePunct w:val="0"/>
              <w:autoSpaceDE/>
              <w:autoSpaceDN/>
              <w:bidi w:val="0"/>
              <w:spacing w:line="30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687" w:type="dxa"/>
            <w:tcBorders>
              <w:top w:val="single" w:color="auto" w:sz="4" w:space="0"/>
              <w:bottom w:val="single" w:color="auto" w:sz="4" w:space="0"/>
              <w:right w:val="single" w:color="auto" w:sz="4" w:space="0"/>
            </w:tcBorders>
            <w:noWrap w:val="0"/>
            <w:vAlign w:val="center"/>
          </w:tcPr>
          <w:p w14:paraId="5E91761D">
            <w:pPr>
              <w:keepNext w:val="0"/>
              <w:keepLines w:val="0"/>
              <w:pageBreakBefore w:val="0"/>
              <w:widowControl w:val="0"/>
              <w:kinsoku/>
              <w:wordWrap/>
              <w:overflowPunct/>
              <w:topLinePunct w:val="0"/>
              <w:autoSpaceDE/>
              <w:autoSpaceDN/>
              <w:bidi w:val="0"/>
              <w:spacing w:line="30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p>
        </w:tc>
        <w:tc>
          <w:tcPr>
            <w:tcW w:w="7140" w:type="dxa"/>
            <w:tcBorders>
              <w:top w:val="single" w:color="auto" w:sz="4" w:space="0"/>
              <w:left w:val="single" w:color="auto" w:sz="4" w:space="0"/>
              <w:bottom w:val="single" w:color="auto" w:sz="4" w:space="0"/>
            </w:tcBorders>
            <w:noWrap w:val="0"/>
            <w:vAlign w:val="center"/>
          </w:tcPr>
          <w:p w14:paraId="55AAEE59">
            <w:pPr>
              <w:keepNext w:val="0"/>
              <w:keepLines w:val="0"/>
              <w:pageBreakBefore w:val="0"/>
              <w:widowControl w:val="0"/>
              <w:kinsoku/>
              <w:wordWrap/>
              <w:overflowPunct/>
              <w:topLinePunct w:val="0"/>
              <w:autoSpaceDE/>
              <w:autoSpaceDN/>
              <w:bidi w:val="0"/>
              <w:spacing w:line="30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名  称：</w:t>
            </w:r>
            <w:r>
              <w:rPr>
                <w:rFonts w:hint="default" w:ascii="宋体" w:hAnsi="宋体" w:eastAsia="宋体" w:cs="宋体"/>
                <w:color w:val="auto"/>
                <w:sz w:val="24"/>
                <w:szCs w:val="24"/>
                <w:highlight w:val="none"/>
                <w:lang w:val="en-US" w:eastAsia="zh-CN"/>
              </w:rPr>
              <w:t>新疆华展鑫荣项目管理咨询有限公司</w:t>
            </w:r>
          </w:p>
          <w:p w14:paraId="0A66C8C6">
            <w:pPr>
              <w:keepNext w:val="0"/>
              <w:keepLines w:val="0"/>
              <w:pageBreakBefore w:val="0"/>
              <w:widowControl w:val="0"/>
              <w:kinsoku/>
              <w:wordWrap/>
              <w:overflowPunct/>
              <w:topLinePunct w:val="0"/>
              <w:autoSpaceDE/>
              <w:autoSpaceDN/>
              <w:bidi w:val="0"/>
              <w:spacing w:line="30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乌鲁木齐市水磨沟区金科星耀天都一号楼2单元2602室</w:t>
            </w:r>
          </w:p>
          <w:p w14:paraId="5206124A">
            <w:pPr>
              <w:keepNext w:val="0"/>
              <w:keepLines w:val="0"/>
              <w:pageBreakBefore w:val="0"/>
              <w:widowControl w:val="0"/>
              <w:kinsoku/>
              <w:wordWrap/>
              <w:overflowPunct/>
              <w:topLinePunct w:val="0"/>
              <w:autoSpaceDE/>
              <w:autoSpaceDN/>
              <w:bidi w:val="0"/>
              <w:spacing w:line="30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赵玉莹</w:t>
            </w:r>
          </w:p>
          <w:p w14:paraId="444526F9">
            <w:pPr>
              <w:keepNext w:val="0"/>
              <w:keepLines w:val="0"/>
              <w:pageBreakBefore w:val="0"/>
              <w:widowControl w:val="0"/>
              <w:kinsoku/>
              <w:wordWrap/>
              <w:overflowPunct/>
              <w:topLinePunct w:val="0"/>
              <w:autoSpaceDE/>
              <w:autoSpaceDN/>
              <w:bidi w:val="0"/>
              <w:spacing w:line="30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lang w:val="en-US" w:eastAsia="zh-CN"/>
              </w:rPr>
              <w:t>0991-4182952、17716920059</w:t>
            </w:r>
          </w:p>
        </w:tc>
      </w:tr>
      <w:tr w14:paraId="7A6BC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9" w:hRule="atLeast"/>
          <w:jc w:val="center"/>
        </w:trPr>
        <w:tc>
          <w:tcPr>
            <w:tcW w:w="835" w:type="dxa"/>
            <w:tcBorders>
              <w:top w:val="single" w:color="auto" w:sz="4" w:space="0"/>
              <w:bottom w:val="single" w:color="auto" w:sz="4" w:space="0"/>
              <w:right w:val="single" w:color="auto" w:sz="4" w:space="0"/>
            </w:tcBorders>
            <w:noWrap w:val="0"/>
            <w:vAlign w:val="center"/>
          </w:tcPr>
          <w:p w14:paraId="45F97EE0">
            <w:pPr>
              <w:keepNext w:val="0"/>
              <w:keepLines w:val="0"/>
              <w:pageBreakBefore w:val="0"/>
              <w:widowControl w:val="0"/>
              <w:kinsoku/>
              <w:wordWrap/>
              <w:overflowPunct/>
              <w:topLinePunct w:val="0"/>
              <w:autoSpaceDE/>
              <w:autoSpaceDN/>
              <w:bidi w:val="0"/>
              <w:spacing w:line="30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1687" w:type="dxa"/>
            <w:tcBorders>
              <w:top w:val="single" w:color="auto" w:sz="4" w:space="0"/>
              <w:bottom w:val="single" w:color="auto" w:sz="4" w:space="0"/>
              <w:right w:val="single" w:color="auto" w:sz="4" w:space="0"/>
            </w:tcBorders>
            <w:noWrap w:val="0"/>
            <w:vAlign w:val="center"/>
          </w:tcPr>
          <w:p w14:paraId="2D31D901">
            <w:pPr>
              <w:keepNext w:val="0"/>
              <w:keepLines w:val="0"/>
              <w:pageBreakBefore w:val="0"/>
              <w:widowControl w:val="0"/>
              <w:kinsoku/>
              <w:wordWrap/>
              <w:overflowPunct/>
              <w:topLinePunct w:val="0"/>
              <w:autoSpaceDE/>
              <w:autoSpaceDN/>
              <w:bidi w:val="0"/>
              <w:spacing w:line="300" w:lineRule="auto"/>
              <w:jc w:val="center"/>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z w:val="24"/>
                <w:szCs w:val="24"/>
                <w:highlight w:val="none"/>
                <w:lang w:eastAsia="zh-CN"/>
              </w:rPr>
              <w:t>投标供应商</w:t>
            </w:r>
            <w:r>
              <w:rPr>
                <w:rFonts w:hint="eastAsia" w:ascii="宋体" w:hAnsi="宋体" w:eastAsia="宋体" w:cs="宋体"/>
                <w:color w:val="auto"/>
                <w:sz w:val="24"/>
                <w:szCs w:val="24"/>
                <w:highlight w:val="none"/>
              </w:rPr>
              <w:t>资质资格要求</w:t>
            </w:r>
          </w:p>
        </w:tc>
        <w:tc>
          <w:tcPr>
            <w:tcW w:w="7140" w:type="dxa"/>
            <w:tcBorders>
              <w:top w:val="single" w:color="auto" w:sz="4" w:space="0"/>
              <w:left w:val="single" w:color="auto" w:sz="4" w:space="0"/>
              <w:bottom w:val="single" w:color="auto" w:sz="4" w:space="0"/>
            </w:tcBorders>
            <w:noWrap w:val="0"/>
            <w:vAlign w:val="center"/>
          </w:tcPr>
          <w:p w14:paraId="642EFA67">
            <w:pPr>
              <w:keepNext w:val="0"/>
              <w:keepLines w:val="0"/>
              <w:pageBreakBefore w:val="0"/>
              <w:widowControl w:val="0"/>
              <w:kinsoku/>
              <w:wordWrap/>
              <w:overflowPunct/>
              <w:topLinePunct w:val="0"/>
              <w:autoSpaceDE/>
              <w:autoSpaceDN/>
              <w:bidi w:val="0"/>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3094464C">
            <w:pPr>
              <w:keepNext w:val="0"/>
              <w:keepLines w:val="0"/>
              <w:pageBreakBefore w:val="0"/>
              <w:widowControl w:val="0"/>
              <w:kinsoku/>
              <w:wordWrap/>
              <w:overflowPunct/>
              <w:topLinePunct w:val="0"/>
              <w:autoSpaceDE/>
              <w:autoSpaceDN/>
              <w:bidi w:val="0"/>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具有独立承担民事责任的能力的</w:t>
            </w:r>
            <w:r>
              <w:rPr>
                <w:rFonts w:hint="eastAsia" w:ascii="宋体" w:hAnsi="宋体" w:eastAsia="宋体" w:cs="宋体"/>
                <w:color w:val="auto"/>
                <w:sz w:val="24"/>
                <w:szCs w:val="24"/>
                <w:highlight w:val="none"/>
                <w:lang w:eastAsia="zh-CN"/>
              </w:rPr>
              <w:t>投标供应商</w:t>
            </w:r>
            <w:r>
              <w:rPr>
                <w:rFonts w:hint="eastAsia" w:ascii="宋体" w:hAnsi="宋体" w:eastAsia="宋体" w:cs="宋体"/>
                <w:color w:val="auto"/>
                <w:sz w:val="24"/>
                <w:szCs w:val="24"/>
                <w:highlight w:val="none"/>
              </w:rPr>
              <w:t>；</w:t>
            </w:r>
          </w:p>
          <w:p w14:paraId="2ADEA8B1">
            <w:pPr>
              <w:keepNext w:val="0"/>
              <w:keepLines w:val="0"/>
              <w:pageBreakBefore w:val="0"/>
              <w:widowControl w:val="0"/>
              <w:kinsoku/>
              <w:wordWrap/>
              <w:overflowPunct/>
              <w:topLinePunct w:val="0"/>
              <w:autoSpaceDE/>
              <w:autoSpaceDN/>
              <w:bidi w:val="0"/>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具有良好的商业信誉和健全的财务会计制度；</w:t>
            </w:r>
          </w:p>
          <w:p w14:paraId="4DDF4C45">
            <w:pPr>
              <w:keepNext w:val="0"/>
              <w:keepLines w:val="0"/>
              <w:pageBreakBefore w:val="0"/>
              <w:widowControl w:val="0"/>
              <w:kinsoku/>
              <w:wordWrap/>
              <w:overflowPunct/>
              <w:topLinePunct w:val="0"/>
              <w:autoSpaceDE/>
              <w:autoSpaceDN/>
              <w:bidi w:val="0"/>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具有履行合同所必需的设备和专业技术能力；</w:t>
            </w:r>
          </w:p>
          <w:p w14:paraId="3C287346">
            <w:pPr>
              <w:keepNext w:val="0"/>
              <w:keepLines w:val="0"/>
              <w:pageBreakBefore w:val="0"/>
              <w:widowControl w:val="0"/>
              <w:kinsoku/>
              <w:wordWrap/>
              <w:overflowPunct/>
              <w:topLinePunct w:val="0"/>
              <w:autoSpaceDE/>
              <w:autoSpaceDN/>
              <w:bidi w:val="0"/>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有依法缴纳税收和社会保障资金的良好记录；</w:t>
            </w:r>
          </w:p>
          <w:p w14:paraId="4DDAE406">
            <w:pPr>
              <w:keepNext w:val="0"/>
              <w:keepLines w:val="0"/>
              <w:pageBreakBefore w:val="0"/>
              <w:widowControl w:val="0"/>
              <w:kinsoku/>
              <w:wordWrap/>
              <w:overflowPunct/>
              <w:topLinePunct w:val="0"/>
              <w:autoSpaceDE/>
              <w:autoSpaceDN/>
              <w:bidi w:val="0"/>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参加本次采购活动前三年内，在经营活动中没有重大违法记录；</w:t>
            </w:r>
          </w:p>
          <w:p w14:paraId="62D8C0C3">
            <w:pPr>
              <w:keepNext w:val="0"/>
              <w:keepLines w:val="0"/>
              <w:pageBreakBefore w:val="0"/>
              <w:widowControl w:val="0"/>
              <w:kinsoku/>
              <w:wordWrap/>
              <w:overflowPunct/>
              <w:topLinePunct w:val="0"/>
              <w:autoSpaceDE/>
              <w:autoSpaceDN/>
              <w:bidi w:val="0"/>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法律、行政法规规定的其他条件。</w:t>
            </w:r>
          </w:p>
          <w:p w14:paraId="4E0E4B6B">
            <w:pPr>
              <w:keepNext w:val="0"/>
              <w:keepLines w:val="0"/>
              <w:pageBreakBefore w:val="0"/>
              <w:widowControl w:val="0"/>
              <w:kinsoku/>
              <w:wordWrap/>
              <w:overflowPunct/>
              <w:topLinePunct w:val="0"/>
              <w:autoSpaceDE/>
              <w:autoSpaceDN/>
              <w:bidi w:val="0"/>
              <w:spacing w:line="30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专门面向中小企业采购项目。根据《政府采购促进中小企业发展管理办法》（财库[2020]46号）的规定，不再执行价格评审优惠的扶持政策。</w:t>
            </w:r>
          </w:p>
          <w:p w14:paraId="41D6A51E">
            <w:pPr>
              <w:keepNext w:val="0"/>
              <w:keepLines w:val="0"/>
              <w:pageBreakBefore w:val="0"/>
              <w:widowControl w:val="0"/>
              <w:kinsoku/>
              <w:wordWrap/>
              <w:overflowPunct/>
              <w:topLinePunct w:val="0"/>
              <w:autoSpaceDE/>
              <w:autoSpaceDN/>
              <w:bidi w:val="0"/>
              <w:spacing w:line="30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3.本项目的特定资格要求：</w:t>
            </w:r>
            <w:r>
              <w:rPr>
                <w:rFonts w:hint="eastAsia" w:ascii="宋体" w:hAnsi="宋体" w:eastAsia="宋体" w:cs="宋体"/>
                <w:color w:val="auto"/>
                <w:sz w:val="24"/>
                <w:szCs w:val="24"/>
                <w:highlight w:val="none"/>
                <w:lang w:val="en-US" w:eastAsia="zh-CN"/>
              </w:rPr>
              <w:t>无。</w:t>
            </w:r>
          </w:p>
        </w:tc>
      </w:tr>
      <w:tr w14:paraId="2841A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5" w:hRule="atLeast"/>
          <w:jc w:val="center"/>
        </w:trPr>
        <w:tc>
          <w:tcPr>
            <w:tcW w:w="835" w:type="dxa"/>
            <w:tcBorders>
              <w:top w:val="single" w:color="auto" w:sz="4" w:space="0"/>
              <w:bottom w:val="single" w:color="auto" w:sz="4" w:space="0"/>
              <w:right w:val="single" w:color="auto" w:sz="4" w:space="0"/>
            </w:tcBorders>
            <w:noWrap w:val="0"/>
            <w:vAlign w:val="center"/>
          </w:tcPr>
          <w:p w14:paraId="1221CF7B">
            <w:pPr>
              <w:keepNext w:val="0"/>
              <w:keepLines w:val="0"/>
              <w:pageBreakBefore w:val="0"/>
              <w:widowControl w:val="0"/>
              <w:kinsoku/>
              <w:wordWrap/>
              <w:overflowPunct/>
              <w:topLinePunct w:val="0"/>
              <w:autoSpaceDE/>
              <w:autoSpaceDN/>
              <w:bidi w:val="0"/>
              <w:spacing w:line="30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687" w:type="dxa"/>
            <w:tcBorders>
              <w:top w:val="single" w:color="auto" w:sz="4" w:space="0"/>
              <w:bottom w:val="single" w:color="auto" w:sz="4" w:space="0"/>
              <w:right w:val="single" w:color="auto" w:sz="4" w:space="0"/>
            </w:tcBorders>
            <w:noWrap w:val="0"/>
            <w:vAlign w:val="center"/>
          </w:tcPr>
          <w:p w14:paraId="0AD31A75">
            <w:pPr>
              <w:keepNext w:val="0"/>
              <w:keepLines w:val="0"/>
              <w:pageBreakBefore w:val="0"/>
              <w:widowControl w:val="0"/>
              <w:kinsoku/>
              <w:wordWrap/>
              <w:overflowPunct/>
              <w:topLinePunct w:val="0"/>
              <w:autoSpaceDE/>
              <w:autoSpaceDN/>
              <w:bidi w:val="0"/>
              <w:adjustRightInd w:val="0"/>
              <w:snapToGrid w:val="0"/>
              <w:spacing w:line="300" w:lineRule="auto"/>
              <w:ind w:left="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落实政府采购政策</w:t>
            </w:r>
          </w:p>
        </w:tc>
        <w:tc>
          <w:tcPr>
            <w:tcW w:w="7140" w:type="dxa"/>
            <w:tcBorders>
              <w:top w:val="single" w:color="auto" w:sz="4" w:space="0"/>
              <w:left w:val="single" w:color="auto" w:sz="4" w:space="0"/>
              <w:bottom w:val="single" w:color="auto" w:sz="4" w:space="0"/>
            </w:tcBorders>
            <w:noWrap w:val="0"/>
            <w:vAlign w:val="center"/>
          </w:tcPr>
          <w:p w14:paraId="14995DDF">
            <w:pPr>
              <w:keepNext w:val="0"/>
              <w:keepLines w:val="0"/>
              <w:pageBreakBefore w:val="0"/>
              <w:widowControl w:val="0"/>
              <w:kinsoku/>
              <w:wordWrap/>
              <w:overflowPunct/>
              <w:topLinePunct w:val="0"/>
              <w:autoSpaceDE/>
              <w:autoSpaceDN/>
              <w:bidi w:val="0"/>
              <w:adjustRightInd w:val="0"/>
              <w:snapToGrid w:val="0"/>
              <w:spacing w:line="300" w:lineRule="auto"/>
              <w:ind w:left="0"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财政部、工业和信息化部《关于印发政府采购促进中小企业发展管理办法</w:t>
            </w:r>
            <w:r>
              <w:rPr>
                <w:rFonts w:hint="eastAsia" w:ascii="宋体" w:hAnsi="宋体" w:eastAsia="宋体" w:cs="宋体"/>
                <w:color w:val="auto"/>
                <w:sz w:val="24"/>
                <w:szCs w:val="24"/>
                <w:highlight w:val="none"/>
                <w:lang w:eastAsia="zh-CN"/>
              </w:rPr>
              <w:t>的通知</w:t>
            </w:r>
            <w:r>
              <w:rPr>
                <w:rFonts w:hint="eastAsia" w:ascii="宋体" w:hAnsi="宋体" w:eastAsia="宋体" w:cs="宋体"/>
                <w:color w:val="auto"/>
                <w:sz w:val="24"/>
                <w:szCs w:val="24"/>
                <w:highlight w:val="none"/>
              </w:rPr>
              <w:t>》（财库</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2020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46号）；</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财政部、司法部《关于政府采购支持监狱企业发展有关问题的通知》（财库[2014]68号）；</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财政部、民政部、中国残疾人联合会《关于促进残疾人就业政府采购政策的通知》（财库[2017]141号）；</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财政部、国家发展改革委、生态环境部、市场监管总局《关于调整优化节能产品、环境标志产品政府采购执行机制的通知》（财库[2019]9号）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财政部、生态环境部《关于印发环境标志产品政府采购品目清单的通知》（财库[2019]18号）；</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财政部、发展改革委《关于印发节能产品政府采购品目清单的通知》（财库[2019]19号）；</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市场监管总局《市场监管总局关于发布参与实施政府采购节能产品、环境标志产品认证机构名录的公告》（2019年第16号）；</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《财政部等三部门联合印发商品包装和快递包装政府采购需求标准（试行）》（财办库[2020]123号）等相关政策。</w:t>
            </w:r>
          </w:p>
        </w:tc>
      </w:tr>
      <w:tr w14:paraId="0E8C23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5" w:type="dxa"/>
            <w:tcBorders>
              <w:top w:val="single" w:color="auto" w:sz="4" w:space="0"/>
              <w:bottom w:val="single" w:color="auto" w:sz="4" w:space="0"/>
              <w:right w:val="single" w:color="auto" w:sz="4" w:space="0"/>
            </w:tcBorders>
            <w:noWrap w:val="0"/>
            <w:vAlign w:val="center"/>
          </w:tcPr>
          <w:p w14:paraId="1A2E846E">
            <w:pPr>
              <w:keepNext w:val="0"/>
              <w:keepLines w:val="0"/>
              <w:pageBreakBefore w:val="0"/>
              <w:widowControl w:val="0"/>
              <w:kinsoku/>
              <w:wordWrap/>
              <w:overflowPunct/>
              <w:topLinePunct w:val="0"/>
              <w:autoSpaceDE/>
              <w:autoSpaceDN/>
              <w:bidi w:val="0"/>
              <w:spacing w:line="30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687" w:type="dxa"/>
            <w:tcBorders>
              <w:top w:val="single" w:color="auto" w:sz="4" w:space="0"/>
              <w:bottom w:val="single" w:color="auto" w:sz="4" w:space="0"/>
              <w:right w:val="single" w:color="auto" w:sz="4" w:space="0"/>
            </w:tcBorders>
            <w:noWrap w:val="0"/>
            <w:vAlign w:val="center"/>
          </w:tcPr>
          <w:p w14:paraId="63ED0002">
            <w:pPr>
              <w:keepNext w:val="0"/>
              <w:keepLines w:val="0"/>
              <w:pageBreakBefore w:val="0"/>
              <w:widowControl w:val="0"/>
              <w:kinsoku/>
              <w:wordWrap/>
              <w:overflowPunct/>
              <w:topLinePunct w:val="0"/>
              <w:autoSpaceDE/>
              <w:autoSpaceDN/>
              <w:bidi w:val="0"/>
              <w:adjustRightInd w:val="0"/>
              <w:snapToGrid w:val="0"/>
              <w:spacing w:line="300" w:lineRule="auto"/>
              <w:ind w:left="0" w:lef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落实政府采购政策预留份额要求</w:t>
            </w:r>
          </w:p>
        </w:tc>
        <w:tc>
          <w:tcPr>
            <w:tcW w:w="7140" w:type="dxa"/>
            <w:tcBorders>
              <w:top w:val="single" w:color="auto" w:sz="4" w:space="0"/>
              <w:left w:val="single" w:color="auto" w:sz="4" w:space="0"/>
              <w:bottom w:val="single" w:color="auto" w:sz="4" w:space="0"/>
            </w:tcBorders>
            <w:noWrap w:val="0"/>
            <w:vAlign w:val="center"/>
          </w:tcPr>
          <w:p w14:paraId="04AF3BC6">
            <w:pPr>
              <w:keepNext w:val="0"/>
              <w:keepLines w:val="0"/>
              <w:pageBreakBefore w:val="0"/>
              <w:widowControl w:val="0"/>
              <w:kinsoku/>
              <w:wordWrap/>
              <w:overflowPunct/>
              <w:topLinePunct w:val="0"/>
              <w:autoSpaceDE/>
              <w:autoSpaceDN/>
              <w:bidi w:val="0"/>
              <w:adjustRightInd w:val="0"/>
              <w:snapToGrid w:val="0"/>
              <w:spacing w:line="300" w:lineRule="auto"/>
              <w:ind w:left="0" w:lef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1.中小企业政策</w:t>
            </w:r>
          </w:p>
          <w:p w14:paraId="479E583F">
            <w:pPr>
              <w:keepNext w:val="0"/>
              <w:keepLines w:val="0"/>
              <w:pageBreakBefore w:val="0"/>
              <w:widowControl w:val="0"/>
              <w:kinsoku/>
              <w:wordWrap/>
              <w:overflowPunct/>
              <w:topLinePunct w:val="0"/>
              <w:autoSpaceDE/>
              <w:autoSpaceDN/>
              <w:bidi w:val="0"/>
              <w:adjustRightInd w:val="0"/>
              <w:snapToGrid w:val="0"/>
              <w:spacing w:line="300" w:lineRule="auto"/>
              <w:ind w:left="0" w:lef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本项目非专门面向中小企业预留采购项目。供</w:t>
            </w:r>
            <w:r>
              <w:rPr>
                <w:rFonts w:hint="eastAsia" w:ascii="宋体" w:hAnsi="宋体" w:eastAsia="宋体" w:cs="宋体"/>
                <w:color w:val="auto"/>
                <w:sz w:val="24"/>
                <w:szCs w:val="24"/>
                <w:highlight w:val="none"/>
                <w:lang w:val="en-US" w:eastAsia="zh-CN"/>
              </w:rPr>
              <w:t>应商提供的货物全部由符合政策要求的小微企业制造、服务和工程由符合政策要求的小微企业承接，应对</w:t>
            </w:r>
            <w:r>
              <w:rPr>
                <w:rFonts w:hint="eastAsia" w:ascii="宋体" w:hAnsi="宋体" w:eastAsia="宋体" w:cs="宋体"/>
                <w:color w:val="auto"/>
                <w:sz w:val="24"/>
                <w:szCs w:val="24"/>
                <w:highlight w:val="none"/>
                <w:u w:val="none"/>
                <w:lang w:eastAsia="zh-CN"/>
              </w:rPr>
              <w:t>小微企业</w:t>
            </w:r>
            <w:r>
              <w:rPr>
                <w:rFonts w:hint="eastAsia" w:ascii="宋体" w:hAnsi="宋体" w:eastAsia="宋体" w:cs="宋体"/>
                <w:color w:val="auto"/>
                <w:sz w:val="24"/>
                <w:szCs w:val="24"/>
                <w:highlight w:val="none"/>
                <w:lang w:eastAsia="zh-CN"/>
              </w:rPr>
              <w:t>报价给予10%扣除。</w:t>
            </w:r>
          </w:p>
          <w:p w14:paraId="05CA292F">
            <w:pPr>
              <w:keepNext w:val="0"/>
              <w:keepLines w:val="0"/>
              <w:pageBreakBefore w:val="0"/>
              <w:widowControl w:val="0"/>
              <w:kinsoku/>
              <w:wordWrap/>
              <w:overflowPunct/>
              <w:topLinePunct w:val="0"/>
              <w:autoSpaceDE/>
              <w:autoSpaceDN/>
              <w:bidi w:val="0"/>
              <w:adjustRightInd w:val="0"/>
              <w:snapToGrid w:val="0"/>
              <w:spacing w:line="300" w:lineRule="auto"/>
              <w:ind w:left="0" w:lef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专门面向中小企业采购。</w:t>
            </w:r>
            <w:r>
              <w:rPr>
                <w:rFonts w:hint="eastAsia" w:ascii="宋体" w:hAnsi="宋体" w:eastAsia="宋体" w:cs="宋体"/>
                <w:color w:val="auto"/>
                <w:sz w:val="24"/>
                <w:szCs w:val="24"/>
                <w:highlight w:val="none"/>
                <w:lang w:val="en-US" w:eastAsia="zh-CN"/>
              </w:rPr>
              <w:t>即：供应商为中小企业或监狱企业或残疾人福利性单位；供应商提供的货物全部由符合政策要求的中小企业制造、服务和工程全部由符合政策要求的中小企业承接。</w:t>
            </w:r>
          </w:p>
          <w:p w14:paraId="7CDBF7C3">
            <w:pPr>
              <w:keepNext w:val="0"/>
              <w:keepLines w:val="0"/>
              <w:pageBreakBefore w:val="0"/>
              <w:widowControl w:val="0"/>
              <w:kinsoku/>
              <w:wordWrap/>
              <w:overflowPunct/>
              <w:topLinePunct w:val="0"/>
              <w:autoSpaceDE/>
              <w:autoSpaceDN/>
              <w:bidi w:val="0"/>
              <w:adjustRightInd w:val="0"/>
              <w:snapToGrid w:val="0"/>
              <w:spacing w:line="300" w:lineRule="auto"/>
              <w:ind w:left="0" w:lef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2.其它落实政府采购政策的资格要求：</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lang w:val="en-US" w:eastAsia="zh-CN"/>
              </w:rPr>
              <w:t>。</w:t>
            </w:r>
          </w:p>
        </w:tc>
      </w:tr>
      <w:tr w14:paraId="3B199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835" w:type="dxa"/>
            <w:tcBorders>
              <w:top w:val="single" w:color="auto" w:sz="4" w:space="0"/>
              <w:bottom w:val="single" w:color="auto" w:sz="4" w:space="0"/>
              <w:right w:val="single" w:color="auto" w:sz="4" w:space="0"/>
            </w:tcBorders>
            <w:noWrap w:val="0"/>
            <w:vAlign w:val="center"/>
          </w:tcPr>
          <w:p w14:paraId="1FD51E6F">
            <w:pPr>
              <w:keepNext w:val="0"/>
              <w:keepLines w:val="0"/>
              <w:pageBreakBefore w:val="0"/>
              <w:widowControl w:val="0"/>
              <w:kinsoku/>
              <w:wordWrap/>
              <w:overflowPunct/>
              <w:topLinePunct w:val="0"/>
              <w:autoSpaceDE/>
              <w:autoSpaceDN/>
              <w:bidi w:val="0"/>
              <w:spacing w:line="30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687" w:type="dxa"/>
            <w:tcBorders>
              <w:top w:val="single" w:color="auto" w:sz="4" w:space="0"/>
              <w:bottom w:val="single" w:color="auto" w:sz="4" w:space="0"/>
              <w:right w:val="single" w:color="auto" w:sz="4" w:space="0"/>
            </w:tcBorders>
            <w:noWrap w:val="0"/>
            <w:vAlign w:val="center"/>
          </w:tcPr>
          <w:p w14:paraId="0BD81F2B">
            <w:pPr>
              <w:keepNext w:val="0"/>
              <w:keepLines w:val="0"/>
              <w:pageBreakBefore w:val="0"/>
              <w:widowControl w:val="0"/>
              <w:kinsoku/>
              <w:wordWrap/>
              <w:overflowPunct/>
              <w:topLinePunct w:val="0"/>
              <w:autoSpaceDE/>
              <w:autoSpaceDN/>
              <w:bidi w:val="0"/>
              <w:adjustRightInd w:val="0"/>
              <w:snapToGrid w:val="0"/>
              <w:spacing w:line="300" w:lineRule="auto"/>
              <w:ind w:left="0" w:lef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价格评审优惠</w:t>
            </w:r>
          </w:p>
        </w:tc>
        <w:tc>
          <w:tcPr>
            <w:tcW w:w="7140" w:type="dxa"/>
            <w:tcBorders>
              <w:top w:val="single" w:color="auto" w:sz="4" w:space="0"/>
              <w:left w:val="single" w:color="auto" w:sz="4" w:space="0"/>
              <w:bottom w:val="single" w:color="auto" w:sz="4" w:space="0"/>
            </w:tcBorders>
            <w:noWrap w:val="0"/>
            <w:vAlign w:val="center"/>
          </w:tcPr>
          <w:p w14:paraId="24F01656">
            <w:pPr>
              <w:keepNext w:val="0"/>
              <w:keepLines w:val="0"/>
              <w:pageBreakBefore w:val="0"/>
              <w:widowControl w:val="0"/>
              <w:kinsoku/>
              <w:wordWrap/>
              <w:overflowPunct/>
              <w:topLinePunct w:val="0"/>
              <w:autoSpaceDE/>
              <w:autoSpaceDN/>
              <w:bidi w:val="0"/>
              <w:adjustRightInd w:val="0"/>
              <w:snapToGrid w:val="0"/>
              <w:spacing w:line="300" w:lineRule="auto"/>
              <w:ind w:left="0" w:leftChars="0"/>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color w:val="auto"/>
                <w:sz w:val="24"/>
                <w:szCs w:val="24"/>
                <w:highlight w:val="none"/>
                <w:lang w:val="en-US" w:eastAsia="zh-CN"/>
              </w:rPr>
              <w:t>☑</w:t>
            </w:r>
            <w:r>
              <w:rPr>
                <w:rFonts w:hint="eastAsia" w:ascii="宋体" w:hAnsi="宋体" w:eastAsia="宋体" w:cs="宋体"/>
                <w:b w:val="0"/>
                <w:bCs w:val="0"/>
                <w:color w:val="auto"/>
                <w:sz w:val="24"/>
                <w:szCs w:val="24"/>
                <w:highlight w:val="none"/>
                <w:lang w:eastAsia="zh-CN"/>
              </w:rPr>
              <w:t>报价不给予扣除</w:t>
            </w:r>
          </w:p>
          <w:p w14:paraId="106459E1">
            <w:pPr>
              <w:keepNext w:val="0"/>
              <w:keepLines w:val="0"/>
              <w:pageBreakBefore w:val="0"/>
              <w:widowControl w:val="0"/>
              <w:kinsoku/>
              <w:wordWrap/>
              <w:overflowPunct/>
              <w:topLinePunct w:val="0"/>
              <w:autoSpaceDE/>
              <w:autoSpaceDN/>
              <w:bidi w:val="0"/>
              <w:adjustRightInd w:val="0"/>
              <w:snapToGrid w:val="0"/>
              <w:spacing w:line="30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r>
              <w:rPr>
                <w:rFonts w:hint="eastAsia" w:ascii="宋体" w:hAnsi="宋体" w:eastAsia="宋体" w:cs="宋体"/>
                <w:b w:val="0"/>
                <w:bCs w:val="0"/>
                <w:color w:val="auto"/>
                <w:sz w:val="24"/>
                <w:szCs w:val="24"/>
                <w:highlight w:val="none"/>
                <w:u w:val="none"/>
                <w:lang w:eastAsia="zh-CN"/>
              </w:rPr>
              <w:t>小微企业</w:t>
            </w:r>
            <w:r>
              <w:rPr>
                <w:rFonts w:hint="eastAsia" w:ascii="宋体" w:hAnsi="宋体" w:eastAsia="宋体" w:cs="宋体"/>
                <w:b w:val="0"/>
                <w:bCs w:val="0"/>
                <w:color w:val="auto"/>
                <w:sz w:val="24"/>
                <w:szCs w:val="24"/>
                <w:highlight w:val="none"/>
                <w:lang w:eastAsia="zh-CN"/>
              </w:rPr>
              <w:t>报价给予扣除：</w:t>
            </w:r>
            <w:r>
              <w:rPr>
                <w:rFonts w:hint="eastAsia" w:ascii="宋体" w:hAnsi="宋体" w:eastAsia="宋体" w:cs="宋体"/>
                <w:b w:val="0"/>
                <w:bCs w:val="0"/>
                <w:color w:val="auto"/>
                <w:sz w:val="24"/>
                <w:szCs w:val="24"/>
                <w:highlight w:val="none"/>
                <w:u w:val="single"/>
                <w:lang w:val="en-US" w:eastAsia="zh-CN"/>
              </w:rPr>
              <w:t xml:space="preserve">  / </w:t>
            </w:r>
            <w:r>
              <w:rPr>
                <w:rFonts w:hint="eastAsia" w:ascii="宋体" w:hAnsi="宋体" w:eastAsia="宋体" w:cs="宋体"/>
                <w:b w:val="0"/>
                <w:bCs w:val="0"/>
                <w:color w:val="auto"/>
                <w:sz w:val="24"/>
                <w:szCs w:val="24"/>
                <w:highlight w:val="none"/>
                <w:u w:val="single"/>
              </w:rPr>
              <w:t xml:space="preserve"> </w:t>
            </w:r>
          </w:p>
        </w:tc>
      </w:tr>
      <w:tr w14:paraId="6D2DDF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835" w:type="dxa"/>
            <w:tcBorders>
              <w:top w:val="single" w:color="auto" w:sz="4" w:space="0"/>
              <w:bottom w:val="single" w:color="auto" w:sz="4" w:space="0"/>
              <w:right w:val="single" w:color="auto" w:sz="4" w:space="0"/>
            </w:tcBorders>
            <w:noWrap w:val="0"/>
            <w:vAlign w:val="center"/>
          </w:tcPr>
          <w:p w14:paraId="08320382">
            <w:pPr>
              <w:keepNext w:val="0"/>
              <w:keepLines w:val="0"/>
              <w:pageBreakBefore w:val="0"/>
              <w:widowControl w:val="0"/>
              <w:kinsoku/>
              <w:wordWrap/>
              <w:overflowPunct/>
              <w:topLinePunct w:val="0"/>
              <w:autoSpaceDE/>
              <w:autoSpaceDN/>
              <w:bidi w:val="0"/>
              <w:spacing w:line="30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1687" w:type="dxa"/>
            <w:tcBorders>
              <w:top w:val="single" w:color="auto" w:sz="4" w:space="0"/>
              <w:bottom w:val="single" w:color="auto" w:sz="4" w:space="0"/>
              <w:right w:val="single" w:color="auto" w:sz="4" w:space="0"/>
            </w:tcBorders>
            <w:noWrap w:val="0"/>
            <w:vAlign w:val="center"/>
          </w:tcPr>
          <w:p w14:paraId="213177B7">
            <w:pPr>
              <w:keepNext w:val="0"/>
              <w:keepLines w:val="0"/>
              <w:pageBreakBefore w:val="0"/>
              <w:widowControl w:val="0"/>
              <w:kinsoku/>
              <w:wordWrap/>
              <w:overflowPunct/>
              <w:topLinePunct w:val="0"/>
              <w:autoSpaceDE/>
              <w:autoSpaceDN/>
              <w:bidi w:val="0"/>
              <w:adjustRightInd w:val="0"/>
              <w:snapToGrid w:val="0"/>
              <w:spacing w:line="300" w:lineRule="auto"/>
              <w:ind w:left="0" w:lef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标的名称</w:t>
            </w:r>
          </w:p>
        </w:tc>
        <w:tc>
          <w:tcPr>
            <w:tcW w:w="7140" w:type="dxa"/>
            <w:tcBorders>
              <w:top w:val="single" w:color="auto" w:sz="4" w:space="0"/>
              <w:left w:val="single" w:color="auto" w:sz="4" w:space="0"/>
              <w:bottom w:val="single" w:color="auto" w:sz="4" w:space="0"/>
            </w:tcBorders>
            <w:noWrap w:val="0"/>
            <w:vAlign w:val="center"/>
          </w:tcPr>
          <w:p w14:paraId="4B03F19A">
            <w:pPr>
              <w:keepNext w:val="0"/>
              <w:keepLines w:val="0"/>
              <w:pageBreakBefore w:val="0"/>
              <w:widowControl w:val="0"/>
              <w:kinsoku/>
              <w:wordWrap/>
              <w:overflowPunct/>
              <w:topLinePunct w:val="0"/>
              <w:autoSpaceDE/>
              <w:autoSpaceDN/>
              <w:bidi w:val="0"/>
              <w:adjustRightInd w:val="0"/>
              <w:snapToGrid w:val="0"/>
              <w:spacing w:line="30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多功能制暴器、便携式声波驱散器、高速催泪喷射器</w:t>
            </w:r>
          </w:p>
        </w:tc>
      </w:tr>
      <w:tr w14:paraId="47D580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835" w:type="dxa"/>
            <w:tcBorders>
              <w:top w:val="single" w:color="auto" w:sz="4" w:space="0"/>
              <w:bottom w:val="single" w:color="auto" w:sz="4" w:space="0"/>
              <w:right w:val="single" w:color="auto" w:sz="4" w:space="0"/>
            </w:tcBorders>
            <w:noWrap w:val="0"/>
            <w:vAlign w:val="center"/>
          </w:tcPr>
          <w:p w14:paraId="5CE426AB">
            <w:pPr>
              <w:keepNext w:val="0"/>
              <w:keepLines w:val="0"/>
              <w:pageBreakBefore w:val="0"/>
              <w:widowControl w:val="0"/>
              <w:kinsoku/>
              <w:wordWrap/>
              <w:overflowPunct/>
              <w:topLinePunct w:val="0"/>
              <w:autoSpaceDE/>
              <w:autoSpaceDN/>
              <w:bidi w:val="0"/>
              <w:spacing w:line="30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687" w:type="dxa"/>
            <w:tcBorders>
              <w:top w:val="single" w:color="auto" w:sz="4" w:space="0"/>
              <w:bottom w:val="single" w:color="auto" w:sz="4" w:space="0"/>
              <w:right w:val="single" w:color="auto" w:sz="4" w:space="0"/>
            </w:tcBorders>
            <w:noWrap w:val="0"/>
            <w:vAlign w:val="center"/>
          </w:tcPr>
          <w:p w14:paraId="7A7750E2">
            <w:pPr>
              <w:keepNext w:val="0"/>
              <w:keepLines w:val="0"/>
              <w:pageBreakBefore w:val="0"/>
              <w:widowControl w:val="0"/>
              <w:kinsoku/>
              <w:wordWrap/>
              <w:overflowPunct/>
              <w:topLinePunct w:val="0"/>
              <w:autoSpaceDE/>
              <w:autoSpaceDN/>
              <w:bidi w:val="0"/>
              <w:adjustRightInd w:val="0"/>
              <w:snapToGrid w:val="0"/>
              <w:spacing w:line="300" w:lineRule="auto"/>
              <w:ind w:left="0" w:lef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标的所属行业</w:t>
            </w:r>
          </w:p>
        </w:tc>
        <w:tc>
          <w:tcPr>
            <w:tcW w:w="7140" w:type="dxa"/>
            <w:tcBorders>
              <w:top w:val="single" w:color="auto" w:sz="4" w:space="0"/>
              <w:left w:val="single" w:color="auto" w:sz="4" w:space="0"/>
              <w:bottom w:val="single" w:color="auto" w:sz="4" w:space="0"/>
            </w:tcBorders>
            <w:noWrap w:val="0"/>
            <w:vAlign w:val="center"/>
          </w:tcPr>
          <w:p w14:paraId="081D16E0">
            <w:pPr>
              <w:keepNext w:val="0"/>
              <w:keepLines w:val="0"/>
              <w:pageBreakBefore w:val="0"/>
              <w:widowControl w:val="0"/>
              <w:kinsoku/>
              <w:wordWrap/>
              <w:overflowPunct/>
              <w:topLinePunct w:val="0"/>
              <w:autoSpaceDE/>
              <w:autoSpaceDN/>
              <w:bidi w:val="0"/>
              <w:adjustRightInd w:val="0"/>
              <w:snapToGrid w:val="0"/>
              <w:spacing w:line="300" w:lineRule="auto"/>
              <w:ind w:left="0"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color w:val="auto"/>
                <w:sz w:val="24"/>
                <w:highlight w:val="none"/>
              </w:rPr>
              <w:t>根据《关于印发中小企业划型标准规定的通知》(工信部联企业[2011]300号) 文件的规定，本项目所属行业：</w:t>
            </w:r>
            <w:r>
              <w:rPr>
                <w:rFonts w:hint="eastAsia" w:ascii="宋体"/>
                <w:b/>
                <w:bCs/>
                <w:color w:val="auto"/>
                <w:sz w:val="24"/>
                <w:highlight w:val="none"/>
                <w:lang w:val="en-US" w:eastAsia="zh-CN"/>
              </w:rPr>
              <w:t>工业</w:t>
            </w:r>
            <w:r>
              <w:rPr>
                <w:rFonts w:hint="eastAsia" w:ascii="宋体"/>
                <w:color w:val="auto"/>
                <w:sz w:val="24"/>
                <w:highlight w:val="none"/>
              </w:rPr>
              <w:t>。</w:t>
            </w:r>
          </w:p>
        </w:tc>
      </w:tr>
      <w:tr w14:paraId="10FBD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835" w:type="dxa"/>
            <w:tcBorders>
              <w:top w:val="single" w:color="auto" w:sz="4" w:space="0"/>
              <w:bottom w:val="single" w:color="auto" w:sz="4" w:space="0"/>
              <w:right w:val="single" w:color="auto" w:sz="4" w:space="0"/>
            </w:tcBorders>
            <w:noWrap w:val="0"/>
            <w:vAlign w:val="center"/>
          </w:tcPr>
          <w:p w14:paraId="3E7A42B1">
            <w:pPr>
              <w:keepNext w:val="0"/>
              <w:keepLines w:val="0"/>
              <w:pageBreakBefore w:val="0"/>
              <w:widowControl w:val="0"/>
              <w:kinsoku/>
              <w:wordWrap/>
              <w:overflowPunct/>
              <w:topLinePunct w:val="0"/>
              <w:autoSpaceDE/>
              <w:autoSpaceDN/>
              <w:bidi w:val="0"/>
              <w:spacing w:line="30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687" w:type="dxa"/>
            <w:tcBorders>
              <w:top w:val="single" w:color="auto" w:sz="4" w:space="0"/>
              <w:bottom w:val="single" w:color="auto" w:sz="4" w:space="0"/>
              <w:right w:val="single" w:color="auto" w:sz="4" w:space="0"/>
            </w:tcBorders>
            <w:noWrap w:val="0"/>
            <w:vAlign w:val="center"/>
          </w:tcPr>
          <w:p w14:paraId="7182FCF5">
            <w:pPr>
              <w:keepNext w:val="0"/>
              <w:keepLines w:val="0"/>
              <w:pageBreakBefore w:val="0"/>
              <w:widowControl w:val="0"/>
              <w:kinsoku/>
              <w:wordWrap/>
              <w:overflowPunct/>
              <w:topLinePunct w:val="0"/>
              <w:autoSpaceDE/>
              <w:autoSpaceDN/>
              <w:bidi w:val="0"/>
              <w:spacing w:line="30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投标有效期</w:t>
            </w:r>
          </w:p>
        </w:tc>
        <w:tc>
          <w:tcPr>
            <w:tcW w:w="7140" w:type="dxa"/>
            <w:tcBorders>
              <w:top w:val="single" w:color="auto" w:sz="4" w:space="0"/>
              <w:left w:val="single" w:color="auto" w:sz="4" w:space="0"/>
              <w:bottom w:val="single" w:color="auto" w:sz="4" w:space="0"/>
            </w:tcBorders>
            <w:noWrap w:val="0"/>
            <w:vAlign w:val="center"/>
          </w:tcPr>
          <w:p w14:paraId="6EF49B4B">
            <w:pPr>
              <w:keepNext w:val="0"/>
              <w:keepLines w:val="0"/>
              <w:pageBreakBefore w:val="0"/>
              <w:widowControl w:val="0"/>
              <w:kinsoku/>
              <w:wordWrap/>
              <w:overflowPunct/>
              <w:topLinePunct w:val="0"/>
              <w:autoSpaceDE/>
              <w:autoSpaceDN/>
              <w:bidi w:val="0"/>
              <w:spacing w:line="30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90</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天（如不满足将导致废标）</w:t>
            </w:r>
          </w:p>
        </w:tc>
      </w:tr>
      <w:tr w14:paraId="0ADA2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5" w:type="dxa"/>
            <w:tcBorders>
              <w:top w:val="single" w:color="auto" w:sz="4" w:space="0"/>
              <w:bottom w:val="single" w:color="auto" w:sz="4" w:space="0"/>
              <w:right w:val="single" w:color="auto" w:sz="4" w:space="0"/>
            </w:tcBorders>
            <w:noWrap w:val="0"/>
            <w:vAlign w:val="center"/>
          </w:tcPr>
          <w:p w14:paraId="737052FF">
            <w:pPr>
              <w:keepNext w:val="0"/>
              <w:keepLines w:val="0"/>
              <w:pageBreakBefore w:val="0"/>
              <w:widowControl w:val="0"/>
              <w:kinsoku/>
              <w:wordWrap/>
              <w:overflowPunct/>
              <w:topLinePunct w:val="0"/>
              <w:autoSpaceDE/>
              <w:autoSpaceDN/>
              <w:bidi w:val="0"/>
              <w:spacing w:line="30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1687" w:type="dxa"/>
            <w:tcBorders>
              <w:top w:val="single" w:color="auto" w:sz="4" w:space="0"/>
              <w:bottom w:val="single" w:color="auto" w:sz="4" w:space="0"/>
              <w:right w:val="single" w:color="auto" w:sz="4" w:space="0"/>
            </w:tcBorders>
            <w:noWrap w:val="0"/>
            <w:vAlign w:val="center"/>
          </w:tcPr>
          <w:p w14:paraId="017214CC">
            <w:pPr>
              <w:pStyle w:val="15"/>
              <w:keepNext w:val="0"/>
              <w:keepLines w:val="0"/>
              <w:pageBreakBefore w:val="0"/>
              <w:widowControl w:val="0"/>
              <w:kinsoku/>
              <w:wordWrap/>
              <w:overflowPunct/>
              <w:topLinePunct w:val="0"/>
              <w:autoSpaceDE/>
              <w:autoSpaceDN/>
              <w:bidi w:val="0"/>
              <w:spacing w:line="30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份数</w:t>
            </w:r>
          </w:p>
        </w:tc>
        <w:tc>
          <w:tcPr>
            <w:tcW w:w="7140" w:type="dxa"/>
            <w:tcBorders>
              <w:top w:val="single" w:color="auto" w:sz="4" w:space="0"/>
              <w:left w:val="single" w:color="auto" w:sz="4" w:space="0"/>
              <w:bottom w:val="single" w:color="auto" w:sz="4" w:space="0"/>
            </w:tcBorders>
            <w:noWrap w:val="0"/>
            <w:vAlign w:val="center"/>
          </w:tcPr>
          <w:p w14:paraId="1920D740">
            <w:pPr>
              <w:keepNext w:val="0"/>
              <w:keepLines w:val="0"/>
              <w:pageBreakBefore w:val="0"/>
              <w:widowControl w:val="0"/>
              <w:kinsoku/>
              <w:wordWrap/>
              <w:overflowPunct/>
              <w:topLinePunct w:val="0"/>
              <w:autoSpaceDE/>
              <w:autoSpaceDN/>
              <w:bidi w:val="0"/>
              <w:spacing w:line="30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公示期满由中标单位将纸质投标文件正本1份，副本</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份</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盖章胶装，副本可为正本复印件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递交</w:t>
            </w:r>
            <w:r>
              <w:rPr>
                <w:rFonts w:hint="eastAsia" w:ascii="宋体" w:hAnsi="宋体" w:cs="宋体"/>
                <w:color w:val="auto"/>
                <w:sz w:val="24"/>
                <w:szCs w:val="24"/>
                <w:highlight w:val="none"/>
              </w:rPr>
              <w:t>至</w:t>
            </w:r>
            <w:r>
              <w:rPr>
                <w:rFonts w:hint="default" w:ascii="宋体" w:hAnsi="宋体" w:cs="宋体"/>
                <w:color w:val="auto"/>
                <w:sz w:val="24"/>
                <w:szCs w:val="24"/>
                <w:highlight w:val="none"/>
                <w:lang w:val="en-US" w:eastAsia="zh-CN"/>
              </w:rPr>
              <w:t>新疆华展鑫荣项目管理咨询有限公司</w:t>
            </w:r>
            <w:r>
              <w:rPr>
                <w:rFonts w:hint="eastAsia" w:ascii="宋体" w:hAnsi="宋体" w:cs="宋体"/>
                <w:color w:val="auto"/>
                <w:sz w:val="24"/>
                <w:szCs w:val="24"/>
                <w:highlight w:val="none"/>
                <w:lang w:val="en-US" w:eastAsia="zh-CN"/>
              </w:rPr>
              <w:t>，地址：</w:t>
            </w:r>
            <w:r>
              <w:rPr>
                <w:rFonts w:hint="eastAsia" w:ascii="宋体" w:hAnsi="宋体" w:eastAsia="宋体" w:cs="宋体"/>
                <w:color w:val="auto"/>
                <w:sz w:val="24"/>
                <w:szCs w:val="24"/>
                <w:highlight w:val="none"/>
                <w:lang w:eastAsia="zh-CN"/>
              </w:rPr>
              <w:t>乌鲁木齐市水磨沟区金科星耀天都一号楼2单元2602室</w:t>
            </w:r>
          </w:p>
        </w:tc>
      </w:tr>
      <w:tr w14:paraId="7B9CCC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835" w:type="dxa"/>
            <w:tcBorders>
              <w:top w:val="single" w:color="auto" w:sz="4" w:space="0"/>
              <w:bottom w:val="single" w:color="auto" w:sz="4" w:space="0"/>
              <w:right w:val="single" w:color="auto" w:sz="4" w:space="0"/>
            </w:tcBorders>
            <w:noWrap w:val="0"/>
            <w:vAlign w:val="center"/>
          </w:tcPr>
          <w:p w14:paraId="20F39052">
            <w:pPr>
              <w:keepNext w:val="0"/>
              <w:keepLines w:val="0"/>
              <w:pageBreakBefore w:val="0"/>
              <w:widowControl w:val="0"/>
              <w:kinsoku/>
              <w:wordWrap/>
              <w:overflowPunct/>
              <w:topLinePunct w:val="0"/>
              <w:autoSpaceDE/>
              <w:autoSpaceDN/>
              <w:bidi w:val="0"/>
              <w:spacing w:line="30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1687" w:type="dxa"/>
            <w:tcBorders>
              <w:top w:val="single" w:color="auto" w:sz="4" w:space="0"/>
              <w:bottom w:val="single" w:color="auto" w:sz="4" w:space="0"/>
              <w:right w:val="single" w:color="auto" w:sz="4" w:space="0"/>
            </w:tcBorders>
            <w:noWrap w:val="0"/>
            <w:vAlign w:val="center"/>
          </w:tcPr>
          <w:p w14:paraId="4A621298">
            <w:pPr>
              <w:keepNext w:val="0"/>
              <w:keepLines w:val="0"/>
              <w:pageBreakBefore w:val="0"/>
              <w:widowControl w:val="0"/>
              <w:kinsoku/>
              <w:wordWrap/>
              <w:overflowPunct/>
              <w:topLinePunct w:val="0"/>
              <w:autoSpaceDE/>
              <w:autoSpaceDN/>
              <w:bidi w:val="0"/>
              <w:spacing w:line="30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投标文件递交（上传）截止时间及开标时间（投标文件解密时间）</w:t>
            </w:r>
          </w:p>
        </w:tc>
        <w:tc>
          <w:tcPr>
            <w:tcW w:w="7140" w:type="dxa"/>
            <w:tcBorders>
              <w:top w:val="single" w:color="auto" w:sz="4" w:space="0"/>
              <w:left w:val="single" w:color="auto" w:sz="4" w:space="0"/>
              <w:bottom w:val="single" w:color="auto" w:sz="4" w:space="0"/>
            </w:tcBorders>
            <w:noWrap w:val="0"/>
            <w:vAlign w:val="center"/>
          </w:tcPr>
          <w:p w14:paraId="2D459733">
            <w:pPr>
              <w:keepNext w:val="0"/>
              <w:keepLines w:val="0"/>
              <w:pageBreakBefore w:val="0"/>
              <w:widowControl w:val="0"/>
              <w:kinsoku/>
              <w:wordWrap/>
              <w:overflowPunct/>
              <w:topLinePunct w:val="0"/>
              <w:autoSpaceDE/>
              <w:autoSpaceDN/>
              <w:bidi w:val="0"/>
              <w:spacing w:line="30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2025年</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31</w:t>
            </w:r>
            <w:r>
              <w:rPr>
                <w:rFonts w:hint="eastAsia" w:ascii="宋体" w:hAnsi="宋体" w:eastAsia="宋体" w:cs="宋体"/>
                <w:color w:val="auto"/>
                <w:sz w:val="24"/>
                <w:szCs w:val="24"/>
                <w:highlight w:val="none"/>
                <w:lang w:val="en-US" w:eastAsia="zh-CN"/>
              </w:rPr>
              <w:t>日11:00</w:t>
            </w:r>
            <w:r>
              <w:rPr>
                <w:rFonts w:hint="eastAsia" w:ascii="宋体" w:hAnsi="宋体" w:eastAsia="宋体" w:cs="宋体"/>
                <w:color w:val="auto"/>
                <w:sz w:val="24"/>
                <w:szCs w:val="24"/>
                <w:highlight w:val="none"/>
              </w:rPr>
              <w:t>（北京时间）</w:t>
            </w:r>
          </w:p>
        </w:tc>
      </w:tr>
      <w:tr w14:paraId="5A85F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835" w:type="dxa"/>
            <w:tcBorders>
              <w:top w:val="single" w:color="auto" w:sz="4" w:space="0"/>
              <w:bottom w:val="single" w:color="auto" w:sz="4" w:space="0"/>
              <w:right w:val="single" w:color="auto" w:sz="4" w:space="0"/>
            </w:tcBorders>
            <w:noWrap w:val="0"/>
            <w:vAlign w:val="center"/>
          </w:tcPr>
          <w:p w14:paraId="0004A524">
            <w:pPr>
              <w:keepNext w:val="0"/>
              <w:keepLines w:val="0"/>
              <w:pageBreakBefore w:val="0"/>
              <w:widowControl w:val="0"/>
              <w:kinsoku/>
              <w:wordWrap/>
              <w:overflowPunct/>
              <w:topLinePunct w:val="0"/>
              <w:autoSpaceDE/>
              <w:autoSpaceDN/>
              <w:bidi w:val="0"/>
              <w:spacing w:line="30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1687" w:type="dxa"/>
            <w:tcBorders>
              <w:top w:val="single" w:color="auto" w:sz="4" w:space="0"/>
              <w:bottom w:val="single" w:color="auto" w:sz="4" w:space="0"/>
              <w:right w:val="single" w:color="auto" w:sz="4" w:space="0"/>
            </w:tcBorders>
            <w:noWrap w:val="0"/>
            <w:vAlign w:val="center"/>
          </w:tcPr>
          <w:p w14:paraId="07BE4900">
            <w:pPr>
              <w:keepNext w:val="0"/>
              <w:keepLines w:val="0"/>
              <w:pageBreakBefore w:val="0"/>
              <w:widowControl w:val="0"/>
              <w:kinsoku/>
              <w:wordWrap/>
              <w:overflowPunct/>
              <w:topLinePunct w:val="0"/>
              <w:autoSpaceDE/>
              <w:autoSpaceDN/>
              <w:bidi w:val="0"/>
              <w:spacing w:line="300" w:lineRule="auto"/>
              <w:jc w:val="center"/>
              <w:textAlignment w:val="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投标文件</w:t>
            </w:r>
          </w:p>
          <w:p w14:paraId="7022C2AE">
            <w:pPr>
              <w:keepNext w:val="0"/>
              <w:keepLines w:val="0"/>
              <w:pageBreakBefore w:val="0"/>
              <w:widowControl w:val="0"/>
              <w:kinsoku/>
              <w:wordWrap/>
              <w:overflowPunct/>
              <w:topLinePunct w:val="0"/>
              <w:autoSpaceDE/>
              <w:autoSpaceDN/>
              <w:bidi w:val="0"/>
              <w:spacing w:line="30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b w:val="0"/>
                <w:bCs w:val="0"/>
                <w:color w:val="auto"/>
                <w:sz w:val="24"/>
                <w:highlight w:val="none"/>
              </w:rPr>
              <w:t>解密时长</w:t>
            </w:r>
          </w:p>
        </w:tc>
        <w:tc>
          <w:tcPr>
            <w:tcW w:w="7140" w:type="dxa"/>
            <w:tcBorders>
              <w:top w:val="single" w:color="auto" w:sz="4" w:space="0"/>
              <w:left w:val="single" w:color="auto" w:sz="4" w:space="0"/>
              <w:bottom w:val="single" w:color="auto" w:sz="4" w:space="0"/>
            </w:tcBorders>
            <w:noWrap w:val="0"/>
            <w:vAlign w:val="center"/>
          </w:tcPr>
          <w:p w14:paraId="385C206F">
            <w:pPr>
              <w:keepNext w:val="0"/>
              <w:keepLines w:val="0"/>
              <w:pageBreakBefore w:val="0"/>
              <w:widowControl w:val="0"/>
              <w:kinsoku/>
              <w:wordWrap/>
              <w:overflowPunct/>
              <w:topLinePunct w:val="0"/>
              <w:autoSpaceDE/>
              <w:autoSpaceDN/>
              <w:bidi w:val="0"/>
              <w:spacing w:line="300"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0分钟</w:t>
            </w:r>
          </w:p>
        </w:tc>
      </w:tr>
      <w:tr w14:paraId="7CB9A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835" w:type="dxa"/>
            <w:tcBorders>
              <w:top w:val="single" w:color="auto" w:sz="4" w:space="0"/>
              <w:bottom w:val="single" w:color="auto" w:sz="4" w:space="0"/>
              <w:right w:val="single" w:color="auto" w:sz="4" w:space="0"/>
            </w:tcBorders>
            <w:noWrap w:val="0"/>
            <w:vAlign w:val="center"/>
          </w:tcPr>
          <w:p w14:paraId="68A03724">
            <w:pPr>
              <w:keepNext w:val="0"/>
              <w:keepLines w:val="0"/>
              <w:pageBreakBefore w:val="0"/>
              <w:widowControl w:val="0"/>
              <w:kinsoku/>
              <w:wordWrap/>
              <w:overflowPunct/>
              <w:topLinePunct w:val="0"/>
              <w:autoSpaceDE/>
              <w:autoSpaceDN/>
              <w:bidi w:val="0"/>
              <w:spacing w:line="30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1687" w:type="dxa"/>
            <w:tcBorders>
              <w:top w:val="single" w:color="auto" w:sz="4" w:space="0"/>
              <w:bottom w:val="single" w:color="auto" w:sz="4" w:space="0"/>
              <w:right w:val="single" w:color="auto" w:sz="4" w:space="0"/>
            </w:tcBorders>
            <w:noWrap w:val="0"/>
            <w:vAlign w:val="center"/>
          </w:tcPr>
          <w:p w14:paraId="60AABC1B">
            <w:pPr>
              <w:keepNext w:val="0"/>
              <w:keepLines w:val="0"/>
              <w:pageBreakBefore w:val="0"/>
              <w:widowControl w:val="0"/>
              <w:kinsoku/>
              <w:wordWrap/>
              <w:overflowPunct/>
              <w:topLinePunct w:val="0"/>
              <w:autoSpaceDE/>
              <w:autoSpaceDN/>
              <w:bidi w:val="0"/>
              <w:spacing w:line="300" w:lineRule="auto"/>
              <w:jc w:val="center"/>
              <w:textAlignment w:val="auto"/>
              <w:rPr>
                <w:rFonts w:hint="eastAsia" w:ascii="宋体" w:hAnsi="宋体" w:eastAsia="宋体" w:cs="宋体"/>
                <w:color w:val="auto"/>
                <w:sz w:val="24"/>
                <w:szCs w:val="24"/>
                <w:highlight w:val="none"/>
              </w:rPr>
            </w:pPr>
            <w:r>
              <w:rPr>
                <w:rFonts w:hint="eastAsia" w:ascii="宋体" w:hAnsi="宋体" w:cs="宋体"/>
                <w:b w:val="0"/>
                <w:bCs/>
                <w:color w:val="auto"/>
                <w:kern w:val="0"/>
                <w:sz w:val="24"/>
                <w:szCs w:val="24"/>
                <w:highlight w:val="none"/>
              </w:rPr>
              <w:t>投标文件递交（上传）地点</w:t>
            </w:r>
          </w:p>
        </w:tc>
        <w:tc>
          <w:tcPr>
            <w:tcW w:w="7140" w:type="dxa"/>
            <w:tcBorders>
              <w:top w:val="single" w:color="auto" w:sz="4" w:space="0"/>
              <w:left w:val="single" w:color="auto" w:sz="4" w:space="0"/>
              <w:bottom w:val="single" w:color="auto" w:sz="4" w:space="0"/>
            </w:tcBorders>
            <w:noWrap w:val="0"/>
            <w:vAlign w:val="center"/>
          </w:tcPr>
          <w:p w14:paraId="612E3552">
            <w:pPr>
              <w:keepNext w:val="0"/>
              <w:keepLines w:val="0"/>
              <w:pageBreakBefore w:val="0"/>
              <w:widowControl w:val="0"/>
              <w:kinsoku/>
              <w:wordWrap/>
              <w:overflowPunct/>
              <w:topLinePunct w:val="0"/>
              <w:autoSpaceDE/>
              <w:autoSpaceDN/>
              <w:bidi w:val="0"/>
              <w:spacing w:line="30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政采云投标客户端</w:t>
            </w:r>
          </w:p>
        </w:tc>
      </w:tr>
      <w:tr w14:paraId="3E57D8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835" w:type="dxa"/>
            <w:tcBorders>
              <w:top w:val="single" w:color="auto" w:sz="4" w:space="0"/>
              <w:bottom w:val="single" w:color="auto" w:sz="4" w:space="0"/>
              <w:right w:val="single" w:color="auto" w:sz="4" w:space="0"/>
            </w:tcBorders>
            <w:noWrap w:val="0"/>
            <w:vAlign w:val="center"/>
          </w:tcPr>
          <w:p w14:paraId="71177ABA">
            <w:pPr>
              <w:keepNext w:val="0"/>
              <w:keepLines w:val="0"/>
              <w:pageBreakBefore w:val="0"/>
              <w:widowControl w:val="0"/>
              <w:kinsoku/>
              <w:wordWrap/>
              <w:overflowPunct/>
              <w:topLinePunct w:val="0"/>
              <w:autoSpaceDE/>
              <w:autoSpaceDN/>
              <w:bidi w:val="0"/>
              <w:spacing w:line="30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1687" w:type="dxa"/>
            <w:tcBorders>
              <w:top w:val="single" w:color="auto" w:sz="4" w:space="0"/>
              <w:bottom w:val="single" w:color="auto" w:sz="4" w:space="0"/>
              <w:right w:val="single" w:color="auto" w:sz="4" w:space="0"/>
            </w:tcBorders>
            <w:noWrap w:val="0"/>
            <w:vAlign w:val="center"/>
          </w:tcPr>
          <w:p w14:paraId="3691B8FA">
            <w:pPr>
              <w:keepNext w:val="0"/>
              <w:keepLines w:val="0"/>
              <w:pageBreakBefore w:val="0"/>
              <w:widowControl w:val="0"/>
              <w:kinsoku/>
              <w:wordWrap/>
              <w:overflowPunct/>
              <w:topLinePunct w:val="0"/>
              <w:autoSpaceDE/>
              <w:autoSpaceDN/>
              <w:bidi w:val="0"/>
              <w:spacing w:line="300" w:lineRule="auto"/>
              <w:jc w:val="center"/>
              <w:textAlignment w:val="auto"/>
              <w:rPr>
                <w:rFonts w:hint="eastAsia" w:ascii="宋体" w:hAnsi="宋体" w:cs="宋体"/>
                <w:b w:val="0"/>
                <w:bCs/>
                <w:color w:val="auto"/>
                <w:kern w:val="0"/>
                <w:sz w:val="24"/>
                <w:szCs w:val="24"/>
                <w:highlight w:val="none"/>
              </w:rPr>
            </w:pPr>
            <w:r>
              <w:rPr>
                <w:rFonts w:hint="eastAsia" w:ascii="宋体" w:hAnsi="宋体" w:cs="宋体"/>
                <w:b w:val="0"/>
                <w:bCs/>
                <w:color w:val="auto"/>
                <w:kern w:val="0"/>
                <w:sz w:val="24"/>
                <w:szCs w:val="24"/>
                <w:highlight w:val="none"/>
                <w:lang w:eastAsia="zh-CN"/>
              </w:rPr>
              <w:t>评标委员会</w:t>
            </w:r>
            <w:r>
              <w:rPr>
                <w:rFonts w:hint="eastAsia" w:ascii="宋体" w:hAnsi="宋体" w:cs="宋体"/>
                <w:b w:val="0"/>
                <w:bCs/>
                <w:color w:val="auto"/>
                <w:kern w:val="0"/>
                <w:sz w:val="24"/>
                <w:szCs w:val="24"/>
                <w:highlight w:val="none"/>
              </w:rPr>
              <w:t>组成</w:t>
            </w:r>
          </w:p>
        </w:tc>
        <w:tc>
          <w:tcPr>
            <w:tcW w:w="7140" w:type="dxa"/>
            <w:tcBorders>
              <w:top w:val="single" w:color="auto" w:sz="4" w:space="0"/>
              <w:left w:val="single" w:color="auto" w:sz="4" w:space="0"/>
              <w:bottom w:val="single" w:color="auto" w:sz="4" w:space="0"/>
            </w:tcBorders>
            <w:noWrap w:val="0"/>
            <w:vAlign w:val="center"/>
          </w:tcPr>
          <w:p w14:paraId="0D34828C">
            <w:pPr>
              <w:keepNext w:val="0"/>
              <w:keepLines w:val="0"/>
              <w:pageBreakBefore w:val="0"/>
              <w:widowControl w:val="0"/>
              <w:kinsoku/>
              <w:wordWrap/>
              <w:overflowPunct/>
              <w:topLinePunct w:val="0"/>
              <w:autoSpaceDE/>
              <w:autoSpaceDN/>
              <w:bidi w:val="0"/>
              <w:spacing w:line="30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评标委员会人员</w:t>
            </w:r>
            <w:r>
              <w:rPr>
                <w:rFonts w:hint="eastAsia" w:ascii="宋体" w:hAnsi="宋体" w:cs="宋体"/>
                <w:b/>
                <w:color w:val="auto"/>
                <w:sz w:val="24"/>
                <w:szCs w:val="24"/>
                <w:highlight w:val="none"/>
              </w:rPr>
              <w:t>：</w:t>
            </w:r>
            <w:r>
              <w:rPr>
                <w:rFonts w:hint="eastAsia" w:ascii="宋体" w:hAnsi="宋体" w:cs="宋体"/>
                <w:b w:val="0"/>
                <w:bCs/>
                <w:color w:val="auto"/>
                <w:sz w:val="24"/>
                <w:szCs w:val="24"/>
                <w:highlight w:val="none"/>
                <w:lang w:val="en-US" w:eastAsia="zh-CN"/>
              </w:rPr>
              <w:t>5</w:t>
            </w:r>
            <w:r>
              <w:rPr>
                <w:rFonts w:hint="eastAsia" w:ascii="宋体" w:hAnsi="宋体" w:cs="宋体"/>
                <w:color w:val="auto"/>
                <w:sz w:val="24"/>
                <w:szCs w:val="24"/>
                <w:highlight w:val="none"/>
              </w:rPr>
              <w:t>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采购人代表不得超过</w:t>
            </w:r>
            <w:r>
              <w:rPr>
                <w:rFonts w:ascii="宋体" w:hAnsi="宋体" w:cs="宋体"/>
                <w:color w:val="auto"/>
                <w:sz w:val="24"/>
                <w:szCs w:val="24"/>
                <w:highlight w:val="none"/>
              </w:rPr>
              <w:t>1</w:t>
            </w: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p>
          <w:p w14:paraId="3B3BE7CF">
            <w:pPr>
              <w:keepNext w:val="0"/>
              <w:keepLines w:val="0"/>
              <w:pageBreakBefore w:val="0"/>
              <w:widowControl w:val="0"/>
              <w:kinsoku/>
              <w:wordWrap/>
              <w:overflowPunct/>
              <w:topLinePunct w:val="0"/>
              <w:autoSpaceDE/>
              <w:autoSpaceDN/>
              <w:bidi w:val="0"/>
              <w:spacing w:line="300" w:lineRule="auto"/>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评委确定方式：在新疆政府采购网上自行抽取</w:t>
            </w:r>
          </w:p>
        </w:tc>
      </w:tr>
      <w:tr w14:paraId="7BB0F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5" w:type="dxa"/>
            <w:tcBorders>
              <w:top w:val="single" w:color="auto" w:sz="4" w:space="0"/>
              <w:bottom w:val="single" w:color="auto" w:sz="4" w:space="0"/>
              <w:right w:val="single" w:color="auto" w:sz="4" w:space="0"/>
            </w:tcBorders>
            <w:noWrap w:val="0"/>
            <w:vAlign w:val="center"/>
          </w:tcPr>
          <w:p w14:paraId="198437EE">
            <w:pPr>
              <w:keepNext w:val="0"/>
              <w:keepLines w:val="0"/>
              <w:pageBreakBefore w:val="0"/>
              <w:widowControl w:val="0"/>
              <w:kinsoku/>
              <w:wordWrap/>
              <w:overflowPunct/>
              <w:topLinePunct w:val="0"/>
              <w:autoSpaceDE/>
              <w:autoSpaceDN/>
              <w:bidi w:val="0"/>
              <w:spacing w:line="30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1687" w:type="dxa"/>
            <w:tcBorders>
              <w:top w:val="single" w:color="auto" w:sz="4" w:space="0"/>
              <w:bottom w:val="single" w:color="auto" w:sz="4" w:space="0"/>
              <w:right w:val="single" w:color="auto" w:sz="4" w:space="0"/>
            </w:tcBorders>
            <w:noWrap w:val="0"/>
            <w:vAlign w:val="center"/>
          </w:tcPr>
          <w:p w14:paraId="3A6CE079">
            <w:pPr>
              <w:keepNext w:val="0"/>
              <w:keepLines w:val="0"/>
              <w:pageBreakBefore w:val="0"/>
              <w:widowControl w:val="0"/>
              <w:kinsoku/>
              <w:wordWrap/>
              <w:overflowPunct/>
              <w:topLinePunct w:val="0"/>
              <w:autoSpaceDE/>
              <w:autoSpaceDN/>
              <w:bidi w:val="0"/>
              <w:spacing w:line="30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投标保证金</w:t>
            </w:r>
          </w:p>
        </w:tc>
        <w:tc>
          <w:tcPr>
            <w:tcW w:w="7140" w:type="dxa"/>
            <w:tcBorders>
              <w:top w:val="single" w:color="auto" w:sz="4" w:space="0"/>
              <w:left w:val="single" w:color="auto" w:sz="4" w:space="0"/>
              <w:bottom w:val="single" w:color="auto" w:sz="4" w:space="0"/>
            </w:tcBorders>
            <w:noWrap w:val="0"/>
            <w:vAlign w:val="center"/>
          </w:tcPr>
          <w:p w14:paraId="21BF2209">
            <w:pPr>
              <w:keepNext w:val="0"/>
              <w:keepLines w:val="0"/>
              <w:pageBreakBefore w:val="0"/>
              <w:widowControl w:val="0"/>
              <w:kinsoku/>
              <w:wordWrap/>
              <w:overflowPunct/>
              <w:topLinePunct w:val="0"/>
              <w:autoSpaceDE/>
              <w:autoSpaceDN/>
              <w:bidi w:val="0"/>
              <w:spacing w:line="300" w:lineRule="auto"/>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val="en-US" w:eastAsia="zh-CN"/>
              </w:rPr>
              <w:t>金</w:t>
            </w:r>
            <w:r>
              <w:rPr>
                <w:rFonts w:hint="eastAsia" w:ascii="宋体" w:hAnsi="宋体" w:eastAsia="宋体" w:cs="宋体"/>
                <w:b/>
                <w:bCs w:val="0"/>
                <w:color w:val="auto"/>
                <w:sz w:val="24"/>
                <w:szCs w:val="24"/>
                <w:highlight w:val="none"/>
              </w:rPr>
              <w:t>额：</w:t>
            </w:r>
            <w:r>
              <w:rPr>
                <w:rFonts w:hint="eastAsia" w:ascii="宋体" w:hAnsi="宋体" w:eastAsia="宋体" w:cs="宋体"/>
                <w:b/>
                <w:bCs w:val="0"/>
                <w:color w:val="auto"/>
                <w:sz w:val="24"/>
                <w:szCs w:val="24"/>
                <w:highlight w:val="none"/>
                <w:lang w:val="en-US" w:eastAsia="zh-CN"/>
              </w:rPr>
              <w:t>4800元（大写：肆仟捌佰元整）</w:t>
            </w:r>
          </w:p>
          <w:p w14:paraId="0D7D741D">
            <w:pPr>
              <w:keepNext w:val="0"/>
              <w:keepLines w:val="0"/>
              <w:pageBreakBefore w:val="0"/>
              <w:widowControl w:val="0"/>
              <w:kinsoku/>
              <w:wordWrap/>
              <w:overflowPunct/>
              <w:topLinePunct w:val="0"/>
              <w:autoSpaceDE/>
              <w:autoSpaceDN/>
              <w:bidi w:val="0"/>
              <w:spacing w:line="300" w:lineRule="auto"/>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eastAsia="zh-CN"/>
              </w:rPr>
              <w:t>缴纳形式：网银</w:t>
            </w:r>
            <w:r>
              <w:rPr>
                <w:rFonts w:hint="eastAsia" w:ascii="宋体" w:hAnsi="宋体" w:eastAsia="宋体" w:cs="宋体"/>
                <w:b/>
                <w:bCs w:val="0"/>
                <w:color w:val="auto"/>
                <w:sz w:val="24"/>
                <w:szCs w:val="24"/>
                <w:highlight w:val="none"/>
                <w:lang w:val="en-US" w:eastAsia="zh-CN"/>
              </w:rPr>
              <w:t>转账</w:t>
            </w:r>
            <w:r>
              <w:rPr>
                <w:rFonts w:hint="eastAsia" w:ascii="宋体" w:hAnsi="宋体" w:eastAsia="宋体" w:cs="宋体"/>
                <w:b/>
                <w:bCs w:val="0"/>
                <w:color w:val="auto"/>
                <w:sz w:val="24"/>
                <w:szCs w:val="24"/>
                <w:highlight w:val="none"/>
              </w:rPr>
              <w:t>或</w:t>
            </w:r>
            <w:r>
              <w:rPr>
                <w:rFonts w:hint="eastAsia" w:ascii="宋体" w:hAnsi="宋体" w:eastAsia="宋体" w:cs="宋体"/>
                <w:b/>
                <w:bCs w:val="0"/>
                <w:color w:val="auto"/>
                <w:sz w:val="24"/>
                <w:szCs w:val="24"/>
                <w:highlight w:val="none"/>
                <w:lang w:val="en-US" w:eastAsia="zh-CN"/>
              </w:rPr>
              <w:t>保函</w:t>
            </w:r>
          </w:p>
          <w:p w14:paraId="59B0389E">
            <w:pPr>
              <w:keepNext w:val="0"/>
              <w:keepLines w:val="0"/>
              <w:pageBreakBefore w:val="0"/>
              <w:widowControl w:val="0"/>
              <w:kinsoku/>
              <w:wordWrap/>
              <w:overflowPunct/>
              <w:topLinePunct w:val="0"/>
              <w:autoSpaceDE/>
              <w:autoSpaceDN/>
              <w:bidi w:val="0"/>
              <w:spacing w:line="300" w:lineRule="auto"/>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账  户：</w:t>
            </w:r>
            <w:r>
              <w:rPr>
                <w:rFonts w:hint="default" w:ascii="宋体" w:hAnsi="宋体" w:eastAsia="宋体" w:cs="宋体"/>
                <w:bCs/>
                <w:color w:val="auto"/>
                <w:sz w:val="24"/>
                <w:szCs w:val="24"/>
                <w:highlight w:val="none"/>
                <w:lang w:val="en-US" w:eastAsia="zh-CN"/>
              </w:rPr>
              <w:t>新疆华展鑫荣项目管理咨询有限公司</w:t>
            </w:r>
          </w:p>
          <w:p w14:paraId="235D42BA">
            <w:pPr>
              <w:keepNext w:val="0"/>
              <w:keepLines w:val="0"/>
              <w:pageBreakBefore w:val="0"/>
              <w:widowControl w:val="0"/>
              <w:kinsoku/>
              <w:wordWrap/>
              <w:overflowPunct/>
              <w:topLinePunct w:val="0"/>
              <w:autoSpaceDE/>
              <w:autoSpaceDN/>
              <w:bidi w:val="0"/>
              <w:spacing w:line="30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账  号：</w:t>
            </w:r>
            <w:r>
              <w:rPr>
                <w:rFonts w:hint="eastAsia" w:ascii="宋体" w:hAnsi="宋体" w:eastAsia="宋体" w:cs="宋体"/>
                <w:bCs/>
                <w:color w:val="auto"/>
                <w:sz w:val="24"/>
                <w:szCs w:val="24"/>
                <w:highlight w:val="none"/>
                <w:lang w:eastAsia="zh-CN"/>
              </w:rPr>
              <w:t>8020 8001 2010 1256 67428</w:t>
            </w:r>
          </w:p>
          <w:p w14:paraId="4511E7E5">
            <w:pPr>
              <w:keepNext w:val="0"/>
              <w:keepLines w:val="0"/>
              <w:pageBreakBefore w:val="0"/>
              <w:widowControl w:val="0"/>
              <w:kinsoku/>
              <w:wordWrap/>
              <w:overflowPunct/>
              <w:topLinePunct w:val="0"/>
              <w:autoSpaceDE/>
              <w:autoSpaceDN/>
              <w:bidi w:val="0"/>
              <w:spacing w:line="30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行  号：</w:t>
            </w:r>
            <w:r>
              <w:rPr>
                <w:rFonts w:hint="eastAsia" w:ascii="宋体" w:hAnsi="宋体" w:eastAsia="宋体" w:cs="宋体"/>
                <w:bCs/>
                <w:color w:val="auto"/>
                <w:sz w:val="24"/>
                <w:szCs w:val="24"/>
                <w:highlight w:val="none"/>
                <w:lang w:eastAsia="zh-CN"/>
              </w:rPr>
              <w:t>402881008888</w:t>
            </w:r>
          </w:p>
          <w:p w14:paraId="1A427750">
            <w:pPr>
              <w:keepNext w:val="0"/>
              <w:keepLines w:val="0"/>
              <w:pageBreakBefore w:val="0"/>
              <w:widowControl w:val="0"/>
              <w:kinsoku/>
              <w:wordWrap/>
              <w:overflowPunct/>
              <w:topLinePunct w:val="0"/>
              <w:autoSpaceDE/>
              <w:autoSpaceDN/>
              <w:bidi w:val="0"/>
              <w:spacing w:line="30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开户行：</w:t>
            </w:r>
            <w:r>
              <w:rPr>
                <w:rFonts w:hint="eastAsia" w:ascii="宋体" w:hAnsi="宋体" w:eastAsia="宋体" w:cs="宋体"/>
                <w:bCs/>
                <w:color w:val="auto"/>
                <w:sz w:val="24"/>
                <w:szCs w:val="24"/>
                <w:highlight w:val="none"/>
                <w:lang w:eastAsia="zh-CN"/>
              </w:rPr>
              <w:t>新疆天山农村商业银行股份有限公司</w:t>
            </w:r>
          </w:p>
          <w:p w14:paraId="46335B4A">
            <w:pPr>
              <w:keepNext w:val="0"/>
              <w:keepLines w:val="0"/>
              <w:pageBreakBefore w:val="0"/>
              <w:widowControl w:val="0"/>
              <w:kinsoku/>
              <w:wordWrap/>
              <w:overflowPunct/>
              <w:topLinePunct w:val="0"/>
              <w:autoSpaceDE/>
              <w:autoSpaceDN/>
              <w:bidi w:val="0"/>
              <w:spacing w:line="300" w:lineRule="auto"/>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（投标保证金有效期应当与投标有效期一致）</w:t>
            </w:r>
          </w:p>
          <w:p w14:paraId="056919AF">
            <w:pPr>
              <w:keepNext w:val="0"/>
              <w:keepLines w:val="0"/>
              <w:pageBreakBefore w:val="0"/>
              <w:widowControl w:val="0"/>
              <w:kinsoku/>
              <w:wordWrap/>
              <w:overflowPunct/>
              <w:topLinePunct w:val="0"/>
              <w:autoSpaceDE/>
              <w:autoSpaceDN/>
              <w:bidi w:val="0"/>
              <w:spacing w:line="300" w:lineRule="auto"/>
              <w:textAlignment w:val="auto"/>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汇款时需备注：项目简称及金额用途</w:t>
            </w:r>
          </w:p>
          <w:p w14:paraId="4E24E20C">
            <w:pPr>
              <w:keepNext w:val="0"/>
              <w:keepLines w:val="0"/>
              <w:pageBreakBefore w:val="0"/>
              <w:widowControl w:val="0"/>
              <w:kinsoku/>
              <w:wordWrap/>
              <w:overflowPunct/>
              <w:topLinePunct w:val="0"/>
              <w:autoSpaceDE/>
              <w:autoSpaceDN/>
              <w:bidi w:val="0"/>
              <w:spacing w:line="300" w:lineRule="auto"/>
              <w:textAlignment w:val="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u w:val="single"/>
                <w:lang w:val="en-US" w:eastAsia="zh-CN"/>
              </w:rPr>
              <w:t>供应商办理退款业务时需提供以下资料:</w:t>
            </w:r>
          </w:p>
          <w:p w14:paraId="74CC1A36">
            <w:pPr>
              <w:keepNext w:val="0"/>
              <w:keepLines w:val="0"/>
              <w:pageBreakBefore w:val="0"/>
              <w:widowControl w:val="0"/>
              <w:kinsoku/>
              <w:wordWrap/>
              <w:overflowPunct/>
              <w:topLinePunct w:val="0"/>
              <w:autoSpaceDE/>
              <w:autoSpaceDN/>
              <w:bidi w:val="0"/>
              <w:spacing w:line="300" w:lineRule="auto"/>
              <w:textAlignment w:val="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u w:val="single"/>
                <w:lang w:val="en-US" w:eastAsia="zh-CN"/>
              </w:rPr>
              <w:t>1、对开收据</w:t>
            </w:r>
          </w:p>
          <w:p w14:paraId="4441440E">
            <w:pPr>
              <w:keepNext w:val="0"/>
              <w:keepLines w:val="0"/>
              <w:pageBreakBefore w:val="0"/>
              <w:widowControl w:val="0"/>
              <w:kinsoku/>
              <w:wordWrap/>
              <w:overflowPunct/>
              <w:topLinePunct w:val="0"/>
              <w:autoSpaceDE/>
              <w:autoSpaceDN/>
              <w:bidi w:val="0"/>
              <w:spacing w:line="300" w:lineRule="auto"/>
              <w:textAlignment w:val="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u w:val="single"/>
                <w:lang w:val="en-US" w:eastAsia="zh-CN"/>
              </w:rPr>
              <w:t>2、汇保证金凭证加盖公章</w:t>
            </w:r>
          </w:p>
          <w:p w14:paraId="4412E5F4">
            <w:pPr>
              <w:keepNext w:val="0"/>
              <w:keepLines w:val="0"/>
              <w:pageBreakBefore w:val="0"/>
              <w:widowControl w:val="0"/>
              <w:kinsoku/>
              <w:wordWrap/>
              <w:overflowPunct/>
              <w:topLinePunct w:val="0"/>
              <w:autoSpaceDE/>
              <w:autoSpaceDN/>
              <w:bidi w:val="0"/>
              <w:spacing w:line="30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u w:val="single"/>
                <w:lang w:val="en-US" w:eastAsia="zh-CN"/>
              </w:rPr>
              <w:t>3、公司账户信息（A4纸打印加盖公章）</w:t>
            </w:r>
          </w:p>
          <w:p w14:paraId="17C45569">
            <w:pPr>
              <w:keepNext w:val="0"/>
              <w:keepLines w:val="0"/>
              <w:pageBreakBefore w:val="0"/>
              <w:widowControl w:val="0"/>
              <w:kinsoku/>
              <w:wordWrap/>
              <w:overflowPunct/>
              <w:topLinePunct w:val="0"/>
              <w:autoSpaceDE/>
              <w:autoSpaceDN/>
              <w:bidi w:val="0"/>
              <w:spacing w:line="30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（1）供应商在投标截止时间前撤回已提交的投标文件的，采购人或者采购代理机构应当自收到供应商书面撤回通知之日起5个工作日内，退还已收取的投标保证金，但因供应商自身原因导致无法及时退还的除外。</w:t>
            </w:r>
          </w:p>
          <w:p w14:paraId="3079DECC">
            <w:pPr>
              <w:keepNext w:val="0"/>
              <w:keepLines w:val="0"/>
              <w:pageBreakBefore w:val="0"/>
              <w:widowControl w:val="0"/>
              <w:kinsoku/>
              <w:wordWrap/>
              <w:overflowPunct/>
              <w:topLinePunct w:val="0"/>
              <w:autoSpaceDE/>
              <w:autoSpaceDN/>
              <w:bidi w:val="0"/>
              <w:spacing w:line="30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（2）采购人或者采购代理机构应当自成交通知书发出之日起5个工作日内退还未成交供应商的投标保证金，自采购合同签订之日起5个工作日内退还成交供应商的投标保证金。</w:t>
            </w:r>
          </w:p>
          <w:p w14:paraId="76129983">
            <w:pPr>
              <w:keepNext w:val="0"/>
              <w:keepLines w:val="0"/>
              <w:pageBreakBefore w:val="0"/>
              <w:widowControl w:val="0"/>
              <w:kinsoku/>
              <w:wordWrap/>
              <w:overflowPunct/>
              <w:topLinePunct w:val="0"/>
              <w:autoSpaceDE/>
              <w:autoSpaceDN/>
              <w:bidi w:val="0"/>
              <w:spacing w:line="30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有下列情形之一的，保证金不予退还：</w:t>
            </w:r>
          </w:p>
          <w:p w14:paraId="3795CB76">
            <w:pPr>
              <w:keepNext w:val="0"/>
              <w:keepLines w:val="0"/>
              <w:pageBreakBefore w:val="0"/>
              <w:widowControl w:val="0"/>
              <w:kinsoku/>
              <w:wordWrap/>
              <w:overflowPunct/>
              <w:topLinePunct w:val="0"/>
              <w:autoSpaceDE/>
              <w:autoSpaceDN/>
              <w:bidi w:val="0"/>
              <w:spacing w:line="30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1、供应商在提交投标文件截止时间后撤回投标文件的；</w:t>
            </w:r>
          </w:p>
          <w:p w14:paraId="1024063E">
            <w:pPr>
              <w:keepNext w:val="0"/>
              <w:keepLines w:val="0"/>
              <w:pageBreakBefore w:val="0"/>
              <w:widowControl w:val="0"/>
              <w:kinsoku/>
              <w:wordWrap/>
              <w:overflowPunct/>
              <w:topLinePunct w:val="0"/>
              <w:autoSpaceDE/>
              <w:autoSpaceDN/>
              <w:bidi w:val="0"/>
              <w:spacing w:line="30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2、供应商在投标文件中提供虚假材料的；</w:t>
            </w:r>
          </w:p>
          <w:p w14:paraId="56D383F4">
            <w:pPr>
              <w:keepNext w:val="0"/>
              <w:keepLines w:val="0"/>
              <w:pageBreakBefore w:val="0"/>
              <w:widowControl w:val="0"/>
              <w:kinsoku/>
              <w:wordWrap/>
              <w:overflowPunct/>
              <w:topLinePunct w:val="0"/>
              <w:autoSpaceDE/>
              <w:autoSpaceDN/>
              <w:bidi w:val="0"/>
              <w:spacing w:line="30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3、除因不可抗力或投标文件认可的情形以外，中标供应商不与采购人签订合同的；</w:t>
            </w:r>
          </w:p>
          <w:p w14:paraId="27EFBD0C">
            <w:pPr>
              <w:keepNext w:val="0"/>
              <w:keepLines w:val="0"/>
              <w:pageBreakBefore w:val="0"/>
              <w:widowControl w:val="0"/>
              <w:kinsoku/>
              <w:wordWrap/>
              <w:overflowPunct/>
              <w:topLinePunct w:val="0"/>
              <w:autoSpaceDE/>
              <w:autoSpaceDN/>
              <w:bidi w:val="0"/>
              <w:spacing w:line="30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4、供应商与采购人、其他供应商或者采购代理机构恶意串通的；</w:t>
            </w:r>
          </w:p>
          <w:p w14:paraId="30EC7A30">
            <w:pPr>
              <w:keepNext w:val="0"/>
              <w:keepLines w:val="0"/>
              <w:pageBreakBefore w:val="0"/>
              <w:widowControl w:val="0"/>
              <w:kinsoku/>
              <w:wordWrap/>
              <w:overflowPunct/>
              <w:topLinePunct w:val="0"/>
              <w:autoSpaceDE/>
              <w:autoSpaceDN/>
              <w:bidi w:val="0"/>
              <w:spacing w:line="30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5、投标文件规定的其他情形。</w:t>
            </w:r>
          </w:p>
          <w:p w14:paraId="2F6C5387">
            <w:pPr>
              <w:keepNext w:val="0"/>
              <w:keepLines w:val="0"/>
              <w:pageBreakBefore w:val="0"/>
              <w:widowControl w:val="0"/>
              <w:kinsoku/>
              <w:wordWrap/>
              <w:overflowPunct/>
              <w:topLinePunct w:val="0"/>
              <w:autoSpaceDE/>
              <w:autoSpaceDN/>
              <w:bidi w:val="0"/>
              <w:spacing w:line="30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注：</w:t>
            </w:r>
          </w:p>
          <w:p w14:paraId="755AA218">
            <w:pPr>
              <w:keepNext w:val="0"/>
              <w:keepLines w:val="0"/>
              <w:pageBreakBefore w:val="0"/>
              <w:widowControl w:val="0"/>
              <w:numPr>
                <w:ilvl w:val="0"/>
                <w:numId w:val="2"/>
              </w:numPr>
              <w:kinsoku/>
              <w:wordWrap/>
              <w:overflowPunct/>
              <w:topLinePunct w:val="0"/>
              <w:autoSpaceDE/>
              <w:autoSpaceDN/>
              <w:bidi w:val="0"/>
              <w:spacing w:line="30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前三名需等待第一名签完合同后</w:t>
            </w:r>
          </w:p>
          <w:p w14:paraId="74F0858B">
            <w:pPr>
              <w:keepNext w:val="0"/>
              <w:keepLines w:val="0"/>
              <w:pageBreakBefore w:val="0"/>
              <w:widowControl w:val="0"/>
              <w:numPr>
                <w:ilvl w:val="0"/>
                <w:numId w:val="2"/>
              </w:numPr>
              <w:kinsoku/>
              <w:wordWrap/>
              <w:overflowPunct/>
              <w:topLinePunct w:val="0"/>
              <w:autoSpaceDE/>
              <w:autoSpaceDN/>
              <w:bidi w:val="0"/>
              <w:spacing w:line="30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可退还保证金；</w:t>
            </w:r>
          </w:p>
          <w:p w14:paraId="455345EB">
            <w:pPr>
              <w:keepNext w:val="0"/>
              <w:keepLines w:val="0"/>
              <w:pageBreakBefore w:val="0"/>
              <w:widowControl w:val="0"/>
              <w:kinsoku/>
              <w:wordWrap/>
              <w:overflowPunct/>
              <w:topLinePunct w:val="0"/>
              <w:autoSpaceDE/>
              <w:autoSpaceDN/>
              <w:bidi w:val="0"/>
              <w:spacing w:line="30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2、成交单位另需提供合同复印件；</w:t>
            </w:r>
          </w:p>
          <w:p w14:paraId="6893A3B6">
            <w:pPr>
              <w:keepNext w:val="0"/>
              <w:keepLines w:val="0"/>
              <w:pageBreakBefore w:val="0"/>
              <w:widowControl w:val="0"/>
              <w:kinsoku/>
              <w:wordWrap/>
              <w:overflowPunct/>
              <w:topLinePunct w:val="0"/>
              <w:autoSpaceDE/>
              <w:autoSpaceDN/>
              <w:bidi w:val="0"/>
              <w:spacing w:line="300" w:lineRule="auto"/>
              <w:textAlignment w:val="auto"/>
              <w:rPr>
                <w:rFonts w:hint="eastAsia"/>
                <w:color w:val="auto"/>
                <w:highlight w:val="none"/>
                <w:lang w:val="en-US" w:eastAsia="zh-CN"/>
              </w:rPr>
            </w:pPr>
            <w:r>
              <w:rPr>
                <w:rFonts w:hint="eastAsia" w:ascii="宋体" w:hAnsi="宋体" w:eastAsia="宋体" w:cs="宋体"/>
                <w:bCs/>
                <w:color w:val="auto"/>
                <w:sz w:val="24"/>
                <w:szCs w:val="24"/>
                <w:highlight w:val="none"/>
                <w:lang w:val="en-US" w:eastAsia="zh-CN"/>
              </w:rPr>
              <w:t>3、保证金缴纳及退还等财务相关事宜联系财务负责人。</w:t>
            </w:r>
          </w:p>
        </w:tc>
      </w:tr>
      <w:tr w14:paraId="6C087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1" w:hRule="atLeast"/>
          <w:jc w:val="center"/>
        </w:trPr>
        <w:tc>
          <w:tcPr>
            <w:tcW w:w="835" w:type="dxa"/>
            <w:tcBorders>
              <w:top w:val="single" w:color="auto" w:sz="4" w:space="0"/>
              <w:bottom w:val="single" w:color="auto" w:sz="4" w:space="0"/>
              <w:right w:val="single" w:color="auto" w:sz="4" w:space="0"/>
            </w:tcBorders>
            <w:noWrap w:val="0"/>
            <w:vAlign w:val="center"/>
          </w:tcPr>
          <w:p w14:paraId="347D0360">
            <w:pPr>
              <w:keepNext w:val="0"/>
              <w:keepLines w:val="0"/>
              <w:pageBreakBefore w:val="0"/>
              <w:widowControl w:val="0"/>
              <w:kinsoku/>
              <w:wordWrap/>
              <w:overflowPunct/>
              <w:topLinePunct w:val="0"/>
              <w:autoSpaceDE/>
              <w:autoSpaceDN/>
              <w:bidi w:val="0"/>
              <w:spacing w:line="30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1687" w:type="dxa"/>
            <w:tcBorders>
              <w:top w:val="single" w:color="auto" w:sz="4" w:space="0"/>
              <w:bottom w:val="single" w:color="auto" w:sz="4" w:space="0"/>
              <w:right w:val="single" w:color="auto" w:sz="4" w:space="0"/>
            </w:tcBorders>
            <w:noWrap w:val="0"/>
            <w:vAlign w:val="center"/>
          </w:tcPr>
          <w:p w14:paraId="57C84C0F">
            <w:pPr>
              <w:keepNext w:val="0"/>
              <w:keepLines w:val="0"/>
              <w:pageBreakBefore w:val="0"/>
              <w:widowControl w:val="0"/>
              <w:kinsoku/>
              <w:wordWrap/>
              <w:overflowPunct/>
              <w:topLinePunct w:val="0"/>
              <w:autoSpaceDE/>
              <w:autoSpaceDN/>
              <w:bidi w:val="0"/>
              <w:spacing w:line="30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评审办法</w:t>
            </w:r>
          </w:p>
        </w:tc>
        <w:tc>
          <w:tcPr>
            <w:tcW w:w="7140" w:type="dxa"/>
            <w:tcBorders>
              <w:top w:val="single" w:color="auto" w:sz="4" w:space="0"/>
              <w:left w:val="single" w:color="auto" w:sz="4" w:space="0"/>
              <w:bottom w:val="single" w:color="auto" w:sz="4" w:space="0"/>
            </w:tcBorders>
            <w:noWrap w:val="0"/>
            <w:vAlign w:val="center"/>
          </w:tcPr>
          <w:p w14:paraId="354E1A92">
            <w:pPr>
              <w:keepNext w:val="0"/>
              <w:keepLines w:val="0"/>
              <w:pageBreakBefore w:val="0"/>
              <w:widowControl w:val="0"/>
              <w:kinsoku/>
              <w:wordWrap/>
              <w:overflowPunct/>
              <w:topLinePunct w:val="0"/>
              <w:autoSpaceDE/>
              <w:autoSpaceDN/>
              <w:bidi w:val="0"/>
              <w:spacing w:line="30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综合评分法，即指投标文件满足</w:t>
            </w:r>
            <w:r>
              <w:rPr>
                <w:rFonts w:hint="eastAsia" w:ascii="宋体" w:hAnsi="宋体" w:eastAsia="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全部实质性要求且按照评审因素的量化指标评审得分最高的</w:t>
            </w:r>
            <w:r>
              <w:rPr>
                <w:rFonts w:hint="eastAsia" w:ascii="宋体" w:hAnsi="宋体" w:eastAsia="宋体" w:cs="宋体"/>
                <w:bCs/>
                <w:color w:val="auto"/>
                <w:sz w:val="24"/>
                <w:szCs w:val="24"/>
                <w:highlight w:val="none"/>
                <w:lang w:eastAsia="zh-CN"/>
              </w:rPr>
              <w:t>投标供应商</w:t>
            </w:r>
            <w:r>
              <w:rPr>
                <w:rFonts w:hint="eastAsia" w:ascii="宋体" w:hAnsi="宋体" w:eastAsia="宋体" w:cs="宋体"/>
                <w:bCs/>
                <w:color w:val="auto"/>
                <w:sz w:val="24"/>
                <w:szCs w:val="24"/>
                <w:highlight w:val="none"/>
              </w:rPr>
              <w:t>为</w:t>
            </w:r>
            <w:r>
              <w:rPr>
                <w:rFonts w:hint="eastAsia" w:ascii="宋体" w:hAnsi="宋体" w:eastAsia="宋体" w:cs="宋体"/>
                <w:bCs/>
                <w:color w:val="auto"/>
                <w:sz w:val="24"/>
                <w:szCs w:val="24"/>
                <w:highlight w:val="none"/>
                <w:lang w:eastAsia="zh-CN"/>
              </w:rPr>
              <w:t>中标（成交）</w:t>
            </w:r>
            <w:r>
              <w:rPr>
                <w:rFonts w:hint="eastAsia" w:ascii="宋体" w:hAnsi="宋体" w:eastAsia="宋体" w:cs="宋体"/>
                <w:bCs/>
                <w:color w:val="auto"/>
                <w:sz w:val="24"/>
                <w:szCs w:val="24"/>
                <w:highlight w:val="none"/>
              </w:rPr>
              <w:t>候选人的评标方法。每一</w:t>
            </w:r>
            <w:r>
              <w:rPr>
                <w:rFonts w:hint="eastAsia" w:ascii="宋体" w:hAnsi="宋体" w:eastAsia="宋体" w:cs="宋体"/>
                <w:bCs/>
                <w:color w:val="auto"/>
                <w:sz w:val="24"/>
                <w:szCs w:val="24"/>
                <w:highlight w:val="none"/>
                <w:lang w:eastAsia="zh-CN"/>
              </w:rPr>
              <w:t>投标供应商</w:t>
            </w:r>
            <w:r>
              <w:rPr>
                <w:rFonts w:hint="eastAsia" w:ascii="宋体" w:hAnsi="宋体" w:eastAsia="宋体" w:cs="宋体"/>
                <w:bCs/>
                <w:color w:val="auto"/>
                <w:sz w:val="24"/>
                <w:szCs w:val="24"/>
                <w:highlight w:val="none"/>
              </w:rPr>
              <w:t>的最终得分为所有评委评分的算术平均值</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得分相同的，报价较低的一方为</w:t>
            </w:r>
            <w:r>
              <w:rPr>
                <w:rFonts w:hint="eastAsia" w:ascii="宋体" w:hAnsi="宋体" w:eastAsia="宋体" w:cs="宋体"/>
                <w:bCs/>
                <w:color w:val="auto"/>
                <w:sz w:val="24"/>
                <w:szCs w:val="24"/>
                <w:highlight w:val="none"/>
                <w:lang w:eastAsia="zh-CN"/>
              </w:rPr>
              <w:t>中标（成交）</w:t>
            </w:r>
            <w:r>
              <w:rPr>
                <w:rFonts w:hint="eastAsia" w:ascii="宋体" w:hAnsi="宋体" w:eastAsia="宋体" w:cs="宋体"/>
                <w:bCs/>
                <w:color w:val="auto"/>
                <w:sz w:val="24"/>
                <w:szCs w:val="24"/>
                <w:highlight w:val="none"/>
              </w:rPr>
              <w:t>人</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得分且投标报价相同的，技术指标较优的一方为</w:t>
            </w:r>
            <w:r>
              <w:rPr>
                <w:rFonts w:hint="eastAsia" w:ascii="宋体" w:hAnsi="宋体" w:eastAsia="宋体" w:cs="宋体"/>
                <w:bCs/>
                <w:color w:val="auto"/>
                <w:sz w:val="24"/>
                <w:szCs w:val="24"/>
                <w:highlight w:val="none"/>
                <w:lang w:eastAsia="zh-CN"/>
              </w:rPr>
              <w:t>中标（成交）</w:t>
            </w:r>
            <w:r>
              <w:rPr>
                <w:rFonts w:hint="eastAsia" w:ascii="宋体" w:hAnsi="宋体" w:eastAsia="宋体" w:cs="宋体"/>
                <w:bCs/>
                <w:color w:val="auto"/>
                <w:sz w:val="24"/>
                <w:szCs w:val="24"/>
                <w:highlight w:val="none"/>
              </w:rPr>
              <w:t>人。</w:t>
            </w:r>
          </w:p>
        </w:tc>
      </w:tr>
      <w:tr w14:paraId="2DB1F5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835" w:type="dxa"/>
            <w:tcBorders>
              <w:top w:val="single" w:color="auto" w:sz="4" w:space="0"/>
              <w:bottom w:val="single" w:color="auto" w:sz="4" w:space="0"/>
              <w:right w:val="single" w:color="auto" w:sz="4" w:space="0"/>
            </w:tcBorders>
            <w:noWrap w:val="0"/>
            <w:vAlign w:val="center"/>
          </w:tcPr>
          <w:p w14:paraId="59636991">
            <w:pPr>
              <w:keepNext w:val="0"/>
              <w:keepLines w:val="0"/>
              <w:pageBreakBefore w:val="0"/>
              <w:widowControl w:val="0"/>
              <w:kinsoku/>
              <w:wordWrap/>
              <w:overflowPunct/>
              <w:topLinePunct w:val="0"/>
              <w:autoSpaceDE/>
              <w:autoSpaceDN/>
              <w:bidi w:val="0"/>
              <w:spacing w:line="30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1687" w:type="dxa"/>
            <w:tcBorders>
              <w:top w:val="single" w:color="auto" w:sz="4" w:space="0"/>
              <w:bottom w:val="single" w:color="auto" w:sz="4" w:space="0"/>
              <w:right w:val="single" w:color="auto" w:sz="4" w:space="0"/>
            </w:tcBorders>
            <w:noWrap w:val="0"/>
            <w:vAlign w:val="center"/>
          </w:tcPr>
          <w:p w14:paraId="51318525">
            <w:pPr>
              <w:keepNext w:val="0"/>
              <w:keepLines w:val="0"/>
              <w:pageBreakBefore w:val="0"/>
              <w:widowControl w:val="0"/>
              <w:kinsoku/>
              <w:wordWrap/>
              <w:overflowPunct/>
              <w:topLinePunct w:val="0"/>
              <w:autoSpaceDE/>
              <w:autoSpaceDN/>
              <w:bidi w:val="0"/>
              <w:spacing w:line="30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交货</w:t>
            </w:r>
            <w:r>
              <w:rPr>
                <w:rFonts w:hint="eastAsia" w:ascii="宋体" w:hAnsi="宋体" w:eastAsia="宋体" w:cs="宋体"/>
                <w:color w:val="auto"/>
                <w:sz w:val="24"/>
                <w:szCs w:val="24"/>
                <w:highlight w:val="none"/>
                <w:lang w:eastAsia="zh-CN"/>
              </w:rPr>
              <w:t>地点</w:t>
            </w:r>
          </w:p>
        </w:tc>
        <w:tc>
          <w:tcPr>
            <w:tcW w:w="7140" w:type="dxa"/>
            <w:tcBorders>
              <w:top w:val="single" w:color="auto" w:sz="4" w:space="0"/>
              <w:left w:val="single" w:color="auto" w:sz="4" w:space="0"/>
              <w:bottom w:val="single" w:color="auto" w:sz="4" w:space="0"/>
            </w:tcBorders>
            <w:noWrap w:val="0"/>
            <w:vAlign w:val="center"/>
          </w:tcPr>
          <w:p w14:paraId="1A57A9CF">
            <w:pPr>
              <w:keepNext w:val="0"/>
              <w:keepLines w:val="0"/>
              <w:pageBreakBefore w:val="0"/>
              <w:widowControl w:val="0"/>
              <w:kinsoku/>
              <w:wordWrap/>
              <w:overflowPunct/>
              <w:topLinePunct w:val="0"/>
              <w:autoSpaceDE/>
              <w:autoSpaceDN/>
              <w:bidi w:val="0"/>
              <w:spacing w:line="30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采购人指定地点。</w:t>
            </w:r>
          </w:p>
        </w:tc>
      </w:tr>
      <w:tr w14:paraId="117F2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835" w:type="dxa"/>
            <w:tcBorders>
              <w:top w:val="single" w:color="auto" w:sz="4" w:space="0"/>
              <w:bottom w:val="single" w:color="auto" w:sz="4" w:space="0"/>
              <w:right w:val="single" w:color="auto" w:sz="4" w:space="0"/>
            </w:tcBorders>
            <w:noWrap w:val="0"/>
            <w:vAlign w:val="center"/>
          </w:tcPr>
          <w:p w14:paraId="352649B1">
            <w:pPr>
              <w:keepNext w:val="0"/>
              <w:keepLines w:val="0"/>
              <w:pageBreakBefore w:val="0"/>
              <w:widowControl w:val="0"/>
              <w:kinsoku/>
              <w:wordWrap/>
              <w:overflowPunct/>
              <w:topLinePunct w:val="0"/>
              <w:autoSpaceDE/>
              <w:autoSpaceDN/>
              <w:bidi w:val="0"/>
              <w:spacing w:line="30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1687" w:type="dxa"/>
            <w:tcBorders>
              <w:top w:val="single" w:color="auto" w:sz="4" w:space="0"/>
              <w:bottom w:val="single" w:color="auto" w:sz="4" w:space="0"/>
              <w:right w:val="single" w:color="auto" w:sz="4" w:space="0"/>
            </w:tcBorders>
            <w:noWrap w:val="0"/>
            <w:vAlign w:val="center"/>
          </w:tcPr>
          <w:p w14:paraId="0C073260">
            <w:pPr>
              <w:keepNext w:val="0"/>
              <w:keepLines w:val="0"/>
              <w:pageBreakBefore w:val="0"/>
              <w:widowControl w:val="0"/>
              <w:kinsoku/>
              <w:wordWrap/>
              <w:overflowPunct/>
              <w:topLinePunct w:val="0"/>
              <w:autoSpaceDE/>
              <w:autoSpaceDN/>
              <w:bidi w:val="0"/>
              <w:spacing w:line="30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合同履约期限</w:t>
            </w:r>
          </w:p>
        </w:tc>
        <w:tc>
          <w:tcPr>
            <w:tcW w:w="7140" w:type="dxa"/>
            <w:tcBorders>
              <w:top w:val="single" w:color="auto" w:sz="4" w:space="0"/>
              <w:left w:val="single" w:color="auto" w:sz="4" w:space="0"/>
              <w:bottom w:val="single" w:color="auto" w:sz="4" w:space="0"/>
            </w:tcBorders>
            <w:noWrap w:val="0"/>
            <w:vAlign w:val="center"/>
          </w:tcPr>
          <w:p w14:paraId="4717F30D">
            <w:pPr>
              <w:keepNext w:val="0"/>
              <w:keepLines w:val="0"/>
              <w:pageBreakBefore w:val="0"/>
              <w:widowControl w:val="0"/>
              <w:kinsoku/>
              <w:wordWrap/>
              <w:overflowPunct/>
              <w:topLinePunct w:val="0"/>
              <w:autoSpaceDE/>
              <w:autoSpaceDN/>
              <w:bidi w:val="0"/>
              <w:spacing w:line="30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自合同签订之日起15日内完成，按甲方指定时间、地点交付合格产品、完成调试验收。</w:t>
            </w:r>
          </w:p>
        </w:tc>
      </w:tr>
      <w:tr w14:paraId="2962DD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835" w:type="dxa"/>
            <w:tcBorders>
              <w:top w:val="single" w:color="auto" w:sz="4" w:space="0"/>
              <w:bottom w:val="single" w:color="auto" w:sz="4" w:space="0"/>
              <w:right w:val="single" w:color="auto" w:sz="4" w:space="0"/>
            </w:tcBorders>
            <w:noWrap w:val="0"/>
            <w:vAlign w:val="center"/>
          </w:tcPr>
          <w:p w14:paraId="35752666">
            <w:pPr>
              <w:keepNext w:val="0"/>
              <w:keepLines w:val="0"/>
              <w:pageBreakBefore w:val="0"/>
              <w:widowControl w:val="0"/>
              <w:kinsoku/>
              <w:wordWrap/>
              <w:overflowPunct/>
              <w:topLinePunct w:val="0"/>
              <w:autoSpaceDE/>
              <w:autoSpaceDN/>
              <w:bidi w:val="0"/>
              <w:spacing w:line="30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1687" w:type="dxa"/>
            <w:tcBorders>
              <w:top w:val="single" w:color="auto" w:sz="4" w:space="0"/>
              <w:bottom w:val="single" w:color="auto" w:sz="4" w:space="0"/>
              <w:right w:val="single" w:color="auto" w:sz="4" w:space="0"/>
            </w:tcBorders>
            <w:noWrap w:val="0"/>
            <w:vAlign w:val="center"/>
          </w:tcPr>
          <w:p w14:paraId="5106C76A">
            <w:pPr>
              <w:keepNext w:val="0"/>
              <w:keepLines w:val="0"/>
              <w:pageBreakBefore w:val="0"/>
              <w:widowControl w:val="0"/>
              <w:kinsoku/>
              <w:wordWrap/>
              <w:overflowPunct/>
              <w:topLinePunct w:val="0"/>
              <w:autoSpaceDE/>
              <w:autoSpaceDN/>
              <w:bidi w:val="0"/>
              <w:spacing w:line="30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质保期</w:t>
            </w:r>
          </w:p>
        </w:tc>
        <w:tc>
          <w:tcPr>
            <w:tcW w:w="7140" w:type="dxa"/>
            <w:tcBorders>
              <w:top w:val="single" w:color="auto" w:sz="4" w:space="0"/>
              <w:left w:val="single" w:color="auto" w:sz="4" w:space="0"/>
              <w:bottom w:val="single" w:color="auto" w:sz="4" w:space="0"/>
            </w:tcBorders>
            <w:noWrap w:val="0"/>
            <w:vAlign w:val="center"/>
          </w:tcPr>
          <w:p w14:paraId="48ED9822">
            <w:pPr>
              <w:keepNext w:val="0"/>
              <w:keepLines w:val="0"/>
              <w:pageBreakBefore w:val="0"/>
              <w:widowControl w:val="0"/>
              <w:kinsoku/>
              <w:wordWrap/>
              <w:overflowPunct/>
              <w:topLinePunct w:val="0"/>
              <w:autoSpaceDE/>
              <w:autoSpaceDN/>
              <w:bidi w:val="0"/>
              <w:spacing w:line="300" w:lineRule="auto"/>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三年。</w:t>
            </w:r>
          </w:p>
        </w:tc>
      </w:tr>
      <w:tr w14:paraId="03255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835" w:type="dxa"/>
            <w:tcBorders>
              <w:top w:val="single" w:color="auto" w:sz="4" w:space="0"/>
              <w:bottom w:val="single" w:color="auto" w:sz="4" w:space="0"/>
              <w:right w:val="single" w:color="auto" w:sz="4" w:space="0"/>
            </w:tcBorders>
            <w:noWrap w:val="0"/>
            <w:vAlign w:val="center"/>
          </w:tcPr>
          <w:p w14:paraId="5BDEDFB0">
            <w:pPr>
              <w:keepNext w:val="0"/>
              <w:keepLines w:val="0"/>
              <w:pageBreakBefore w:val="0"/>
              <w:widowControl w:val="0"/>
              <w:kinsoku/>
              <w:wordWrap/>
              <w:overflowPunct/>
              <w:topLinePunct w:val="0"/>
              <w:autoSpaceDE/>
              <w:autoSpaceDN/>
              <w:bidi w:val="0"/>
              <w:spacing w:line="30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26</w:t>
            </w:r>
          </w:p>
        </w:tc>
        <w:tc>
          <w:tcPr>
            <w:tcW w:w="1687" w:type="dxa"/>
            <w:tcBorders>
              <w:top w:val="single" w:color="auto" w:sz="4" w:space="0"/>
              <w:bottom w:val="single" w:color="auto" w:sz="4" w:space="0"/>
              <w:right w:val="single" w:color="auto" w:sz="4" w:space="0"/>
            </w:tcBorders>
            <w:noWrap w:val="0"/>
            <w:vAlign w:val="center"/>
          </w:tcPr>
          <w:p w14:paraId="21F88188">
            <w:pPr>
              <w:keepNext w:val="0"/>
              <w:keepLines w:val="0"/>
              <w:pageBreakBefore w:val="0"/>
              <w:widowControl w:val="0"/>
              <w:kinsoku/>
              <w:wordWrap/>
              <w:overflowPunct/>
              <w:topLinePunct w:val="0"/>
              <w:autoSpaceDE/>
              <w:autoSpaceDN/>
              <w:bidi w:val="0"/>
              <w:spacing w:line="30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7140" w:type="dxa"/>
            <w:tcBorders>
              <w:top w:val="single" w:color="auto" w:sz="4" w:space="0"/>
              <w:left w:val="single" w:color="auto" w:sz="4" w:space="0"/>
              <w:bottom w:val="single" w:color="auto" w:sz="4" w:space="0"/>
            </w:tcBorders>
            <w:noWrap w:val="0"/>
            <w:vAlign w:val="center"/>
          </w:tcPr>
          <w:p w14:paraId="54118D39">
            <w:pPr>
              <w:keepNext w:val="0"/>
              <w:keepLines w:val="0"/>
              <w:pageBreakBefore w:val="0"/>
              <w:widowControl w:val="0"/>
              <w:kinsoku/>
              <w:wordWrap/>
              <w:overflowPunct/>
              <w:topLinePunct w:val="0"/>
              <w:autoSpaceDE/>
              <w:autoSpaceDN/>
              <w:bidi w:val="0"/>
              <w:spacing w:line="30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合同签订后，乙方完成供货、调试验收，待甲方确认后支付全部货款（最终以双方实际签订合同为准）。</w:t>
            </w:r>
          </w:p>
        </w:tc>
      </w:tr>
      <w:tr w14:paraId="03E5A6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835" w:type="dxa"/>
            <w:tcBorders>
              <w:top w:val="single" w:color="auto" w:sz="4" w:space="0"/>
              <w:bottom w:val="single" w:color="auto" w:sz="4" w:space="0"/>
              <w:right w:val="single" w:color="auto" w:sz="4" w:space="0"/>
            </w:tcBorders>
            <w:noWrap w:val="0"/>
            <w:vAlign w:val="center"/>
          </w:tcPr>
          <w:p w14:paraId="582FADEC">
            <w:pPr>
              <w:keepNext w:val="0"/>
              <w:keepLines w:val="0"/>
              <w:pageBreakBefore w:val="0"/>
              <w:widowControl w:val="0"/>
              <w:kinsoku/>
              <w:wordWrap/>
              <w:overflowPunct/>
              <w:topLinePunct w:val="0"/>
              <w:autoSpaceDE/>
              <w:autoSpaceDN/>
              <w:bidi w:val="0"/>
              <w:spacing w:line="30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27</w:t>
            </w:r>
          </w:p>
        </w:tc>
        <w:tc>
          <w:tcPr>
            <w:tcW w:w="1687" w:type="dxa"/>
            <w:tcBorders>
              <w:top w:val="single" w:color="auto" w:sz="4" w:space="0"/>
              <w:bottom w:val="single" w:color="auto" w:sz="4" w:space="0"/>
              <w:right w:val="single" w:color="auto" w:sz="4" w:space="0"/>
            </w:tcBorders>
            <w:noWrap w:val="0"/>
            <w:vAlign w:val="center"/>
          </w:tcPr>
          <w:p w14:paraId="48FEA7B2">
            <w:pPr>
              <w:keepNext w:val="0"/>
              <w:keepLines w:val="0"/>
              <w:pageBreakBefore w:val="0"/>
              <w:widowControl w:val="0"/>
              <w:kinsoku/>
              <w:wordWrap/>
              <w:overflowPunct/>
              <w:topLinePunct w:val="0"/>
              <w:autoSpaceDE/>
              <w:autoSpaceDN/>
              <w:bidi w:val="0"/>
              <w:spacing w:line="300" w:lineRule="auto"/>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样品提交</w:t>
            </w:r>
          </w:p>
        </w:tc>
        <w:tc>
          <w:tcPr>
            <w:tcW w:w="7140" w:type="dxa"/>
            <w:tcBorders>
              <w:top w:val="single" w:color="auto" w:sz="4" w:space="0"/>
              <w:left w:val="single" w:color="auto" w:sz="4" w:space="0"/>
              <w:bottom w:val="single" w:color="auto" w:sz="4" w:space="0"/>
            </w:tcBorders>
            <w:noWrap w:val="0"/>
            <w:vAlign w:val="center"/>
          </w:tcPr>
          <w:p w14:paraId="79AC46A8">
            <w:pPr>
              <w:keepNext w:val="0"/>
              <w:keepLines w:val="0"/>
              <w:pageBreakBefore w:val="0"/>
              <w:widowControl w:val="0"/>
              <w:kinsoku/>
              <w:wordWrap/>
              <w:overflowPunct/>
              <w:topLinePunct w:val="0"/>
              <w:autoSpaceDE/>
              <w:autoSpaceDN/>
              <w:bidi w:val="0"/>
              <w:spacing w:line="300" w:lineRule="auto"/>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本项目要求供应商提供样品，具体要求详见第三章  采购需求。</w:t>
            </w:r>
            <w:r>
              <w:rPr>
                <w:rFonts w:hint="eastAsia" w:ascii="宋体" w:hAnsi="宋体" w:cs="宋体"/>
                <w:b/>
                <w:bCs/>
                <w:color w:val="auto"/>
                <w:sz w:val="24"/>
                <w:szCs w:val="24"/>
                <w:highlight w:val="none"/>
                <w:lang w:val="en-US" w:eastAsia="zh-CN"/>
              </w:rPr>
              <w:br w:type="textWrapping"/>
            </w:r>
            <w:r>
              <w:rPr>
                <w:rFonts w:hint="eastAsia" w:ascii="宋体" w:hAnsi="宋体" w:cs="宋体"/>
                <w:b/>
                <w:bCs/>
                <w:color w:val="auto"/>
                <w:sz w:val="24"/>
                <w:szCs w:val="24"/>
                <w:highlight w:val="none"/>
                <w:lang w:val="en-US" w:eastAsia="zh-CN"/>
              </w:rPr>
              <w:t>样品提交地址：乌鲁木齐市水磨沟区金科星耀天都一号楼2单元2602室。</w:t>
            </w:r>
          </w:p>
        </w:tc>
      </w:tr>
      <w:tr w14:paraId="56A04E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6" w:hRule="atLeast"/>
          <w:jc w:val="center"/>
        </w:trPr>
        <w:tc>
          <w:tcPr>
            <w:tcW w:w="835" w:type="dxa"/>
            <w:tcBorders>
              <w:top w:val="single" w:color="auto" w:sz="4" w:space="0"/>
              <w:bottom w:val="single" w:color="auto" w:sz="4" w:space="0"/>
              <w:right w:val="single" w:color="auto" w:sz="4" w:space="0"/>
            </w:tcBorders>
            <w:noWrap w:val="0"/>
            <w:vAlign w:val="center"/>
          </w:tcPr>
          <w:p w14:paraId="2F3CCD61">
            <w:pPr>
              <w:keepNext w:val="0"/>
              <w:keepLines w:val="0"/>
              <w:pageBreakBefore w:val="0"/>
              <w:widowControl w:val="0"/>
              <w:kinsoku/>
              <w:wordWrap/>
              <w:overflowPunct/>
              <w:topLinePunct w:val="0"/>
              <w:autoSpaceDE/>
              <w:autoSpaceDN/>
              <w:bidi w:val="0"/>
              <w:spacing w:line="30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28</w:t>
            </w:r>
          </w:p>
        </w:tc>
        <w:tc>
          <w:tcPr>
            <w:tcW w:w="1687" w:type="dxa"/>
            <w:tcBorders>
              <w:top w:val="single" w:color="auto" w:sz="4" w:space="0"/>
              <w:bottom w:val="single" w:color="auto" w:sz="4" w:space="0"/>
              <w:right w:val="single" w:color="auto" w:sz="4" w:space="0"/>
            </w:tcBorders>
            <w:noWrap w:val="0"/>
            <w:vAlign w:val="center"/>
          </w:tcPr>
          <w:p w14:paraId="1907236F">
            <w:pPr>
              <w:keepNext w:val="0"/>
              <w:keepLines w:val="0"/>
              <w:pageBreakBefore w:val="0"/>
              <w:widowControl w:val="0"/>
              <w:kinsoku/>
              <w:wordWrap/>
              <w:overflowPunct/>
              <w:topLinePunct w:val="0"/>
              <w:autoSpaceDE/>
              <w:autoSpaceDN/>
              <w:bidi w:val="0"/>
              <w:spacing w:line="30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w:t>
            </w:r>
          </w:p>
          <w:p w14:paraId="767426B2">
            <w:pPr>
              <w:keepNext w:val="0"/>
              <w:keepLines w:val="0"/>
              <w:pageBreakBefore w:val="0"/>
              <w:widowControl w:val="0"/>
              <w:kinsoku/>
              <w:wordWrap/>
              <w:overflowPunct/>
              <w:topLinePunct w:val="0"/>
              <w:autoSpaceDE/>
              <w:autoSpaceDN/>
              <w:bidi w:val="0"/>
              <w:spacing w:line="30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服务费</w:t>
            </w:r>
          </w:p>
        </w:tc>
        <w:tc>
          <w:tcPr>
            <w:tcW w:w="7140" w:type="dxa"/>
            <w:tcBorders>
              <w:top w:val="single" w:color="auto" w:sz="4" w:space="0"/>
              <w:left w:val="single" w:color="auto" w:sz="4" w:space="0"/>
              <w:bottom w:val="single" w:color="auto" w:sz="4" w:space="0"/>
            </w:tcBorders>
            <w:noWrap w:val="0"/>
            <w:vAlign w:val="center"/>
          </w:tcPr>
          <w:p w14:paraId="24DE5785">
            <w:pPr>
              <w:keepNext w:val="0"/>
              <w:keepLines w:val="0"/>
              <w:pageBreakBefore w:val="0"/>
              <w:widowControl w:val="0"/>
              <w:kinsoku/>
              <w:wordWrap/>
              <w:overflowPunct/>
              <w:topLinePunct w:val="0"/>
              <w:autoSpaceDE/>
              <w:autoSpaceDN/>
              <w:bidi w:val="0"/>
              <w:snapToGrid w:val="0"/>
              <w:spacing w:line="300" w:lineRule="auto"/>
              <w:ind w:right="105" w:rightChars="5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按照差额定率累进法计算，标准如下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货物招标：100万元以下，费率为1.5%；100-500万元，费率为1.1%；500-1000万元，费率为0.8%；1000-5000万元，费率为0.5%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由中标</w:t>
            </w:r>
            <w:r>
              <w:rPr>
                <w:rFonts w:hint="eastAsia" w:ascii="宋体" w:hAnsi="宋体" w:eastAsia="宋体" w:cs="宋体"/>
                <w:color w:val="auto"/>
                <w:sz w:val="24"/>
                <w:szCs w:val="24"/>
                <w:highlight w:val="none"/>
                <w:lang w:eastAsia="zh-CN"/>
              </w:rPr>
              <w:t>人在领取中标通知书前</w:t>
            </w:r>
            <w:r>
              <w:rPr>
                <w:rFonts w:hint="eastAsia" w:ascii="宋体" w:hAnsi="宋体" w:eastAsia="宋体" w:cs="宋体"/>
                <w:color w:val="auto"/>
                <w:sz w:val="24"/>
                <w:szCs w:val="24"/>
                <w:highlight w:val="none"/>
              </w:rPr>
              <w:t>向</w:t>
            </w:r>
            <w:r>
              <w:rPr>
                <w:rFonts w:hint="default" w:ascii="宋体" w:hAnsi="宋体" w:eastAsia="宋体" w:cs="宋体"/>
                <w:color w:val="auto"/>
                <w:sz w:val="24"/>
                <w:szCs w:val="24"/>
                <w:highlight w:val="none"/>
                <w:lang w:val="en-US" w:eastAsia="zh-CN"/>
              </w:rPr>
              <w:t>新疆华展鑫荣项目管理咨询有限公司</w:t>
            </w:r>
            <w:r>
              <w:rPr>
                <w:rFonts w:hint="eastAsia" w:ascii="宋体" w:hAnsi="宋体" w:eastAsia="宋体" w:cs="宋体"/>
                <w:color w:val="auto"/>
                <w:sz w:val="24"/>
                <w:szCs w:val="24"/>
                <w:highlight w:val="none"/>
              </w:rPr>
              <w:t>支付。</w:t>
            </w:r>
          </w:p>
        </w:tc>
      </w:tr>
      <w:tr w14:paraId="1AADC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835" w:type="dxa"/>
            <w:tcBorders>
              <w:top w:val="single" w:color="auto" w:sz="4" w:space="0"/>
              <w:bottom w:val="single" w:color="auto" w:sz="4" w:space="0"/>
              <w:right w:val="single" w:color="auto" w:sz="4" w:space="0"/>
            </w:tcBorders>
            <w:noWrap w:val="0"/>
            <w:vAlign w:val="center"/>
          </w:tcPr>
          <w:p w14:paraId="3826251C">
            <w:pPr>
              <w:keepNext w:val="0"/>
              <w:keepLines w:val="0"/>
              <w:pageBreakBefore w:val="0"/>
              <w:widowControl w:val="0"/>
              <w:kinsoku/>
              <w:wordWrap/>
              <w:overflowPunct/>
              <w:topLinePunct w:val="0"/>
              <w:autoSpaceDE/>
              <w:autoSpaceDN/>
              <w:bidi w:val="0"/>
              <w:spacing w:line="300" w:lineRule="auto"/>
              <w:jc w:val="center"/>
              <w:textAlignment w:val="auto"/>
              <w:rPr>
                <w:rFonts w:hint="default" w:ascii="宋体" w:hAnsi="宋体" w:eastAsia="宋体" w:cs="宋体"/>
                <w:color w:val="auto"/>
                <w:kern w:val="2"/>
                <w:sz w:val="24"/>
                <w:szCs w:val="24"/>
                <w:highlight w:val="none"/>
                <w:lang w:val="en-US" w:eastAsia="zh-CN" w:bidi="ar-SA"/>
              </w:rPr>
            </w:pPr>
            <w:bookmarkStart w:id="13" w:name="_Toc267301282"/>
            <w:bookmarkStart w:id="14" w:name="_Toc349573121"/>
            <w:bookmarkStart w:id="15" w:name="_Toc12816"/>
            <w:bookmarkStart w:id="16" w:name="_Toc349637920"/>
            <w:bookmarkStart w:id="17" w:name="_Toc298240405"/>
            <w:bookmarkStart w:id="18" w:name="_Toc267301283"/>
            <w:bookmarkStart w:id="19" w:name="_Toc349637921"/>
            <w:bookmarkStart w:id="20" w:name="_Toc349573122"/>
            <w:bookmarkStart w:id="21" w:name="_Toc298240406"/>
            <w:r>
              <w:rPr>
                <w:rFonts w:hint="eastAsia" w:ascii="宋体" w:hAnsi="宋体" w:cs="宋体"/>
                <w:color w:val="auto"/>
                <w:sz w:val="24"/>
                <w:szCs w:val="24"/>
                <w:highlight w:val="none"/>
                <w:lang w:val="en-US" w:eastAsia="zh-CN"/>
              </w:rPr>
              <w:t>29</w:t>
            </w:r>
          </w:p>
        </w:tc>
        <w:tc>
          <w:tcPr>
            <w:tcW w:w="1687" w:type="dxa"/>
            <w:tcBorders>
              <w:top w:val="single" w:color="auto" w:sz="4" w:space="0"/>
              <w:bottom w:val="single" w:color="auto" w:sz="4" w:space="0"/>
              <w:right w:val="single" w:color="auto" w:sz="4" w:space="0"/>
            </w:tcBorders>
            <w:noWrap w:val="0"/>
            <w:vAlign w:val="center"/>
          </w:tcPr>
          <w:p w14:paraId="5091F177">
            <w:pPr>
              <w:pStyle w:val="12"/>
              <w:keepNext w:val="0"/>
              <w:keepLines w:val="0"/>
              <w:pageBreakBefore w:val="0"/>
              <w:widowControl w:val="0"/>
              <w:kinsoku/>
              <w:wordWrap/>
              <w:overflowPunct/>
              <w:topLinePunct w:val="0"/>
              <w:autoSpaceDE/>
              <w:autoSpaceDN/>
              <w:bidi w:val="0"/>
              <w:adjustRightInd w:val="0"/>
              <w:snapToGrid w:val="0"/>
              <w:spacing w:line="300" w:lineRule="auto"/>
              <w:ind w:left="480" w:leftChars="0" w:hanging="480" w:hangingChars="200"/>
              <w:contextualSpacing/>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val="0"/>
                <w:bCs/>
                <w:snapToGrid w:val="0"/>
                <w:color w:val="auto"/>
                <w:kern w:val="0"/>
                <w:sz w:val="24"/>
                <w:szCs w:val="24"/>
                <w:highlight w:val="none"/>
              </w:rPr>
              <w:t>答疑澄清</w:t>
            </w:r>
          </w:p>
        </w:tc>
        <w:tc>
          <w:tcPr>
            <w:tcW w:w="7140" w:type="dxa"/>
            <w:tcBorders>
              <w:top w:val="single" w:color="auto" w:sz="4" w:space="0"/>
              <w:left w:val="single" w:color="auto" w:sz="4" w:space="0"/>
              <w:bottom w:val="single" w:color="auto" w:sz="4" w:space="0"/>
            </w:tcBorders>
            <w:noWrap w:val="0"/>
            <w:vAlign w:val="center"/>
          </w:tcPr>
          <w:p w14:paraId="3DEC5C32">
            <w:pPr>
              <w:keepNext w:val="0"/>
              <w:keepLines w:val="0"/>
              <w:pageBreakBefore w:val="0"/>
              <w:widowControl w:val="0"/>
              <w:kinsoku/>
              <w:wordWrap/>
              <w:overflowPunct/>
              <w:topLinePunct w:val="0"/>
              <w:autoSpaceDE/>
              <w:autoSpaceDN/>
              <w:bidi w:val="0"/>
              <w:snapToGrid w:val="0"/>
              <w:spacing w:line="300" w:lineRule="auto"/>
              <w:ind w:right="105" w:rightChars="5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1.采购人对已发出的招标文件进行必要的澄清或者修改的，应当在招标文件要求递交投标文件截止时间至少15日前，以书面形式通知所有招标文件收受人。该澄清或者修改的内容为招标文件的组成部分。</w:t>
            </w:r>
          </w:p>
          <w:p w14:paraId="68725A8E">
            <w:pPr>
              <w:keepNext w:val="0"/>
              <w:keepLines w:val="0"/>
              <w:pageBreakBefore w:val="0"/>
              <w:widowControl w:val="0"/>
              <w:kinsoku/>
              <w:wordWrap/>
              <w:overflowPunct/>
              <w:topLinePunct w:val="0"/>
              <w:autoSpaceDE/>
              <w:autoSpaceDN/>
              <w:bidi w:val="0"/>
              <w:snapToGrid w:val="0"/>
              <w:spacing w:line="300" w:lineRule="auto"/>
              <w:ind w:right="105" w:rightChars="5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2.供应商对招标文件有异议的，应当在投标截止时间10日前提出。采购代理机构在收到书面答疑函后3个工作日内根据澄清或答疑函的具体内容相应作出答复，答复内容不得涉及商业秘密。</w:t>
            </w:r>
          </w:p>
        </w:tc>
      </w:tr>
      <w:tr w14:paraId="0B293F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2" w:hRule="atLeast"/>
          <w:jc w:val="center"/>
        </w:trPr>
        <w:tc>
          <w:tcPr>
            <w:tcW w:w="835" w:type="dxa"/>
            <w:tcBorders>
              <w:top w:val="single" w:color="auto" w:sz="4" w:space="0"/>
              <w:bottom w:val="single" w:color="auto" w:sz="4" w:space="0"/>
              <w:right w:val="single" w:color="auto" w:sz="4" w:space="0"/>
            </w:tcBorders>
            <w:noWrap w:val="0"/>
            <w:vAlign w:val="center"/>
          </w:tcPr>
          <w:p w14:paraId="3C7BFFDA">
            <w:pPr>
              <w:keepNext w:val="0"/>
              <w:keepLines w:val="0"/>
              <w:pageBreakBefore w:val="0"/>
              <w:widowControl w:val="0"/>
              <w:kinsoku/>
              <w:wordWrap/>
              <w:overflowPunct/>
              <w:topLinePunct w:val="0"/>
              <w:autoSpaceDE/>
              <w:autoSpaceDN/>
              <w:bidi w:val="0"/>
              <w:spacing w:line="300" w:lineRule="auto"/>
              <w:jc w:val="center"/>
              <w:textAlignment w:val="auto"/>
              <w:rPr>
                <w:rFonts w:hint="default" w:ascii="宋体" w:hAnsi="宋体" w:eastAsia="宋体" w:cs="宋体"/>
                <w:color w:val="auto"/>
                <w:sz w:val="24"/>
                <w:szCs w:val="24"/>
                <w:highlight w:val="none"/>
                <w:lang w:val="en-US" w:eastAsia="zh-CN"/>
              </w:rPr>
            </w:pPr>
            <w:bookmarkStart w:id="22" w:name="_Toc14386"/>
            <w:bookmarkStart w:id="23" w:name="_Toc19157"/>
            <w:r>
              <w:rPr>
                <w:rFonts w:hint="eastAsia" w:ascii="宋体" w:hAnsi="宋体" w:cs="宋体"/>
                <w:color w:val="auto"/>
                <w:sz w:val="24"/>
                <w:szCs w:val="24"/>
                <w:highlight w:val="none"/>
                <w:lang w:val="en-US" w:eastAsia="zh-CN"/>
              </w:rPr>
              <w:t>30</w:t>
            </w:r>
          </w:p>
        </w:tc>
        <w:tc>
          <w:tcPr>
            <w:tcW w:w="1687" w:type="dxa"/>
            <w:tcBorders>
              <w:top w:val="single" w:color="auto" w:sz="4" w:space="0"/>
              <w:bottom w:val="single" w:color="auto" w:sz="4" w:space="0"/>
              <w:right w:val="single" w:color="auto" w:sz="4" w:space="0"/>
            </w:tcBorders>
            <w:noWrap w:val="0"/>
            <w:vAlign w:val="center"/>
          </w:tcPr>
          <w:p w14:paraId="039449D1">
            <w:pPr>
              <w:pStyle w:val="12"/>
              <w:keepNext w:val="0"/>
              <w:keepLines w:val="0"/>
              <w:pageBreakBefore w:val="0"/>
              <w:widowControl w:val="0"/>
              <w:kinsoku/>
              <w:wordWrap/>
              <w:overflowPunct/>
              <w:topLinePunct w:val="0"/>
              <w:autoSpaceDE/>
              <w:autoSpaceDN/>
              <w:bidi w:val="0"/>
              <w:adjustRightInd w:val="0"/>
              <w:snapToGrid w:val="0"/>
              <w:spacing w:line="300" w:lineRule="auto"/>
              <w:ind w:firstLine="0" w:firstLineChars="0"/>
              <w:contextualSpacing/>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sz w:val="24"/>
                <w:highlight w:val="none"/>
              </w:rPr>
              <w:t>低于成本价不正当竞争预防措施</w:t>
            </w:r>
          </w:p>
        </w:tc>
        <w:tc>
          <w:tcPr>
            <w:tcW w:w="7140" w:type="dxa"/>
            <w:tcBorders>
              <w:top w:val="single" w:color="auto" w:sz="4" w:space="0"/>
              <w:left w:val="single" w:color="auto" w:sz="4" w:space="0"/>
              <w:bottom w:val="single" w:color="auto" w:sz="4" w:space="0"/>
            </w:tcBorders>
            <w:noWrap w:val="0"/>
            <w:vAlign w:val="center"/>
          </w:tcPr>
          <w:p w14:paraId="034D4730">
            <w:pPr>
              <w:pStyle w:val="12"/>
              <w:keepNext w:val="0"/>
              <w:keepLines w:val="0"/>
              <w:pageBreakBefore w:val="0"/>
              <w:widowControl w:val="0"/>
              <w:kinsoku/>
              <w:wordWrap/>
              <w:overflowPunct/>
              <w:topLinePunct w:val="0"/>
              <w:autoSpaceDE/>
              <w:autoSpaceDN/>
              <w:bidi w:val="0"/>
              <w:adjustRightInd w:val="0"/>
              <w:snapToGrid w:val="0"/>
              <w:spacing w:line="300" w:lineRule="auto"/>
              <w:ind w:firstLine="0" w:firstLineChars="0"/>
              <w:contextualSpacing/>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sz w:val="24"/>
                <w:highlight w:val="none"/>
              </w:rPr>
              <w:t>在评审过程中，评审小组认为</w:t>
            </w:r>
            <w:r>
              <w:rPr>
                <w:rFonts w:hint="eastAsia" w:ascii="宋体" w:hAnsi="宋体" w:cs="宋体"/>
                <w:color w:val="auto"/>
                <w:sz w:val="24"/>
                <w:highlight w:val="none"/>
                <w:lang w:eastAsia="zh-CN"/>
              </w:rPr>
              <w:t>投标供应商</w:t>
            </w:r>
            <w:r>
              <w:rPr>
                <w:rFonts w:hint="eastAsia" w:ascii="宋体" w:hAnsi="宋体" w:cs="宋体"/>
                <w:color w:val="auto"/>
                <w:sz w:val="24"/>
                <w:highlight w:val="none"/>
              </w:rPr>
              <w:t>的报价明显低于其他通过符合性审查</w:t>
            </w:r>
            <w:r>
              <w:rPr>
                <w:rFonts w:hint="eastAsia" w:ascii="宋体" w:hAnsi="宋体" w:cs="宋体"/>
                <w:color w:val="auto"/>
                <w:sz w:val="24"/>
                <w:highlight w:val="none"/>
                <w:lang w:eastAsia="zh-CN"/>
              </w:rPr>
              <w:t>投标供应商</w:t>
            </w:r>
            <w:r>
              <w:rPr>
                <w:rFonts w:hint="eastAsia" w:ascii="宋体" w:hAnsi="宋体" w:cs="宋体"/>
                <w:color w:val="auto"/>
                <w:sz w:val="24"/>
                <w:highlight w:val="none"/>
              </w:rPr>
              <w:t>的报价，有可能影响产品质量或者不能诚信履约的，应当要求其在合理的时间内提供书面说明，必要时提交相关证明材料；</w:t>
            </w:r>
            <w:r>
              <w:rPr>
                <w:rFonts w:hint="eastAsia" w:ascii="宋体" w:hAnsi="宋体" w:cs="宋体"/>
                <w:color w:val="auto"/>
                <w:sz w:val="24"/>
                <w:highlight w:val="none"/>
                <w:lang w:eastAsia="zh-CN"/>
              </w:rPr>
              <w:t>投标供应商</w:t>
            </w:r>
            <w:r>
              <w:rPr>
                <w:rFonts w:hint="eastAsia" w:ascii="宋体" w:hAnsi="宋体" w:cs="宋体"/>
                <w:color w:val="auto"/>
                <w:sz w:val="24"/>
                <w:highlight w:val="none"/>
              </w:rPr>
              <w:t>不能证明其报价合理性的，评审小组应当将其作为无效投标处理。</w:t>
            </w:r>
          </w:p>
        </w:tc>
      </w:tr>
      <w:tr w14:paraId="63B7F9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835" w:type="dxa"/>
            <w:tcBorders>
              <w:top w:val="single" w:color="auto" w:sz="4" w:space="0"/>
              <w:bottom w:val="single" w:color="auto" w:sz="4" w:space="0"/>
              <w:right w:val="single" w:color="auto" w:sz="4" w:space="0"/>
            </w:tcBorders>
            <w:noWrap w:val="0"/>
            <w:vAlign w:val="center"/>
          </w:tcPr>
          <w:p w14:paraId="083B4C12">
            <w:pPr>
              <w:keepNext w:val="0"/>
              <w:keepLines w:val="0"/>
              <w:pageBreakBefore w:val="0"/>
              <w:widowControl w:val="0"/>
              <w:kinsoku/>
              <w:wordWrap/>
              <w:overflowPunct/>
              <w:topLinePunct w:val="0"/>
              <w:autoSpaceDE/>
              <w:autoSpaceDN/>
              <w:bidi w:val="0"/>
              <w:spacing w:line="30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w:t>
            </w:r>
          </w:p>
        </w:tc>
        <w:tc>
          <w:tcPr>
            <w:tcW w:w="1687" w:type="dxa"/>
            <w:tcBorders>
              <w:top w:val="single" w:color="auto" w:sz="4" w:space="0"/>
              <w:bottom w:val="single" w:color="auto" w:sz="4" w:space="0"/>
              <w:right w:val="single" w:color="auto" w:sz="4" w:space="0"/>
            </w:tcBorders>
            <w:noWrap w:val="0"/>
            <w:vAlign w:val="center"/>
          </w:tcPr>
          <w:p w14:paraId="29F14732">
            <w:pPr>
              <w:pStyle w:val="12"/>
              <w:keepNext w:val="0"/>
              <w:keepLines w:val="0"/>
              <w:pageBreakBefore w:val="0"/>
              <w:widowControl w:val="0"/>
              <w:kinsoku/>
              <w:wordWrap/>
              <w:overflowPunct/>
              <w:topLinePunct w:val="0"/>
              <w:autoSpaceDE/>
              <w:autoSpaceDN/>
              <w:bidi w:val="0"/>
              <w:adjustRightInd w:val="0"/>
              <w:snapToGrid w:val="0"/>
              <w:spacing w:line="300" w:lineRule="auto"/>
              <w:ind w:left="482" w:hanging="480" w:hangingChars="200"/>
              <w:contextualSpacing/>
              <w:jc w:val="center"/>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注意</w:t>
            </w:r>
          </w:p>
          <w:p w14:paraId="5B89B2C6">
            <w:pPr>
              <w:pStyle w:val="12"/>
              <w:keepNext w:val="0"/>
              <w:keepLines w:val="0"/>
              <w:pageBreakBefore w:val="0"/>
              <w:widowControl w:val="0"/>
              <w:kinsoku/>
              <w:wordWrap/>
              <w:overflowPunct/>
              <w:topLinePunct w:val="0"/>
              <w:autoSpaceDE/>
              <w:autoSpaceDN/>
              <w:bidi w:val="0"/>
              <w:adjustRightInd w:val="0"/>
              <w:snapToGrid w:val="0"/>
              <w:spacing w:line="300" w:lineRule="auto"/>
              <w:ind w:left="480" w:leftChars="0" w:hanging="480" w:hangingChars="200"/>
              <w:contextualSpacing/>
              <w:jc w:val="center"/>
              <w:textAlignment w:val="auto"/>
              <w:rPr>
                <w:rFonts w:hint="eastAsia" w:ascii="宋体" w:hAnsi="宋体" w:eastAsia="宋体" w:cs="宋体"/>
                <w:b/>
                <w:bCs w:val="0"/>
                <w:snapToGrid w:val="0"/>
                <w:color w:val="auto"/>
                <w:kern w:val="0"/>
                <w:sz w:val="24"/>
                <w:szCs w:val="24"/>
                <w:highlight w:val="none"/>
                <w:lang w:val="en-US" w:eastAsia="zh-CN" w:bidi="ar-SA"/>
              </w:rPr>
            </w:pPr>
            <w:r>
              <w:rPr>
                <w:rFonts w:hint="eastAsia" w:ascii="宋体" w:hAnsi="宋体" w:cs="宋体"/>
                <w:b/>
                <w:bCs/>
                <w:color w:val="auto"/>
                <w:sz w:val="24"/>
                <w:highlight w:val="none"/>
              </w:rPr>
              <w:t>事项</w:t>
            </w:r>
          </w:p>
        </w:tc>
        <w:tc>
          <w:tcPr>
            <w:tcW w:w="7140" w:type="dxa"/>
            <w:tcBorders>
              <w:top w:val="single" w:color="auto" w:sz="4" w:space="0"/>
              <w:left w:val="single" w:color="auto" w:sz="4" w:space="0"/>
              <w:bottom w:val="single" w:color="auto" w:sz="4" w:space="0"/>
            </w:tcBorders>
            <w:noWrap w:val="0"/>
            <w:vAlign w:val="center"/>
          </w:tcPr>
          <w:p w14:paraId="3DBDF886">
            <w:pPr>
              <w:pStyle w:val="12"/>
              <w:keepNext w:val="0"/>
              <w:keepLines w:val="0"/>
              <w:pageBreakBefore w:val="0"/>
              <w:widowControl w:val="0"/>
              <w:kinsoku/>
              <w:wordWrap/>
              <w:overflowPunct/>
              <w:topLinePunct w:val="0"/>
              <w:autoSpaceDE/>
              <w:autoSpaceDN/>
              <w:bidi w:val="0"/>
              <w:adjustRightInd w:val="0"/>
              <w:snapToGrid w:val="0"/>
              <w:spacing w:line="300" w:lineRule="auto"/>
              <w:ind w:firstLine="0" w:firstLineChars="0"/>
              <w:contextualSpacing/>
              <w:textAlignment w:val="auto"/>
              <w:rPr>
                <w:rFonts w:hint="eastAsia" w:ascii="宋体" w:hAnsi="宋体" w:cs="宋体"/>
                <w:color w:val="auto"/>
                <w:sz w:val="24"/>
                <w:highlight w:val="none"/>
              </w:rPr>
            </w:pPr>
            <w:r>
              <w:rPr>
                <w:rFonts w:hint="eastAsia" w:ascii="宋体" w:hAnsi="宋体" w:cs="宋体"/>
                <w:color w:val="auto"/>
                <w:sz w:val="24"/>
                <w:highlight w:val="none"/>
              </w:rPr>
              <w:t>1.根据《财政部关于在政府采购活动中查询及使用信用记录有关问题的通知》财库〔2016〕125号文规定，须通过“信用中国”（</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"qq://txfile/"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www.creditchina.gov.cn</w:t>
            </w:r>
            <w:r>
              <w:rPr>
                <w:rFonts w:hint="eastAsia" w:ascii="宋体" w:hAnsi="宋体" w:cs="宋体"/>
                <w:color w:val="auto"/>
                <w:sz w:val="24"/>
                <w:highlight w:val="none"/>
              </w:rPr>
              <w:fldChar w:fldCharType="end"/>
            </w:r>
            <w:r>
              <w:rPr>
                <w:rFonts w:hint="eastAsia" w:ascii="宋体" w:hAnsi="宋体" w:cs="宋体"/>
                <w:color w:val="auto"/>
                <w:sz w:val="24"/>
                <w:highlight w:val="none"/>
              </w:rPr>
              <w:t>）、中国政府采购网（</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"qq://txfile/"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www.ccgp.gov.cn</w:t>
            </w:r>
            <w:r>
              <w:rPr>
                <w:rFonts w:hint="eastAsia" w:ascii="宋体" w:hAnsi="宋体" w:cs="宋体"/>
                <w:color w:val="auto"/>
                <w:sz w:val="24"/>
                <w:highlight w:val="none"/>
              </w:rPr>
              <w:fldChar w:fldCharType="end"/>
            </w:r>
            <w:r>
              <w:rPr>
                <w:rFonts w:hint="eastAsia" w:ascii="宋体" w:hAnsi="宋体" w:cs="宋体"/>
                <w:color w:val="auto"/>
                <w:sz w:val="24"/>
                <w:highlight w:val="none"/>
              </w:rPr>
              <w:t>）等渠道查询供应商主体信用记录。</w:t>
            </w:r>
          </w:p>
          <w:p w14:paraId="59EE7A52">
            <w:pPr>
              <w:pStyle w:val="12"/>
              <w:keepNext w:val="0"/>
              <w:keepLines w:val="0"/>
              <w:pageBreakBefore w:val="0"/>
              <w:widowControl w:val="0"/>
              <w:kinsoku/>
              <w:wordWrap/>
              <w:overflowPunct/>
              <w:topLinePunct w:val="0"/>
              <w:autoSpaceDE/>
              <w:autoSpaceDN/>
              <w:bidi w:val="0"/>
              <w:adjustRightInd w:val="0"/>
              <w:snapToGrid w:val="0"/>
              <w:spacing w:line="300" w:lineRule="auto"/>
              <w:ind w:firstLine="0" w:firstLineChars="0"/>
              <w:contextualSpacing/>
              <w:textAlignment w:val="auto"/>
              <w:rPr>
                <w:rFonts w:hint="eastAsia" w:ascii="宋体" w:hAnsi="宋体" w:cs="宋体"/>
                <w:color w:val="auto"/>
                <w:sz w:val="24"/>
                <w:highlight w:val="none"/>
              </w:rPr>
            </w:pPr>
            <w:r>
              <w:rPr>
                <w:rFonts w:hint="eastAsia" w:ascii="宋体" w:hAnsi="宋体" w:cs="宋体"/>
                <w:color w:val="auto"/>
                <w:sz w:val="24"/>
                <w:highlight w:val="none"/>
              </w:rPr>
              <w:t>2.签字、盖章要求：(1)供应商资格证明材料、法定代表人身份证明或授权书应加盖供应商公章；(2)其他证明供应商资格的文件或证明材料应加盖供应商公章，样式可参照“投标文件格式”编制；(3)采购文件中明确要求盖章或签字的，必须盖章或签字。</w:t>
            </w:r>
          </w:p>
          <w:p w14:paraId="51644B9E">
            <w:pPr>
              <w:pStyle w:val="12"/>
              <w:keepNext w:val="0"/>
              <w:keepLines w:val="0"/>
              <w:pageBreakBefore w:val="0"/>
              <w:widowControl w:val="0"/>
              <w:kinsoku/>
              <w:wordWrap/>
              <w:overflowPunct/>
              <w:topLinePunct w:val="0"/>
              <w:autoSpaceDE/>
              <w:autoSpaceDN/>
              <w:bidi w:val="0"/>
              <w:adjustRightInd w:val="0"/>
              <w:snapToGrid w:val="0"/>
              <w:spacing w:line="300" w:lineRule="auto"/>
              <w:ind w:firstLine="0" w:firstLineChars="0"/>
              <w:contextualSpacing/>
              <w:textAlignment w:val="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投标供应商</w:t>
            </w:r>
            <w:r>
              <w:rPr>
                <w:rFonts w:hint="eastAsia" w:ascii="宋体" w:hAnsi="宋体" w:cs="宋体"/>
                <w:color w:val="auto"/>
                <w:sz w:val="24"/>
                <w:highlight w:val="none"/>
              </w:rPr>
              <w:t>提供的投标文件应当使用采购文件所提供投标文件格式（表格可按照同样格式扩展）。未提供格式的，需要时由</w:t>
            </w:r>
            <w:r>
              <w:rPr>
                <w:rFonts w:hint="eastAsia" w:ascii="宋体" w:hAnsi="宋体" w:cs="宋体"/>
                <w:color w:val="auto"/>
                <w:sz w:val="24"/>
                <w:highlight w:val="none"/>
                <w:lang w:eastAsia="zh-CN"/>
              </w:rPr>
              <w:t>投标供应商</w:t>
            </w:r>
            <w:r>
              <w:rPr>
                <w:rFonts w:hint="eastAsia" w:ascii="宋体" w:hAnsi="宋体" w:cs="宋体"/>
                <w:color w:val="auto"/>
                <w:sz w:val="24"/>
                <w:highlight w:val="none"/>
              </w:rPr>
              <w:t>用文字或者表格、图片等其它形式提供。</w:t>
            </w:r>
          </w:p>
          <w:p w14:paraId="256C76F7">
            <w:pPr>
              <w:pStyle w:val="12"/>
              <w:keepNext w:val="0"/>
              <w:keepLines w:val="0"/>
              <w:pageBreakBefore w:val="0"/>
              <w:widowControl w:val="0"/>
              <w:kinsoku/>
              <w:wordWrap/>
              <w:overflowPunct/>
              <w:topLinePunct w:val="0"/>
              <w:autoSpaceDE/>
              <w:autoSpaceDN/>
              <w:bidi w:val="0"/>
              <w:adjustRightInd w:val="0"/>
              <w:snapToGrid w:val="0"/>
              <w:spacing w:line="300" w:lineRule="auto"/>
              <w:ind w:firstLine="0" w:firstLineChars="0"/>
              <w:contextualSpacing/>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sz w:val="24"/>
                <w:highlight w:val="none"/>
              </w:rPr>
              <w:t>4.单位负责人为同一人或者存在直接控股、管理关系的不同</w:t>
            </w:r>
            <w:r>
              <w:rPr>
                <w:rFonts w:hint="eastAsia" w:ascii="宋体" w:hAnsi="宋体" w:cs="宋体"/>
                <w:color w:val="auto"/>
                <w:sz w:val="24"/>
                <w:highlight w:val="none"/>
                <w:lang w:eastAsia="zh-CN"/>
              </w:rPr>
              <w:t>投标供应商</w:t>
            </w:r>
            <w:r>
              <w:rPr>
                <w:rFonts w:hint="eastAsia" w:ascii="宋体" w:hAnsi="宋体" w:cs="宋体"/>
                <w:color w:val="auto"/>
                <w:sz w:val="24"/>
                <w:highlight w:val="none"/>
              </w:rPr>
              <w:t>，不得参加同一合同项下的政府采购活动。除单一来源采购项目外，为采购项目提供整体设计、规范编制或者项目管理、监理、检测等服务的</w:t>
            </w:r>
            <w:r>
              <w:rPr>
                <w:rFonts w:hint="eastAsia" w:ascii="宋体" w:hAnsi="宋体" w:cs="宋体"/>
                <w:color w:val="auto"/>
                <w:sz w:val="24"/>
                <w:highlight w:val="none"/>
                <w:lang w:eastAsia="zh-CN"/>
              </w:rPr>
              <w:t>投标供应商</w:t>
            </w:r>
            <w:r>
              <w:rPr>
                <w:rFonts w:hint="eastAsia" w:ascii="宋体" w:hAnsi="宋体" w:cs="宋体"/>
                <w:color w:val="auto"/>
                <w:sz w:val="24"/>
                <w:highlight w:val="none"/>
              </w:rPr>
              <w:t>，不得再参加该采购项目的其他采购活动。</w:t>
            </w:r>
          </w:p>
        </w:tc>
      </w:tr>
    </w:tbl>
    <w:p w14:paraId="717C7E43">
      <w:pPr>
        <w:spacing w:line="440" w:lineRule="exac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注：</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本表内容与</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其它内容不一致的，以本表内容为准。</w:t>
      </w:r>
    </w:p>
    <w:p w14:paraId="61DA98F1">
      <w:pPr>
        <w:numPr>
          <w:ilvl w:val="0"/>
          <w:numId w:val="3"/>
        </w:numPr>
        <w:spacing w:line="440" w:lineRule="exact"/>
        <w:ind w:left="0" w:leftChars="0"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本表中“</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eq \o\ac(</w:instrText>
      </w:r>
      <w:r>
        <w:rPr>
          <w:rFonts w:hint="eastAsia" w:ascii="宋体" w:hAnsi="宋体" w:eastAsia="宋体" w:cs="宋体"/>
          <w:color w:val="auto"/>
          <w:kern w:val="0"/>
          <w:position w:val="-4"/>
          <w:sz w:val="36"/>
          <w:szCs w:val="24"/>
          <w:highlight w:val="none"/>
        </w:rPr>
        <w:instrText xml:space="preserve">□</w:instrText>
      </w:r>
      <w:r>
        <w:rPr>
          <w:rFonts w:hint="eastAsia" w:ascii="宋体" w:hAnsi="宋体" w:eastAsia="宋体" w:cs="宋体"/>
          <w:color w:val="auto"/>
          <w:kern w:val="0"/>
          <w:sz w:val="24"/>
          <w:szCs w:val="24"/>
          <w:highlight w:val="none"/>
        </w:rPr>
        <w:instrText xml:space="preserve">,√)</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”标示选择使用该项</w:t>
      </w:r>
      <w:r>
        <w:rPr>
          <w:rFonts w:hint="eastAsia" w:ascii="宋体" w:hAnsi="宋体" w:eastAsia="宋体" w:cs="宋体"/>
          <w:color w:val="auto"/>
          <w:kern w:val="0"/>
          <w:sz w:val="24"/>
          <w:szCs w:val="24"/>
          <w:highlight w:val="none"/>
          <w:lang w:eastAsia="zh-CN"/>
        </w:rPr>
        <w:t>。</w:t>
      </w:r>
    </w:p>
    <w:p w14:paraId="6840F82D">
      <w:pPr>
        <w:pStyle w:val="4"/>
        <w:adjustRightInd w:val="0"/>
        <w:snapToGrid w:val="0"/>
        <w:spacing w:before="0" w:after="0" w:line="4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br w:type="page"/>
      </w:r>
      <w:bookmarkStart w:id="24" w:name="_Toc15478"/>
      <w:r>
        <w:rPr>
          <w:rFonts w:hint="eastAsia" w:ascii="宋体" w:hAnsi="宋体" w:eastAsia="宋体" w:cs="宋体"/>
          <w:b/>
          <w:color w:val="auto"/>
          <w:sz w:val="28"/>
          <w:szCs w:val="28"/>
          <w:highlight w:val="none"/>
          <w:lang w:eastAsia="zh-CN"/>
        </w:rPr>
        <w:t>投标供应商</w:t>
      </w:r>
      <w:r>
        <w:rPr>
          <w:rFonts w:hint="eastAsia" w:ascii="宋体" w:hAnsi="宋体" w:eastAsia="宋体" w:cs="宋体"/>
          <w:b/>
          <w:color w:val="auto"/>
          <w:sz w:val="28"/>
          <w:szCs w:val="28"/>
          <w:highlight w:val="none"/>
        </w:rPr>
        <w:t>须知正文部分</w:t>
      </w:r>
      <w:bookmarkEnd w:id="22"/>
      <w:bookmarkEnd w:id="23"/>
      <w:bookmarkEnd w:id="24"/>
    </w:p>
    <w:p w14:paraId="70B0FE27">
      <w:pPr>
        <w:pStyle w:val="4"/>
        <w:adjustRightInd w:val="0"/>
        <w:snapToGrid w:val="0"/>
        <w:spacing w:before="0" w:after="0" w:line="400" w:lineRule="exact"/>
        <w:jc w:val="center"/>
        <w:rPr>
          <w:rFonts w:hint="eastAsia" w:ascii="宋体" w:hAnsi="宋体" w:eastAsia="宋体" w:cs="宋体"/>
          <w:color w:val="auto"/>
          <w:sz w:val="28"/>
          <w:szCs w:val="28"/>
          <w:highlight w:val="none"/>
        </w:rPr>
      </w:pPr>
      <w:bookmarkStart w:id="25" w:name="_Toc30519"/>
      <w:r>
        <w:rPr>
          <w:rFonts w:hint="eastAsia" w:ascii="宋体" w:hAnsi="宋体" w:eastAsia="宋体" w:cs="宋体"/>
          <w:color w:val="auto"/>
          <w:sz w:val="28"/>
          <w:szCs w:val="28"/>
          <w:highlight w:val="none"/>
          <w:lang w:eastAsia="zh-CN"/>
        </w:rPr>
        <w:t>一、</w:t>
      </w:r>
      <w:r>
        <w:rPr>
          <w:rFonts w:hint="eastAsia" w:ascii="宋体" w:hAnsi="宋体" w:eastAsia="宋体" w:cs="宋体"/>
          <w:color w:val="auto"/>
          <w:sz w:val="28"/>
          <w:szCs w:val="28"/>
          <w:highlight w:val="none"/>
        </w:rPr>
        <w:t>说明</w:t>
      </w:r>
      <w:bookmarkEnd w:id="13"/>
      <w:bookmarkEnd w:id="14"/>
      <w:bookmarkEnd w:id="15"/>
      <w:bookmarkEnd w:id="16"/>
      <w:bookmarkEnd w:id="17"/>
      <w:bookmarkEnd w:id="25"/>
    </w:p>
    <w:p w14:paraId="15F3A159">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 项目概况</w:t>
      </w:r>
    </w:p>
    <w:p w14:paraId="3C95268C">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 项目名称：详见</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须知前附表；</w:t>
      </w:r>
    </w:p>
    <w:p w14:paraId="1DE66C50">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 项目编号：详见</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须知前附表；</w:t>
      </w:r>
    </w:p>
    <w:p w14:paraId="5373AE23">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 采购方式：详见</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须知前附表；</w:t>
      </w:r>
    </w:p>
    <w:p w14:paraId="49BBF314">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 预算金额：详见</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须知前附表；</w:t>
      </w:r>
    </w:p>
    <w:p w14:paraId="2A750236">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 采购内容：详见</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须知前附表；</w:t>
      </w:r>
    </w:p>
    <w:p w14:paraId="79B1C0C3">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 资金来源：详见</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须知前附表；</w:t>
      </w:r>
    </w:p>
    <w:p w14:paraId="7A3FBC86">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1.7 </w:t>
      </w:r>
      <w:r>
        <w:rPr>
          <w:rFonts w:hint="eastAsia" w:ascii="宋体" w:hAnsi="宋体" w:eastAsia="宋体" w:cs="宋体"/>
          <w:color w:val="auto"/>
          <w:sz w:val="24"/>
          <w:highlight w:val="none"/>
          <w:lang w:val="en-US" w:eastAsia="zh-CN"/>
        </w:rPr>
        <w:t>交货</w:t>
      </w:r>
      <w:r>
        <w:rPr>
          <w:rFonts w:hint="eastAsia" w:ascii="宋体" w:hAnsi="宋体" w:eastAsia="宋体" w:cs="宋体"/>
          <w:color w:val="auto"/>
          <w:sz w:val="24"/>
          <w:highlight w:val="none"/>
          <w:lang w:eastAsia="zh-CN"/>
        </w:rPr>
        <w:t>地点</w:t>
      </w:r>
      <w:r>
        <w:rPr>
          <w:rFonts w:hint="eastAsia" w:ascii="宋体" w:hAnsi="宋体" w:eastAsia="宋体" w:cs="宋体"/>
          <w:color w:val="auto"/>
          <w:sz w:val="24"/>
          <w:highlight w:val="none"/>
        </w:rPr>
        <w:t>：详见</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须知前附表；</w:t>
      </w:r>
    </w:p>
    <w:p w14:paraId="4B493943">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1.8 </w:t>
      </w:r>
      <w:r>
        <w:rPr>
          <w:rFonts w:hint="eastAsia" w:ascii="宋体" w:hAnsi="宋体" w:eastAsia="宋体" w:cs="宋体"/>
          <w:color w:val="auto"/>
          <w:sz w:val="24"/>
          <w:highlight w:val="none"/>
          <w:lang w:val="en-US" w:eastAsia="zh-CN"/>
        </w:rPr>
        <w:t>合同履约期限</w:t>
      </w:r>
      <w:r>
        <w:rPr>
          <w:rFonts w:hint="eastAsia" w:ascii="宋体" w:hAnsi="宋体" w:eastAsia="宋体" w:cs="宋体"/>
          <w:color w:val="auto"/>
          <w:sz w:val="24"/>
          <w:highlight w:val="none"/>
        </w:rPr>
        <w:t>：详见</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须知前附表；</w:t>
      </w:r>
    </w:p>
    <w:p w14:paraId="0F82E83A">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2．定义</w:t>
      </w:r>
    </w:p>
    <w:p w14:paraId="0C268A2C">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w:t>
      </w:r>
      <w:r>
        <w:rPr>
          <w:rFonts w:hint="eastAsia" w:ascii="宋体" w:hAnsi="宋体" w:eastAsia="宋体" w:cs="宋体"/>
          <w:color w:val="auto"/>
          <w:sz w:val="24"/>
          <w:szCs w:val="24"/>
          <w:highlight w:val="none"/>
          <w:lang w:val="en-US" w:eastAsia="zh-CN"/>
        </w:rPr>
        <w:t>市属单位</w:t>
      </w:r>
      <w:r>
        <w:rPr>
          <w:rFonts w:hint="eastAsia" w:ascii="宋体" w:hAnsi="宋体" w:eastAsia="宋体" w:cs="宋体"/>
          <w:color w:val="auto"/>
          <w:sz w:val="24"/>
          <w:highlight w:val="none"/>
        </w:rPr>
        <w:t>；</w:t>
      </w:r>
    </w:p>
    <w:p w14:paraId="4F4190C7">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“招标代理机构”系指</w:t>
      </w:r>
      <w:r>
        <w:rPr>
          <w:rFonts w:hint="default" w:ascii="宋体" w:hAnsi="宋体" w:eastAsia="宋体" w:cs="宋体"/>
          <w:color w:val="auto"/>
          <w:sz w:val="24"/>
          <w:highlight w:val="none"/>
          <w:lang w:val="en-US" w:eastAsia="zh-CN"/>
        </w:rPr>
        <w:t>新疆华展鑫荣项目管理咨询有限公司</w:t>
      </w:r>
      <w:r>
        <w:rPr>
          <w:rFonts w:hint="eastAsia" w:ascii="宋体" w:hAnsi="宋体" w:eastAsia="宋体" w:cs="宋体"/>
          <w:color w:val="auto"/>
          <w:sz w:val="24"/>
          <w:highlight w:val="none"/>
        </w:rPr>
        <w:t>；</w:t>
      </w:r>
    </w:p>
    <w:p w14:paraId="16326BAF">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”系指向招标代理机构提交投标文件的制造商或</w:t>
      </w:r>
      <w:r>
        <w:rPr>
          <w:rFonts w:hint="eastAsia" w:ascii="宋体" w:hAnsi="宋体" w:eastAsia="宋体" w:cs="宋体"/>
          <w:color w:val="auto"/>
          <w:sz w:val="24"/>
          <w:highlight w:val="none"/>
          <w:lang w:eastAsia="zh-CN"/>
        </w:rPr>
        <w:t>供应</w:t>
      </w:r>
      <w:r>
        <w:rPr>
          <w:rFonts w:hint="eastAsia" w:ascii="宋体" w:hAnsi="宋体" w:eastAsia="宋体" w:cs="宋体"/>
          <w:color w:val="auto"/>
          <w:sz w:val="24"/>
          <w:highlight w:val="none"/>
        </w:rPr>
        <w:t>商；</w:t>
      </w:r>
    </w:p>
    <w:p w14:paraId="3D8ACC71">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“中标人”系指在本次项目中将被授予合同的</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w:t>
      </w:r>
    </w:p>
    <w:p w14:paraId="1513AF21">
      <w:pPr>
        <w:adjustRightInd w:val="0"/>
        <w:snapToGrid w:val="0"/>
        <w:spacing w:line="4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3．合格的</w:t>
      </w:r>
      <w:r>
        <w:rPr>
          <w:rFonts w:hint="eastAsia" w:ascii="宋体" w:hAnsi="宋体" w:eastAsia="宋体" w:cs="宋体"/>
          <w:color w:val="auto"/>
          <w:sz w:val="24"/>
          <w:highlight w:val="none"/>
          <w:lang w:eastAsia="zh-CN"/>
        </w:rPr>
        <w:t>投标供应商</w:t>
      </w:r>
    </w:p>
    <w:p w14:paraId="7BD07CF0">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满足《中华人民共和国政府采购法》第二十二条规定；</w:t>
      </w:r>
    </w:p>
    <w:p w14:paraId="2368FEC0">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3.2</w:t>
      </w:r>
      <w:r>
        <w:rPr>
          <w:rFonts w:hint="eastAsia" w:ascii="宋体" w:hAnsi="宋体" w:eastAsia="宋体" w:cs="宋体"/>
          <w:color w:val="auto"/>
          <w:sz w:val="24"/>
          <w:highlight w:val="none"/>
        </w:rPr>
        <w:t>有能力提供招标文件中所要求的服务、资格审查合格的</w:t>
      </w:r>
      <w:r>
        <w:rPr>
          <w:rFonts w:hint="eastAsia" w:ascii="宋体" w:hAnsi="宋体" w:eastAsia="宋体" w:cs="宋体"/>
          <w:color w:val="auto"/>
          <w:sz w:val="24"/>
          <w:highlight w:val="none"/>
          <w:lang w:eastAsia="zh-CN"/>
        </w:rPr>
        <w:t>供应</w:t>
      </w:r>
      <w:r>
        <w:rPr>
          <w:rFonts w:hint="eastAsia" w:ascii="宋体" w:hAnsi="宋体" w:eastAsia="宋体" w:cs="宋体"/>
          <w:color w:val="auto"/>
          <w:sz w:val="24"/>
          <w:highlight w:val="none"/>
        </w:rPr>
        <w:t>商；</w:t>
      </w:r>
    </w:p>
    <w:p w14:paraId="59A74A7D">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必须遵守有关的国内法律和规章条例。</w:t>
      </w:r>
    </w:p>
    <w:p w14:paraId="13A0130A">
      <w:pPr>
        <w:widowControl/>
        <w:adjustRightInd w:val="0"/>
        <w:snapToGrid w:val="0"/>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资格（详见“</w:t>
      </w:r>
      <w:r>
        <w:rPr>
          <w:rFonts w:hint="eastAsia" w:ascii="宋体" w:hAnsi="宋体" w:eastAsia="宋体" w:cs="宋体"/>
          <w:color w:val="auto"/>
          <w:sz w:val="24"/>
          <w:highlight w:val="none"/>
          <w:lang w:eastAsia="zh-CN"/>
        </w:rPr>
        <w:t>投标供应商须知前附表</w:t>
      </w:r>
      <w:r>
        <w:rPr>
          <w:rFonts w:hint="eastAsia" w:ascii="宋体" w:hAnsi="宋体" w:eastAsia="宋体" w:cs="宋体"/>
          <w:color w:val="auto"/>
          <w:sz w:val="24"/>
          <w:highlight w:val="none"/>
        </w:rPr>
        <w:t>”）</w:t>
      </w:r>
    </w:p>
    <w:p w14:paraId="2BD46CD0">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5．投标费用</w:t>
      </w:r>
    </w:p>
    <w:p w14:paraId="40FAD6B7">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 无论投标过程中的</w:t>
      </w:r>
      <w:r>
        <w:rPr>
          <w:rFonts w:hint="eastAsia" w:ascii="宋体" w:hAnsi="宋体" w:eastAsia="宋体" w:cs="宋体"/>
          <w:color w:val="auto"/>
          <w:sz w:val="24"/>
          <w:highlight w:val="none"/>
          <w:lang w:eastAsia="zh-CN"/>
        </w:rPr>
        <w:t>做</w:t>
      </w:r>
      <w:r>
        <w:rPr>
          <w:rFonts w:hint="eastAsia" w:ascii="宋体" w:hAnsi="宋体" w:eastAsia="宋体" w:cs="宋体"/>
          <w:color w:val="auto"/>
          <w:sz w:val="24"/>
          <w:highlight w:val="none"/>
        </w:rPr>
        <w:t>法和结果如何，</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将自行承担所有与参加投标有关的全部费用。</w:t>
      </w:r>
    </w:p>
    <w:p w14:paraId="45C7ACD1">
      <w:pPr>
        <w:pStyle w:val="35"/>
        <w:ind w:firstLine="240"/>
        <w:rPr>
          <w:rFonts w:hint="eastAsia" w:ascii="宋体" w:hAnsi="宋体" w:eastAsia="宋体" w:cs="宋体"/>
          <w:color w:val="auto"/>
          <w:highlight w:val="none"/>
        </w:rPr>
      </w:pPr>
    </w:p>
    <w:p w14:paraId="70D6CD03">
      <w:pPr>
        <w:pStyle w:val="4"/>
        <w:adjustRightInd w:val="0"/>
        <w:snapToGrid w:val="0"/>
        <w:spacing w:before="0" w:after="0" w:line="400" w:lineRule="exact"/>
        <w:jc w:val="center"/>
        <w:rPr>
          <w:rFonts w:hint="eastAsia" w:ascii="宋体" w:hAnsi="宋体" w:eastAsia="宋体" w:cs="宋体"/>
          <w:color w:val="auto"/>
          <w:sz w:val="28"/>
          <w:szCs w:val="28"/>
          <w:highlight w:val="none"/>
        </w:rPr>
      </w:pPr>
      <w:bookmarkStart w:id="26" w:name="_Toc25761"/>
      <w:bookmarkStart w:id="27" w:name="_Toc277"/>
      <w:r>
        <w:rPr>
          <w:rFonts w:hint="eastAsia" w:ascii="宋体" w:hAnsi="宋体" w:eastAsia="宋体" w:cs="宋体"/>
          <w:color w:val="auto"/>
          <w:sz w:val="28"/>
          <w:szCs w:val="28"/>
          <w:highlight w:val="none"/>
          <w:lang w:eastAsia="zh-CN"/>
        </w:rPr>
        <w:t>二、</w:t>
      </w:r>
      <w:r>
        <w:rPr>
          <w:rFonts w:hint="eastAsia" w:ascii="宋体" w:hAnsi="宋体" w:eastAsia="宋体" w:cs="宋体"/>
          <w:color w:val="auto"/>
          <w:sz w:val="28"/>
          <w:szCs w:val="28"/>
          <w:highlight w:val="none"/>
        </w:rPr>
        <w:t>招标文件</w:t>
      </w:r>
      <w:bookmarkEnd w:id="18"/>
      <w:bookmarkEnd w:id="19"/>
      <w:bookmarkEnd w:id="20"/>
      <w:bookmarkEnd w:id="21"/>
      <w:bookmarkEnd w:id="26"/>
      <w:bookmarkEnd w:id="27"/>
    </w:p>
    <w:p w14:paraId="04234E44">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6．招标文件构成</w:t>
      </w:r>
    </w:p>
    <w:p w14:paraId="4959D486">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6.1招标文件包括：</w:t>
      </w:r>
    </w:p>
    <w:p w14:paraId="07225E28">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投标邀请；</w:t>
      </w:r>
    </w:p>
    <w:p w14:paraId="68D9B7D1">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须知；</w:t>
      </w:r>
    </w:p>
    <w:p w14:paraId="3BC7AA4E">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采购需求</w:t>
      </w:r>
      <w:r>
        <w:rPr>
          <w:rFonts w:hint="eastAsia" w:ascii="宋体" w:hAnsi="宋体" w:eastAsia="宋体" w:cs="宋体"/>
          <w:color w:val="auto"/>
          <w:sz w:val="24"/>
          <w:highlight w:val="none"/>
        </w:rPr>
        <w:t>；</w:t>
      </w:r>
    </w:p>
    <w:p w14:paraId="3F96288F">
      <w:pPr>
        <w:adjustRightInd w:val="0"/>
        <w:snapToGrid w:val="0"/>
        <w:spacing w:line="4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6.1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评标办法；</w:t>
      </w:r>
    </w:p>
    <w:p w14:paraId="4E1E3FE9">
      <w:pPr>
        <w:adjustRightInd w:val="0"/>
        <w:snapToGrid w:val="0"/>
        <w:spacing w:line="4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6.1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政府采购合同；</w:t>
      </w:r>
    </w:p>
    <w:p w14:paraId="38563AC8">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投标文件格式；</w:t>
      </w:r>
    </w:p>
    <w:p w14:paraId="7EF007EC">
      <w:pPr>
        <w:adjustRightInd w:val="0"/>
        <w:snapToGrid w:val="0"/>
        <w:spacing w:line="4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6.1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附件</w:t>
      </w:r>
      <w:r>
        <w:rPr>
          <w:rFonts w:hint="eastAsia" w:ascii="宋体" w:hAnsi="宋体" w:eastAsia="宋体" w:cs="宋体"/>
          <w:color w:val="auto"/>
          <w:sz w:val="24"/>
          <w:highlight w:val="none"/>
          <w:lang w:eastAsia="zh-CN"/>
        </w:rPr>
        <w:t>。</w:t>
      </w:r>
    </w:p>
    <w:p w14:paraId="1797DC8C">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6.2 招标文件以中文编写。</w:t>
      </w:r>
    </w:p>
    <w:p w14:paraId="06566654">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6.3 </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应认真阅读招标文件中所有的事项、格式、条款和规范等要求，从而对招标文件作出实质性响应。如果没有按照招标文件要求提交全部投标文件或资料，没有对招标文件作出实质性响应，其风险应由</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自行承担。</w:t>
      </w:r>
    </w:p>
    <w:p w14:paraId="15BE1E4F">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7．招标文件澄清</w:t>
      </w:r>
    </w:p>
    <w:p w14:paraId="477856C6">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7.1 </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对招标文件有疑问的，可以向招标代理机构提出询问，招标代理机构将及时做出答复；</w:t>
      </w:r>
    </w:p>
    <w:p w14:paraId="397CA9F7">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7.2 </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对招标文件有质疑，须在得到招标文件之日起，以书面形式向招标机构提出质疑；招标机构在收到书面质疑后尽快做出答复，并以书面形式通知质疑</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w:t>
      </w:r>
    </w:p>
    <w:p w14:paraId="321701EE">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  招标文件的修改</w:t>
      </w:r>
    </w:p>
    <w:p w14:paraId="1A1B57F1">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8.1 对招标文件进行必要的修改，招标代理机构将在投标截止时间15日前以书面形式通知所有购买招标文件的</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。该修改的内容为招标文件的组成部分；</w:t>
      </w:r>
    </w:p>
    <w:p w14:paraId="6702936C">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8.2 在投标截止时间前，招标机构可视具体情况延长投标截止时间，并将变更时间书面通知所有购买招标文件的</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w:t>
      </w:r>
    </w:p>
    <w:p w14:paraId="530EFB06">
      <w:pPr>
        <w:pStyle w:val="35"/>
        <w:adjustRightInd w:val="0"/>
        <w:snapToGrid w:val="0"/>
        <w:spacing w:after="0" w:line="400" w:lineRule="exact"/>
        <w:ind w:firstLine="240"/>
        <w:rPr>
          <w:rFonts w:hint="eastAsia" w:ascii="宋体" w:hAnsi="宋体" w:eastAsia="宋体" w:cs="宋体"/>
          <w:color w:val="auto"/>
          <w:highlight w:val="none"/>
        </w:rPr>
      </w:pPr>
    </w:p>
    <w:p w14:paraId="375B4DE2">
      <w:pPr>
        <w:pStyle w:val="4"/>
        <w:adjustRightInd w:val="0"/>
        <w:snapToGrid w:val="0"/>
        <w:spacing w:before="0" w:after="0" w:line="400" w:lineRule="exact"/>
        <w:jc w:val="center"/>
        <w:rPr>
          <w:rFonts w:hint="eastAsia" w:ascii="宋体" w:hAnsi="宋体" w:eastAsia="宋体" w:cs="宋体"/>
          <w:color w:val="auto"/>
          <w:sz w:val="28"/>
          <w:szCs w:val="28"/>
          <w:highlight w:val="none"/>
        </w:rPr>
      </w:pPr>
      <w:bookmarkStart w:id="28" w:name="_Toc349637922"/>
      <w:bookmarkStart w:id="29" w:name="_Toc349573123"/>
      <w:bookmarkStart w:id="30" w:name="_Toc267301284"/>
      <w:bookmarkStart w:id="31" w:name="_Toc26958"/>
      <w:bookmarkStart w:id="32" w:name="_Toc298240407"/>
      <w:bookmarkStart w:id="33" w:name="_Toc7792"/>
      <w:r>
        <w:rPr>
          <w:rFonts w:hint="eastAsia" w:ascii="宋体" w:hAnsi="宋体" w:eastAsia="宋体" w:cs="宋体"/>
          <w:color w:val="auto"/>
          <w:sz w:val="28"/>
          <w:szCs w:val="28"/>
          <w:highlight w:val="none"/>
          <w:lang w:eastAsia="zh-CN"/>
        </w:rPr>
        <w:t>三、</w:t>
      </w:r>
      <w:r>
        <w:rPr>
          <w:rFonts w:hint="eastAsia" w:ascii="宋体" w:hAnsi="宋体" w:eastAsia="宋体" w:cs="宋体"/>
          <w:color w:val="auto"/>
          <w:sz w:val="28"/>
          <w:szCs w:val="28"/>
          <w:highlight w:val="none"/>
        </w:rPr>
        <w:t>投标文件的编写</w:t>
      </w:r>
      <w:bookmarkEnd w:id="28"/>
      <w:bookmarkEnd w:id="29"/>
      <w:bookmarkEnd w:id="30"/>
      <w:bookmarkEnd w:id="31"/>
      <w:bookmarkEnd w:id="32"/>
      <w:bookmarkEnd w:id="33"/>
    </w:p>
    <w:p w14:paraId="7B612EAD">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9．要求</w:t>
      </w:r>
    </w:p>
    <w:p w14:paraId="0993A406">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9.1 </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应仔细阅读招标文件的所有内容，按招标文件的要求提供投标文件，并保证所提供的全部资料的真实性，以使其投标对招标文件作出实质性响应，否则，其投标可能被拒绝。</w:t>
      </w:r>
    </w:p>
    <w:p w14:paraId="33A05516">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10．投标语言</w:t>
      </w:r>
    </w:p>
    <w:p w14:paraId="1ADD04FB">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10.1投标文件及</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与招标代理机构就投标交换的文件和来往信件，应以中文书写。</w:t>
      </w:r>
    </w:p>
    <w:p w14:paraId="4E6C7EBE">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11．投标文件的构成</w:t>
      </w:r>
    </w:p>
    <w:p w14:paraId="2D25D4EC">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11.1 </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编写的投标文件应包括下列内容：</w:t>
      </w:r>
    </w:p>
    <w:p w14:paraId="75ADAFD3">
      <w:pPr>
        <w:tabs>
          <w:tab w:val="left" w:pos="540"/>
          <w:tab w:val="left" w:pos="900"/>
          <w:tab w:val="left" w:pos="1080"/>
        </w:tabs>
        <w:adjustRightInd w:val="0"/>
        <w:snapToGrid w:val="0"/>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11.1.1资格文件</w:t>
      </w:r>
    </w:p>
    <w:p w14:paraId="5C464E81">
      <w:pPr>
        <w:tabs>
          <w:tab w:val="left" w:pos="540"/>
          <w:tab w:val="left" w:pos="900"/>
          <w:tab w:val="left" w:pos="1080"/>
        </w:tabs>
        <w:adjustRightInd w:val="0"/>
        <w:snapToGrid w:val="0"/>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11.1.1.1满足《中华人民共和国政府采购法》第二十二条规定</w:t>
      </w:r>
    </w:p>
    <w:p w14:paraId="29A843E1">
      <w:pPr>
        <w:tabs>
          <w:tab w:val="left" w:pos="540"/>
          <w:tab w:val="left" w:pos="900"/>
          <w:tab w:val="left" w:pos="1080"/>
        </w:tabs>
        <w:adjustRightInd w:val="0"/>
        <w:snapToGrid w:val="0"/>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1）资格声明函</w:t>
      </w:r>
    </w:p>
    <w:p w14:paraId="007BCFAE">
      <w:pPr>
        <w:tabs>
          <w:tab w:val="left" w:pos="540"/>
          <w:tab w:val="left" w:pos="900"/>
          <w:tab w:val="left" w:pos="1080"/>
        </w:tabs>
        <w:adjustRightInd w:val="0"/>
        <w:snapToGrid w:val="0"/>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2）法定代表人身份证明及授权委托书</w:t>
      </w:r>
    </w:p>
    <w:p w14:paraId="7CBD9AA4">
      <w:pPr>
        <w:tabs>
          <w:tab w:val="left" w:pos="540"/>
          <w:tab w:val="left" w:pos="900"/>
          <w:tab w:val="left" w:pos="1080"/>
        </w:tabs>
        <w:adjustRightInd w:val="0"/>
        <w:snapToGrid w:val="0"/>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3）具有独立承担民事责任的能力</w:t>
      </w:r>
    </w:p>
    <w:p w14:paraId="630199F9">
      <w:pPr>
        <w:tabs>
          <w:tab w:val="left" w:pos="540"/>
          <w:tab w:val="left" w:pos="900"/>
          <w:tab w:val="left" w:pos="1080"/>
        </w:tabs>
        <w:adjustRightInd w:val="0"/>
        <w:snapToGrid w:val="0"/>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4）具有良好的商业信誉和健全的财务会计制度</w:t>
      </w:r>
    </w:p>
    <w:p w14:paraId="4664A15F">
      <w:pPr>
        <w:tabs>
          <w:tab w:val="left" w:pos="540"/>
          <w:tab w:val="left" w:pos="900"/>
          <w:tab w:val="left" w:pos="1080"/>
        </w:tabs>
        <w:adjustRightInd w:val="0"/>
        <w:snapToGrid w:val="0"/>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5）具有履行合同所必需的设备和专业技术能力</w:t>
      </w:r>
    </w:p>
    <w:p w14:paraId="4B3F8E8A">
      <w:pPr>
        <w:tabs>
          <w:tab w:val="left" w:pos="540"/>
          <w:tab w:val="left" w:pos="900"/>
          <w:tab w:val="left" w:pos="1080"/>
        </w:tabs>
        <w:adjustRightInd w:val="0"/>
        <w:snapToGrid w:val="0"/>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6）有依法缴纳税收和社会保障资金的良好记录</w:t>
      </w:r>
    </w:p>
    <w:p w14:paraId="75EC6C76">
      <w:pPr>
        <w:tabs>
          <w:tab w:val="left" w:pos="540"/>
          <w:tab w:val="left" w:pos="900"/>
          <w:tab w:val="left" w:pos="1080"/>
        </w:tabs>
        <w:adjustRightInd w:val="0"/>
        <w:snapToGrid w:val="0"/>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7）参加政府采购活动前三年内，在经营活动中没有重大违法记录</w:t>
      </w:r>
    </w:p>
    <w:p w14:paraId="0C3CFF1E">
      <w:pPr>
        <w:tabs>
          <w:tab w:val="left" w:pos="540"/>
          <w:tab w:val="left" w:pos="900"/>
          <w:tab w:val="left" w:pos="1080"/>
        </w:tabs>
        <w:adjustRightInd w:val="0"/>
        <w:snapToGrid w:val="0"/>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11.1.1.2落实政府采购政策需满足的资格要求</w:t>
      </w:r>
    </w:p>
    <w:p w14:paraId="4661EF5F">
      <w:pPr>
        <w:tabs>
          <w:tab w:val="left" w:pos="540"/>
          <w:tab w:val="left" w:pos="900"/>
          <w:tab w:val="left" w:pos="1080"/>
        </w:tabs>
        <w:adjustRightInd w:val="0"/>
        <w:snapToGrid w:val="0"/>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11.1.1.3投标保证金</w:t>
      </w:r>
    </w:p>
    <w:p w14:paraId="0C1BD7C9">
      <w:pPr>
        <w:tabs>
          <w:tab w:val="left" w:pos="540"/>
          <w:tab w:val="left" w:pos="900"/>
          <w:tab w:val="left" w:pos="1080"/>
        </w:tabs>
        <w:adjustRightInd w:val="0"/>
        <w:snapToGrid w:val="0"/>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11.1.2报价文件</w:t>
      </w:r>
    </w:p>
    <w:p w14:paraId="04C65EF2">
      <w:pPr>
        <w:tabs>
          <w:tab w:val="left" w:pos="540"/>
          <w:tab w:val="left" w:pos="900"/>
          <w:tab w:val="left" w:pos="1080"/>
        </w:tabs>
        <w:adjustRightInd w:val="0"/>
        <w:snapToGrid w:val="0"/>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11.1.2.1开标一览表</w:t>
      </w:r>
    </w:p>
    <w:p w14:paraId="56C07556">
      <w:pPr>
        <w:tabs>
          <w:tab w:val="left" w:pos="540"/>
          <w:tab w:val="left" w:pos="900"/>
          <w:tab w:val="left" w:pos="1080"/>
        </w:tabs>
        <w:adjustRightInd w:val="0"/>
        <w:snapToGrid w:val="0"/>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11.1.2.2报价明细表</w:t>
      </w:r>
    </w:p>
    <w:p w14:paraId="7BA8F6B4">
      <w:pPr>
        <w:tabs>
          <w:tab w:val="left" w:pos="540"/>
          <w:tab w:val="left" w:pos="900"/>
          <w:tab w:val="left" w:pos="1080"/>
        </w:tabs>
        <w:adjustRightInd w:val="0"/>
        <w:snapToGrid w:val="0"/>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11.1.3商务技术文件</w:t>
      </w:r>
    </w:p>
    <w:p w14:paraId="222B29B7">
      <w:pPr>
        <w:tabs>
          <w:tab w:val="left" w:pos="540"/>
          <w:tab w:val="left" w:pos="900"/>
          <w:tab w:val="left" w:pos="1080"/>
        </w:tabs>
        <w:adjustRightInd w:val="0"/>
        <w:snapToGrid w:val="0"/>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11.1.3.1投标函</w:t>
      </w:r>
    </w:p>
    <w:p w14:paraId="0604599E">
      <w:pPr>
        <w:tabs>
          <w:tab w:val="left" w:pos="540"/>
          <w:tab w:val="left" w:pos="900"/>
          <w:tab w:val="left" w:pos="1080"/>
        </w:tabs>
        <w:adjustRightInd w:val="0"/>
        <w:snapToGrid w:val="0"/>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11.1.3.2供应商基本情况表</w:t>
      </w:r>
    </w:p>
    <w:p w14:paraId="74B86A13">
      <w:pPr>
        <w:tabs>
          <w:tab w:val="left" w:pos="540"/>
          <w:tab w:val="left" w:pos="900"/>
          <w:tab w:val="left" w:pos="1080"/>
        </w:tabs>
        <w:adjustRightInd w:val="0"/>
        <w:snapToGrid w:val="0"/>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11.1.3.3商务、技术条款偏离表</w:t>
      </w:r>
    </w:p>
    <w:p w14:paraId="51C84EDB">
      <w:pPr>
        <w:tabs>
          <w:tab w:val="left" w:pos="540"/>
          <w:tab w:val="left" w:pos="900"/>
          <w:tab w:val="left" w:pos="1080"/>
        </w:tabs>
        <w:adjustRightInd w:val="0"/>
        <w:snapToGrid w:val="0"/>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11.1.3.4投标供应商近三年类似业绩</w:t>
      </w:r>
    </w:p>
    <w:p w14:paraId="622DD9F2">
      <w:pPr>
        <w:tabs>
          <w:tab w:val="left" w:pos="540"/>
          <w:tab w:val="left" w:pos="900"/>
          <w:tab w:val="left" w:pos="1080"/>
        </w:tabs>
        <w:adjustRightInd w:val="0"/>
        <w:snapToGrid w:val="0"/>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11.1.3.5供货方案</w:t>
      </w:r>
    </w:p>
    <w:p w14:paraId="0C143051">
      <w:pPr>
        <w:tabs>
          <w:tab w:val="left" w:pos="540"/>
          <w:tab w:val="left" w:pos="900"/>
          <w:tab w:val="left" w:pos="1080"/>
        </w:tabs>
        <w:adjustRightInd w:val="0"/>
        <w:snapToGrid w:val="0"/>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11.1.3.6保密承诺书</w:t>
      </w:r>
    </w:p>
    <w:p w14:paraId="2636418A">
      <w:pPr>
        <w:tabs>
          <w:tab w:val="left" w:pos="540"/>
          <w:tab w:val="left" w:pos="900"/>
          <w:tab w:val="left" w:pos="1080"/>
        </w:tabs>
        <w:adjustRightInd w:val="0"/>
        <w:snapToGrid w:val="0"/>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11.1.3.7其他有利于投标的资料及证明文件等</w:t>
      </w:r>
    </w:p>
    <w:p w14:paraId="089AA0C2">
      <w:pPr>
        <w:tabs>
          <w:tab w:val="left" w:pos="540"/>
          <w:tab w:val="left" w:pos="900"/>
          <w:tab w:val="left" w:pos="1080"/>
        </w:tabs>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11.2 投标供应商应</w:t>
      </w:r>
      <w:r>
        <w:rPr>
          <w:rFonts w:hint="eastAsia" w:ascii="宋体" w:hAnsi="宋体" w:eastAsia="宋体" w:cs="宋体"/>
          <w:color w:val="auto"/>
          <w:sz w:val="24"/>
          <w:highlight w:val="none"/>
        </w:rPr>
        <w:t>将投标文件装订成册，并</w:t>
      </w:r>
      <w:r>
        <w:rPr>
          <w:rFonts w:hint="eastAsia" w:ascii="宋体" w:hAnsi="宋体" w:eastAsia="宋体" w:cs="宋体"/>
          <w:color w:val="auto"/>
          <w:sz w:val="24"/>
          <w:highlight w:val="none"/>
          <w:lang w:eastAsia="zh-CN"/>
        </w:rPr>
        <w:t>编写</w:t>
      </w:r>
      <w:r>
        <w:rPr>
          <w:rFonts w:hint="eastAsia" w:ascii="宋体" w:hAnsi="宋体" w:eastAsia="宋体" w:cs="宋体"/>
          <w:color w:val="auto"/>
          <w:sz w:val="24"/>
          <w:highlight w:val="none"/>
        </w:rPr>
        <w:t>文件资料</w:t>
      </w:r>
      <w:r>
        <w:rPr>
          <w:rFonts w:hint="eastAsia" w:ascii="宋体" w:hAnsi="宋体" w:eastAsia="宋体" w:cs="宋体"/>
          <w:color w:val="auto"/>
          <w:sz w:val="24"/>
          <w:highlight w:val="none"/>
          <w:lang w:eastAsia="zh-CN"/>
        </w:rPr>
        <w:t>目录</w:t>
      </w:r>
      <w:r>
        <w:rPr>
          <w:rFonts w:hint="eastAsia" w:ascii="宋体" w:hAnsi="宋体" w:eastAsia="宋体" w:cs="宋体"/>
          <w:color w:val="auto"/>
          <w:sz w:val="24"/>
          <w:highlight w:val="none"/>
        </w:rPr>
        <w:t>。</w:t>
      </w:r>
    </w:p>
    <w:p w14:paraId="143944F0">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12．投标文件格式</w:t>
      </w:r>
    </w:p>
    <w:p w14:paraId="170FCB07">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12.1 </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应按招标文件的投标文件格式中提供的投标文件格式填写投标函、开标一览表、投标</w:t>
      </w:r>
      <w:r>
        <w:rPr>
          <w:rFonts w:hint="eastAsia" w:ascii="宋体" w:hAnsi="宋体" w:eastAsia="宋体" w:cs="宋体"/>
          <w:color w:val="auto"/>
          <w:sz w:val="24"/>
          <w:highlight w:val="none"/>
          <w:lang w:eastAsia="zh-CN"/>
        </w:rPr>
        <w:t>报价明细表</w:t>
      </w:r>
      <w:r>
        <w:rPr>
          <w:rFonts w:hint="eastAsia" w:ascii="宋体" w:hAnsi="宋体" w:eastAsia="宋体" w:cs="宋体"/>
          <w:color w:val="auto"/>
          <w:sz w:val="24"/>
          <w:highlight w:val="none"/>
        </w:rPr>
        <w:t>，注明提供的货物名称、货物简介、原产地、数量和价格等。</w:t>
      </w:r>
    </w:p>
    <w:p w14:paraId="2CC8A2C1">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13．投标报价</w:t>
      </w:r>
    </w:p>
    <w:p w14:paraId="65D98A87">
      <w:pPr>
        <w:adjustRightInd w:val="0"/>
        <w:snapToGrid w:val="0"/>
        <w:spacing w:line="40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13.1 </w:t>
      </w:r>
      <w:r>
        <w:rPr>
          <w:rFonts w:hint="eastAsia" w:ascii="宋体" w:hAnsi="宋体" w:eastAsia="宋体" w:cs="宋体"/>
          <w:b/>
          <w:bCs/>
          <w:color w:val="auto"/>
          <w:sz w:val="24"/>
          <w:highlight w:val="none"/>
          <w:lang w:eastAsia="zh-CN"/>
        </w:rPr>
        <w:t>投标供应商</w:t>
      </w:r>
      <w:r>
        <w:rPr>
          <w:rFonts w:hint="eastAsia" w:ascii="宋体" w:hAnsi="宋体" w:eastAsia="宋体" w:cs="宋体"/>
          <w:b/>
          <w:bCs/>
          <w:color w:val="auto"/>
          <w:sz w:val="24"/>
          <w:highlight w:val="none"/>
        </w:rPr>
        <w:t>应在投标报价表上标明单价和总价。单价和总价要相符。小写和大写要相符。</w:t>
      </w:r>
      <w:r>
        <w:rPr>
          <w:rFonts w:hint="eastAsia" w:ascii="宋体" w:hAnsi="宋体" w:eastAsia="宋体" w:cs="宋体"/>
          <w:b/>
          <w:bCs/>
          <w:color w:val="auto"/>
          <w:sz w:val="24"/>
          <w:highlight w:val="none"/>
          <w:lang w:eastAsia="zh-CN"/>
        </w:rPr>
        <w:t>投标供应商</w:t>
      </w:r>
      <w:r>
        <w:rPr>
          <w:rFonts w:hint="eastAsia" w:ascii="宋体" w:hAnsi="宋体" w:eastAsia="宋体" w:cs="宋体"/>
          <w:b/>
          <w:bCs/>
          <w:color w:val="auto"/>
          <w:sz w:val="24"/>
          <w:highlight w:val="none"/>
        </w:rPr>
        <w:t>应在投标报价表中标明其提供的所有货物及其相关工作范围内所有费用的总价，不接受有任何选择性报价。</w:t>
      </w:r>
    </w:p>
    <w:p w14:paraId="7A8FEB95">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13.2 算术性修正。算术性修正是指对投标文件的报价明细进行校核，并对其算术上和运算上的差错给予修正。修正的原则如下：</w:t>
      </w:r>
    </w:p>
    <w:p w14:paraId="20238BCE">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.1当以数字表示的金额与文字表示的金额有差异时，以文字表示的金额为准；</w:t>
      </w:r>
    </w:p>
    <w:p w14:paraId="1FB17A9F">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.2当单价与数量相乘不等于合价时，以单价计算为准。如果单价有明显的小数点位置差错，应以标出的合价为准，同时对单价予以修正；</w:t>
      </w:r>
    </w:p>
    <w:p w14:paraId="7F02FC80">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.3当各明细部分的价格累计不等于合价时，应以各明细的累计计数为准，修正合价。</w:t>
      </w:r>
    </w:p>
    <w:p w14:paraId="38366FD5">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4按以上原则对算术性差错修正，应取得</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的同意，并确认修正后最终投标价。如果</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拒绝确认，则其投标文件将不予以评审并按废标处理，没收其投标担保。</w:t>
      </w:r>
    </w:p>
    <w:p w14:paraId="7E87EDB4">
      <w:pPr>
        <w:adjustRightInd w:val="0"/>
        <w:snapToGrid w:val="0"/>
        <w:spacing w:line="400" w:lineRule="exact"/>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14．投标货币</w:t>
      </w:r>
    </w:p>
    <w:p w14:paraId="1676DC9F">
      <w:pPr>
        <w:adjustRightInd w:val="0"/>
        <w:snapToGrid w:val="0"/>
        <w:spacing w:line="400" w:lineRule="exact"/>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14.1人民币报价</w:t>
      </w:r>
    </w:p>
    <w:p w14:paraId="0BCEE257">
      <w:pPr>
        <w:adjustRightInd w:val="0"/>
        <w:snapToGrid w:val="0"/>
        <w:spacing w:line="400" w:lineRule="exact"/>
        <w:ind w:firstLine="480" w:firstLineChars="200"/>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15．</w:t>
      </w:r>
      <w:r>
        <w:rPr>
          <w:rFonts w:hint="eastAsia" w:ascii="宋体" w:hAnsi="宋体" w:eastAsia="宋体" w:cs="宋体"/>
          <w:b/>
          <w:color w:val="auto"/>
          <w:sz w:val="24"/>
          <w:highlight w:val="none"/>
          <w:lang w:eastAsia="zh-CN"/>
        </w:rPr>
        <w:t>投标供应商</w:t>
      </w:r>
      <w:r>
        <w:rPr>
          <w:rFonts w:hint="eastAsia" w:ascii="宋体" w:hAnsi="宋体" w:eastAsia="宋体" w:cs="宋体"/>
          <w:b/>
          <w:color w:val="auto"/>
          <w:sz w:val="24"/>
          <w:highlight w:val="none"/>
        </w:rPr>
        <w:t>的证明文件：</w:t>
      </w:r>
    </w:p>
    <w:p w14:paraId="30A40C0F">
      <w:pPr>
        <w:adjustRightInd w:val="0"/>
        <w:snapToGrid w:val="0"/>
        <w:spacing w:line="400" w:lineRule="exact"/>
        <w:ind w:firstLine="480" w:firstLineChars="200"/>
        <w:rPr>
          <w:rFonts w:hint="eastAsia" w:ascii="宋体" w:hAnsi="宋体" w:eastAsia="宋体" w:cs="宋体"/>
          <w:b/>
          <w:color w:val="auto"/>
          <w:spacing w:val="8"/>
          <w:sz w:val="24"/>
          <w:szCs w:val="24"/>
          <w:highlight w:val="none"/>
        </w:rPr>
      </w:pPr>
      <w:r>
        <w:rPr>
          <w:rFonts w:hint="eastAsia" w:ascii="宋体" w:hAnsi="宋体" w:eastAsia="宋体" w:cs="宋体"/>
          <w:b/>
          <w:color w:val="auto"/>
          <w:sz w:val="24"/>
          <w:highlight w:val="none"/>
          <w:lang w:eastAsia="zh-CN"/>
        </w:rPr>
        <w:t>投标供应商</w:t>
      </w:r>
      <w:r>
        <w:rPr>
          <w:rFonts w:hint="eastAsia" w:ascii="宋体" w:hAnsi="宋体" w:eastAsia="宋体" w:cs="宋体"/>
          <w:b/>
          <w:color w:val="auto"/>
          <w:sz w:val="24"/>
          <w:highlight w:val="none"/>
        </w:rPr>
        <w:t>必须提交证明其有资格进行投标和有能力履行合同的文件，作为投标文件的一部分。（</w:t>
      </w:r>
      <w:r>
        <w:rPr>
          <w:rFonts w:hint="eastAsia" w:ascii="宋体" w:hAnsi="宋体" w:eastAsia="宋体" w:cs="宋体"/>
          <w:b/>
          <w:color w:val="auto"/>
          <w:spacing w:val="8"/>
          <w:sz w:val="24"/>
          <w:szCs w:val="24"/>
          <w:highlight w:val="none"/>
        </w:rPr>
        <w:t>详见“</w:t>
      </w:r>
      <w:r>
        <w:rPr>
          <w:rFonts w:hint="eastAsia" w:ascii="宋体" w:hAnsi="宋体" w:eastAsia="宋体" w:cs="宋体"/>
          <w:b/>
          <w:color w:val="auto"/>
          <w:spacing w:val="8"/>
          <w:sz w:val="24"/>
          <w:szCs w:val="24"/>
          <w:highlight w:val="none"/>
          <w:lang w:eastAsia="zh-CN"/>
        </w:rPr>
        <w:t>投标供应商须知前附表</w:t>
      </w:r>
      <w:r>
        <w:rPr>
          <w:rFonts w:hint="eastAsia" w:ascii="宋体" w:hAnsi="宋体" w:eastAsia="宋体" w:cs="宋体"/>
          <w:b/>
          <w:color w:val="auto"/>
          <w:spacing w:val="8"/>
          <w:sz w:val="24"/>
          <w:szCs w:val="24"/>
          <w:highlight w:val="none"/>
        </w:rPr>
        <w:t>”</w:t>
      </w:r>
      <w:r>
        <w:rPr>
          <w:rFonts w:hint="eastAsia" w:ascii="宋体" w:hAnsi="宋体" w:eastAsia="宋体" w:cs="宋体"/>
          <w:b/>
          <w:color w:val="auto"/>
          <w:spacing w:val="8"/>
          <w:sz w:val="24"/>
          <w:szCs w:val="24"/>
          <w:highlight w:val="none"/>
          <w:lang w:eastAsia="zh-CN"/>
        </w:rPr>
        <w:t>、“</w:t>
      </w:r>
      <w:r>
        <w:rPr>
          <w:rFonts w:hint="eastAsia" w:ascii="宋体" w:hAnsi="宋体" w:eastAsia="宋体" w:cs="宋体"/>
          <w:b/>
          <w:color w:val="auto"/>
          <w:sz w:val="24"/>
          <w:highlight w:val="none"/>
        </w:rPr>
        <w:t>投标文件格式</w:t>
      </w:r>
      <w:r>
        <w:rPr>
          <w:rFonts w:hint="eastAsia" w:ascii="宋体" w:hAnsi="宋体" w:eastAsia="宋体" w:cs="宋体"/>
          <w:b/>
          <w:color w:val="auto"/>
          <w:sz w:val="24"/>
          <w:highlight w:val="none"/>
          <w:lang w:eastAsia="zh-CN"/>
        </w:rPr>
        <w:t>”</w:t>
      </w:r>
      <w:r>
        <w:rPr>
          <w:rFonts w:hint="eastAsia" w:ascii="宋体" w:hAnsi="宋体" w:eastAsia="宋体" w:cs="宋体"/>
          <w:b/>
          <w:color w:val="auto"/>
          <w:spacing w:val="8"/>
          <w:sz w:val="24"/>
          <w:szCs w:val="24"/>
          <w:highlight w:val="none"/>
        </w:rPr>
        <w:t>）</w:t>
      </w:r>
    </w:p>
    <w:p w14:paraId="026D3793">
      <w:pPr>
        <w:adjustRightInd w:val="0"/>
        <w:snapToGrid w:val="0"/>
        <w:spacing w:line="400" w:lineRule="exact"/>
        <w:ind w:firstLine="480" w:firstLineChars="200"/>
        <w:jc w:val="both"/>
        <w:rPr>
          <w:rFonts w:hint="eastAsia" w:ascii="宋体" w:hAnsi="宋体" w:eastAsia="宋体" w:cs="宋体"/>
          <w:b/>
          <w:color w:val="auto"/>
          <w:spacing w:val="8"/>
          <w:sz w:val="24"/>
          <w:szCs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pacing w:val="8"/>
          <w:sz w:val="24"/>
          <w:szCs w:val="24"/>
          <w:highlight w:val="none"/>
        </w:rPr>
        <w:t>投标文件中</w:t>
      </w:r>
      <w:r>
        <w:rPr>
          <w:rFonts w:hint="eastAsia" w:ascii="宋体" w:hAnsi="宋体" w:eastAsia="宋体" w:cs="宋体"/>
          <w:b/>
          <w:color w:val="auto"/>
          <w:spacing w:val="8"/>
          <w:sz w:val="24"/>
          <w:szCs w:val="24"/>
          <w:highlight w:val="none"/>
          <w:lang w:eastAsia="zh-CN"/>
        </w:rPr>
        <w:t>要求</w:t>
      </w:r>
      <w:r>
        <w:rPr>
          <w:rFonts w:hint="eastAsia" w:ascii="宋体" w:hAnsi="宋体" w:eastAsia="宋体" w:cs="宋体"/>
          <w:b/>
          <w:color w:val="auto"/>
          <w:spacing w:val="8"/>
          <w:sz w:val="24"/>
          <w:szCs w:val="24"/>
          <w:highlight w:val="none"/>
        </w:rPr>
        <w:t>签字、</w:t>
      </w:r>
      <w:r>
        <w:rPr>
          <w:rFonts w:hint="eastAsia" w:ascii="宋体" w:hAnsi="宋体" w:eastAsia="宋体" w:cs="宋体"/>
          <w:b/>
          <w:color w:val="auto"/>
          <w:spacing w:val="8"/>
          <w:sz w:val="24"/>
          <w:szCs w:val="24"/>
          <w:highlight w:val="none"/>
          <w:lang w:eastAsia="zh-CN"/>
        </w:rPr>
        <w:t>盖章处必须严格要求签字、</w:t>
      </w:r>
      <w:r>
        <w:rPr>
          <w:rFonts w:hint="eastAsia" w:ascii="宋体" w:hAnsi="宋体" w:eastAsia="宋体" w:cs="宋体"/>
          <w:b/>
          <w:color w:val="auto"/>
          <w:spacing w:val="8"/>
          <w:sz w:val="24"/>
          <w:szCs w:val="24"/>
          <w:highlight w:val="none"/>
        </w:rPr>
        <w:t>加盖有关有法律效力的印章方为有效；</w:t>
      </w:r>
    </w:p>
    <w:p w14:paraId="117A71A8">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（2）所有资格证明文件必须满足招标文件要求，否则将导致废标。</w:t>
      </w:r>
    </w:p>
    <w:p w14:paraId="12E24128">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r>
        <w:rPr>
          <w:rFonts w:hint="eastAsia" w:ascii="宋体" w:hAnsi="宋体" w:eastAsia="宋体" w:cs="宋体"/>
          <w:color w:val="auto"/>
          <w:sz w:val="24"/>
          <w:highlight w:val="none"/>
          <w:lang w:val="en-US"/>
        </w:rPr>
        <w:t>.</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须提交证明拟供货物和服务符合招标文件规定的技术</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，作为投标文件的一部分。</w:t>
      </w:r>
    </w:p>
    <w:p w14:paraId="1D3733DB">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17．投标的有效期</w:t>
      </w:r>
    </w:p>
    <w:p w14:paraId="4B31DE7D">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17.1</w:t>
      </w:r>
      <w:r>
        <w:rPr>
          <w:rFonts w:hint="eastAsia" w:ascii="宋体" w:hAnsi="宋体" w:eastAsia="宋体" w:cs="宋体"/>
          <w:b/>
          <w:color w:val="auto"/>
          <w:sz w:val="24"/>
          <w:highlight w:val="none"/>
        </w:rPr>
        <w:t>投标文件从开标之日起，投标有效期为</w:t>
      </w:r>
      <w:r>
        <w:rPr>
          <w:rFonts w:hint="eastAsia" w:ascii="宋体" w:hAnsi="宋体" w:eastAsia="宋体" w:cs="宋体"/>
          <w:b/>
          <w:color w:val="auto"/>
          <w:sz w:val="24"/>
          <w:highlight w:val="none"/>
          <w:u w:val="single"/>
        </w:rPr>
        <w:t>90</w:t>
      </w:r>
      <w:r>
        <w:rPr>
          <w:rFonts w:hint="eastAsia" w:ascii="宋体" w:hAnsi="宋体" w:eastAsia="宋体" w:cs="宋体"/>
          <w:b/>
          <w:color w:val="auto"/>
          <w:sz w:val="24"/>
          <w:highlight w:val="none"/>
        </w:rPr>
        <w:t>天。（如不满足将导致废标）</w:t>
      </w:r>
    </w:p>
    <w:p w14:paraId="14518CD5">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在特殊情况下，招标代理机构可与</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商量延长投标文件的有效期。</w:t>
      </w:r>
    </w:p>
    <w:p w14:paraId="4848FD93">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18．投标文件的书写要求。</w:t>
      </w:r>
    </w:p>
    <w:p w14:paraId="43FB2CCF">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投标文件须打印胶装，活页装订不予评审。</w:t>
      </w:r>
    </w:p>
    <w:p w14:paraId="363F1550">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18.2 投标文件应清楚工整，修改处应由投标全权代表签章。</w:t>
      </w:r>
    </w:p>
    <w:p w14:paraId="52DEA56C">
      <w:pPr>
        <w:adjustRightInd w:val="0"/>
        <w:snapToGrid w:val="0"/>
        <w:spacing w:line="40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18.3投标文件应由法</w:t>
      </w:r>
      <w:r>
        <w:rPr>
          <w:rFonts w:hint="eastAsia" w:ascii="宋体" w:hAnsi="宋体" w:eastAsia="宋体" w:cs="宋体"/>
          <w:b/>
          <w:bCs/>
          <w:color w:val="auto"/>
          <w:sz w:val="24"/>
          <w:highlight w:val="none"/>
          <w:lang w:eastAsia="zh-CN"/>
        </w:rPr>
        <w:t>定</w:t>
      </w:r>
      <w:r>
        <w:rPr>
          <w:rFonts w:hint="eastAsia" w:ascii="宋体" w:hAnsi="宋体" w:eastAsia="宋体" w:cs="宋体"/>
          <w:b/>
          <w:bCs/>
          <w:color w:val="auto"/>
          <w:sz w:val="24"/>
          <w:highlight w:val="none"/>
        </w:rPr>
        <w:t>代表</w:t>
      </w:r>
      <w:r>
        <w:rPr>
          <w:rFonts w:hint="eastAsia" w:ascii="宋体" w:hAnsi="宋体" w:eastAsia="宋体" w:cs="宋体"/>
          <w:b/>
          <w:bCs/>
          <w:color w:val="auto"/>
          <w:sz w:val="24"/>
          <w:highlight w:val="none"/>
          <w:lang w:eastAsia="zh-CN"/>
        </w:rPr>
        <w:t>人</w:t>
      </w:r>
      <w:r>
        <w:rPr>
          <w:rFonts w:hint="eastAsia" w:ascii="宋体" w:hAnsi="宋体" w:eastAsia="宋体" w:cs="宋体"/>
          <w:b/>
          <w:bCs/>
          <w:color w:val="auto"/>
          <w:sz w:val="24"/>
          <w:highlight w:val="none"/>
        </w:rPr>
        <w:t>或</w:t>
      </w:r>
      <w:r>
        <w:rPr>
          <w:rFonts w:hint="eastAsia" w:ascii="宋体" w:hAnsi="宋体" w:eastAsia="宋体" w:cs="宋体"/>
          <w:b/>
          <w:bCs/>
          <w:color w:val="auto"/>
          <w:sz w:val="24"/>
          <w:highlight w:val="none"/>
          <w:lang w:eastAsia="zh-CN"/>
        </w:rPr>
        <w:t>委托代理人</w:t>
      </w:r>
      <w:r>
        <w:rPr>
          <w:rFonts w:hint="eastAsia" w:ascii="宋体" w:hAnsi="宋体" w:eastAsia="宋体" w:cs="宋体"/>
          <w:b/>
          <w:bCs/>
          <w:color w:val="auto"/>
          <w:sz w:val="24"/>
          <w:highlight w:val="none"/>
        </w:rPr>
        <w:t>在凡规定签章处逐一签署及加盖</w:t>
      </w:r>
      <w:r>
        <w:rPr>
          <w:rFonts w:hint="eastAsia" w:ascii="宋体" w:hAnsi="宋体" w:eastAsia="宋体" w:cs="宋体"/>
          <w:b/>
          <w:bCs/>
          <w:color w:val="auto"/>
          <w:sz w:val="24"/>
          <w:highlight w:val="none"/>
          <w:lang w:eastAsia="zh-CN"/>
        </w:rPr>
        <w:t>法人章或</w:t>
      </w:r>
      <w:r>
        <w:rPr>
          <w:rFonts w:hint="eastAsia" w:ascii="宋体" w:hAnsi="宋体" w:eastAsia="宋体" w:cs="宋体"/>
          <w:b/>
          <w:bCs/>
          <w:color w:val="auto"/>
          <w:sz w:val="24"/>
          <w:highlight w:val="none"/>
        </w:rPr>
        <w:t>单位公章。</w:t>
      </w:r>
    </w:p>
    <w:p w14:paraId="64AB65CC">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18.4电报、电话、传真形式的投标概不接受。</w:t>
      </w:r>
    </w:p>
    <w:p w14:paraId="5ABB6B9A">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19．投标保证金</w:t>
      </w:r>
    </w:p>
    <w:p w14:paraId="1769A3BA">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按照“</w:t>
      </w:r>
      <w:r>
        <w:rPr>
          <w:rFonts w:hint="eastAsia" w:ascii="宋体" w:hAnsi="宋体" w:eastAsia="宋体" w:cs="宋体"/>
          <w:color w:val="auto"/>
          <w:sz w:val="24"/>
          <w:highlight w:val="none"/>
          <w:lang w:eastAsia="zh-CN"/>
        </w:rPr>
        <w:t>投标供应商须知前附表</w:t>
      </w:r>
      <w:r>
        <w:rPr>
          <w:rFonts w:hint="eastAsia" w:ascii="宋体" w:hAnsi="宋体" w:eastAsia="宋体" w:cs="宋体"/>
          <w:color w:val="auto"/>
          <w:sz w:val="24"/>
          <w:highlight w:val="none"/>
        </w:rPr>
        <w:t>”中明确的标准，于投标截止时间前向招标代理机构交纳投标保证金。</w:t>
      </w:r>
    </w:p>
    <w:p w14:paraId="74E78B0E">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19.2 本次招标可接受电汇作为投标保证金，投标保证金有效期应当与投标有效期一致。</w:t>
      </w:r>
    </w:p>
    <w:p w14:paraId="1E20E21D">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19.3投标保证金的退还时间：</w:t>
      </w:r>
    </w:p>
    <w:p w14:paraId="02095F0F">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19.3.1在中标通知书发出后5个工作日内退还未中标供应商的投标保证金，在采购合同签订</w:t>
      </w:r>
      <w:r>
        <w:rPr>
          <w:rFonts w:hint="eastAsia" w:ascii="宋体" w:hAnsi="宋体" w:eastAsia="宋体" w:cs="宋体"/>
          <w:color w:val="auto"/>
          <w:sz w:val="24"/>
          <w:highlight w:val="none"/>
          <w:lang w:eastAsia="zh-CN"/>
        </w:rPr>
        <w:t>且公示</w:t>
      </w:r>
      <w:r>
        <w:rPr>
          <w:rFonts w:hint="eastAsia" w:ascii="宋体" w:hAnsi="宋体" w:eastAsia="宋体" w:cs="宋体"/>
          <w:color w:val="auto"/>
          <w:sz w:val="24"/>
          <w:highlight w:val="none"/>
        </w:rPr>
        <w:t>后5个工作日内退还中标供应商的投标保证金。具体退还保证金要求，详见</w:t>
      </w:r>
      <w:r>
        <w:rPr>
          <w:rFonts w:hint="eastAsia" w:ascii="宋体" w:hAnsi="宋体" w:eastAsia="宋体" w:cs="宋体"/>
          <w:color w:val="auto"/>
          <w:sz w:val="24"/>
          <w:highlight w:val="none"/>
          <w:lang w:val="en-US" w:eastAsia="zh-CN"/>
        </w:rPr>
        <w:t>投标供应商须知前附表</w:t>
      </w:r>
      <w:r>
        <w:rPr>
          <w:rFonts w:hint="eastAsia" w:ascii="宋体" w:hAnsi="宋体" w:eastAsia="宋体" w:cs="宋体"/>
          <w:color w:val="auto"/>
          <w:sz w:val="24"/>
          <w:highlight w:val="none"/>
        </w:rPr>
        <w:t>。</w:t>
      </w:r>
    </w:p>
    <w:p w14:paraId="775CAE77">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19.4未按规定提交投标保证金的投标，将被视为投标无效。</w:t>
      </w:r>
    </w:p>
    <w:p w14:paraId="275E4044">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19.5下列任何情况发生时，投标保证金将被没收：</w:t>
      </w:r>
    </w:p>
    <w:p w14:paraId="2AA9CB07">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19.5.1</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在招标文件规定的投标有效期内撤回其投标；</w:t>
      </w:r>
    </w:p>
    <w:p w14:paraId="5D66237D">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19.5.2中标人在规定期限内未能：</w:t>
      </w:r>
    </w:p>
    <w:p w14:paraId="7F7FD416">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19.5.2.1按本须知规定签订合同；</w:t>
      </w:r>
    </w:p>
    <w:p w14:paraId="23883EB0">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19.5.2.2按本须知规定向招标代理机构交纳招标代理服务费。</w:t>
      </w:r>
    </w:p>
    <w:p w14:paraId="1D5BBAAD">
      <w:pPr>
        <w:adjustRightInd w:val="0"/>
        <w:snapToGrid w:val="0"/>
        <w:spacing w:line="400" w:lineRule="exact"/>
        <w:ind w:firstLine="480" w:firstLineChars="200"/>
        <w:rPr>
          <w:rFonts w:hint="eastAsia" w:ascii="宋体" w:hAnsi="宋体" w:eastAsia="宋体" w:cs="宋体"/>
          <w:color w:val="auto"/>
          <w:sz w:val="24"/>
          <w:highlight w:val="none"/>
        </w:rPr>
      </w:pPr>
    </w:p>
    <w:p w14:paraId="5380788D">
      <w:pPr>
        <w:pStyle w:val="4"/>
        <w:adjustRightInd w:val="0"/>
        <w:snapToGrid w:val="0"/>
        <w:spacing w:before="0" w:after="0" w:line="400" w:lineRule="exact"/>
        <w:jc w:val="center"/>
        <w:rPr>
          <w:rFonts w:hint="eastAsia" w:ascii="宋体" w:hAnsi="宋体" w:eastAsia="宋体" w:cs="宋体"/>
          <w:color w:val="auto"/>
          <w:sz w:val="28"/>
          <w:szCs w:val="28"/>
          <w:highlight w:val="none"/>
        </w:rPr>
      </w:pPr>
      <w:bookmarkStart w:id="34" w:name="_Toc28588"/>
      <w:bookmarkStart w:id="35" w:name="_Toc349573124"/>
      <w:bookmarkStart w:id="36" w:name="_Toc349637923"/>
      <w:bookmarkStart w:id="37" w:name="_Toc298240408"/>
      <w:bookmarkStart w:id="38" w:name="_Toc267301285"/>
      <w:bookmarkStart w:id="39" w:name="_Toc17052"/>
      <w:r>
        <w:rPr>
          <w:rFonts w:hint="eastAsia" w:ascii="宋体" w:hAnsi="宋体" w:eastAsia="宋体" w:cs="宋体"/>
          <w:color w:val="auto"/>
          <w:sz w:val="28"/>
          <w:szCs w:val="28"/>
          <w:highlight w:val="none"/>
          <w:lang w:eastAsia="zh-CN"/>
        </w:rPr>
        <w:t>四、</w:t>
      </w:r>
      <w:r>
        <w:rPr>
          <w:rFonts w:hint="eastAsia" w:ascii="宋体" w:hAnsi="宋体" w:eastAsia="宋体" w:cs="宋体"/>
          <w:color w:val="auto"/>
          <w:sz w:val="28"/>
          <w:szCs w:val="28"/>
          <w:highlight w:val="none"/>
        </w:rPr>
        <w:t>投标文件的递交</w:t>
      </w:r>
      <w:bookmarkEnd w:id="34"/>
      <w:bookmarkEnd w:id="35"/>
      <w:bookmarkEnd w:id="36"/>
      <w:bookmarkEnd w:id="37"/>
      <w:bookmarkEnd w:id="38"/>
      <w:bookmarkEnd w:id="39"/>
    </w:p>
    <w:p w14:paraId="3040CD9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 投标文件的密封与标记</w:t>
      </w:r>
    </w:p>
    <w:p w14:paraId="2A3FC9FA">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投标供应商</w:t>
      </w:r>
      <w:r>
        <w:rPr>
          <w:rFonts w:hint="eastAsia" w:ascii="宋体" w:hAnsi="宋体" w:eastAsia="宋体" w:cs="宋体"/>
          <w:color w:val="auto"/>
          <w:sz w:val="24"/>
          <w:szCs w:val="24"/>
          <w:highlight w:val="none"/>
        </w:rPr>
        <w:t>应通过电子投标文件制作工具严格按招标文件要求制作投标文件，在投标截止时间前完成上传</w:t>
      </w:r>
      <w:r>
        <w:rPr>
          <w:rFonts w:hint="eastAsia" w:ascii="宋体" w:hAnsi="宋体" w:cs="宋体"/>
          <w:color w:val="auto"/>
          <w:sz w:val="24"/>
          <w:szCs w:val="24"/>
          <w:highlight w:val="none"/>
        </w:rPr>
        <w:t>经过数字证书电子签章并加密的投标文件（加密和解密须用同一把数字证书）。</w:t>
      </w:r>
      <w:r>
        <w:rPr>
          <w:rFonts w:hint="eastAsia" w:ascii="宋体" w:hAnsi="宋体" w:cs="宋体"/>
          <w:color w:val="auto"/>
          <w:sz w:val="24"/>
          <w:szCs w:val="24"/>
          <w:highlight w:val="none"/>
          <w:lang w:eastAsia="zh-CN"/>
        </w:rPr>
        <w:t>投标供应商</w:t>
      </w:r>
      <w:r>
        <w:rPr>
          <w:rFonts w:hint="eastAsia" w:ascii="宋体" w:hAnsi="宋体" w:cs="宋体"/>
          <w:color w:val="auto"/>
          <w:sz w:val="24"/>
          <w:szCs w:val="24"/>
          <w:highlight w:val="none"/>
        </w:rPr>
        <w:t>在投标截止时间前，可以对其所递交的投标文件进行修改并重新上传，但以投标截止时间前最后一次上传的投标文件为有效投标文件。</w:t>
      </w:r>
    </w:p>
    <w:p w14:paraId="09588FCA">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投标截止时间以政采云平台显示的时间为准，逾期系统将自动关闭，未完成上传的投标文件视为逾期送达，将被拒绝。</w:t>
      </w:r>
    </w:p>
    <w:p w14:paraId="532E74F5">
      <w:pPr>
        <w:pStyle w:val="134"/>
        <w:adjustRightInd w:val="0"/>
        <w:snapToGrid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21</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投标</w:t>
      </w:r>
      <w:r>
        <w:rPr>
          <w:rFonts w:hint="eastAsia" w:ascii="宋体" w:hAnsi="宋体" w:cs="宋体"/>
          <w:color w:val="auto"/>
          <w:sz w:val="24"/>
          <w:szCs w:val="24"/>
          <w:highlight w:val="none"/>
        </w:rPr>
        <w:t>文件的递交</w:t>
      </w:r>
    </w:p>
    <w:p w14:paraId="274A1BE7">
      <w:pPr>
        <w:adjustRightInd w:val="0"/>
        <w:snapToGrid w:val="0"/>
        <w:spacing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21</w:t>
      </w:r>
      <w:r>
        <w:rPr>
          <w:rFonts w:hint="eastAsia" w:ascii="宋体" w:hAnsi="宋体" w:cs="宋体"/>
          <w:color w:val="auto"/>
          <w:sz w:val="24"/>
          <w:szCs w:val="24"/>
          <w:highlight w:val="none"/>
        </w:rPr>
        <w:t>.1本</w:t>
      </w:r>
      <w:r>
        <w:rPr>
          <w:rFonts w:hint="eastAsia" w:ascii="宋体" w:hAnsi="宋体" w:cs="宋体"/>
          <w:color w:val="auto"/>
          <w:sz w:val="24"/>
          <w:szCs w:val="24"/>
          <w:highlight w:val="none"/>
          <w:lang w:val="zh-CN"/>
        </w:rPr>
        <w:t>项目采用不见面开标。只需将加密电子投标文件（.</w:t>
      </w:r>
      <w:r>
        <w:rPr>
          <w:rFonts w:hint="eastAsia" w:ascii="宋体" w:hAnsi="宋体" w:cs="宋体"/>
          <w:color w:val="auto"/>
          <w:sz w:val="24"/>
          <w:szCs w:val="24"/>
          <w:highlight w:val="none"/>
        </w:rPr>
        <w:t>jmbs</w:t>
      </w:r>
      <w:r>
        <w:rPr>
          <w:rFonts w:hint="eastAsia" w:ascii="宋体" w:hAnsi="宋体" w:cs="宋体"/>
          <w:color w:val="auto"/>
          <w:sz w:val="24"/>
          <w:szCs w:val="24"/>
          <w:highlight w:val="none"/>
          <w:lang w:val="zh-CN"/>
        </w:rPr>
        <w:t>格式）在投标截止时间前通过</w:t>
      </w:r>
      <w:r>
        <w:rPr>
          <w:rFonts w:hint="eastAsia" w:ascii="宋体" w:hAnsi="宋体" w:cs="宋体"/>
          <w:color w:val="auto"/>
          <w:sz w:val="24"/>
          <w:szCs w:val="24"/>
          <w:highlight w:val="none"/>
        </w:rPr>
        <w:t>政采云</w:t>
      </w:r>
      <w:r>
        <w:rPr>
          <w:rFonts w:hint="eastAsia" w:ascii="宋体" w:hAnsi="宋体" w:cs="宋体"/>
          <w:color w:val="auto"/>
          <w:sz w:val="24"/>
          <w:szCs w:val="24"/>
          <w:highlight w:val="none"/>
          <w:lang w:val="zh-CN"/>
        </w:rPr>
        <w:t>平台上传完成。上传时必须得到电脑“上传成功”的确认回复后方为上传成功。</w:t>
      </w:r>
      <w:r>
        <w:rPr>
          <w:rFonts w:hint="eastAsia" w:ascii="宋体" w:hAnsi="宋体" w:eastAsia="宋体" w:cs="宋体"/>
          <w:color w:val="auto"/>
          <w:sz w:val="24"/>
          <w:szCs w:val="24"/>
          <w:highlight w:val="none"/>
          <w:lang w:val="zh-CN" w:eastAsia="zh-CN"/>
        </w:rPr>
        <w:t>逾期上传的或者未上传到平台的投标文件，采购人不予受理。</w:t>
      </w:r>
    </w:p>
    <w:p w14:paraId="2AAFE335">
      <w:pPr>
        <w:adjustRightInd w:val="0"/>
        <w:snapToGrid w:val="0"/>
        <w:spacing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21.2</w:t>
      </w:r>
      <w:r>
        <w:rPr>
          <w:rFonts w:hint="eastAsia" w:ascii="宋体" w:hAnsi="宋体" w:eastAsia="宋体" w:cs="宋体"/>
          <w:color w:val="auto"/>
          <w:sz w:val="24"/>
          <w:szCs w:val="24"/>
          <w:highlight w:val="none"/>
          <w:lang w:val="zh-CN" w:eastAsia="zh-CN"/>
        </w:rPr>
        <w:t>投标供应商应充分考虑到网络环境、网络带宽等风险因素，如因投标供应商自身原因造成的电子投标文件上传不成功</w:t>
      </w:r>
      <w:r>
        <w:rPr>
          <w:rFonts w:hint="eastAsia" w:ascii="宋体" w:hAnsi="宋体" w:eastAsia="宋体" w:cs="宋体"/>
          <w:color w:val="auto"/>
          <w:sz w:val="24"/>
          <w:szCs w:val="24"/>
          <w:highlight w:val="none"/>
          <w:lang w:val="en-US" w:eastAsia="zh-CN"/>
        </w:rPr>
        <w:t>或未上传至指定位置的</w:t>
      </w:r>
      <w:r>
        <w:rPr>
          <w:rFonts w:hint="eastAsia" w:ascii="宋体" w:hAnsi="宋体" w:eastAsia="宋体" w:cs="宋体"/>
          <w:color w:val="auto"/>
          <w:sz w:val="24"/>
          <w:szCs w:val="24"/>
          <w:highlight w:val="none"/>
          <w:lang w:val="zh-CN" w:eastAsia="zh-CN"/>
        </w:rPr>
        <w:t>由投标供应商自行承担全部责任。</w:t>
      </w:r>
    </w:p>
    <w:p w14:paraId="56CE4408">
      <w:pPr>
        <w:adjustRightInd w:val="0"/>
        <w:snapToGrid w:val="0"/>
        <w:spacing w:line="360" w:lineRule="auto"/>
        <w:ind w:firstLine="480"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21</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lang w:val="zh-CN"/>
        </w:rPr>
        <w:t xml:space="preserve"> 投标单位在投标截止时间前无需提供纸质投标文件，待中标（成交）</w:t>
      </w:r>
      <w:r>
        <w:rPr>
          <w:rFonts w:hint="eastAsia" w:ascii="宋体" w:hAnsi="宋体" w:cs="宋体"/>
          <w:b/>
          <w:bCs/>
          <w:color w:val="auto"/>
          <w:sz w:val="24"/>
          <w:szCs w:val="24"/>
          <w:highlight w:val="none"/>
        </w:rPr>
        <w:t>公示期满后由中标单位将纸质（正本1份、副本</w:t>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rPr>
        <w:t>份）</w:t>
      </w:r>
      <w:r>
        <w:rPr>
          <w:rFonts w:hint="eastAsia" w:ascii="宋体" w:hAnsi="宋体" w:cs="宋体"/>
          <w:b/>
          <w:bCs/>
          <w:color w:val="auto"/>
          <w:sz w:val="24"/>
          <w:szCs w:val="24"/>
          <w:highlight w:val="none"/>
          <w:lang w:val="en-US" w:eastAsia="zh-CN"/>
        </w:rPr>
        <w:t>递交</w:t>
      </w:r>
      <w:r>
        <w:rPr>
          <w:rFonts w:hint="eastAsia" w:ascii="宋体" w:hAnsi="宋体" w:cs="宋体"/>
          <w:b/>
          <w:bCs/>
          <w:color w:val="auto"/>
          <w:sz w:val="24"/>
          <w:szCs w:val="24"/>
          <w:highlight w:val="none"/>
        </w:rPr>
        <w:t>至</w:t>
      </w:r>
      <w:r>
        <w:rPr>
          <w:rFonts w:hint="default" w:ascii="宋体" w:hAnsi="宋体" w:cs="宋体"/>
          <w:b/>
          <w:bCs/>
          <w:color w:val="auto"/>
          <w:sz w:val="24"/>
          <w:szCs w:val="24"/>
          <w:highlight w:val="none"/>
          <w:lang w:val="en-US" w:eastAsia="zh-CN"/>
        </w:rPr>
        <w:t>新疆华展鑫荣项目管理咨询有限公司</w:t>
      </w:r>
      <w:r>
        <w:rPr>
          <w:rFonts w:hint="eastAsia" w:ascii="宋体" w:hAnsi="宋体" w:cs="宋体"/>
          <w:b/>
          <w:bCs/>
          <w:color w:val="auto"/>
          <w:sz w:val="24"/>
          <w:szCs w:val="24"/>
          <w:highlight w:val="none"/>
          <w:lang w:val="en-US" w:eastAsia="zh-CN"/>
        </w:rPr>
        <w:t>（乌鲁木齐市水磨沟区金科星耀天都一号楼2单元2602室）</w:t>
      </w:r>
      <w:r>
        <w:rPr>
          <w:rFonts w:hint="eastAsia" w:ascii="宋体" w:hAnsi="宋体" w:cs="宋体"/>
          <w:b/>
          <w:bCs/>
          <w:color w:val="auto"/>
          <w:sz w:val="24"/>
          <w:szCs w:val="24"/>
          <w:highlight w:val="none"/>
        </w:rPr>
        <w:t>。</w:t>
      </w:r>
    </w:p>
    <w:p w14:paraId="1972E517">
      <w:pPr>
        <w:pStyle w:val="4"/>
        <w:adjustRightInd w:val="0"/>
        <w:snapToGrid w:val="0"/>
        <w:spacing w:before="0" w:after="0" w:line="400" w:lineRule="exact"/>
        <w:jc w:val="center"/>
        <w:rPr>
          <w:rFonts w:hint="eastAsia" w:ascii="宋体" w:hAnsi="宋体" w:eastAsia="宋体" w:cs="宋体"/>
          <w:color w:val="auto"/>
          <w:sz w:val="28"/>
          <w:szCs w:val="28"/>
          <w:highlight w:val="none"/>
          <w:lang w:eastAsia="zh-CN"/>
        </w:rPr>
      </w:pPr>
      <w:bookmarkStart w:id="40" w:name="_Toc298240409"/>
      <w:bookmarkStart w:id="41" w:name="_Toc26228"/>
      <w:bookmarkStart w:id="42" w:name="_Toc267301286"/>
      <w:bookmarkStart w:id="43" w:name="_Toc349573125"/>
      <w:bookmarkStart w:id="44" w:name="_Toc349637924"/>
      <w:bookmarkStart w:id="45" w:name="_Toc22131"/>
      <w:r>
        <w:rPr>
          <w:rFonts w:hint="eastAsia" w:ascii="宋体" w:hAnsi="宋体" w:eastAsia="宋体" w:cs="宋体"/>
          <w:color w:val="auto"/>
          <w:sz w:val="28"/>
          <w:szCs w:val="28"/>
          <w:highlight w:val="none"/>
        </w:rPr>
        <w:t>五</w:t>
      </w:r>
      <w:bookmarkEnd w:id="40"/>
      <w:bookmarkEnd w:id="41"/>
      <w:bookmarkEnd w:id="42"/>
      <w:bookmarkEnd w:id="43"/>
      <w:bookmarkEnd w:id="44"/>
      <w:r>
        <w:rPr>
          <w:rFonts w:hint="eastAsia" w:ascii="宋体" w:hAnsi="宋体" w:eastAsia="宋体" w:cs="宋体"/>
          <w:color w:val="auto"/>
          <w:sz w:val="28"/>
          <w:szCs w:val="28"/>
          <w:highlight w:val="none"/>
          <w:lang w:eastAsia="zh-CN"/>
        </w:rPr>
        <w:t>、开标程序</w:t>
      </w:r>
      <w:bookmarkEnd w:id="45"/>
    </w:p>
    <w:p w14:paraId="3F26E430">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．开标</w:t>
      </w:r>
    </w:p>
    <w:p w14:paraId="1125B0AB">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.1</w:t>
      </w:r>
      <w:r>
        <w:rPr>
          <w:rFonts w:hint="eastAsia" w:ascii="宋体" w:hAnsi="宋体" w:cs="宋体"/>
          <w:b/>
          <w:bCs/>
          <w:color w:val="auto"/>
          <w:sz w:val="24"/>
          <w:highlight w:val="none"/>
          <w:lang w:eastAsia="zh-CN"/>
        </w:rPr>
        <w:t>本项目采用电子招投标方式</w:t>
      </w:r>
      <w:r>
        <w:rPr>
          <w:rFonts w:hint="eastAsia" w:ascii="宋体" w:hAnsi="宋体" w:cs="宋体"/>
          <w:b/>
          <w:bCs/>
          <w:color w:val="auto"/>
          <w:sz w:val="24"/>
          <w:highlight w:val="none"/>
        </w:rPr>
        <w:t>。</w:t>
      </w:r>
    </w:p>
    <w:p w14:paraId="4988DD9F">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.2本次招标按招标文件中投标邀请规定的时间地点进行开标，将邀请</w:t>
      </w:r>
      <w:r>
        <w:rPr>
          <w:rFonts w:hint="eastAsia" w:ascii="宋体" w:hAnsi="宋体" w:cs="宋体"/>
          <w:color w:val="auto"/>
          <w:sz w:val="24"/>
          <w:highlight w:val="none"/>
          <w:lang w:eastAsia="zh-CN"/>
        </w:rPr>
        <w:t>投标供应商</w:t>
      </w:r>
      <w:r>
        <w:rPr>
          <w:rFonts w:hint="eastAsia" w:ascii="宋体" w:hAnsi="宋体" w:cs="宋体"/>
          <w:color w:val="auto"/>
          <w:sz w:val="24"/>
          <w:highlight w:val="none"/>
        </w:rPr>
        <w:t>的法定代表人或其授权委托人准时参加开标会。</w:t>
      </w:r>
    </w:p>
    <w:p w14:paraId="68759846">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 xml:space="preserve"> 对</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的纪律要求</w:t>
      </w:r>
    </w:p>
    <w:p w14:paraId="5CC45F73">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采购人</w:t>
      </w:r>
      <w:r>
        <w:rPr>
          <w:rFonts w:hint="eastAsia" w:ascii="宋体" w:hAnsi="宋体" w:cs="宋体"/>
          <w:color w:val="auto"/>
          <w:sz w:val="24"/>
          <w:highlight w:val="none"/>
        </w:rPr>
        <w:t>不得泄露招标投标活动中应当保密的情况和资料，不得与</w:t>
      </w:r>
      <w:r>
        <w:rPr>
          <w:rFonts w:hint="eastAsia" w:ascii="宋体" w:hAnsi="宋体" w:cs="宋体"/>
          <w:color w:val="auto"/>
          <w:sz w:val="24"/>
          <w:highlight w:val="none"/>
          <w:lang w:eastAsia="zh-CN"/>
        </w:rPr>
        <w:t>投标供应商</w:t>
      </w:r>
      <w:r>
        <w:rPr>
          <w:rFonts w:hint="eastAsia" w:ascii="宋体" w:hAnsi="宋体" w:cs="宋体"/>
          <w:color w:val="auto"/>
          <w:sz w:val="24"/>
          <w:highlight w:val="none"/>
        </w:rPr>
        <w:t>串通损害国家利益、社会公共利益或者他人合法权益。</w:t>
      </w:r>
    </w:p>
    <w:p w14:paraId="407A0E4D">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对</w:t>
      </w:r>
      <w:r>
        <w:rPr>
          <w:rFonts w:hint="eastAsia" w:ascii="宋体" w:hAnsi="宋体" w:cs="宋体"/>
          <w:color w:val="auto"/>
          <w:sz w:val="24"/>
          <w:highlight w:val="none"/>
          <w:lang w:eastAsia="zh-CN"/>
        </w:rPr>
        <w:t>投标供应商</w:t>
      </w:r>
      <w:r>
        <w:rPr>
          <w:rFonts w:hint="eastAsia" w:ascii="宋体" w:hAnsi="宋体" w:cs="宋体"/>
          <w:color w:val="auto"/>
          <w:sz w:val="24"/>
          <w:highlight w:val="none"/>
        </w:rPr>
        <w:t>的纪律要求</w:t>
      </w:r>
    </w:p>
    <w:p w14:paraId="620FBE6E">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投标供应商</w:t>
      </w:r>
      <w:r>
        <w:rPr>
          <w:rFonts w:hint="eastAsia" w:ascii="宋体" w:hAnsi="宋体" w:cs="宋体"/>
          <w:color w:val="auto"/>
          <w:sz w:val="24"/>
          <w:highlight w:val="none"/>
        </w:rPr>
        <w:t>不得互相串通投标或者与</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串通投标，不得向</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或者评标委员会成员行贿谋取中标，不得以他人名义投标或者以其他方式弄虚作假骗取中标；</w:t>
      </w:r>
      <w:r>
        <w:rPr>
          <w:rFonts w:hint="eastAsia" w:ascii="宋体" w:hAnsi="宋体" w:cs="宋体"/>
          <w:color w:val="auto"/>
          <w:sz w:val="24"/>
          <w:highlight w:val="none"/>
          <w:lang w:eastAsia="zh-CN"/>
        </w:rPr>
        <w:t>投标供应商</w:t>
      </w:r>
      <w:r>
        <w:rPr>
          <w:rFonts w:hint="eastAsia" w:ascii="宋体" w:hAnsi="宋体" w:cs="宋体"/>
          <w:color w:val="auto"/>
          <w:sz w:val="24"/>
          <w:highlight w:val="none"/>
        </w:rPr>
        <w:t>不得以任何方式干扰、影响评标工作。</w:t>
      </w:r>
    </w:p>
    <w:p w14:paraId="156841BD">
      <w:pPr>
        <w:pStyle w:val="35"/>
        <w:adjustRightInd w:val="0"/>
        <w:snapToGrid w:val="0"/>
        <w:spacing w:after="0" w:line="400" w:lineRule="exact"/>
        <w:ind w:firstLine="480" w:firstLineChars="200"/>
        <w:rPr>
          <w:rFonts w:hint="eastAsia" w:ascii="宋体" w:hAnsi="宋体" w:eastAsia="宋体" w:cs="宋体"/>
          <w:color w:val="auto"/>
          <w:szCs w:val="24"/>
          <w:highlight w:val="none"/>
        </w:rPr>
      </w:pPr>
    </w:p>
    <w:p w14:paraId="286F17E3">
      <w:pPr>
        <w:pStyle w:val="4"/>
        <w:adjustRightInd w:val="0"/>
        <w:snapToGrid w:val="0"/>
        <w:spacing w:before="0" w:after="0" w:line="400" w:lineRule="exact"/>
        <w:jc w:val="center"/>
        <w:rPr>
          <w:rFonts w:hint="eastAsia" w:ascii="宋体" w:hAnsi="宋体" w:eastAsia="宋体" w:cs="宋体"/>
          <w:color w:val="auto"/>
          <w:sz w:val="28"/>
          <w:szCs w:val="28"/>
          <w:highlight w:val="none"/>
        </w:rPr>
      </w:pPr>
      <w:bookmarkStart w:id="46" w:name="_Toc20313"/>
      <w:bookmarkStart w:id="47" w:name="_Toc349637925"/>
      <w:bookmarkStart w:id="48" w:name="_Toc267301287"/>
      <w:bookmarkStart w:id="49" w:name="_Toc298240410"/>
      <w:bookmarkStart w:id="50" w:name="_Toc31382"/>
      <w:bookmarkStart w:id="51" w:name="_Toc349573126"/>
      <w:r>
        <w:rPr>
          <w:rFonts w:hint="eastAsia" w:ascii="宋体" w:hAnsi="宋体" w:eastAsia="宋体" w:cs="宋体"/>
          <w:color w:val="auto"/>
          <w:sz w:val="28"/>
          <w:szCs w:val="28"/>
          <w:highlight w:val="none"/>
        </w:rPr>
        <w:t>六</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授予合同</w:t>
      </w:r>
      <w:bookmarkEnd w:id="46"/>
      <w:bookmarkEnd w:id="47"/>
      <w:bookmarkEnd w:id="48"/>
      <w:bookmarkEnd w:id="49"/>
      <w:bookmarkEnd w:id="50"/>
      <w:bookmarkEnd w:id="51"/>
    </w:p>
    <w:p w14:paraId="37D2E625">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．合同授予标准</w:t>
      </w:r>
    </w:p>
    <w:p w14:paraId="592198AB">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.1合同将授予被确定为实质上响应招标文件要求，评标认为具备履行合同义务条件、报价合理、技术和商务条件都符合条件基础上综合评分得分最高的</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w:t>
      </w:r>
    </w:p>
    <w:p w14:paraId="06D0D0AB">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 最低投标价不一定是被授予合同的保证。</w:t>
      </w:r>
    </w:p>
    <w:p w14:paraId="4A7ECDBB">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.3 如果确定该</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无法圆满履行合同，招标代理机构将对下一个可能中标的</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资格作出类似的审查。</w:t>
      </w:r>
    </w:p>
    <w:p w14:paraId="3E2D34D5">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．接受和拒绝任何或所有投标的权力</w:t>
      </w:r>
    </w:p>
    <w:p w14:paraId="7B914C35">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.1为维护国家利益，招标方在授予合同之前仍有选择或拒绝任何全部投标的权力，并对所采取的行为不作任何解释。</w:t>
      </w:r>
    </w:p>
    <w:p w14:paraId="3A1D4E03">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．中标通知书</w:t>
      </w:r>
    </w:p>
    <w:p w14:paraId="5BB4966A">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.1 中标公告期满后，招标代理机构将以书面形式发出《中标通知书》，但发出时间不超过投标有效期，《中标通知书》一经发出即发生法律效力。</w:t>
      </w:r>
    </w:p>
    <w:p w14:paraId="03761D88">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.2 《中标通知书》将作为签订合同的依据。</w:t>
      </w:r>
    </w:p>
    <w:p w14:paraId="7A3AB7EB">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.3 招标代理机构将在中标人按规定签订合同并提交履约保证金（如适用）后退还其投标保证金。</w:t>
      </w:r>
    </w:p>
    <w:p w14:paraId="56177C4F">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．签订合同</w:t>
      </w:r>
    </w:p>
    <w:p w14:paraId="066B70E5">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 xml:space="preserve">.1 </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收到《中标通知书》后，按《中标通知书》中规定的时间地点与采购人签订合同。采购人和中标人不得再订立背离合同实质性内容的其他协议。</w:t>
      </w:r>
    </w:p>
    <w:p w14:paraId="2987D2C2">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如中标人拒签合同，则按违约处理。招标代理机构没收其投标保证金。</w:t>
      </w:r>
    </w:p>
    <w:p w14:paraId="22F7B37D">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招标文件、中标人的投标文件及其澄清文件等，均为签订经济合同的依据。</w:t>
      </w:r>
    </w:p>
    <w:p w14:paraId="6621CB1B">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．招标代理服务费</w:t>
      </w:r>
    </w:p>
    <w:p w14:paraId="5476D60F">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中标人须向招标代理机构按如下标准和期限交纳招标代理服务费：</w:t>
      </w:r>
    </w:p>
    <w:p w14:paraId="156392D9">
      <w:pPr>
        <w:spacing w:line="400" w:lineRule="exact"/>
        <w:ind w:firstLine="480" w:firstLineChars="200"/>
        <w:rPr>
          <w:rFonts w:hint="eastAsia" w:ascii="宋体" w:hAnsi="宋体" w:eastAsia="宋体" w:cs="宋体"/>
          <w:color w:val="auto"/>
          <w:sz w:val="24"/>
          <w:highlight w:val="none"/>
        </w:rPr>
      </w:pPr>
      <w:bookmarkStart w:id="52" w:name="_Toc267301288"/>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招标代理服务费支付标准按照国家取费标准计取；</w:t>
      </w:r>
    </w:p>
    <w:p w14:paraId="7F23E019">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.1.2</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中标公告期满后，中标人</w:t>
      </w:r>
      <w:r>
        <w:rPr>
          <w:rFonts w:hint="eastAsia" w:ascii="宋体" w:hAnsi="宋体" w:eastAsia="宋体" w:cs="宋体"/>
          <w:color w:val="auto"/>
          <w:sz w:val="24"/>
          <w:highlight w:val="none"/>
          <w:lang w:eastAsia="zh-CN"/>
        </w:rPr>
        <w:t>领取中标通知书前</w:t>
      </w:r>
      <w:r>
        <w:rPr>
          <w:rFonts w:hint="eastAsia" w:ascii="宋体" w:hAnsi="宋体" w:eastAsia="宋体" w:cs="宋体"/>
          <w:color w:val="auto"/>
          <w:sz w:val="24"/>
          <w:highlight w:val="none"/>
        </w:rPr>
        <w:t>须按规定的标准以现金或电汇的方式一次性向招标代理机构缴纳招标代理服务费。</w:t>
      </w:r>
    </w:p>
    <w:p w14:paraId="607BDA79">
      <w:pPr>
        <w:spacing w:line="400" w:lineRule="exact"/>
        <w:ind w:firstLine="480" w:firstLineChars="200"/>
        <w:rPr>
          <w:rFonts w:hint="eastAsia" w:ascii="宋体" w:hAnsi="宋体" w:eastAsia="宋体" w:cs="宋体"/>
          <w:color w:val="auto"/>
          <w:sz w:val="24"/>
          <w:highlight w:val="none"/>
        </w:rPr>
      </w:pPr>
    </w:p>
    <w:bookmarkEnd w:id="52"/>
    <w:p w14:paraId="0FC53B3F">
      <w:pPr>
        <w:pStyle w:val="4"/>
        <w:adjustRightInd w:val="0"/>
        <w:snapToGrid w:val="0"/>
        <w:spacing w:before="0" w:after="0" w:line="400" w:lineRule="exact"/>
        <w:jc w:val="center"/>
        <w:rPr>
          <w:rFonts w:hint="eastAsia" w:ascii="宋体" w:hAnsi="宋体" w:eastAsia="宋体" w:cs="宋体"/>
          <w:color w:val="auto"/>
          <w:sz w:val="28"/>
          <w:szCs w:val="28"/>
          <w:highlight w:val="none"/>
        </w:rPr>
      </w:pPr>
      <w:bookmarkStart w:id="53" w:name="_Toc29289"/>
      <w:bookmarkStart w:id="54" w:name="_Toc349637926"/>
      <w:bookmarkStart w:id="55" w:name="_Toc18145"/>
      <w:bookmarkStart w:id="56" w:name="_Toc349573127"/>
      <w:bookmarkStart w:id="57" w:name="_Toc298240411"/>
      <w:bookmarkStart w:id="58" w:name="_Toc13260"/>
      <w:bookmarkStart w:id="59" w:name="_Toc8931"/>
      <w:bookmarkStart w:id="60" w:name="_Toc17884_WPSOffice_Level1"/>
      <w:bookmarkStart w:id="61" w:name="_Toc298240422"/>
      <w:bookmarkStart w:id="62" w:name="_Toc349573137"/>
      <w:bookmarkStart w:id="63" w:name="_Toc267301295"/>
      <w:bookmarkStart w:id="64" w:name="_Toc349637936"/>
      <w:r>
        <w:rPr>
          <w:rFonts w:hint="eastAsia" w:ascii="宋体" w:hAnsi="宋体" w:eastAsia="宋体" w:cs="宋体"/>
          <w:color w:val="auto"/>
          <w:sz w:val="28"/>
          <w:szCs w:val="28"/>
          <w:highlight w:val="none"/>
        </w:rPr>
        <w:t>七</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招标失败条件</w:t>
      </w:r>
      <w:bookmarkEnd w:id="53"/>
    </w:p>
    <w:p w14:paraId="1EFC80E1">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28. 出现影响采购公正的违法、违规行为的；</w:t>
      </w:r>
    </w:p>
    <w:p w14:paraId="5DD001D2">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29. 因重大变故，采购任务取消的；</w:t>
      </w:r>
    </w:p>
    <w:p w14:paraId="384D7B00">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 招标文件截止时间后，实际参与的供应商不足法定家数的；</w:t>
      </w:r>
    </w:p>
    <w:p w14:paraId="2BB926DB">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 最终报价均超过采购预算的；</w:t>
      </w:r>
    </w:p>
    <w:p w14:paraId="11BFD076">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 对招标文件作出实质性响应的供应商不足法定家数的；</w:t>
      </w:r>
    </w:p>
    <w:p w14:paraId="157DA876">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lang w:val="en-US" w:eastAsia="zh-CN"/>
        </w:rPr>
      </w:pPr>
    </w:p>
    <w:p w14:paraId="778CAD5B">
      <w:pPr>
        <w:pStyle w:val="4"/>
        <w:adjustRightInd w:val="0"/>
        <w:snapToGrid w:val="0"/>
        <w:spacing w:before="0" w:after="0" w:line="400" w:lineRule="exact"/>
        <w:jc w:val="center"/>
        <w:rPr>
          <w:rFonts w:hint="eastAsia" w:ascii="宋体" w:hAnsi="宋体" w:eastAsia="宋体" w:cs="宋体"/>
          <w:color w:val="auto"/>
          <w:sz w:val="28"/>
          <w:szCs w:val="28"/>
          <w:highlight w:val="none"/>
        </w:rPr>
      </w:pPr>
      <w:bookmarkStart w:id="65" w:name="_Toc5296"/>
      <w:bookmarkStart w:id="66" w:name="_Toc15314"/>
      <w:r>
        <w:rPr>
          <w:rFonts w:hint="eastAsia" w:ascii="宋体" w:hAnsi="宋体" w:eastAsia="宋体" w:cs="宋体"/>
          <w:color w:val="auto"/>
          <w:sz w:val="28"/>
          <w:szCs w:val="28"/>
          <w:highlight w:val="none"/>
        </w:rPr>
        <w:t>八</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质疑和投诉</w:t>
      </w:r>
      <w:bookmarkEnd w:id="65"/>
      <w:bookmarkEnd w:id="66"/>
    </w:p>
    <w:p w14:paraId="7E8B2345">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 质疑</w:t>
      </w:r>
    </w:p>
    <w:p w14:paraId="66553C76">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33.1 供应商提出质疑应当符合以下条件：</w:t>
      </w:r>
    </w:p>
    <w:p w14:paraId="0FB674C2">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如果供应商对此次采购活动有疑问，可依据《政府采购法》等相关规定，在规定的时间内（获取招标文件截止时间前）以书面形式向采购人或代理机构提出质疑。质疑书应当包括下列主要内容：</w:t>
      </w:r>
    </w:p>
    <w:p w14:paraId="646E3718">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（1）质疑人的名称、地址、电话等；</w:t>
      </w:r>
    </w:p>
    <w:p w14:paraId="5A7002A3">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（2）质疑人法人签章和单位公章；</w:t>
      </w:r>
    </w:p>
    <w:p w14:paraId="30808CDA">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（3）具体的质疑事项及事实依据；</w:t>
      </w:r>
    </w:p>
    <w:p w14:paraId="4F4E6682">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（4）明确的请求和必要（合法来源）的证明材料；</w:t>
      </w:r>
    </w:p>
    <w:p w14:paraId="499CE01E">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（5）以联合体形式参与资格预审的，则必须联合体各方共同签署、盖章；</w:t>
      </w:r>
    </w:p>
    <w:p w14:paraId="0F8E0FA6">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（6）提起质疑的日期。</w:t>
      </w:r>
    </w:p>
    <w:p w14:paraId="188C07C7">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特注：未按上述程序规定的必备内容进行质疑的，采购人或代理机构将不予以受理。</w:t>
      </w:r>
    </w:p>
    <w:p w14:paraId="29935A3D">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33.2 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0CFB42BB">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33.3 质疑人可以委托代理人办理质疑事项，代理人办理质疑事项时，除提交质疑书外，还应当提交质疑人的授权委托书及代理人的有效身份证明，授权委托书应当载明委托代理的具体权限和事项。</w:t>
      </w:r>
    </w:p>
    <w:p w14:paraId="7C20C5FE">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33.4 被质疑人应当在受理质疑后7个工作日内作出答复，并以书面形式通知质疑人和其他有关供应商，答复内容仅限于供应商所质疑的内容，不得涉及国家秘密和商业秘密。</w:t>
      </w:r>
    </w:p>
    <w:p w14:paraId="1A51A89E">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lang w:val="en-US" w:eastAsia="zh-CN"/>
        </w:rPr>
      </w:pPr>
      <w:bookmarkStart w:id="67" w:name="_Toc9365"/>
      <w:bookmarkStart w:id="68" w:name="_Toc450546725"/>
      <w:bookmarkStart w:id="69" w:name="_Toc483174929"/>
      <w:bookmarkStart w:id="70" w:name="_Toc456336161"/>
      <w:r>
        <w:rPr>
          <w:rFonts w:hint="eastAsia" w:ascii="宋体" w:hAnsi="宋体" w:eastAsia="宋体" w:cs="宋体"/>
          <w:color w:val="auto"/>
          <w:sz w:val="24"/>
          <w:highlight w:val="none"/>
          <w:lang w:val="en-US" w:eastAsia="zh-CN"/>
        </w:rPr>
        <w:t>34. 投诉</w:t>
      </w:r>
      <w:bookmarkEnd w:id="67"/>
      <w:bookmarkEnd w:id="68"/>
      <w:bookmarkEnd w:id="69"/>
      <w:bookmarkEnd w:id="70"/>
    </w:p>
    <w:p w14:paraId="7770B27E">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34.1 质疑人如对被质疑人的质疑回复不满意或在规定时间内未做出回复的，可在答复期满后15个工作日内向本项目管辖内的政府采购监督部门提起投诉。供应商投诉应当有明确的请求和必要的证明材料。</w:t>
      </w:r>
    </w:p>
    <w:p w14:paraId="11332AF8">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34.2 投诉人提起投诉应符合以下条件：</w:t>
      </w:r>
    </w:p>
    <w:p w14:paraId="449ED06D">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(1)投诉人应是参与项目的供应商；</w:t>
      </w:r>
    </w:p>
    <w:p w14:paraId="05199A5D">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(2)投诉前已依法进行质疑；</w:t>
      </w:r>
    </w:p>
    <w:p w14:paraId="6D0A1D1D">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(3)投诉书内容符合中华人民共和国财政部20号令《政府采购供应商投诉处理办法》的规定；</w:t>
      </w:r>
    </w:p>
    <w:p w14:paraId="1BEAFCFE">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(4)在投诉有效期内；</w:t>
      </w:r>
    </w:p>
    <w:p w14:paraId="48CCFBED">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(5)同一投诉事项未经处理的；</w:t>
      </w:r>
    </w:p>
    <w:p w14:paraId="001D89EE">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GB" w:eastAsia="zh-CN"/>
        </w:rPr>
        <w:t>(6)</w:t>
      </w:r>
      <w:r>
        <w:rPr>
          <w:rFonts w:hint="eastAsia" w:ascii="宋体" w:hAnsi="宋体" w:eastAsia="宋体" w:cs="宋体"/>
          <w:color w:val="auto"/>
          <w:sz w:val="24"/>
          <w:highlight w:val="none"/>
          <w:lang w:val="en-US" w:eastAsia="zh-CN"/>
        </w:rPr>
        <w:t>相关法律、法规和省级以上人民政府财政部门规定的其他条件。</w:t>
      </w:r>
    </w:p>
    <w:p w14:paraId="3F400C32">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34.3 供应商投诉时，应当当面提交投诉书，投诉书应当包括下列主要内容：</w:t>
      </w:r>
    </w:p>
    <w:p w14:paraId="23E39750">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(1)投诉人的姓名或者名称、住所、联系方式及相关证明；</w:t>
      </w:r>
    </w:p>
    <w:p w14:paraId="753E27BE">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(2)被投诉人的名称、住所、联系方式；</w:t>
      </w:r>
    </w:p>
    <w:p w14:paraId="338FE966">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(3)具体的投诉事项、事实根据和法律依据；</w:t>
      </w:r>
    </w:p>
    <w:p w14:paraId="6B3D488F">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(4)质疑和质疑答复情况及相关证明材料；</w:t>
      </w:r>
    </w:p>
    <w:p w14:paraId="54A9B442">
      <w:pPr>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(5)提起投诉的日期。</w:t>
      </w:r>
    </w:p>
    <w:p w14:paraId="3366F355">
      <w:pPr>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投诉人为自然人的，应当由本人签字。投诉人为法人的，应当由其法定代表人签字并加盖单位公章。投诉人为其他组织的，应当由其主要负责人签字盖章并加盖单位公章。</w:t>
      </w:r>
    </w:p>
    <w:p w14:paraId="4FA2821E">
      <w:pPr>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34.4 投诉人可以授权代理人办理投诉事务。代理人办理投诉事务时，除提交投诉书外，还应当向监督部门提交投诉人的授权委托书，授权委托书应当载明委托代理的具体权限和事项。</w:t>
      </w:r>
    </w:p>
    <w:p w14:paraId="481BD57A">
      <w:pPr>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34.5 投诉人不符合上述规定提起的投诉，政府采购监督部门不予受理。</w:t>
      </w:r>
    </w:p>
    <w:p w14:paraId="0FE7EBD0">
      <w:pPr>
        <w:spacing w:line="400" w:lineRule="exact"/>
        <w:ind w:firstLine="480" w:firstLineChars="200"/>
        <w:rPr>
          <w:rFonts w:hint="eastAsia" w:ascii="宋体" w:hAnsi="宋体" w:eastAsia="宋体" w:cs="宋体"/>
          <w:color w:val="auto"/>
          <w:sz w:val="24"/>
          <w:highlight w:val="none"/>
          <w:lang w:val="en-US" w:eastAsia="zh-CN"/>
        </w:rPr>
      </w:pPr>
    </w:p>
    <w:p w14:paraId="2C1CF361">
      <w:pPr>
        <w:pStyle w:val="4"/>
        <w:adjustRightInd w:val="0"/>
        <w:snapToGrid w:val="0"/>
        <w:spacing w:before="0" w:after="0" w:line="400" w:lineRule="exact"/>
        <w:jc w:val="center"/>
        <w:rPr>
          <w:rFonts w:hint="eastAsia" w:ascii="宋体" w:hAnsi="宋体" w:eastAsia="宋体" w:cs="宋体"/>
          <w:color w:val="auto"/>
          <w:sz w:val="28"/>
          <w:szCs w:val="28"/>
          <w:highlight w:val="none"/>
        </w:rPr>
      </w:pPr>
      <w:bookmarkStart w:id="71" w:name="_Toc21111"/>
      <w:bookmarkStart w:id="72" w:name="_Toc11596"/>
      <w:bookmarkStart w:id="73" w:name="_Toc22980"/>
      <w:bookmarkStart w:id="74" w:name="_Toc446599320"/>
      <w:bookmarkStart w:id="75" w:name="_Toc6088"/>
      <w:bookmarkStart w:id="76" w:name="_Toc437611461"/>
      <w:bookmarkStart w:id="77" w:name="_Toc29415"/>
      <w:r>
        <w:rPr>
          <w:rFonts w:hint="eastAsia" w:ascii="宋体" w:hAnsi="宋体" w:eastAsia="宋体" w:cs="宋体"/>
          <w:color w:val="auto"/>
          <w:sz w:val="28"/>
          <w:szCs w:val="28"/>
          <w:highlight w:val="none"/>
          <w:lang w:eastAsia="zh-CN"/>
        </w:rPr>
        <w:t>九、</w:t>
      </w:r>
      <w:r>
        <w:rPr>
          <w:rFonts w:hint="eastAsia" w:ascii="宋体" w:hAnsi="宋体" w:eastAsia="宋体" w:cs="宋体"/>
          <w:color w:val="auto"/>
          <w:sz w:val="28"/>
          <w:szCs w:val="28"/>
          <w:highlight w:val="none"/>
        </w:rPr>
        <w:t>其他注意事项</w:t>
      </w:r>
      <w:bookmarkEnd w:id="71"/>
      <w:bookmarkEnd w:id="72"/>
      <w:bookmarkEnd w:id="73"/>
      <w:bookmarkEnd w:id="74"/>
      <w:bookmarkEnd w:id="75"/>
      <w:bookmarkEnd w:id="76"/>
      <w:bookmarkEnd w:id="77"/>
    </w:p>
    <w:p w14:paraId="410EEFAF">
      <w:pPr>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35.单位负责人为同一人或者存在直接控股、管理关系的不同供应商，不得参加同一合同项下的政府采购活动。</w:t>
      </w:r>
    </w:p>
    <w:p w14:paraId="356082EF">
      <w:pPr>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35.供应商为采购项目提供整体设计、规范编制或者项目管理、监理、检测等服务的供应商，不得再参加该采购项目的其他采购活动。</w:t>
      </w:r>
    </w:p>
    <w:p w14:paraId="39B33DEC">
      <w:pPr>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37.政府采购法第二十二条第一款第五项所称重大违法记录，是指供应商因违法经营受到刑事处罚或者责令停产停业、吊销许可证或者执照、较大数额（高于200万元）罚款等行政处罚。</w:t>
      </w:r>
    </w:p>
    <w:p w14:paraId="41142E9A">
      <w:pPr>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38.按照财政部《关于规范政府采购行政处罚有关问题的通知》的规定，各级人民政府财政部门依法对参加政府采购活动的供应商作出的禁止参加政府采购活动等行政处罚决定在全国范围内生效。</w:t>
      </w:r>
    </w:p>
    <w:p w14:paraId="0661DC5D">
      <w:pPr>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39.供应商在参加政府采购活动前3年内因违法经营被禁止在一定期限内参加政府采购活动，期限届满的，可以参加政府采购活动。</w:t>
      </w:r>
    </w:p>
    <w:p w14:paraId="23F90CCD">
      <w:pPr>
        <w:pStyle w:val="3"/>
        <w:keepNext/>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bookmarkStart w:id="78" w:name="_Toc20243"/>
      <w:r>
        <w:rPr>
          <w:rFonts w:hint="eastAsia" w:ascii="宋体" w:hAnsi="宋体" w:eastAsia="宋体" w:cs="宋体"/>
          <w:color w:val="auto"/>
          <w:sz w:val="32"/>
          <w:szCs w:val="32"/>
          <w:highlight w:val="none"/>
        </w:rPr>
        <w:t xml:space="preserve">第三部分 </w:t>
      </w:r>
      <w:r>
        <w:rPr>
          <w:rFonts w:hint="eastAsia" w:ascii="宋体" w:hAnsi="宋体" w:eastAsia="宋体" w:cs="宋体"/>
          <w:color w:val="auto"/>
          <w:sz w:val="32"/>
          <w:szCs w:val="32"/>
          <w:highlight w:val="none"/>
          <w:lang w:eastAsia="zh-CN"/>
        </w:rPr>
        <w:t>采购需求</w:t>
      </w:r>
      <w:bookmarkEnd w:id="78"/>
    </w:p>
    <w:bookmarkEnd w:id="54"/>
    <w:bookmarkEnd w:id="55"/>
    <w:bookmarkEnd w:id="56"/>
    <w:bookmarkEnd w:id="57"/>
    <w:bookmarkEnd w:id="58"/>
    <w:p w14:paraId="3C0ABD18">
      <w:pPr>
        <w:pStyle w:val="5"/>
        <w:bidi w:val="0"/>
        <w:rPr>
          <w:rFonts w:hint="eastAsia"/>
          <w:color w:val="auto"/>
          <w:highlight w:val="none"/>
          <w:lang w:val="en-US" w:eastAsia="zh-CN"/>
        </w:rPr>
      </w:pPr>
      <w:bookmarkStart w:id="79" w:name="_Toc10524"/>
      <w:r>
        <w:rPr>
          <w:rFonts w:hint="eastAsia"/>
          <w:color w:val="auto"/>
          <w:highlight w:val="none"/>
          <w:lang w:val="en-US" w:eastAsia="zh-CN"/>
        </w:rPr>
        <w:t>一、采购清单</w:t>
      </w:r>
    </w:p>
    <w:tbl>
      <w:tblPr>
        <w:tblStyle w:val="36"/>
        <w:tblW w:w="4996" w:type="pct"/>
        <w:tblInd w:w="0" w:type="dxa"/>
        <w:tblLayout w:type="autofit"/>
        <w:tblCellMar>
          <w:top w:w="0" w:type="dxa"/>
          <w:left w:w="0" w:type="dxa"/>
          <w:bottom w:w="0" w:type="dxa"/>
          <w:right w:w="0" w:type="dxa"/>
        </w:tblCellMar>
      </w:tblPr>
      <w:tblGrid>
        <w:gridCol w:w="1184"/>
        <w:gridCol w:w="5852"/>
        <w:gridCol w:w="2201"/>
      </w:tblGrid>
      <w:tr w14:paraId="1C56C414">
        <w:tblPrEx>
          <w:tblCellMar>
            <w:top w:w="0" w:type="dxa"/>
            <w:left w:w="0" w:type="dxa"/>
            <w:bottom w:w="0" w:type="dxa"/>
            <w:right w:w="0" w:type="dxa"/>
          </w:tblCellMar>
        </w:tblPrEx>
        <w:trPr>
          <w:trHeight w:val="600" w:hRule="atLeast"/>
        </w:trPr>
        <w:tc>
          <w:tcPr>
            <w:tcW w:w="641" w:type="pct"/>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98DFBD3">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序号</w:t>
            </w:r>
          </w:p>
        </w:tc>
        <w:tc>
          <w:tcPr>
            <w:tcW w:w="31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C64565">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rPr>
              <w:t>产品</w:t>
            </w:r>
            <w:r>
              <w:rPr>
                <w:rFonts w:hint="eastAsia" w:ascii="宋体" w:hAnsi="宋体" w:eastAsia="宋体" w:cs="宋体"/>
                <w:b/>
                <w:bCs/>
                <w:color w:val="auto"/>
                <w:kern w:val="0"/>
                <w:sz w:val="24"/>
                <w:szCs w:val="24"/>
                <w:highlight w:val="none"/>
              </w:rPr>
              <w:t>名称</w:t>
            </w:r>
          </w:p>
        </w:tc>
        <w:tc>
          <w:tcPr>
            <w:tcW w:w="1191" w:type="pct"/>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CCEA000">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数量</w:t>
            </w:r>
          </w:p>
        </w:tc>
      </w:tr>
      <w:tr w14:paraId="1CFA538C">
        <w:tblPrEx>
          <w:tblCellMar>
            <w:top w:w="0" w:type="dxa"/>
            <w:left w:w="0" w:type="dxa"/>
            <w:bottom w:w="0" w:type="dxa"/>
            <w:right w:w="0" w:type="dxa"/>
          </w:tblCellMar>
        </w:tblPrEx>
        <w:trPr>
          <w:trHeight w:val="600" w:hRule="atLeast"/>
        </w:trPr>
        <w:tc>
          <w:tcPr>
            <w:tcW w:w="641" w:type="pct"/>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389878A7">
            <w:pPr>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31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C7FEE9">
            <w:pPr>
              <w:widowControl/>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多功能制暴器</w:t>
            </w:r>
          </w:p>
        </w:tc>
        <w:tc>
          <w:tcPr>
            <w:tcW w:w="1191" w:type="pct"/>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D37256C">
            <w:pPr>
              <w:widowControl/>
              <w:jc w:val="center"/>
              <w:textAlignment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15台</w:t>
            </w:r>
          </w:p>
        </w:tc>
      </w:tr>
      <w:tr w14:paraId="678D823E">
        <w:tblPrEx>
          <w:tblCellMar>
            <w:top w:w="0" w:type="dxa"/>
            <w:left w:w="0" w:type="dxa"/>
            <w:bottom w:w="0" w:type="dxa"/>
            <w:right w:w="0" w:type="dxa"/>
          </w:tblCellMar>
        </w:tblPrEx>
        <w:trPr>
          <w:trHeight w:val="600" w:hRule="atLeast"/>
        </w:trPr>
        <w:tc>
          <w:tcPr>
            <w:tcW w:w="641" w:type="pct"/>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0892663">
            <w:pPr>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31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22CE4C">
            <w:pPr>
              <w:widowControl/>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便携式声波驱散器</w:t>
            </w:r>
          </w:p>
        </w:tc>
        <w:tc>
          <w:tcPr>
            <w:tcW w:w="1191" w:type="pct"/>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915B993">
            <w:pPr>
              <w:widowControl/>
              <w:jc w:val="center"/>
              <w:textAlignment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color w:val="auto"/>
                <w:sz w:val="24"/>
                <w:szCs w:val="24"/>
                <w:highlight w:val="none"/>
                <w:lang w:val="en-US" w:eastAsia="zh-CN"/>
              </w:rPr>
              <w:t>2台</w:t>
            </w:r>
          </w:p>
        </w:tc>
      </w:tr>
      <w:tr w14:paraId="4EB0B0BF">
        <w:tblPrEx>
          <w:tblCellMar>
            <w:top w:w="0" w:type="dxa"/>
            <w:left w:w="0" w:type="dxa"/>
            <w:bottom w:w="0" w:type="dxa"/>
            <w:right w:w="0" w:type="dxa"/>
          </w:tblCellMar>
        </w:tblPrEx>
        <w:trPr>
          <w:trHeight w:val="600" w:hRule="atLeast"/>
        </w:trPr>
        <w:tc>
          <w:tcPr>
            <w:tcW w:w="641" w:type="pct"/>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32DDED3">
            <w:pPr>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31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9C078">
            <w:pPr>
              <w:widowControl/>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高速催泪喷射器</w:t>
            </w:r>
          </w:p>
        </w:tc>
        <w:tc>
          <w:tcPr>
            <w:tcW w:w="1191" w:type="pct"/>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59B7482">
            <w:pPr>
              <w:widowControl/>
              <w:jc w:val="center"/>
              <w:textAlignment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color w:val="auto"/>
                <w:sz w:val="24"/>
                <w:szCs w:val="24"/>
                <w:highlight w:val="none"/>
                <w:lang w:val="en-US" w:eastAsia="zh-CN"/>
              </w:rPr>
              <w:t>6台</w:t>
            </w:r>
          </w:p>
        </w:tc>
      </w:tr>
    </w:tbl>
    <w:p w14:paraId="2066A4D6">
      <w:pPr>
        <w:pStyle w:val="5"/>
        <w:numPr>
          <w:ilvl w:val="0"/>
          <w:numId w:val="4"/>
        </w:numPr>
        <w:bidi w:val="0"/>
        <w:rPr>
          <w:rFonts w:hint="eastAsia"/>
          <w:color w:val="auto"/>
          <w:highlight w:val="none"/>
          <w:lang w:val="en-US" w:eastAsia="zh-CN"/>
        </w:rPr>
      </w:pPr>
      <w:r>
        <w:rPr>
          <w:rFonts w:hint="eastAsia"/>
          <w:color w:val="auto"/>
          <w:highlight w:val="none"/>
          <w:lang w:val="en-US" w:eastAsia="zh-CN"/>
        </w:rPr>
        <w:t>技术要求</w:t>
      </w:r>
    </w:p>
    <w:p w14:paraId="2344DA3E">
      <w:pPr>
        <w:pStyle w:val="6"/>
        <w:bidi w:val="0"/>
        <w:rPr>
          <w:rFonts w:hint="eastAsia"/>
          <w:color w:val="auto"/>
          <w:highlight w:val="none"/>
          <w:lang w:val="en-US" w:eastAsia="zh-CN"/>
        </w:rPr>
      </w:pPr>
      <w:r>
        <w:rPr>
          <w:rFonts w:hint="eastAsia"/>
          <w:color w:val="auto"/>
          <w:highlight w:val="none"/>
          <w:lang w:val="en-US" w:eastAsia="zh-CN"/>
        </w:rPr>
        <w:t>（一）产品名称：多功能制暴器</w:t>
      </w:r>
    </w:p>
    <w:p w14:paraId="408D81A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1、产品构成</w:t>
      </w:r>
    </w:p>
    <w:p w14:paraId="5B06581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主机1台、收纳箱1个、枪套1个、催泪弹</w:t>
      </w:r>
      <w:r>
        <w:rPr>
          <w:rFonts w:hint="eastAsia" w:ascii="宋体" w:hAnsi="宋体" w:cs="宋体"/>
          <w:b w:val="0"/>
          <w:bCs w:val="0"/>
          <w:color w:val="auto"/>
          <w:sz w:val="24"/>
          <w:szCs w:val="24"/>
          <w:highlight w:val="none"/>
          <w:lang w:val="en-US" w:eastAsia="zh-CN"/>
        </w:rPr>
        <w:t>6</w:t>
      </w:r>
      <w:r>
        <w:rPr>
          <w:rFonts w:hint="default" w:ascii="宋体" w:hAnsi="宋体" w:eastAsia="宋体" w:cs="宋体"/>
          <w:b w:val="0"/>
          <w:bCs w:val="0"/>
          <w:color w:val="auto"/>
          <w:sz w:val="24"/>
          <w:szCs w:val="24"/>
          <w:highlight w:val="none"/>
          <w:lang w:val="en-US" w:eastAsia="zh-CN"/>
        </w:rPr>
        <w:t>枚、约束弹</w:t>
      </w:r>
      <w:r>
        <w:rPr>
          <w:rFonts w:hint="eastAsia" w:ascii="宋体" w:hAnsi="宋体" w:cs="宋体"/>
          <w:b w:val="0"/>
          <w:bCs w:val="0"/>
          <w:color w:val="auto"/>
          <w:sz w:val="24"/>
          <w:szCs w:val="24"/>
          <w:highlight w:val="none"/>
          <w:lang w:val="en-US" w:eastAsia="zh-CN"/>
        </w:rPr>
        <w:t>6</w:t>
      </w:r>
      <w:r>
        <w:rPr>
          <w:rFonts w:hint="default" w:ascii="宋体" w:hAnsi="宋体" w:eastAsia="宋体" w:cs="宋体"/>
          <w:b w:val="0"/>
          <w:bCs w:val="0"/>
          <w:color w:val="auto"/>
          <w:sz w:val="24"/>
          <w:szCs w:val="24"/>
          <w:highlight w:val="none"/>
          <w:lang w:val="en-US" w:eastAsia="zh-CN"/>
        </w:rPr>
        <w:t>枚</w:t>
      </w:r>
      <w:r>
        <w:rPr>
          <w:rFonts w:hint="eastAsia" w:ascii="宋体" w:hAnsi="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充电器1个、可充锂电池2个、枪套1个、弹套3件</w:t>
      </w:r>
      <w:r>
        <w:rPr>
          <w:rFonts w:hint="eastAsia" w:ascii="宋体" w:hAnsi="宋体" w:eastAsia="宋体" w:cs="宋体"/>
          <w:b w:val="0"/>
          <w:bCs w:val="0"/>
          <w:color w:val="auto"/>
          <w:sz w:val="24"/>
          <w:szCs w:val="24"/>
          <w:highlight w:val="none"/>
          <w:lang w:val="en-US" w:eastAsia="zh-CN"/>
        </w:rPr>
        <w:t>。</w:t>
      </w:r>
    </w:p>
    <w:p w14:paraId="1C871D0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rPr>
        <w:t>功能性要求</w:t>
      </w:r>
    </w:p>
    <w:p w14:paraId="4D3F57A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（1）多场景用途，制暴器可击发三种弹型，在分别装配炫目弹、约束弹、催泪弹进行射击的情况下，可实现对目标炫目、约束、催泪。</w:t>
      </w:r>
    </w:p>
    <w:p w14:paraId="3DCDCE4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种弹型可在制暴器通用击发弹仓口使用。</w:t>
      </w:r>
    </w:p>
    <w:p w14:paraId="555F7CC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（3）双瞄准模式:具有准星机械瞄准与激光辅助瞄准两种瞄准模式，可发射双激光功能以辅助瞄准，激光满足3B类激光安全性要求。</w:t>
      </w:r>
    </w:p>
    <w:p w14:paraId="4EEB8F3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（4）换弹：单次更换弹体时长应≤4s，操作模式：手动。</w:t>
      </w:r>
    </w:p>
    <w:p w14:paraId="0775FBC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▲（5）状态显示：制暴器有屏幕状态显示功能，可显示制暴器开机、关机、电量、弹体检测等相关信息，状态显示载体要求为彩色OLED屏幕。</w:t>
      </w:r>
    </w:p>
    <w:p w14:paraId="6F4DD1E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（6）设备需内置照明功能。</w:t>
      </w:r>
    </w:p>
    <w:p w14:paraId="3367A6E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（7）设备需具备可发射和可切换近、远良好总不同射程的催泪弹功能，以确保不同环境下的使用安全。</w:t>
      </w:r>
    </w:p>
    <w:p w14:paraId="43DC522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（8）设备需具备在开关打开的状态下，击发后开关按钮自动复位关机的功能，以规避紧急状态下操作人员忘记关机导致设备走火击发。</w:t>
      </w:r>
    </w:p>
    <w:p w14:paraId="46EB5AD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▲（9）设备需具备开机自动检测催泪弹状态的功能，能够明确区分“未击发弹”、“已击发弹”和“空仓无弹”几种不同状态，并通过状态灯清晰提示操作人员。</w:t>
      </w:r>
    </w:p>
    <w:p w14:paraId="60F940B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（10）设备需可容纳三管或以上的催泪液来确保制伏成功率</w:t>
      </w:r>
      <w:r>
        <w:rPr>
          <w:rFonts w:hint="eastAsia" w:ascii="宋体" w:hAnsi="宋体" w:cs="宋体"/>
          <w:b w:val="0"/>
          <w:bCs w:val="0"/>
          <w:color w:val="auto"/>
          <w:sz w:val="24"/>
          <w:szCs w:val="24"/>
          <w:highlight w:val="none"/>
          <w:lang w:val="en-US" w:eastAsia="zh-CN"/>
        </w:rPr>
        <w:t>。</w:t>
      </w:r>
    </w:p>
    <w:p w14:paraId="4CE0082B">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rPr>
        <w:t xml:space="preserve">技术规格 </w:t>
      </w:r>
    </w:p>
    <w:p w14:paraId="0EAAD40E">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rPr>
        <w:t>重量：≤400g（含电池，不含弹体），产品尺寸≤ 180mm*50mm*140mm（L*W*H）</w:t>
      </w:r>
      <w:r>
        <w:rPr>
          <w:rFonts w:hint="eastAsia" w:ascii="宋体" w:hAnsi="宋体" w:eastAsia="宋体" w:cs="宋体"/>
          <w:b w:val="0"/>
          <w:bCs w:val="0"/>
          <w:color w:val="auto"/>
          <w:sz w:val="24"/>
          <w:szCs w:val="24"/>
          <w:highlight w:val="none"/>
          <w:lang w:val="en-US" w:eastAsia="zh-CN"/>
        </w:rPr>
        <w:t>。</w:t>
      </w:r>
    </w:p>
    <w:p w14:paraId="6D9478CA">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textAlignment w:val="auto"/>
        <w:rPr>
          <w:rFonts w:hint="eastAsia" w:eastAsia="宋体"/>
          <w:b w:val="0"/>
          <w:bCs w:val="0"/>
          <w:color w:val="auto"/>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弹体检测：应具备弹体检测功能，制暴器装入匹配弹体后，屏幕应能自动显示对应弹种文字名称</w:t>
      </w:r>
      <w:r>
        <w:rPr>
          <w:rFonts w:hint="eastAsia" w:ascii="宋体" w:hAnsi="宋体" w:eastAsia="宋体" w:cs="宋体"/>
          <w:b w:val="0"/>
          <w:bCs w:val="0"/>
          <w:color w:val="auto"/>
          <w:sz w:val="24"/>
          <w:szCs w:val="24"/>
          <w:highlight w:val="none"/>
          <w:lang w:val="en-US" w:eastAsia="zh-CN"/>
        </w:rPr>
        <w:t>。</w:t>
      </w:r>
    </w:p>
    <w:p w14:paraId="4AC07043">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4、工作环境适应性</w:t>
      </w:r>
    </w:p>
    <w:p w14:paraId="375BDB33">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（1）防水性能：制暴器满足 GB/T 4208-2017《外壳防护等级（IP 代码）》标准对应 IPX5 要求。</w:t>
      </w:r>
    </w:p>
    <w:p w14:paraId="6E3E0E28">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（2）湿热试验：制暴器满足 GJB150.9A-2009 第 9 部分温湿度量值并循环两个周期（48h）的标准要求。</w:t>
      </w:r>
    </w:p>
    <w:p w14:paraId="38BDE52E">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（3）盐雾试验：制暴器满足 GJB150.9A-2009 第 11 部分试验条件，采用 48h 喷盐雾的试验程序要求。</w:t>
      </w:r>
    </w:p>
    <w:p w14:paraId="73DBBCA0">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5、性能指标</w:t>
      </w:r>
    </w:p>
    <w:p w14:paraId="022DEE3E">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（1）要求制暴器在使用时，激光为频闪状态，可对目标视觉进行干扰</w:t>
      </w:r>
      <w:r>
        <w:rPr>
          <w:rFonts w:hint="eastAsia" w:ascii="宋体" w:hAnsi="宋体" w:cs="宋体"/>
          <w:b w:val="0"/>
          <w:bCs w:val="0"/>
          <w:color w:val="auto"/>
          <w:kern w:val="2"/>
          <w:sz w:val="24"/>
          <w:szCs w:val="24"/>
          <w:highlight w:val="none"/>
          <w:lang w:val="en-US" w:eastAsia="zh-CN" w:bidi="ar-SA"/>
        </w:rPr>
        <w:t>（使用炫目弹）</w:t>
      </w:r>
      <w:r>
        <w:rPr>
          <w:rFonts w:hint="eastAsia" w:ascii="宋体" w:hAnsi="宋体" w:eastAsia="宋体" w:cs="宋体"/>
          <w:b w:val="0"/>
          <w:bCs w:val="0"/>
          <w:color w:val="auto"/>
          <w:kern w:val="2"/>
          <w:sz w:val="24"/>
          <w:szCs w:val="24"/>
          <w:highlight w:val="none"/>
          <w:lang w:val="en-US" w:eastAsia="zh-CN" w:bidi="ar-SA"/>
        </w:rPr>
        <w:t>。</w:t>
      </w:r>
    </w:p>
    <w:p w14:paraId="439C12D7">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）要求制暴器激光可独立控制其开启与关闭，适应不同作战场景。</w:t>
      </w:r>
    </w:p>
    <w:p w14:paraId="60522399">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）要求制暴器可单手退弹，便于提升紧急环境下的换弹速度。</w:t>
      </w:r>
    </w:p>
    <w:p w14:paraId="265810DA">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）要求制暴器具备手动控制切换的保险结构，可区分待机/关机状态（不可击发）与可用状态（可击发）。</w:t>
      </w:r>
    </w:p>
    <w:p w14:paraId="51AF7619">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）要求制暴器左右手持设备时，均可对挡位进行切换，不受影响。</w:t>
      </w:r>
    </w:p>
    <w:p w14:paraId="574B29B7">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val="0"/>
          <w:bCs w:val="0"/>
          <w:color w:val="auto"/>
          <w:kern w:val="2"/>
          <w:sz w:val="24"/>
          <w:szCs w:val="24"/>
          <w:highlight w:val="none"/>
          <w:lang w:val="en-US" w:eastAsia="zh-CN" w:bidi="ar-SA"/>
        </w:rPr>
        <w:t>6</w:t>
      </w:r>
      <w:r>
        <w:rPr>
          <w:rFonts w:hint="eastAsia" w:ascii="宋体" w:hAnsi="宋体" w:eastAsia="宋体" w:cs="宋体"/>
          <w:b w:val="0"/>
          <w:bCs w:val="0"/>
          <w:color w:val="auto"/>
          <w:kern w:val="2"/>
          <w:sz w:val="24"/>
          <w:szCs w:val="24"/>
          <w:highlight w:val="none"/>
          <w:lang w:val="en-US" w:eastAsia="zh-CN" w:bidi="ar-SA"/>
        </w:rPr>
        <w:t>）要求制暴器有屏幕状态显示功能，可显示制暴器待机、电量、弹体检测等相关信息。</w:t>
      </w:r>
    </w:p>
    <w:p w14:paraId="5684A832">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val="0"/>
          <w:bCs w:val="0"/>
          <w:color w:val="auto"/>
          <w:kern w:val="2"/>
          <w:sz w:val="24"/>
          <w:szCs w:val="24"/>
          <w:highlight w:val="none"/>
          <w:lang w:val="en-US" w:eastAsia="zh-CN" w:bidi="ar-SA"/>
        </w:rPr>
        <w:t>7</w:t>
      </w:r>
      <w:r>
        <w:rPr>
          <w:rFonts w:hint="eastAsia" w:ascii="宋体" w:hAnsi="宋体" w:eastAsia="宋体" w:cs="宋体"/>
          <w:b w:val="0"/>
          <w:bCs w:val="0"/>
          <w:color w:val="auto"/>
          <w:kern w:val="2"/>
          <w:sz w:val="24"/>
          <w:szCs w:val="24"/>
          <w:highlight w:val="none"/>
          <w:lang w:val="en-US" w:eastAsia="zh-CN" w:bidi="ar-SA"/>
        </w:rPr>
        <w:t>）要求制暴器有电量显示功能，电量低于30%有电量提示功能。</w:t>
      </w:r>
    </w:p>
    <w:p w14:paraId="5E53F205">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val="0"/>
          <w:bCs w:val="0"/>
          <w:color w:val="auto"/>
          <w:kern w:val="2"/>
          <w:sz w:val="24"/>
          <w:szCs w:val="24"/>
          <w:highlight w:val="none"/>
          <w:lang w:val="en-US" w:eastAsia="zh-CN" w:bidi="ar-SA"/>
        </w:rPr>
        <w:t>8</w:t>
      </w:r>
      <w:r>
        <w:rPr>
          <w:rFonts w:hint="eastAsia" w:ascii="宋体" w:hAnsi="宋体" w:eastAsia="宋体" w:cs="宋体"/>
          <w:b w:val="0"/>
          <w:bCs w:val="0"/>
          <w:color w:val="auto"/>
          <w:kern w:val="2"/>
          <w:sz w:val="24"/>
          <w:szCs w:val="24"/>
          <w:highlight w:val="none"/>
          <w:lang w:val="en-US" w:eastAsia="zh-CN" w:bidi="ar-SA"/>
        </w:rPr>
        <w:t>）要求制暴器扳机扣动过程中，击发前扳机有明显阻断反馈，提示使用人员击发防止走火。</w:t>
      </w:r>
    </w:p>
    <w:p w14:paraId="421ADBCC">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val="0"/>
          <w:bCs w:val="0"/>
          <w:color w:val="auto"/>
          <w:kern w:val="2"/>
          <w:sz w:val="24"/>
          <w:szCs w:val="24"/>
          <w:highlight w:val="none"/>
          <w:lang w:val="en-US" w:eastAsia="zh-CN" w:bidi="ar-SA"/>
        </w:rPr>
        <w:t>9</w:t>
      </w:r>
      <w:r>
        <w:rPr>
          <w:rFonts w:hint="eastAsia" w:ascii="宋体" w:hAnsi="宋体" w:eastAsia="宋体" w:cs="宋体"/>
          <w:b w:val="0"/>
          <w:bCs w:val="0"/>
          <w:color w:val="auto"/>
          <w:kern w:val="2"/>
          <w:sz w:val="24"/>
          <w:szCs w:val="24"/>
          <w:highlight w:val="none"/>
          <w:lang w:val="en-US" w:eastAsia="zh-CN" w:bidi="ar-SA"/>
        </w:rPr>
        <w:t>）要求制暴器具备音视频录制功能（非外挂式），要求制暴器音视频录制分辨率： ≥ 2K（2560*1440）。</w:t>
      </w:r>
    </w:p>
    <w:p w14:paraId="62D50EF4">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cs="宋体"/>
          <w:b w:val="0"/>
          <w:bCs w:val="0"/>
          <w:color w:val="auto"/>
          <w:kern w:val="2"/>
          <w:sz w:val="24"/>
          <w:szCs w:val="24"/>
          <w:highlight w:val="none"/>
          <w:lang w:val="en-US" w:eastAsia="zh-CN" w:bidi="ar-SA"/>
        </w:rPr>
        <w:t>0</w:t>
      </w:r>
      <w:r>
        <w:rPr>
          <w:rFonts w:hint="eastAsia" w:ascii="宋体" w:hAnsi="宋体" w:eastAsia="宋体" w:cs="宋体"/>
          <w:b w:val="0"/>
          <w:bCs w:val="0"/>
          <w:color w:val="auto"/>
          <w:kern w:val="2"/>
          <w:sz w:val="24"/>
          <w:szCs w:val="24"/>
          <w:highlight w:val="none"/>
          <w:lang w:val="en-US" w:eastAsia="zh-CN" w:bidi="ar-SA"/>
        </w:rPr>
        <w:t>）应具有，拔出枪套时自动开机（激光瞄准和录像功能同时启动），放入枪套时自动关机，自动开关机功能可设置为关闭。制暴器在保险关闭状态装入枪套，需有声音提示。</w:t>
      </w:r>
    </w:p>
    <w:p w14:paraId="28C564B3">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）要求制暴器枪套上具有枪纲装置和枪套锁（枪套至少具备二级锁）。</w:t>
      </w:r>
    </w:p>
    <w:p w14:paraId="0DC4FDC7">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）要求制暴器具有配套弹体均可使用的弹套，并有辅助从其中取弹的装置。</w:t>
      </w:r>
    </w:p>
    <w:p w14:paraId="2A3934EA">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）制暴器在开机状态下，静置 10 分钟后进入待机模式。待机状态激光、屏幕和执法记录摄像头自动关闭。</w:t>
      </w:r>
    </w:p>
    <w:p w14:paraId="2E927C91">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）通过 USB 口连接电脑可以读取设备击发使用日志，内容包括时间、弹型、弹序号、相应使用次数。</w:t>
      </w:r>
    </w:p>
    <w:p w14:paraId="2EBF7E54">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）可通过 Type-C 口对设备进行充电。</w:t>
      </w:r>
    </w:p>
    <w:p w14:paraId="1325550B">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cs="宋体"/>
          <w:b w:val="0"/>
          <w:bCs w:val="0"/>
          <w:color w:val="auto"/>
          <w:kern w:val="2"/>
          <w:sz w:val="24"/>
          <w:szCs w:val="24"/>
          <w:highlight w:val="none"/>
          <w:lang w:val="en-US" w:eastAsia="zh-CN" w:bidi="ar-SA"/>
        </w:rPr>
        <w:t>6</w:t>
      </w:r>
      <w:r>
        <w:rPr>
          <w:rFonts w:hint="eastAsia" w:ascii="宋体" w:hAnsi="宋体" w:eastAsia="宋体" w:cs="宋体"/>
          <w:b w:val="0"/>
          <w:bCs w:val="0"/>
          <w:color w:val="auto"/>
          <w:kern w:val="2"/>
          <w:sz w:val="24"/>
          <w:szCs w:val="24"/>
          <w:highlight w:val="none"/>
          <w:lang w:val="en-US" w:eastAsia="zh-CN" w:bidi="ar-SA"/>
        </w:rPr>
        <w:t>）要求约束弹最大射程≥8m；约束弹绳锁抗拉强度：≥110kg；要求催泪弹大射程≧7m。要求被检测制暴器配套催泪弹1 发弹可至少独立击发 4 次，便于射击多个目标；催泪弹对 600mm*900mm 的靶面中心射击, 落靶区域的催泪液覆盖面积直径应≥ 250mm；催泪弹对 600mm*900mm 的靶面中心射击, 落靶区域的催泪质量应大于单发质量的30%；应具有抗风性能，在 3 级侧向风条件下， 催泪弹有效射程≥4m；独立插入制暴器中的催泪弹体的催泪液总容量≥20mL；合成辣椒素 OC 含量符合 GA 884-2018 标准；要求催泪剂溶液≤-20℃时溶液不结冰；要求催泪弹≤-20℃时，催泪弹可正常击发，产品击发过程产生噪音应≤60dB。要求炫目弹波长≤540nm，光功率≤1W，5m 处测量光斑可在 15cm~60cm 调整，激光视觉干扰≥20m，可以切换常亮与爆闪模式，激光视觉干扰可以连续工作超过 30 分钟。设备所有弹型均需在弹体外部的金属击发触点及非金属外壳和缝隙施加 25kV 电压时，保证每一种弹型不被该电压击发。</w:t>
      </w:r>
    </w:p>
    <w:p w14:paraId="71BCB5F0">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cs="宋体"/>
          <w:b w:val="0"/>
          <w:bCs w:val="0"/>
          <w:color w:val="auto"/>
          <w:kern w:val="2"/>
          <w:sz w:val="24"/>
          <w:szCs w:val="24"/>
          <w:highlight w:val="none"/>
          <w:lang w:val="en-US" w:eastAsia="zh-CN" w:bidi="ar-SA"/>
        </w:rPr>
        <w:t>7</w:t>
      </w:r>
      <w:r>
        <w:rPr>
          <w:rFonts w:hint="eastAsia" w:ascii="宋体" w:hAnsi="宋体" w:eastAsia="宋体" w:cs="宋体"/>
          <w:b w:val="0"/>
          <w:bCs w:val="0"/>
          <w:color w:val="auto"/>
          <w:kern w:val="2"/>
          <w:sz w:val="24"/>
          <w:szCs w:val="24"/>
          <w:highlight w:val="none"/>
          <w:lang w:val="en-US" w:eastAsia="zh-CN" w:bidi="ar-SA"/>
        </w:rPr>
        <w:t>）近距离催泪弹需满足距离发射口1.5m处的射流冲击压力峰值小于0.1Mpa，以确保近距离使用安全；远距离催泪弹需满足在距离发射口1.5m处的射流冲击力峰值小于0.6Mpa，以确保远距离使用安全。</w:t>
      </w:r>
    </w:p>
    <w:p w14:paraId="7513255F">
      <w:pPr>
        <w:pStyle w:val="6"/>
        <w:bidi w:val="0"/>
        <w:rPr>
          <w:rFonts w:hint="eastAsia"/>
          <w:color w:val="auto"/>
          <w:highlight w:val="none"/>
          <w:lang w:val="en-US" w:eastAsia="zh-CN"/>
        </w:rPr>
      </w:pPr>
      <w:r>
        <w:rPr>
          <w:rFonts w:hint="eastAsia"/>
          <w:color w:val="auto"/>
          <w:highlight w:val="none"/>
          <w:lang w:val="en-US" w:eastAsia="zh-CN"/>
        </w:rPr>
        <w:t>（二）产品名称：便携式声波驱散器</w:t>
      </w:r>
    </w:p>
    <w:p w14:paraId="225EC23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1、产品构成</w:t>
      </w:r>
    </w:p>
    <w:p w14:paraId="020992B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机1台、收纳箱1个、手持话筒1个、无线话筒1个、3.5*12带介自攻螺丝304（手持无线话筒）1个、五号电池2个、FM天线1个、U盘1个、DC25.2V-2A适配器1个、支架套装1个、背带1个、3.0六角匙L型扳手1个、十字螺丝刀1个、太阳能板1个、红蓝警示灯1个</w:t>
      </w:r>
    </w:p>
    <w:p w14:paraId="749DE4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2、功能性要求</w:t>
      </w:r>
    </w:p>
    <w:p w14:paraId="2F218881">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（1）防尘、防水、高清、远程、定向强声，传声距离达1 公里及以上。</w:t>
      </w:r>
    </w:p>
    <w:p w14:paraId="240EA5BA">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（2）内置警笛、驱散、火警标准三种信号；可根据实际应用需要定制信源。</w:t>
      </w:r>
    </w:p>
    <w:p w14:paraId="6F59E2C4">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（3）具备录音功能，并能播放录音文件或 U 盘 MP3 音频文件。</w:t>
      </w:r>
    </w:p>
    <w:p w14:paraId="103432E0">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（4）具备无线话筒喊话功能，无线话筒喊话距离≥100m。</w:t>
      </w:r>
    </w:p>
    <w:p w14:paraId="5868F26F">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（5）具备音量调节功能。</w:t>
      </w:r>
    </w:p>
    <w:p w14:paraId="4C76AF4D">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（6）操作模式（手动/自动）。</w:t>
      </w:r>
    </w:p>
    <w:p w14:paraId="507F1085">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（7）兼容性：支持信号源：MP3、蓝牙、外部线路输入、有线/无线话筒等。</w:t>
      </w:r>
    </w:p>
    <w:p w14:paraId="448FD884">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（8）信号源支持手动自由切换。</w:t>
      </w:r>
    </w:p>
    <w:p w14:paraId="0F12D5D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3、技术规格</w:t>
      </w:r>
    </w:p>
    <w:p w14:paraId="23DE191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（1）产品材质：军用 ABS 工程塑料，耐高低温、抗冲击、防腐蚀。</w:t>
      </w:r>
    </w:p>
    <w:p w14:paraId="057AB5C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▲（2）净重：≤10kg。</w:t>
      </w:r>
    </w:p>
    <w:p w14:paraId="10CB6DE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（3）额定功率：≤100W。</w:t>
      </w:r>
    </w:p>
    <w:p w14:paraId="0C9959D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（4）最大续航时长：≥8 小时。</w:t>
      </w:r>
    </w:p>
    <w:p w14:paraId="3A27AE0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▲（5）高温试验：温度+45℃±2℃持续时间 2h,样机处于工作状态，试验后样机应能正常工作。</w:t>
      </w:r>
    </w:p>
    <w:p w14:paraId="5A925D0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▲（6）低温试验:温度-35±3℃, 持续时间 2h,样机处于工作状态，试验后样机应能正常工作。</w:t>
      </w:r>
    </w:p>
    <w:p w14:paraId="0417CCA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▲（7）冲击试验：冲击加速度为500m/s²的条件下，持续时间11ms、在 X、Y、Z 三轴向各三次试验，样机处于非工作状态，试验后样机应能正常工作。</w:t>
      </w:r>
    </w:p>
    <w:p w14:paraId="006556F0">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抗电强度试验：安全防范报警设备的电源插头或电源引入端与外壳裸露金属部件之间，应能承受 GB16796-2009 中表1规定的 45Hz~65Hz 交流电压的抗电强度试验，历时 1min 应无击穿和飞弧现象。</w:t>
      </w:r>
    </w:p>
    <w:p w14:paraId="443C6329">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可通过太阳能板给内置电池充电，太阳能板功率</w:t>
      </w:r>
      <w:r>
        <w:rPr>
          <w:rFonts w:hint="eastAsia" w:ascii="宋体" w:hAnsi="宋体" w:cs="宋体"/>
          <w:b w:val="0"/>
          <w:bCs w:val="0"/>
          <w:color w:val="auto"/>
          <w:kern w:val="2"/>
          <w:sz w:val="24"/>
          <w:szCs w:val="24"/>
          <w:highlight w:val="none"/>
          <w:lang w:val="en-US" w:eastAsia="zh-CN" w:bidi="ar-SA"/>
        </w:rPr>
        <w:t>50</w:t>
      </w:r>
      <w:r>
        <w:rPr>
          <w:rFonts w:hint="eastAsia" w:ascii="宋体" w:hAnsi="宋体" w:eastAsia="宋体" w:cs="宋体"/>
          <w:b w:val="0"/>
          <w:bCs w:val="0"/>
          <w:color w:val="auto"/>
          <w:kern w:val="2"/>
          <w:sz w:val="24"/>
          <w:szCs w:val="24"/>
          <w:highlight w:val="none"/>
          <w:lang w:val="en-US" w:eastAsia="zh-CN" w:bidi="ar-SA"/>
        </w:rPr>
        <w:t>xw</w:t>
      </w:r>
      <w:r>
        <w:rPr>
          <w:rFonts w:hint="eastAsia" w:ascii="宋体" w:hAnsi="宋体" w:cs="宋体"/>
          <w:b w:val="0"/>
          <w:bCs w:val="0"/>
          <w:color w:val="auto"/>
          <w:kern w:val="2"/>
          <w:sz w:val="24"/>
          <w:szCs w:val="24"/>
          <w:highlight w:val="none"/>
          <w:lang w:val="en-US" w:eastAsia="zh-CN" w:bidi="ar-SA"/>
        </w:rPr>
        <w:t>。</w:t>
      </w:r>
    </w:p>
    <w:p w14:paraId="59F22D99">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防护等级IP55</w:t>
      </w:r>
      <w:r>
        <w:rPr>
          <w:rFonts w:hint="eastAsia" w:ascii="宋体" w:hAnsi="宋体" w:cs="宋体"/>
          <w:b w:val="0"/>
          <w:bCs w:val="0"/>
          <w:color w:val="auto"/>
          <w:kern w:val="2"/>
          <w:sz w:val="24"/>
          <w:szCs w:val="24"/>
          <w:highlight w:val="none"/>
          <w:lang w:val="en-US" w:eastAsia="zh-CN" w:bidi="ar-SA"/>
        </w:rPr>
        <w:t>。</w:t>
      </w:r>
    </w:p>
    <w:p w14:paraId="60B16F8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4、性能指标</w:t>
      </w:r>
    </w:p>
    <w:p w14:paraId="3F4620B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▲（1）电源指示灯：电源指标、欠电指示，泄漏电流≤0.1mA，磁场辐射强度≤0.03A/m。</w:t>
      </w:r>
    </w:p>
    <w:p w14:paraId="1FFAE77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（2）有效频响：300Hz-12kHz。</w:t>
      </w:r>
    </w:p>
    <w:p w14:paraId="42E3071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▲（3）音量最大时，出声口正前方 1 米处声级≥130dB；绝缘电阻≥139MΩ。</w:t>
      </w:r>
    </w:p>
    <w:p w14:paraId="26B6447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p>
    <w:p w14:paraId="69579278">
      <w:pPr>
        <w:pStyle w:val="6"/>
        <w:numPr>
          <w:ilvl w:val="0"/>
          <w:numId w:val="0"/>
        </w:numPr>
        <w:bidi w:val="0"/>
        <w:ind w:leftChars="0"/>
        <w:rPr>
          <w:rFonts w:hint="eastAsia"/>
          <w:color w:val="auto"/>
          <w:highlight w:val="none"/>
          <w:lang w:val="en-US" w:eastAsia="zh-CN"/>
        </w:rPr>
      </w:pPr>
      <w:r>
        <w:rPr>
          <w:rFonts w:hint="eastAsia"/>
          <w:color w:val="auto"/>
          <w:highlight w:val="none"/>
          <w:lang w:val="en-US" w:eastAsia="zh-CN"/>
        </w:rPr>
        <w:t>（三）产品名称：高速催泪喷射器</w:t>
      </w:r>
    </w:p>
    <w:p w14:paraId="241AD0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1、产品构成</w:t>
      </w:r>
    </w:p>
    <w:p w14:paraId="00035E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高速催泪器1支、战术腰套1个、携行箱1个、实战发射管</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个（两发）</w:t>
      </w:r>
      <w:r>
        <w:rPr>
          <w:rFonts w:hint="eastAsia" w:ascii="宋体" w:hAnsi="宋体" w:eastAsia="宋体" w:cs="宋体"/>
          <w:b w:val="0"/>
          <w:bCs w:val="0"/>
          <w:color w:val="auto"/>
          <w:sz w:val="24"/>
          <w:szCs w:val="24"/>
          <w:highlight w:val="none"/>
          <w:lang w:val="en-US" w:eastAsia="zh-CN"/>
        </w:rPr>
        <w:t>、训练管</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个。</w:t>
      </w:r>
    </w:p>
    <w:p w14:paraId="2D1D25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2、功能性要求</w:t>
      </w:r>
    </w:p>
    <w:p w14:paraId="794E1B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（1）有</w:t>
      </w:r>
      <w:r>
        <w:rPr>
          <w:rFonts w:hint="eastAsia" w:ascii="宋体" w:hAnsi="宋体" w:eastAsia="宋体" w:cs="宋体"/>
          <w:b w:val="0"/>
          <w:bCs w:val="0"/>
          <w:color w:val="auto"/>
          <w:sz w:val="24"/>
          <w:szCs w:val="24"/>
          <w:highlight w:val="none"/>
          <w:lang w:val="en-US"/>
        </w:rPr>
        <w:t>效发射距离：常温无风环境下，以0°角对瓦楞纸板(5mm厚600mmX600mm)中心进行喷射，喷射距离≥7m</w:t>
      </w:r>
      <w:r>
        <w:rPr>
          <w:rFonts w:hint="eastAsia" w:ascii="宋体" w:hAnsi="宋体" w:eastAsia="宋体" w:cs="宋体"/>
          <w:b w:val="0"/>
          <w:bCs w:val="0"/>
          <w:color w:val="auto"/>
          <w:sz w:val="24"/>
          <w:szCs w:val="24"/>
          <w:highlight w:val="none"/>
          <w:lang w:val="en-US" w:eastAsia="zh-CN"/>
        </w:rPr>
        <w:t>。</w:t>
      </w:r>
    </w:p>
    <w:p w14:paraId="06C011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催泪剂主要成分：0C(天然辣椒素和二氢辣椒素等混合物</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r>
        <w:rPr>
          <w:rFonts w:hint="eastAsia" w:ascii="宋体" w:hAnsi="宋体" w:eastAsia="宋体" w:cs="宋体"/>
          <w:b w:val="0"/>
          <w:bCs w:val="0"/>
          <w:color w:val="auto"/>
          <w:sz w:val="24"/>
          <w:szCs w:val="24"/>
          <w:highlight w:val="none"/>
          <w:lang w:val="en-US" w:eastAsia="zh-CN"/>
        </w:rPr>
        <w:t>。</w:t>
      </w:r>
    </w:p>
    <w:p w14:paraId="1C22B9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rPr>
        <w:t>辣度：催泪剂辣度≥25万SHU（须有检测报告体现）。</w:t>
      </w:r>
    </w:p>
    <w:p w14:paraId="0AD07A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rPr>
        <w:t>发射初速度：喷射管口处的发射初速度≥170m/s（须有检测报告体现）。</w:t>
      </w:r>
    </w:p>
    <w:p w14:paraId="3F2952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rPr>
        <w:t>连续发射次数：连续扣动扳机2次能喷射2次。</w:t>
      </w:r>
    </w:p>
    <w:p w14:paraId="70BAB4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rPr>
        <w:t>扳机耐久性能：扳机使用次数应≥5000次</w:t>
      </w:r>
      <w:r>
        <w:rPr>
          <w:rFonts w:hint="eastAsia" w:ascii="宋体" w:hAnsi="宋体" w:eastAsia="宋体" w:cs="宋体"/>
          <w:b w:val="0"/>
          <w:bCs w:val="0"/>
          <w:color w:val="auto"/>
          <w:sz w:val="24"/>
          <w:szCs w:val="24"/>
          <w:highlight w:val="none"/>
          <w:lang w:val="en-US" w:eastAsia="zh-CN"/>
        </w:rPr>
        <w:t>。</w:t>
      </w:r>
    </w:p>
    <w:p w14:paraId="408AFF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rPr>
        <w:t>扳机保险功能：高速催泪喷射器扳机应设置防误触发结构，发射行程扳机力≥80N。</w:t>
      </w:r>
    </w:p>
    <w:p w14:paraId="7347B1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rPr>
        <w:t>操作模式：手动</w:t>
      </w:r>
      <w:r>
        <w:rPr>
          <w:rFonts w:hint="eastAsia" w:ascii="宋体" w:hAnsi="宋体" w:eastAsia="宋体" w:cs="宋体"/>
          <w:b w:val="0"/>
          <w:bCs w:val="0"/>
          <w:color w:val="auto"/>
          <w:sz w:val="24"/>
          <w:szCs w:val="24"/>
          <w:highlight w:val="none"/>
          <w:lang w:val="en-US" w:eastAsia="zh-CN"/>
        </w:rPr>
        <w:t>。</w:t>
      </w:r>
    </w:p>
    <w:p w14:paraId="3D0196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3、技术规格</w:t>
      </w:r>
    </w:p>
    <w:p w14:paraId="45F0C0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rPr>
        <w:t>尺寸与重量</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高速催泪喷射器：长度≤200mm；宽度≤120mm；高度≤40mm</w:t>
      </w:r>
      <w:r>
        <w:rPr>
          <w:rFonts w:hint="eastAsia" w:ascii="宋体" w:hAnsi="宋体" w:eastAsia="宋体" w:cs="宋体"/>
          <w:b w:val="0"/>
          <w:bCs w:val="0"/>
          <w:color w:val="auto"/>
          <w:sz w:val="24"/>
          <w:szCs w:val="24"/>
          <w:highlight w:val="none"/>
          <w:lang w:val="en-US" w:eastAsia="zh-CN"/>
        </w:rPr>
        <w:t>。</w:t>
      </w:r>
    </w:p>
    <w:p w14:paraId="6D389D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发射管(单支)：长度≤130mm；直径≤20mm</w:t>
      </w:r>
      <w:r>
        <w:rPr>
          <w:rFonts w:hint="eastAsia" w:ascii="宋体" w:hAnsi="宋体" w:eastAsia="宋体" w:cs="宋体"/>
          <w:b w:val="0"/>
          <w:bCs w:val="0"/>
          <w:color w:val="auto"/>
          <w:sz w:val="24"/>
          <w:szCs w:val="24"/>
          <w:highlight w:val="none"/>
          <w:lang w:val="en-US" w:eastAsia="zh-CN"/>
        </w:rPr>
        <w:t>。</w:t>
      </w:r>
    </w:p>
    <w:p w14:paraId="37AC55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rPr>
        <w:t>高速催泪喷射器(喷射器主体和发射管模块)质量:≤510g</w:t>
      </w:r>
      <w:r>
        <w:rPr>
          <w:rFonts w:hint="eastAsia" w:ascii="宋体" w:hAnsi="宋体" w:eastAsia="宋体" w:cs="宋体"/>
          <w:b w:val="0"/>
          <w:bCs w:val="0"/>
          <w:color w:val="auto"/>
          <w:sz w:val="24"/>
          <w:szCs w:val="24"/>
          <w:highlight w:val="none"/>
          <w:lang w:val="en-US" w:eastAsia="zh-CN"/>
        </w:rPr>
        <w:t>。</w:t>
      </w:r>
    </w:p>
    <w:p w14:paraId="273B2C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rPr>
        <w:t>催泪剂体积：实战型发射管内的催泪剂体积为(单支)≥9.5m±0.5m</w:t>
      </w:r>
      <w:r>
        <w:rPr>
          <w:rFonts w:hint="eastAsia" w:ascii="宋体" w:hAnsi="宋体" w:eastAsia="宋体" w:cs="宋体"/>
          <w:b w:val="0"/>
          <w:bCs w:val="0"/>
          <w:color w:val="auto"/>
          <w:sz w:val="24"/>
          <w:szCs w:val="24"/>
          <w:highlight w:val="none"/>
          <w:lang w:val="en-US" w:eastAsia="zh-CN"/>
        </w:rPr>
        <w:t>。</w:t>
      </w:r>
    </w:p>
    <w:p w14:paraId="6E3F81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工作环境适应性（温度范围：-</w:t>
      </w:r>
      <w:r>
        <w:rPr>
          <w:rFonts w:hint="eastAsia" w:ascii="宋体" w:hAnsi="宋体" w:cs="宋体"/>
          <w:b w:val="0"/>
          <w:bCs w:val="0"/>
          <w:color w:val="auto"/>
          <w:sz w:val="24"/>
          <w:szCs w:val="24"/>
          <w:highlight w:val="none"/>
          <w:lang w:val="en-US" w:eastAsia="zh-CN"/>
        </w:rPr>
        <w:t>25</w:t>
      </w:r>
      <w:r>
        <w:rPr>
          <w:rFonts w:hint="eastAsia" w:ascii="宋体" w:hAnsi="宋体" w:eastAsia="宋体" w:cs="宋体"/>
          <w:b w:val="0"/>
          <w:bCs w:val="0"/>
          <w:color w:val="auto"/>
          <w:sz w:val="24"/>
          <w:szCs w:val="24"/>
          <w:highlight w:val="none"/>
          <w:lang w:val="en-US"/>
        </w:rPr>
        <w:t>℃</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w:t>
      </w:r>
      <w:r>
        <w:rPr>
          <w:rFonts w:hint="eastAsia" w:ascii="宋体" w:hAnsi="宋体" w:cs="宋体"/>
          <w:b w:val="0"/>
          <w:bCs w:val="0"/>
          <w:color w:val="auto"/>
          <w:sz w:val="24"/>
          <w:szCs w:val="24"/>
          <w:highlight w:val="none"/>
          <w:lang w:val="en-US" w:eastAsia="zh-CN"/>
        </w:rPr>
        <w:t>55</w:t>
      </w:r>
      <w:r>
        <w:rPr>
          <w:rFonts w:hint="eastAsia" w:ascii="宋体" w:hAnsi="宋体" w:eastAsia="宋体" w:cs="宋体"/>
          <w:b w:val="0"/>
          <w:bCs w:val="0"/>
          <w:color w:val="auto"/>
          <w:sz w:val="24"/>
          <w:szCs w:val="24"/>
          <w:highlight w:val="none"/>
          <w:lang w:val="en-US"/>
        </w:rPr>
        <w:t>℃</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w:t>
      </w:r>
      <w:r>
        <w:rPr>
          <w:rFonts w:hint="eastAsia" w:ascii="宋体" w:hAnsi="宋体" w:cs="宋体"/>
          <w:b w:val="0"/>
          <w:bCs w:val="0"/>
          <w:color w:val="auto"/>
          <w:sz w:val="24"/>
          <w:szCs w:val="24"/>
          <w:highlight w:val="none"/>
          <w:lang w:val="en-US" w:eastAsia="zh-CN"/>
        </w:rPr>
        <w:t>）。</w:t>
      </w:r>
    </w:p>
    <w:p w14:paraId="0B7897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rPr>
        <w:t>、性能指标</w:t>
      </w:r>
    </w:p>
    <w:p w14:paraId="25609F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rPr>
        <w:t>振动可靠性：经过加速度2m/s2、频率5Hz～55Hz、X、Y、Z三个方向，每个方向振动1h，试验后应不泄漏，喷射管液体应正常喷出。</w:t>
      </w:r>
    </w:p>
    <w:p w14:paraId="25C8CA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跌落安全性：将高速催泪喷射器(喷射器主体和发射管模块),以喷射口水平向前握把向下、从1.5米高度自由跌落至水泥地面上，试验1次，试验后发射管不泄漏、不爆裂、不击发，发射管液体应正常喷出。</w:t>
      </w:r>
    </w:p>
    <w:p w14:paraId="58ADB8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rPr>
        <w:t>高温：将高速催泪喷射器(喷射器主体和发射管模块)置于55℃±2℃的高温箱内保持2h，在样品取出后5min内完成喷射试验，发射管液体应正常喷出。</w:t>
      </w:r>
    </w:p>
    <w:p w14:paraId="1B8A2B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rPr>
        <w:t>低温：将高速催泪喷射器(喷射器主体和发射管模块)置于-25℃±2℃的低温箱内保持2h，在样品取出后5min内完成喷射试验，发射管液体应正常喷出。</w:t>
      </w:r>
    </w:p>
    <w:p w14:paraId="55AD71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rPr>
        <w:t>恒定湿热：将高速催泪喷射器(喷射器主体和发射管模块)置于温度40℃±2℃，相对湿度93%±2%环境下，保持4h，在样品取出后5min内完成喷射试验，喷射管液体应正常喷出。</w:t>
      </w:r>
    </w:p>
    <w:p w14:paraId="62D242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rPr>
        <w:t>粉尘试验：将高速催泪喷射器(喷射器主体和发射管模块)置于密闭试验箱内持续8h，试验后发射管液体应正常喷出。</w:t>
      </w:r>
    </w:p>
    <w:p w14:paraId="5E55B4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rPr>
        <w:t>防水试验：将高速催泪喷射器(喷射器主体和发射管模块)置于深1m水箱保持0.5h，在样品取出后5min内完成喷射试验,发射管液体应正常喷出。（须有检测报告体现）。</w:t>
      </w:r>
    </w:p>
    <w:p w14:paraId="2A5B3B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rPr>
        <w:t>安全标准</w:t>
      </w:r>
    </w:p>
    <w:p w14:paraId="33B972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rPr>
        <w:t>发射管不得分拆，须是一个整体模块，整体模块与喷射器主体可快速分离，方便快速更换整个喷射模块，满足战术需要，发射管底火须有清晰明确的火药制造商标示</w:t>
      </w:r>
      <w:r>
        <w:rPr>
          <w:rFonts w:hint="eastAsia" w:ascii="宋体" w:hAnsi="宋体" w:eastAsia="宋体" w:cs="宋体"/>
          <w:b w:val="0"/>
          <w:bCs w:val="0"/>
          <w:color w:val="auto"/>
          <w:sz w:val="24"/>
          <w:szCs w:val="24"/>
          <w:highlight w:val="none"/>
          <w:lang w:val="en-US" w:eastAsia="zh-CN"/>
        </w:rPr>
        <w:t>。</w:t>
      </w:r>
    </w:p>
    <w:p w14:paraId="3678F5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实战型发射管模块的塑料部分颜色是橙色或黑色，纸质标签有明显的黄色、红色</w:t>
      </w:r>
      <w:r>
        <w:rPr>
          <w:rFonts w:hint="eastAsia" w:ascii="宋体" w:hAnsi="宋体" w:cs="宋体"/>
          <w:b w:val="0"/>
          <w:bCs w:val="0"/>
          <w:color w:val="auto"/>
          <w:sz w:val="24"/>
          <w:szCs w:val="24"/>
          <w:highlight w:val="none"/>
          <w:lang w:val="en-US" w:eastAsia="zh-CN"/>
        </w:rPr>
        <w:t>等明显色标</w:t>
      </w:r>
      <w:r>
        <w:rPr>
          <w:rFonts w:hint="eastAsia" w:ascii="宋体" w:hAnsi="宋体" w:eastAsia="宋体" w:cs="宋体"/>
          <w:b w:val="0"/>
          <w:bCs w:val="0"/>
          <w:color w:val="auto"/>
          <w:sz w:val="24"/>
          <w:szCs w:val="24"/>
          <w:highlight w:val="none"/>
          <w:lang w:val="en-US"/>
        </w:rPr>
        <w:t>，以及具有明显的警示图标“红色方框、黑色感叹号”。标签的文字有中文、英文与阿拉伯数字，包括“刺激剂”、“注意事项”、“使用前请阅读说明手册”、“每发单位含量”“有效期:XX-20XX”“中国境内:供执法者专用”等描述。</w:t>
      </w:r>
    </w:p>
    <w:p w14:paraId="713BC5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rPr>
        <w:t>训练型发射管模块的塑料部分颜色是蓝色,纸质标签是绿色,有明显的黄色:标签上的文字有中文、英文与阿拉伯数字，包括“使用前请阅读说明手册”、“每发单位含量”“有效期:XX-20XX”、“中国境内:供执法者专用”等描述</w:t>
      </w:r>
      <w:r>
        <w:rPr>
          <w:rFonts w:hint="eastAsia" w:ascii="宋体" w:hAnsi="宋体" w:eastAsia="宋体" w:cs="宋体"/>
          <w:b w:val="0"/>
          <w:bCs w:val="0"/>
          <w:color w:val="auto"/>
          <w:sz w:val="24"/>
          <w:szCs w:val="24"/>
          <w:highlight w:val="none"/>
          <w:lang w:val="en-US" w:eastAsia="zh-CN"/>
        </w:rPr>
        <w:t>。</w:t>
      </w:r>
    </w:p>
    <w:p w14:paraId="5D88FB09">
      <w:pPr>
        <w:pStyle w:val="5"/>
        <w:bidi w:val="0"/>
        <w:rPr>
          <w:rFonts w:hint="eastAsia"/>
          <w:color w:val="auto"/>
          <w:highlight w:val="none"/>
          <w:lang w:val="en-US" w:eastAsia="zh-CN"/>
        </w:rPr>
      </w:pPr>
      <w:r>
        <w:rPr>
          <w:rFonts w:hint="eastAsia"/>
          <w:color w:val="auto"/>
          <w:highlight w:val="none"/>
          <w:lang w:val="en-US" w:eastAsia="zh-CN"/>
        </w:rPr>
        <w:t>三、商务要求</w:t>
      </w:r>
    </w:p>
    <w:p w14:paraId="73CD97B6">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1、合同履约期限：自合同签订之日起15日内完成，按甲方指定时间、地点交付合格产品、完成验收。</w:t>
      </w:r>
    </w:p>
    <w:p w14:paraId="00B6A78D">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2、付款方式：合同签订后，乙方完成供货、验收，待甲方确认后支付全部货款（最终以双方实际签订合同为准）。</w:t>
      </w:r>
    </w:p>
    <w:p w14:paraId="7F1620EA">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3、交货地点：采购人指定地点。</w:t>
      </w:r>
    </w:p>
    <w:p w14:paraId="2BD634D9">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4、质量标准：符合国家或行业相关标准。</w:t>
      </w:r>
    </w:p>
    <w:p w14:paraId="7D2ED295">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5、验收标准：符合我国国家有关技术规范和技术标准，技术资料应与标书技术文件一致。</w:t>
      </w:r>
    </w:p>
    <w:p w14:paraId="13AB1DF7">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6、验收方对货物质量有异议的，有权邀请法定的质量检测机构进行质量复检，相关检测费用由投标供应商承担。</w:t>
      </w:r>
    </w:p>
    <w:p w14:paraId="54F0AAD8">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7、验收方也可以在收到货物后15日内向投标供应商提出书面异议，经核实确属投标方责任的，验收方有权退货。</w:t>
      </w:r>
    </w:p>
    <w:p w14:paraId="087F9B8E">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8、售后服务</w:t>
      </w:r>
    </w:p>
    <w:p w14:paraId="53502D01">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（1）质保期内：质保期内实行“三包”服务，如出现质量问题，供应商需联系生产厂家负责修复、更换或退货，并承担由此发生的一切费用，提供以上承诺以及相关流程的书面方案。</w:t>
      </w:r>
    </w:p>
    <w:p w14:paraId="45690793">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（2）供应商需提供 7*24 小时响应服务，发生紧急故障时市区内承诺24小时内赶到现场，并配合协助处理。</w:t>
      </w:r>
    </w:p>
    <w:p w14:paraId="03E3B379">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9、样品</w:t>
      </w:r>
    </w:p>
    <w:p w14:paraId="0A87D3A5">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（1）样品提交要求</w:t>
      </w:r>
    </w:p>
    <w:p w14:paraId="67DBE8AB">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为确保投标产品的真实性、合规性及与投标文件描述的一致性，投标供应商须按本招标文件“采购清单”，提交对应样品。</w:t>
      </w:r>
    </w:p>
    <w:p w14:paraId="7F65263F">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default"/>
          <w:b/>
          <w:bCs/>
          <w:color w:val="auto"/>
          <w:sz w:val="24"/>
          <w:szCs w:val="24"/>
          <w:highlight w:val="none"/>
          <w:lang w:val="en-US" w:eastAsia="zh-CN"/>
        </w:rPr>
      </w:pPr>
      <w:r>
        <w:rPr>
          <w:rFonts w:hint="eastAsia"/>
          <w:b/>
          <w:bCs/>
          <w:color w:val="auto"/>
          <w:sz w:val="24"/>
          <w:szCs w:val="24"/>
          <w:highlight w:val="none"/>
          <w:lang w:val="en-US" w:eastAsia="zh-CN"/>
        </w:rPr>
        <w:t>样品于开标前送至：乌鲁木齐市水磨沟区金科星耀天都一号楼2单元2602室。</w:t>
      </w:r>
    </w:p>
    <w:p w14:paraId="564D2DBA">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（2）样品的用途</w:t>
      </w:r>
    </w:p>
    <w:p w14:paraId="78120206">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default"/>
          <w:b/>
          <w:bCs/>
          <w:color w:val="auto"/>
          <w:highlight w:val="none"/>
          <w:lang w:val="en-US" w:eastAsia="zh-CN"/>
        </w:rPr>
      </w:pPr>
      <w:r>
        <w:rPr>
          <w:rFonts w:hint="eastAsia"/>
          <w:b/>
          <w:bCs/>
          <w:color w:val="auto"/>
          <w:sz w:val="24"/>
          <w:szCs w:val="24"/>
          <w:highlight w:val="none"/>
          <w:lang w:val="en-US" w:eastAsia="zh-CN"/>
        </w:rPr>
        <w:t>本次招标采购项目提交的样品仅作为采购人对投标产品的实物核对、规格确认及符合性验证使用，用于核实样品是否与投标文件中描述的技术参数、材质、工艺等内容一致，不作为评审打分依据，不参与投标文件的评分环节。</w:t>
      </w:r>
    </w:p>
    <w:p w14:paraId="0FBD17D6">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default"/>
          <w:color w:val="auto"/>
          <w:sz w:val="24"/>
          <w:szCs w:val="24"/>
          <w:highlight w:val="none"/>
          <w:lang w:val="en-US" w:eastAsia="zh-CN"/>
        </w:rPr>
      </w:pPr>
    </w:p>
    <w:p w14:paraId="33152D94">
      <w:pPr>
        <w:pStyle w:val="3"/>
        <w:numPr>
          <w:ilvl w:val="0"/>
          <w:numId w:val="0"/>
        </w:numPr>
        <w:tabs>
          <w:tab w:val="clear" w:pos="360"/>
        </w:tabs>
        <w:bidi w:val="0"/>
        <w:ind w:leftChars="0"/>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br w:type="page"/>
      </w:r>
      <w:r>
        <w:rPr>
          <w:rFonts w:hint="eastAsia" w:ascii="宋体" w:hAnsi="宋体" w:eastAsia="宋体" w:cs="宋体"/>
          <w:color w:val="auto"/>
          <w:sz w:val="32"/>
          <w:szCs w:val="32"/>
          <w:highlight w:val="none"/>
          <w:lang w:val="en-US" w:eastAsia="zh-CN"/>
        </w:rPr>
        <w:t>第四部分 评标办法</w:t>
      </w:r>
      <w:bookmarkEnd w:id="59"/>
      <w:bookmarkEnd w:id="60"/>
      <w:bookmarkEnd w:id="79"/>
      <w:bookmarkStart w:id="80" w:name="_Hlt101846155"/>
      <w:bookmarkEnd w:id="80"/>
      <w:bookmarkStart w:id="81" w:name="_Toc183582280"/>
      <w:bookmarkStart w:id="82" w:name="_Toc208849007"/>
      <w:bookmarkStart w:id="83" w:name="_Toc183682415"/>
      <w:bookmarkStart w:id="84" w:name="_Toc217446097"/>
    </w:p>
    <w:p w14:paraId="227CA7BB">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 总则</w:t>
      </w:r>
      <w:bookmarkEnd w:id="81"/>
      <w:bookmarkEnd w:id="82"/>
      <w:bookmarkEnd w:id="83"/>
      <w:bookmarkEnd w:id="84"/>
    </w:p>
    <w:p w14:paraId="1714C11D">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 根据《中华人民共和国政府采购法》和《政府采购货物和服务招标投标管理办法》（财政部第87号令）等法律规章，结合采购项目特点制定本评标办法。</w:t>
      </w:r>
    </w:p>
    <w:p w14:paraId="4650768C">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 评标工作由采购人</w:t>
      </w:r>
      <w:r>
        <w:rPr>
          <w:rFonts w:hint="eastAsia" w:ascii="宋体" w:hAnsi="宋体" w:eastAsia="宋体" w:cs="宋体"/>
          <w:bCs/>
          <w:color w:val="auto"/>
          <w:sz w:val="24"/>
          <w:szCs w:val="24"/>
          <w:highlight w:val="none"/>
          <w:lang w:eastAsia="zh-CN"/>
        </w:rPr>
        <w:t>或代理机构</w:t>
      </w:r>
      <w:r>
        <w:rPr>
          <w:rFonts w:hint="eastAsia" w:ascii="宋体" w:hAnsi="宋体" w:eastAsia="宋体" w:cs="宋体"/>
          <w:bCs/>
          <w:color w:val="auto"/>
          <w:sz w:val="24"/>
          <w:szCs w:val="24"/>
          <w:highlight w:val="none"/>
        </w:rPr>
        <w:t>负责组织，具体评标事务由评标委员会负责。评标委员会由采购人代表和有关技术、经济等方面的专家组成。</w:t>
      </w:r>
    </w:p>
    <w:p w14:paraId="7E09EB00">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 评标工作应遵循公平、公正、科学及择优的原则，并以相同的评标程序和标准对待所有的供应商。</w:t>
      </w:r>
    </w:p>
    <w:p w14:paraId="7173D5F7">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 评标委员会按照</w:t>
      </w:r>
      <w:r>
        <w:rPr>
          <w:rFonts w:hint="eastAsia" w:ascii="宋体" w:hAnsi="宋体" w:eastAsia="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规定的评标方法和标准进行评标，并独立履行下列职责：</w:t>
      </w:r>
    </w:p>
    <w:p w14:paraId="07C027A0">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（1）审查</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是否符合</w:t>
      </w:r>
      <w:r>
        <w:rPr>
          <w:rFonts w:hint="eastAsia" w:ascii="宋体" w:hAnsi="宋体" w:eastAsia="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要求，并作出评价；</w:t>
      </w:r>
    </w:p>
    <w:p w14:paraId="3D69EB9F">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（2）要求投标供应商对</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有关事项作出解释或者澄清；</w:t>
      </w:r>
    </w:p>
    <w:p w14:paraId="5DD86F10">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（3）推荐</w:t>
      </w: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成交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候选供应商名单，或者受采购人委托按照事先确定的办法直接确定</w:t>
      </w: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成交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供应商；</w:t>
      </w:r>
    </w:p>
    <w:p w14:paraId="6A6E96D7">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（4）向采购单位或者有关部门报告非法干预评标工作的行为。</w:t>
      </w:r>
      <w:bookmarkStart w:id="85" w:name="_Toc217446098"/>
    </w:p>
    <w:p w14:paraId="520B2E3F">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 评标过程严格保密。供应商对</w:t>
      </w:r>
      <w:r>
        <w:rPr>
          <w:rFonts w:hint="eastAsia" w:ascii="宋体" w:hAnsi="宋体" w:eastAsia="宋体" w:cs="宋体"/>
          <w:bCs/>
          <w:color w:val="auto"/>
          <w:sz w:val="24"/>
          <w:szCs w:val="24"/>
          <w:highlight w:val="none"/>
          <w:lang w:eastAsia="zh-CN"/>
        </w:rPr>
        <w:t>评标委员会</w:t>
      </w:r>
      <w:r>
        <w:rPr>
          <w:rFonts w:hint="eastAsia" w:ascii="宋体" w:hAnsi="宋体" w:eastAsia="宋体" w:cs="宋体"/>
          <w:bCs/>
          <w:color w:val="auto"/>
          <w:sz w:val="24"/>
          <w:szCs w:val="24"/>
          <w:highlight w:val="none"/>
        </w:rPr>
        <w:t>的评标过程或合同授予决定施加影响的任何行为都可能导致其投标被拒绝。</w:t>
      </w:r>
    </w:p>
    <w:p w14:paraId="3890A1B7">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1.6评标委员会决定投标文件的响应性依据投标文件本身的内容，而不寻求外部的证据。</w:t>
      </w:r>
    </w:p>
    <w:p w14:paraId="60BC41F8">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1.7评标委员会发现招标文件表述不明确或需要说明的事项，可提请采购单位书面解释说明。发现招标文件违反有关法律、法规和规章的，可以拒绝评标，并向采购单位书面说明情况。</w:t>
      </w:r>
    </w:p>
    <w:p w14:paraId="4697F8CE">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1.8</w:t>
      </w:r>
      <w:r>
        <w:rPr>
          <w:rFonts w:hint="eastAsia" w:ascii="宋体" w:hAnsi="宋体" w:cs="宋体"/>
          <w:color w:val="auto"/>
          <w:sz w:val="24"/>
          <w:highlight w:val="none"/>
        </w:rPr>
        <w:t>在评标过程中，评标委员会发现有下列情形之一的，视为</w:t>
      </w:r>
      <w:r>
        <w:rPr>
          <w:rFonts w:hint="eastAsia" w:ascii="宋体" w:hAnsi="宋体" w:cs="宋体"/>
          <w:color w:val="auto"/>
          <w:sz w:val="24"/>
          <w:highlight w:val="none"/>
          <w:lang w:eastAsia="zh-CN"/>
        </w:rPr>
        <w:t>投标供应商</w:t>
      </w:r>
      <w:r>
        <w:rPr>
          <w:rFonts w:hint="eastAsia" w:ascii="宋体" w:hAnsi="宋体" w:cs="宋体"/>
          <w:color w:val="auto"/>
          <w:sz w:val="24"/>
          <w:highlight w:val="none"/>
        </w:rPr>
        <w:t>串通投标，其投标无效：</w:t>
      </w:r>
    </w:p>
    <w:p w14:paraId="7CA47352">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（1）不同</w:t>
      </w:r>
      <w:r>
        <w:rPr>
          <w:rFonts w:hint="eastAsia" w:ascii="宋体" w:hAnsi="宋体" w:cs="宋体"/>
          <w:color w:val="auto"/>
          <w:sz w:val="24"/>
          <w:highlight w:val="none"/>
          <w:lang w:eastAsia="zh-CN"/>
        </w:rPr>
        <w:t>投标供应商</w:t>
      </w:r>
      <w:r>
        <w:rPr>
          <w:rFonts w:hint="eastAsia" w:ascii="宋体" w:hAnsi="宋体" w:cs="宋体"/>
          <w:color w:val="auto"/>
          <w:sz w:val="24"/>
          <w:highlight w:val="none"/>
        </w:rPr>
        <w:t>的投标文件由同一单位或者个人编制；</w:t>
      </w:r>
    </w:p>
    <w:p w14:paraId="4600C86A">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（2）不同</w:t>
      </w:r>
      <w:r>
        <w:rPr>
          <w:rFonts w:hint="eastAsia" w:ascii="宋体" w:hAnsi="宋体" w:cs="宋体"/>
          <w:color w:val="auto"/>
          <w:sz w:val="24"/>
          <w:highlight w:val="none"/>
          <w:lang w:eastAsia="zh-CN"/>
        </w:rPr>
        <w:t>投标供应商</w:t>
      </w:r>
      <w:r>
        <w:rPr>
          <w:rFonts w:hint="eastAsia" w:ascii="宋体" w:hAnsi="宋体" w:cs="宋体"/>
          <w:color w:val="auto"/>
          <w:sz w:val="24"/>
          <w:highlight w:val="none"/>
        </w:rPr>
        <w:t>委托同一单位或者个人办理投标事宜；</w:t>
      </w:r>
    </w:p>
    <w:p w14:paraId="15D7D57C">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（3）不同</w:t>
      </w:r>
      <w:r>
        <w:rPr>
          <w:rFonts w:hint="eastAsia" w:ascii="宋体" w:hAnsi="宋体" w:cs="宋体"/>
          <w:color w:val="auto"/>
          <w:sz w:val="24"/>
          <w:highlight w:val="none"/>
          <w:lang w:eastAsia="zh-CN"/>
        </w:rPr>
        <w:t>投标供应商</w:t>
      </w:r>
      <w:r>
        <w:rPr>
          <w:rFonts w:hint="eastAsia" w:ascii="宋体" w:hAnsi="宋体" w:cs="宋体"/>
          <w:color w:val="auto"/>
          <w:sz w:val="24"/>
          <w:highlight w:val="none"/>
        </w:rPr>
        <w:t>的投标文件载明的项目管理成员或者联系人员为同一人；</w:t>
      </w:r>
    </w:p>
    <w:p w14:paraId="595EEB4D">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（4）不同</w:t>
      </w:r>
      <w:r>
        <w:rPr>
          <w:rFonts w:hint="eastAsia" w:ascii="宋体" w:hAnsi="宋体" w:cs="宋体"/>
          <w:color w:val="auto"/>
          <w:sz w:val="24"/>
          <w:highlight w:val="none"/>
          <w:lang w:eastAsia="zh-CN"/>
        </w:rPr>
        <w:t>投标供应商</w:t>
      </w:r>
      <w:r>
        <w:rPr>
          <w:rFonts w:hint="eastAsia" w:ascii="宋体" w:hAnsi="宋体" w:cs="宋体"/>
          <w:color w:val="auto"/>
          <w:sz w:val="24"/>
          <w:highlight w:val="none"/>
        </w:rPr>
        <w:t>的投标文件异常一致或者投标报价呈规律性差异；</w:t>
      </w:r>
    </w:p>
    <w:p w14:paraId="189AB4AB">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（5）不同</w:t>
      </w:r>
      <w:r>
        <w:rPr>
          <w:rFonts w:hint="eastAsia" w:ascii="宋体" w:hAnsi="宋体" w:cs="宋体"/>
          <w:color w:val="auto"/>
          <w:sz w:val="24"/>
          <w:highlight w:val="none"/>
          <w:lang w:eastAsia="zh-CN"/>
        </w:rPr>
        <w:t>投标供应商</w:t>
      </w:r>
      <w:r>
        <w:rPr>
          <w:rFonts w:hint="eastAsia" w:ascii="宋体" w:hAnsi="宋体" w:cs="宋体"/>
          <w:color w:val="auto"/>
          <w:sz w:val="24"/>
          <w:highlight w:val="none"/>
        </w:rPr>
        <w:t>的投标文件相互混装；</w:t>
      </w:r>
    </w:p>
    <w:p w14:paraId="29EC8E35">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（6）不同</w:t>
      </w:r>
      <w:r>
        <w:rPr>
          <w:rFonts w:hint="eastAsia" w:ascii="宋体" w:hAnsi="宋体" w:cs="宋体"/>
          <w:color w:val="auto"/>
          <w:sz w:val="24"/>
          <w:highlight w:val="none"/>
          <w:lang w:eastAsia="zh-CN"/>
        </w:rPr>
        <w:t>投标供应商</w:t>
      </w:r>
      <w:r>
        <w:rPr>
          <w:rFonts w:hint="eastAsia" w:ascii="宋体" w:hAnsi="宋体" w:cs="宋体"/>
          <w:color w:val="auto"/>
          <w:sz w:val="24"/>
          <w:highlight w:val="none"/>
        </w:rPr>
        <w:t>的投标保证金从同一单位或者个人的账户转出。</w:t>
      </w:r>
    </w:p>
    <w:p w14:paraId="6A348276">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1.9</w:t>
      </w:r>
      <w:r>
        <w:rPr>
          <w:rFonts w:hint="eastAsia" w:ascii="宋体" w:hAnsi="宋体" w:cs="宋体"/>
          <w:color w:val="auto"/>
          <w:sz w:val="24"/>
          <w:highlight w:val="none"/>
        </w:rPr>
        <w:t xml:space="preserve"> 对与评标活动有关的工作人员的纪律要求</w:t>
      </w:r>
    </w:p>
    <w:p w14:paraId="62444D67">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与评标活动有关的工作人员不得收受他人的财物或者好处，不得向其他人透露对投标文件的评审和比较、中标候选人的推荐情况及评标有关其他情况。在评标活动中，与评标活动有关的工作人员不得擅离职守，影响评标程序正常进行。</w:t>
      </w:r>
    </w:p>
    <w:p w14:paraId="5AB65D00">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1.10</w:t>
      </w:r>
      <w:r>
        <w:rPr>
          <w:rFonts w:hint="eastAsia" w:ascii="宋体" w:hAnsi="宋体" w:cs="宋体"/>
          <w:color w:val="auto"/>
          <w:sz w:val="24"/>
          <w:highlight w:val="none"/>
        </w:rPr>
        <w:t>对评标委员会成员要求评标纪律</w:t>
      </w:r>
    </w:p>
    <w:p w14:paraId="77997960">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1.10</w:t>
      </w:r>
      <w:r>
        <w:rPr>
          <w:rFonts w:hint="eastAsia" w:ascii="宋体" w:hAnsi="宋体" w:cs="宋体"/>
          <w:color w:val="auto"/>
          <w:sz w:val="24"/>
          <w:highlight w:val="none"/>
        </w:rPr>
        <w:t>.1评委会应当依照有关法律法规的规定，按照招标文件确定的评标标准和办法客观、公正的对投标文件提出评审意见。招标文件</w:t>
      </w:r>
      <w:r>
        <w:rPr>
          <w:rFonts w:hint="eastAsia" w:ascii="宋体" w:hAnsi="宋体" w:cs="宋体"/>
          <w:color w:val="auto"/>
          <w:sz w:val="24"/>
          <w:highlight w:val="none"/>
          <w:lang w:val="en-US" w:eastAsia="zh-CN"/>
        </w:rPr>
        <w:t>没</w:t>
      </w:r>
      <w:r>
        <w:rPr>
          <w:rFonts w:hint="eastAsia" w:ascii="宋体" w:hAnsi="宋体" w:cs="宋体"/>
          <w:color w:val="auto"/>
          <w:sz w:val="24"/>
          <w:highlight w:val="none"/>
        </w:rPr>
        <w:t>有规定的评标标准和方法不得作为评标依据。</w:t>
      </w:r>
    </w:p>
    <w:p w14:paraId="12C48590">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1.10</w:t>
      </w:r>
      <w:r>
        <w:rPr>
          <w:rFonts w:hint="eastAsia" w:ascii="宋体" w:hAnsi="宋体" w:cs="宋体"/>
          <w:color w:val="auto"/>
          <w:sz w:val="24"/>
          <w:highlight w:val="none"/>
        </w:rPr>
        <w:t>.2评标委员会成员不得私下接触</w:t>
      </w:r>
      <w:r>
        <w:rPr>
          <w:rFonts w:hint="eastAsia" w:ascii="宋体" w:hAnsi="宋体" w:cs="宋体"/>
          <w:color w:val="auto"/>
          <w:sz w:val="24"/>
          <w:highlight w:val="none"/>
          <w:lang w:eastAsia="zh-CN"/>
        </w:rPr>
        <w:t>投标供应商</w:t>
      </w:r>
      <w:r>
        <w:rPr>
          <w:rFonts w:hint="eastAsia" w:ascii="宋体" w:hAnsi="宋体" w:cs="宋体"/>
          <w:color w:val="auto"/>
          <w:sz w:val="24"/>
          <w:highlight w:val="none"/>
        </w:rPr>
        <w:t>，不得收受</w:t>
      </w:r>
      <w:r>
        <w:rPr>
          <w:rFonts w:hint="eastAsia" w:ascii="宋体" w:hAnsi="宋体" w:cs="宋体"/>
          <w:color w:val="auto"/>
          <w:sz w:val="24"/>
          <w:highlight w:val="none"/>
          <w:lang w:eastAsia="zh-CN"/>
        </w:rPr>
        <w:t>投标供应商</w:t>
      </w:r>
      <w:r>
        <w:rPr>
          <w:rFonts w:hint="eastAsia" w:ascii="宋体" w:hAnsi="宋体" w:cs="宋体"/>
          <w:color w:val="auto"/>
          <w:sz w:val="24"/>
          <w:highlight w:val="none"/>
        </w:rPr>
        <w:t>给予的财务或者其他好处，不得向</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征询确定中标人意向。</w:t>
      </w:r>
    </w:p>
    <w:p w14:paraId="15D40C56">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1.10</w:t>
      </w:r>
      <w:r>
        <w:rPr>
          <w:rFonts w:hint="eastAsia" w:ascii="宋体" w:hAnsi="宋体" w:cs="宋体"/>
          <w:color w:val="auto"/>
          <w:sz w:val="24"/>
          <w:highlight w:val="none"/>
        </w:rPr>
        <w:t>.3不得接受任何单位或个人明示或暗示提出的倾向或排斥特定</w:t>
      </w:r>
      <w:r>
        <w:rPr>
          <w:rFonts w:hint="eastAsia" w:ascii="宋体" w:hAnsi="宋体" w:cs="宋体"/>
          <w:color w:val="auto"/>
          <w:sz w:val="24"/>
          <w:highlight w:val="none"/>
          <w:lang w:eastAsia="zh-CN"/>
        </w:rPr>
        <w:t>投标供应商</w:t>
      </w:r>
      <w:r>
        <w:rPr>
          <w:rFonts w:hint="eastAsia" w:ascii="宋体" w:hAnsi="宋体" w:cs="宋体"/>
          <w:color w:val="auto"/>
          <w:sz w:val="24"/>
          <w:highlight w:val="none"/>
        </w:rPr>
        <w:t>的要求。</w:t>
      </w:r>
    </w:p>
    <w:p w14:paraId="5BD5A651">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1.10</w:t>
      </w:r>
      <w:r>
        <w:rPr>
          <w:rFonts w:hint="eastAsia" w:ascii="宋体" w:hAnsi="宋体" w:cs="宋体"/>
          <w:color w:val="auto"/>
          <w:sz w:val="24"/>
          <w:highlight w:val="none"/>
        </w:rPr>
        <w:t>.4不得有其他不客观，不公正履行职务的行为。</w:t>
      </w:r>
    </w:p>
    <w:p w14:paraId="6ED0032F">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 评标方法</w:t>
      </w:r>
    </w:p>
    <w:bookmarkEnd w:id="85"/>
    <w:p w14:paraId="2047E795">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本项目采用综合评分法</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评标结果按评审后得分由高到低顺序排列。得分相同的，按投标报价由低到高顺序排列。</w:t>
      </w:r>
      <w:r>
        <w:rPr>
          <w:rFonts w:hint="eastAsia" w:ascii="宋体" w:hAnsi="宋体" w:eastAsia="宋体" w:cs="宋体"/>
          <w:color w:val="auto"/>
          <w:sz w:val="24"/>
          <w:szCs w:val="24"/>
          <w:highlight w:val="none"/>
          <w:lang w:eastAsia="zh-CN"/>
        </w:rPr>
        <w:t>得分且投标报价相同的，技术指标较优的一方为中标人。</w:t>
      </w:r>
    </w:p>
    <w:p w14:paraId="28BF1028">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bookmarkStart w:id="86" w:name="_Toc217446099"/>
      <w:r>
        <w:rPr>
          <w:rFonts w:hint="eastAsia" w:ascii="宋体" w:hAnsi="宋体" w:eastAsia="宋体" w:cs="宋体"/>
          <w:bCs/>
          <w:color w:val="auto"/>
          <w:sz w:val="24"/>
          <w:szCs w:val="24"/>
          <w:highlight w:val="none"/>
        </w:rPr>
        <w:t>3. 评标程序</w:t>
      </w:r>
    </w:p>
    <w:p w14:paraId="2C7FD41E">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eastAsia="zh-CN"/>
        </w:rPr>
        <w:t>1资格性审查。采购人或采购代理机构根据供应商的投标文件进行资格审查，资格审查通过的单位进行符合性审查，未通过的单位予以废标处理。</w:t>
      </w:r>
    </w:p>
    <w:p w14:paraId="11D6905E">
      <w:pPr>
        <w:spacing w:line="400" w:lineRule="exact"/>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eastAsia="zh-CN"/>
        </w:rPr>
        <w:t>资格性</w:t>
      </w:r>
      <w:r>
        <w:rPr>
          <w:rFonts w:hint="eastAsia" w:ascii="宋体" w:hAnsi="宋体" w:eastAsia="宋体" w:cs="宋体"/>
          <w:b/>
          <w:bCs/>
          <w:color w:val="auto"/>
          <w:kern w:val="0"/>
          <w:sz w:val="24"/>
          <w:highlight w:val="none"/>
        </w:rPr>
        <w:t>审查表</w:t>
      </w:r>
    </w:p>
    <w:tbl>
      <w:tblPr>
        <w:tblStyle w:val="37"/>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394"/>
        <w:gridCol w:w="3203"/>
        <w:gridCol w:w="4330"/>
      </w:tblGrid>
      <w:tr w14:paraId="66BF2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0" w:type="dxa"/>
            <w:noWrap w:val="0"/>
            <w:vAlign w:val="center"/>
          </w:tcPr>
          <w:p w14:paraId="063333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b w:val="0"/>
                <w:bCs/>
                <w:color w:val="auto"/>
                <w:kern w:val="0"/>
                <w:sz w:val="24"/>
                <w:szCs w:val="24"/>
                <w:highlight w:val="none"/>
                <w:vertAlign w:val="baseline"/>
                <w:lang w:eastAsia="zh-CN"/>
              </w:rPr>
              <w:t>序号</w:t>
            </w:r>
          </w:p>
        </w:tc>
        <w:tc>
          <w:tcPr>
            <w:tcW w:w="1394" w:type="dxa"/>
            <w:noWrap w:val="0"/>
            <w:vAlign w:val="center"/>
          </w:tcPr>
          <w:p w14:paraId="360B9B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b w:val="0"/>
                <w:bCs/>
                <w:color w:val="auto"/>
                <w:kern w:val="0"/>
                <w:sz w:val="24"/>
                <w:szCs w:val="24"/>
                <w:highlight w:val="none"/>
                <w:vertAlign w:val="baseline"/>
                <w:lang w:eastAsia="zh-CN"/>
              </w:rPr>
              <w:t>类型</w:t>
            </w:r>
          </w:p>
        </w:tc>
        <w:tc>
          <w:tcPr>
            <w:tcW w:w="3203" w:type="dxa"/>
            <w:noWrap w:val="0"/>
            <w:vAlign w:val="center"/>
          </w:tcPr>
          <w:p w14:paraId="04264D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b w:val="0"/>
                <w:bCs/>
                <w:color w:val="auto"/>
                <w:kern w:val="0"/>
                <w:sz w:val="24"/>
                <w:szCs w:val="24"/>
                <w:highlight w:val="none"/>
                <w:vertAlign w:val="baseline"/>
                <w:lang w:eastAsia="zh-CN"/>
              </w:rPr>
              <w:t>审查要求</w:t>
            </w:r>
          </w:p>
        </w:tc>
        <w:tc>
          <w:tcPr>
            <w:tcW w:w="4330" w:type="dxa"/>
            <w:noWrap w:val="0"/>
            <w:vAlign w:val="center"/>
          </w:tcPr>
          <w:p w14:paraId="286041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b w:val="0"/>
                <w:bCs/>
                <w:color w:val="auto"/>
                <w:kern w:val="0"/>
                <w:sz w:val="24"/>
                <w:szCs w:val="24"/>
                <w:highlight w:val="none"/>
                <w:vertAlign w:val="baseline"/>
                <w:lang w:eastAsia="zh-CN"/>
              </w:rPr>
              <w:t>要求说明</w:t>
            </w:r>
          </w:p>
        </w:tc>
      </w:tr>
      <w:tr w14:paraId="53AB9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30" w:type="dxa"/>
            <w:noWrap w:val="0"/>
            <w:vAlign w:val="center"/>
          </w:tcPr>
          <w:p w14:paraId="364CB6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bidi="ar-SA"/>
              </w:rPr>
            </w:pPr>
            <w:r>
              <w:rPr>
                <w:rFonts w:hint="eastAsia" w:ascii="宋体" w:hAnsi="宋体" w:cs="宋体"/>
                <w:b w:val="0"/>
                <w:bCs/>
                <w:color w:val="auto"/>
                <w:kern w:val="0"/>
                <w:sz w:val="24"/>
                <w:szCs w:val="24"/>
                <w:highlight w:val="none"/>
                <w:vertAlign w:val="baseline"/>
                <w:lang w:val="en-US" w:eastAsia="zh-CN"/>
              </w:rPr>
              <w:t>1</w:t>
            </w:r>
          </w:p>
        </w:tc>
        <w:tc>
          <w:tcPr>
            <w:tcW w:w="1394" w:type="dxa"/>
            <w:noWrap w:val="0"/>
            <w:vAlign w:val="center"/>
          </w:tcPr>
          <w:p w14:paraId="3E8362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eastAsia="zh-CN"/>
              </w:rPr>
              <w:t>基本资质</w:t>
            </w:r>
            <w:r>
              <w:rPr>
                <w:rFonts w:hint="eastAsia" w:ascii="宋体" w:hAnsi="宋体" w:cs="宋体"/>
                <w:b w:val="0"/>
                <w:bCs/>
                <w:color w:val="auto"/>
                <w:kern w:val="0"/>
                <w:sz w:val="24"/>
                <w:szCs w:val="24"/>
                <w:highlight w:val="none"/>
                <w:vertAlign w:val="baseline"/>
                <w:lang w:val="en-US" w:eastAsia="zh-CN"/>
              </w:rPr>
              <w:t>1</w:t>
            </w:r>
          </w:p>
        </w:tc>
        <w:tc>
          <w:tcPr>
            <w:tcW w:w="3203" w:type="dxa"/>
            <w:noWrap w:val="0"/>
            <w:vAlign w:val="center"/>
          </w:tcPr>
          <w:p w14:paraId="66054D8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b w:val="0"/>
                <w:bCs/>
                <w:color w:val="auto"/>
                <w:kern w:val="0"/>
                <w:sz w:val="24"/>
                <w:szCs w:val="24"/>
                <w:highlight w:val="none"/>
                <w:vertAlign w:val="baseline"/>
                <w:lang w:eastAsia="zh-CN"/>
              </w:rPr>
              <w:t>资格声明函</w:t>
            </w:r>
          </w:p>
        </w:tc>
        <w:tc>
          <w:tcPr>
            <w:tcW w:w="4330" w:type="dxa"/>
            <w:noWrap w:val="0"/>
            <w:vAlign w:val="center"/>
          </w:tcPr>
          <w:p w14:paraId="0170FAE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kern w:val="0"/>
                <w:sz w:val="24"/>
                <w:highlight w:val="none"/>
                <w:lang w:eastAsia="zh-CN"/>
              </w:rPr>
              <w:t>提供</w:t>
            </w:r>
            <w:r>
              <w:rPr>
                <w:rFonts w:hint="eastAsia" w:ascii="宋体" w:hAnsi="宋体" w:eastAsia="宋体" w:cs="宋体"/>
                <w:b w:val="0"/>
                <w:bCs/>
                <w:color w:val="auto"/>
                <w:kern w:val="0"/>
                <w:sz w:val="24"/>
                <w:szCs w:val="24"/>
                <w:highlight w:val="none"/>
                <w:vertAlign w:val="baseline"/>
                <w:lang w:eastAsia="zh-CN"/>
              </w:rPr>
              <w:t>“资格声明函”</w:t>
            </w:r>
          </w:p>
        </w:tc>
      </w:tr>
      <w:tr w14:paraId="6AECC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30" w:type="dxa"/>
            <w:noWrap w:val="0"/>
            <w:vAlign w:val="center"/>
          </w:tcPr>
          <w:p w14:paraId="0F1934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2</w:t>
            </w:r>
          </w:p>
        </w:tc>
        <w:tc>
          <w:tcPr>
            <w:tcW w:w="1394" w:type="dxa"/>
            <w:noWrap w:val="0"/>
            <w:vAlign w:val="center"/>
          </w:tcPr>
          <w:p w14:paraId="31F1F8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0"/>
                <w:sz w:val="24"/>
                <w:szCs w:val="24"/>
                <w:highlight w:val="none"/>
                <w:vertAlign w:val="baseline"/>
                <w:lang w:val="en-US" w:eastAsia="zh-CN" w:bidi="ar-SA"/>
              </w:rPr>
            </w:pPr>
            <w:r>
              <w:rPr>
                <w:rFonts w:hint="eastAsia" w:ascii="宋体" w:hAnsi="宋体" w:cs="宋体"/>
                <w:b w:val="0"/>
                <w:bCs/>
                <w:color w:val="auto"/>
                <w:kern w:val="0"/>
                <w:sz w:val="24"/>
                <w:szCs w:val="24"/>
                <w:highlight w:val="none"/>
                <w:vertAlign w:val="baseline"/>
                <w:lang w:eastAsia="zh-CN"/>
              </w:rPr>
              <w:t>基本资质</w:t>
            </w:r>
            <w:r>
              <w:rPr>
                <w:rFonts w:hint="eastAsia" w:ascii="宋体" w:hAnsi="宋体" w:cs="宋体"/>
                <w:b w:val="0"/>
                <w:bCs/>
                <w:color w:val="auto"/>
                <w:kern w:val="0"/>
                <w:sz w:val="24"/>
                <w:szCs w:val="24"/>
                <w:highlight w:val="none"/>
                <w:vertAlign w:val="baseline"/>
                <w:lang w:val="en-US" w:eastAsia="zh-CN"/>
              </w:rPr>
              <w:t>2</w:t>
            </w:r>
          </w:p>
        </w:tc>
        <w:tc>
          <w:tcPr>
            <w:tcW w:w="3203" w:type="dxa"/>
            <w:noWrap w:val="0"/>
            <w:vAlign w:val="center"/>
          </w:tcPr>
          <w:p w14:paraId="12A6BE4F">
            <w:pPr>
              <w:rPr>
                <w:rFonts w:hint="eastAsia" w:ascii="宋体" w:hAnsi="宋体" w:eastAsia="宋体" w:cs="宋体"/>
                <w:b w:val="0"/>
                <w:bCs/>
                <w:color w:val="auto"/>
                <w:kern w:val="0"/>
                <w:sz w:val="24"/>
                <w:szCs w:val="24"/>
                <w:highlight w:val="none"/>
                <w:vertAlign w:val="baseline"/>
                <w:lang w:eastAsia="zh-CN"/>
              </w:rPr>
            </w:pPr>
            <w:r>
              <w:rPr>
                <w:rFonts w:hint="eastAsia" w:ascii="宋体" w:hAnsi="宋体" w:cs="宋体"/>
                <w:bCs/>
                <w:color w:val="auto"/>
                <w:sz w:val="24"/>
                <w:szCs w:val="24"/>
                <w:highlight w:val="none"/>
              </w:rPr>
              <w:t>法定代表人身份证明或授权委托书</w:t>
            </w:r>
          </w:p>
        </w:tc>
        <w:tc>
          <w:tcPr>
            <w:tcW w:w="4330" w:type="dxa"/>
            <w:noWrap w:val="0"/>
            <w:vAlign w:val="center"/>
          </w:tcPr>
          <w:p w14:paraId="6C38F5A8">
            <w:pP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按采购文件要求提供“法定代表人身份证明或授权委托书”</w:t>
            </w:r>
          </w:p>
        </w:tc>
      </w:tr>
      <w:tr w14:paraId="70465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30" w:type="dxa"/>
            <w:noWrap w:val="0"/>
            <w:vAlign w:val="center"/>
          </w:tcPr>
          <w:p w14:paraId="04AA08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bidi="ar-SA"/>
              </w:rPr>
            </w:pPr>
            <w:r>
              <w:rPr>
                <w:rFonts w:hint="eastAsia" w:ascii="宋体" w:hAnsi="宋体" w:cs="宋体"/>
                <w:b w:val="0"/>
                <w:bCs/>
                <w:color w:val="auto"/>
                <w:kern w:val="0"/>
                <w:sz w:val="24"/>
                <w:szCs w:val="24"/>
                <w:highlight w:val="none"/>
                <w:vertAlign w:val="baseline"/>
                <w:lang w:val="en-US" w:eastAsia="zh-CN"/>
              </w:rPr>
              <w:t>3</w:t>
            </w:r>
          </w:p>
        </w:tc>
        <w:tc>
          <w:tcPr>
            <w:tcW w:w="1394" w:type="dxa"/>
            <w:noWrap w:val="0"/>
            <w:vAlign w:val="center"/>
          </w:tcPr>
          <w:p w14:paraId="012C58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bidi="ar-SA"/>
              </w:rPr>
            </w:pPr>
            <w:r>
              <w:rPr>
                <w:rFonts w:hint="eastAsia" w:ascii="宋体" w:hAnsi="宋体" w:cs="宋体"/>
                <w:b w:val="0"/>
                <w:bCs/>
                <w:color w:val="auto"/>
                <w:kern w:val="0"/>
                <w:sz w:val="24"/>
                <w:szCs w:val="24"/>
                <w:highlight w:val="none"/>
                <w:vertAlign w:val="baseline"/>
                <w:lang w:eastAsia="zh-CN"/>
              </w:rPr>
              <w:t>基本资质</w:t>
            </w:r>
            <w:r>
              <w:rPr>
                <w:rFonts w:hint="eastAsia" w:ascii="宋体" w:hAnsi="宋体" w:cs="宋体"/>
                <w:b w:val="0"/>
                <w:bCs/>
                <w:color w:val="auto"/>
                <w:kern w:val="0"/>
                <w:sz w:val="24"/>
                <w:szCs w:val="24"/>
                <w:highlight w:val="none"/>
                <w:vertAlign w:val="baseline"/>
                <w:lang w:val="en-US" w:eastAsia="zh-CN"/>
              </w:rPr>
              <w:t>3</w:t>
            </w:r>
          </w:p>
        </w:tc>
        <w:tc>
          <w:tcPr>
            <w:tcW w:w="3203" w:type="dxa"/>
            <w:noWrap w:val="0"/>
            <w:vAlign w:val="center"/>
          </w:tcPr>
          <w:p w14:paraId="5D6BDC1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b w:val="0"/>
                <w:bCs/>
                <w:color w:val="auto"/>
                <w:kern w:val="0"/>
                <w:sz w:val="24"/>
                <w:szCs w:val="24"/>
                <w:highlight w:val="none"/>
                <w:vertAlign w:val="baseline"/>
                <w:lang w:eastAsia="zh-CN"/>
              </w:rPr>
              <w:t>具有独立承担民事责任的能力的供应商</w:t>
            </w:r>
          </w:p>
        </w:tc>
        <w:tc>
          <w:tcPr>
            <w:tcW w:w="4330" w:type="dxa"/>
            <w:noWrap w:val="0"/>
            <w:vAlign w:val="center"/>
          </w:tcPr>
          <w:p w14:paraId="0220CD5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cs="宋体"/>
                <w:b w:val="0"/>
                <w:bCs/>
                <w:color w:val="auto"/>
                <w:kern w:val="0"/>
                <w:sz w:val="24"/>
                <w:szCs w:val="24"/>
                <w:highlight w:val="none"/>
                <w:vertAlign w:val="baseline"/>
                <w:lang w:eastAsia="zh-CN"/>
              </w:rPr>
              <w:t>提供有效《营业执照》或《事业单位法人证书》或《企业法人营业执照》</w:t>
            </w:r>
            <w:r>
              <w:rPr>
                <w:rFonts w:hint="eastAsia" w:ascii="宋体" w:hAnsi="宋体" w:eastAsia="宋体" w:cs="宋体"/>
                <w:color w:val="auto"/>
                <w:kern w:val="0"/>
                <w:sz w:val="24"/>
                <w:szCs w:val="24"/>
                <w:highlight w:val="none"/>
              </w:rPr>
              <w:t>或者其他组织的</w:t>
            </w:r>
            <w:r>
              <w:rPr>
                <w:rFonts w:hint="eastAsia" w:ascii="宋体" w:hAnsi="宋体" w:cs="宋体"/>
                <w:b w:val="0"/>
                <w:bCs/>
                <w:color w:val="auto"/>
                <w:kern w:val="0"/>
                <w:sz w:val="24"/>
                <w:szCs w:val="24"/>
                <w:highlight w:val="none"/>
                <w:vertAlign w:val="baseline"/>
                <w:lang w:eastAsia="zh-CN"/>
              </w:rPr>
              <w:t>扫描件加盖供应商公章</w:t>
            </w:r>
          </w:p>
        </w:tc>
      </w:tr>
      <w:tr w14:paraId="69AE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30" w:type="dxa"/>
            <w:noWrap w:val="0"/>
            <w:vAlign w:val="center"/>
          </w:tcPr>
          <w:p w14:paraId="3EF2B9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bidi="ar-SA"/>
              </w:rPr>
            </w:pPr>
            <w:r>
              <w:rPr>
                <w:rFonts w:hint="eastAsia" w:ascii="宋体" w:hAnsi="宋体" w:cs="宋体"/>
                <w:b w:val="0"/>
                <w:bCs/>
                <w:color w:val="auto"/>
                <w:kern w:val="0"/>
                <w:sz w:val="24"/>
                <w:szCs w:val="24"/>
                <w:highlight w:val="none"/>
                <w:vertAlign w:val="baseline"/>
                <w:lang w:val="en-US" w:eastAsia="zh-CN"/>
              </w:rPr>
              <w:t>4</w:t>
            </w:r>
          </w:p>
        </w:tc>
        <w:tc>
          <w:tcPr>
            <w:tcW w:w="1394" w:type="dxa"/>
            <w:noWrap w:val="0"/>
            <w:vAlign w:val="center"/>
          </w:tcPr>
          <w:p w14:paraId="4ABCCC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bidi="ar-SA"/>
              </w:rPr>
            </w:pPr>
            <w:r>
              <w:rPr>
                <w:rFonts w:hint="eastAsia" w:ascii="宋体" w:hAnsi="宋体" w:cs="宋体"/>
                <w:b w:val="0"/>
                <w:bCs/>
                <w:color w:val="auto"/>
                <w:kern w:val="0"/>
                <w:sz w:val="24"/>
                <w:szCs w:val="24"/>
                <w:highlight w:val="none"/>
                <w:vertAlign w:val="baseline"/>
                <w:lang w:eastAsia="zh-CN"/>
              </w:rPr>
              <w:t>基本资质</w:t>
            </w:r>
            <w:r>
              <w:rPr>
                <w:rFonts w:hint="eastAsia" w:ascii="宋体" w:hAnsi="宋体" w:cs="宋体"/>
                <w:b w:val="0"/>
                <w:bCs/>
                <w:color w:val="auto"/>
                <w:kern w:val="0"/>
                <w:sz w:val="24"/>
                <w:szCs w:val="24"/>
                <w:highlight w:val="none"/>
                <w:vertAlign w:val="baseline"/>
                <w:lang w:val="en-US" w:eastAsia="zh-CN"/>
              </w:rPr>
              <w:t>4</w:t>
            </w:r>
          </w:p>
        </w:tc>
        <w:tc>
          <w:tcPr>
            <w:tcW w:w="3203" w:type="dxa"/>
            <w:noWrap w:val="0"/>
            <w:vAlign w:val="center"/>
          </w:tcPr>
          <w:p w14:paraId="7C172D4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sz w:val="24"/>
                <w:szCs w:val="24"/>
                <w:highlight w:val="none"/>
              </w:rPr>
              <w:t>具有良好的商业信誉和健全的财务会计制度</w:t>
            </w:r>
          </w:p>
        </w:tc>
        <w:tc>
          <w:tcPr>
            <w:tcW w:w="4330" w:type="dxa"/>
            <w:noWrap w:val="0"/>
            <w:vAlign w:val="center"/>
          </w:tcPr>
          <w:p w14:paraId="76F8118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b w:val="0"/>
                <w:bCs/>
                <w:color w:val="auto"/>
                <w:kern w:val="0"/>
                <w:sz w:val="24"/>
                <w:szCs w:val="24"/>
                <w:highlight w:val="none"/>
                <w:vertAlign w:val="baseline"/>
                <w:lang w:eastAsia="zh-CN"/>
              </w:rPr>
              <w:t>须提供本单位</w:t>
            </w:r>
            <w:r>
              <w:rPr>
                <w:rFonts w:hint="eastAsia" w:ascii="宋体" w:hAnsi="宋体" w:eastAsia="宋体" w:cs="宋体"/>
                <w:b w:val="0"/>
                <w:bCs/>
                <w:color w:val="auto"/>
                <w:kern w:val="0"/>
                <w:sz w:val="24"/>
                <w:szCs w:val="24"/>
                <w:highlight w:val="none"/>
                <w:vertAlign w:val="baseline"/>
                <w:lang w:val="en-US" w:eastAsia="zh-CN"/>
              </w:rPr>
              <w:t>2024年</w:t>
            </w:r>
            <w:r>
              <w:rPr>
                <w:rFonts w:hint="eastAsia" w:ascii="宋体" w:hAnsi="宋体" w:eastAsia="宋体" w:cs="宋体"/>
                <w:b w:val="0"/>
                <w:bCs/>
                <w:color w:val="auto"/>
                <w:kern w:val="0"/>
                <w:sz w:val="24"/>
                <w:szCs w:val="24"/>
                <w:highlight w:val="none"/>
                <w:vertAlign w:val="baseline"/>
                <w:lang w:eastAsia="zh-CN"/>
              </w:rPr>
              <w:t>度由会计师事务所出具的财务审计报告审计报告须包括资产负债表、利润表、现金流量表、所有者权益变动（如有）及其附注（复印件并加盖本单位公章）。如投标供应商无法提供年度审计报告，则需提供开标日前三个月内银行出具的资信证明复印件加盖公章</w:t>
            </w:r>
            <w:r>
              <w:rPr>
                <w:rFonts w:hint="eastAsia" w:ascii="宋体" w:hAnsi="宋体" w:eastAsia="宋体" w:cs="宋体"/>
                <w:b w:val="0"/>
                <w:bCs/>
                <w:color w:val="auto"/>
                <w:kern w:val="0"/>
                <w:sz w:val="24"/>
                <w:szCs w:val="24"/>
                <w:highlight w:val="none"/>
                <w:vertAlign w:val="baseline"/>
                <w:lang w:val="en-US" w:eastAsia="zh-CN"/>
              </w:rPr>
              <w:t>或</w:t>
            </w:r>
            <w:r>
              <w:rPr>
                <w:rFonts w:hint="eastAsia" w:ascii="宋体" w:hAnsi="宋体" w:eastAsia="宋体" w:cs="宋体"/>
                <w:color w:val="auto"/>
                <w:sz w:val="24"/>
                <w:szCs w:val="24"/>
                <w:highlight w:val="none"/>
                <w:lang w:val="zh-CN" w:eastAsia="zh-CN"/>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年度财务报表（报表中须包括资产负债表、利润表、现金流量表等）</w:t>
            </w:r>
            <w:r>
              <w:rPr>
                <w:rFonts w:hint="eastAsia" w:ascii="宋体" w:hAnsi="宋体" w:eastAsia="宋体" w:cs="宋体"/>
                <w:b w:val="0"/>
                <w:bCs/>
                <w:color w:val="auto"/>
                <w:kern w:val="0"/>
                <w:sz w:val="24"/>
                <w:szCs w:val="24"/>
                <w:highlight w:val="none"/>
                <w:vertAlign w:val="baseline"/>
                <w:lang w:eastAsia="zh-CN"/>
              </w:rPr>
              <w:t>。如投标供应商今年新注册成立的则提供承诺书（自拟）。</w:t>
            </w:r>
          </w:p>
        </w:tc>
      </w:tr>
      <w:tr w14:paraId="46BE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30" w:type="dxa"/>
            <w:noWrap w:val="0"/>
            <w:vAlign w:val="center"/>
          </w:tcPr>
          <w:p w14:paraId="0991DE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bidi="ar-SA"/>
              </w:rPr>
            </w:pPr>
            <w:r>
              <w:rPr>
                <w:rFonts w:hint="eastAsia" w:ascii="宋体" w:hAnsi="宋体" w:cs="宋体"/>
                <w:b w:val="0"/>
                <w:bCs/>
                <w:color w:val="auto"/>
                <w:kern w:val="0"/>
                <w:sz w:val="24"/>
                <w:szCs w:val="24"/>
                <w:highlight w:val="none"/>
                <w:vertAlign w:val="baseline"/>
                <w:lang w:val="en-US" w:eastAsia="zh-CN"/>
              </w:rPr>
              <w:t>5</w:t>
            </w:r>
          </w:p>
        </w:tc>
        <w:tc>
          <w:tcPr>
            <w:tcW w:w="1394" w:type="dxa"/>
            <w:noWrap w:val="0"/>
            <w:vAlign w:val="center"/>
          </w:tcPr>
          <w:p w14:paraId="643100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bidi="ar-SA"/>
              </w:rPr>
            </w:pPr>
            <w:r>
              <w:rPr>
                <w:rFonts w:hint="eastAsia" w:ascii="宋体" w:hAnsi="宋体" w:cs="宋体"/>
                <w:b w:val="0"/>
                <w:bCs/>
                <w:color w:val="auto"/>
                <w:kern w:val="0"/>
                <w:sz w:val="24"/>
                <w:szCs w:val="24"/>
                <w:highlight w:val="none"/>
                <w:vertAlign w:val="baseline"/>
                <w:lang w:eastAsia="zh-CN"/>
              </w:rPr>
              <w:t>基本资质</w:t>
            </w:r>
            <w:r>
              <w:rPr>
                <w:rFonts w:hint="eastAsia" w:ascii="宋体" w:hAnsi="宋体" w:cs="宋体"/>
                <w:b w:val="0"/>
                <w:bCs/>
                <w:color w:val="auto"/>
                <w:kern w:val="0"/>
                <w:sz w:val="24"/>
                <w:szCs w:val="24"/>
                <w:highlight w:val="none"/>
                <w:vertAlign w:val="baseline"/>
                <w:lang w:val="en-US" w:eastAsia="zh-CN"/>
              </w:rPr>
              <w:t>5</w:t>
            </w:r>
          </w:p>
        </w:tc>
        <w:tc>
          <w:tcPr>
            <w:tcW w:w="3203" w:type="dxa"/>
            <w:noWrap w:val="0"/>
            <w:vAlign w:val="center"/>
          </w:tcPr>
          <w:p w14:paraId="0D55BC5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sz w:val="24"/>
                <w:szCs w:val="24"/>
                <w:highlight w:val="none"/>
              </w:rPr>
              <w:t>具有</w:t>
            </w:r>
            <w:r>
              <w:rPr>
                <w:rFonts w:hint="default" w:ascii="宋体" w:hAnsi="宋体" w:eastAsia="宋体" w:cs="宋体"/>
                <w:color w:val="auto"/>
                <w:sz w:val="24"/>
                <w:szCs w:val="24"/>
                <w:highlight w:val="none"/>
                <w:lang w:val="en-US" w:eastAsia="zh-CN"/>
              </w:rPr>
              <w:t>履行合同所必需的设备和专业技术能力</w:t>
            </w:r>
          </w:p>
        </w:tc>
        <w:tc>
          <w:tcPr>
            <w:tcW w:w="4330" w:type="dxa"/>
            <w:noWrap w:val="0"/>
            <w:vAlign w:val="center"/>
          </w:tcPr>
          <w:p w14:paraId="50112B1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default"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具有</w:t>
            </w:r>
            <w:r>
              <w:rPr>
                <w:rFonts w:hint="default" w:ascii="宋体" w:hAnsi="宋体" w:eastAsia="宋体" w:cs="宋体"/>
                <w:color w:val="auto"/>
                <w:sz w:val="24"/>
                <w:szCs w:val="24"/>
                <w:highlight w:val="none"/>
                <w:lang w:val="en-US" w:eastAsia="zh-CN"/>
              </w:rPr>
              <w:t>履行合同所必需的设备和专业技术能力的声明</w:t>
            </w:r>
            <w:r>
              <w:rPr>
                <w:rFonts w:hint="eastAsia" w:ascii="宋体" w:hAnsi="宋体" w:eastAsia="宋体" w:cs="宋体"/>
                <w:color w:val="auto"/>
                <w:sz w:val="24"/>
                <w:szCs w:val="24"/>
                <w:highlight w:val="none"/>
                <w:lang w:val="en-US" w:eastAsia="zh-CN"/>
              </w:rPr>
              <w:t>函”</w:t>
            </w:r>
          </w:p>
        </w:tc>
      </w:tr>
      <w:tr w14:paraId="7871A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730" w:type="dxa"/>
            <w:noWrap w:val="0"/>
            <w:vAlign w:val="center"/>
          </w:tcPr>
          <w:p w14:paraId="27F4E6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bidi="ar-SA"/>
              </w:rPr>
            </w:pPr>
            <w:r>
              <w:rPr>
                <w:rFonts w:hint="eastAsia" w:ascii="宋体" w:hAnsi="宋体" w:cs="宋体"/>
                <w:b w:val="0"/>
                <w:bCs/>
                <w:color w:val="auto"/>
                <w:kern w:val="0"/>
                <w:sz w:val="24"/>
                <w:szCs w:val="24"/>
                <w:highlight w:val="none"/>
                <w:vertAlign w:val="baseline"/>
                <w:lang w:val="en-US" w:eastAsia="zh-CN"/>
              </w:rPr>
              <w:t>6</w:t>
            </w:r>
          </w:p>
        </w:tc>
        <w:tc>
          <w:tcPr>
            <w:tcW w:w="1394" w:type="dxa"/>
            <w:noWrap w:val="0"/>
            <w:vAlign w:val="center"/>
          </w:tcPr>
          <w:p w14:paraId="26AE0C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bidi="ar-SA"/>
              </w:rPr>
            </w:pPr>
            <w:r>
              <w:rPr>
                <w:rFonts w:hint="eastAsia" w:ascii="宋体" w:hAnsi="宋体" w:cs="宋体"/>
                <w:b w:val="0"/>
                <w:bCs/>
                <w:color w:val="auto"/>
                <w:kern w:val="0"/>
                <w:sz w:val="24"/>
                <w:szCs w:val="24"/>
                <w:highlight w:val="none"/>
                <w:vertAlign w:val="baseline"/>
                <w:lang w:eastAsia="zh-CN"/>
              </w:rPr>
              <w:t>基本资质</w:t>
            </w:r>
            <w:r>
              <w:rPr>
                <w:rFonts w:hint="eastAsia" w:ascii="宋体" w:hAnsi="宋体" w:cs="宋体"/>
                <w:b w:val="0"/>
                <w:bCs/>
                <w:color w:val="auto"/>
                <w:kern w:val="0"/>
                <w:sz w:val="24"/>
                <w:szCs w:val="24"/>
                <w:highlight w:val="none"/>
                <w:vertAlign w:val="baseline"/>
                <w:lang w:val="en-US" w:eastAsia="zh-CN"/>
              </w:rPr>
              <w:t>6</w:t>
            </w:r>
          </w:p>
        </w:tc>
        <w:tc>
          <w:tcPr>
            <w:tcW w:w="3203" w:type="dxa"/>
            <w:noWrap w:val="0"/>
            <w:vAlign w:val="center"/>
          </w:tcPr>
          <w:p w14:paraId="0EFF8CB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kern w:val="0"/>
                <w:sz w:val="24"/>
                <w:szCs w:val="24"/>
                <w:highlight w:val="none"/>
              </w:rPr>
              <w:t>有依法缴纳税收和社会保障资金的良好记录</w:t>
            </w:r>
          </w:p>
        </w:tc>
        <w:tc>
          <w:tcPr>
            <w:tcW w:w="4330" w:type="dxa"/>
            <w:noWrap w:val="0"/>
            <w:vAlign w:val="center"/>
          </w:tcPr>
          <w:p w14:paraId="66EDF39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default" w:ascii="宋体" w:hAnsi="宋体" w:eastAsia="宋体" w:cs="宋体"/>
                <w:color w:val="auto"/>
                <w:sz w:val="24"/>
                <w:szCs w:val="24"/>
                <w:highlight w:val="none"/>
                <w:lang w:val="en-US" w:eastAsia="zh-CN"/>
              </w:rPr>
              <w:t>提供近6个月内至少1个月的依法缴纳税收的</w:t>
            </w:r>
            <w:r>
              <w:rPr>
                <w:rFonts w:hint="default" w:ascii="宋体" w:hAnsi="宋体" w:eastAsia="宋体" w:cs="宋体"/>
                <w:b/>
                <w:bCs/>
                <w:color w:val="auto"/>
                <w:sz w:val="24"/>
                <w:szCs w:val="24"/>
                <w:highlight w:val="none"/>
                <w:lang w:val="en-US" w:eastAsia="zh-CN"/>
              </w:rPr>
              <w:t>完税证明</w:t>
            </w:r>
            <w:r>
              <w:rPr>
                <w:rFonts w:hint="default" w:ascii="宋体" w:hAnsi="宋体" w:eastAsia="宋体" w:cs="宋体"/>
                <w:color w:val="auto"/>
                <w:sz w:val="24"/>
                <w:szCs w:val="24"/>
                <w:highlight w:val="none"/>
                <w:lang w:val="en-US" w:eastAsia="zh-CN"/>
              </w:rPr>
              <w:t>和</w:t>
            </w:r>
            <w:r>
              <w:rPr>
                <w:rFonts w:hint="default" w:ascii="宋体" w:hAnsi="宋体" w:eastAsia="宋体" w:cs="宋体"/>
                <w:b/>
                <w:bCs/>
                <w:color w:val="auto"/>
                <w:sz w:val="24"/>
                <w:szCs w:val="24"/>
                <w:highlight w:val="none"/>
                <w:lang w:val="en-US" w:eastAsia="zh-CN"/>
              </w:rPr>
              <w:t>社保缴纳证明</w:t>
            </w:r>
            <w:r>
              <w:rPr>
                <w:rFonts w:hint="default" w:ascii="宋体" w:hAnsi="宋体" w:eastAsia="宋体" w:cs="宋体"/>
                <w:color w:val="auto"/>
                <w:sz w:val="24"/>
                <w:szCs w:val="24"/>
                <w:highlight w:val="none"/>
                <w:lang w:val="en-US" w:eastAsia="zh-CN"/>
              </w:rPr>
              <w:t>加盖</w:t>
            </w:r>
            <w:r>
              <w:rPr>
                <w:rFonts w:hint="eastAsia" w:ascii="宋体" w:hAnsi="宋体" w:eastAsia="宋体" w:cs="宋体"/>
                <w:color w:val="auto"/>
                <w:sz w:val="24"/>
                <w:szCs w:val="24"/>
                <w:highlight w:val="none"/>
                <w:lang w:val="en-US" w:eastAsia="zh-CN"/>
              </w:rPr>
              <w:t>供应商公章</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供应商</w:t>
            </w:r>
            <w:r>
              <w:rPr>
                <w:rFonts w:hint="default" w:ascii="宋体" w:hAnsi="宋体" w:eastAsia="宋体" w:cs="宋体"/>
                <w:color w:val="auto"/>
                <w:sz w:val="24"/>
                <w:szCs w:val="24"/>
                <w:highlight w:val="none"/>
                <w:lang w:val="en-US" w:eastAsia="zh-CN"/>
              </w:rPr>
              <w:t>依法享受缓缴、免缴税收，免缴社会保障资金的提供证明材料加盖</w:t>
            </w:r>
            <w:r>
              <w:rPr>
                <w:rFonts w:hint="eastAsia" w:ascii="宋体" w:hAnsi="宋体" w:eastAsia="宋体" w:cs="宋体"/>
                <w:color w:val="auto"/>
                <w:sz w:val="24"/>
                <w:szCs w:val="24"/>
                <w:highlight w:val="none"/>
                <w:lang w:val="en-US" w:eastAsia="zh-CN"/>
              </w:rPr>
              <w:t>供应商公章</w:t>
            </w:r>
          </w:p>
        </w:tc>
      </w:tr>
      <w:tr w14:paraId="0002B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jc w:val="center"/>
        </w:trPr>
        <w:tc>
          <w:tcPr>
            <w:tcW w:w="730" w:type="dxa"/>
            <w:noWrap w:val="0"/>
            <w:vAlign w:val="center"/>
          </w:tcPr>
          <w:p w14:paraId="32DB8C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bidi="ar-SA"/>
              </w:rPr>
            </w:pPr>
            <w:r>
              <w:rPr>
                <w:rFonts w:hint="eastAsia" w:ascii="宋体" w:hAnsi="宋体" w:cs="宋体"/>
                <w:b w:val="0"/>
                <w:bCs/>
                <w:color w:val="auto"/>
                <w:kern w:val="0"/>
                <w:sz w:val="24"/>
                <w:szCs w:val="24"/>
                <w:highlight w:val="none"/>
                <w:vertAlign w:val="baseline"/>
                <w:lang w:val="en-US" w:eastAsia="zh-CN"/>
              </w:rPr>
              <w:t>7</w:t>
            </w:r>
          </w:p>
        </w:tc>
        <w:tc>
          <w:tcPr>
            <w:tcW w:w="1394" w:type="dxa"/>
            <w:noWrap w:val="0"/>
            <w:vAlign w:val="center"/>
          </w:tcPr>
          <w:p w14:paraId="7E7423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eastAsia="zh-CN"/>
              </w:rPr>
              <w:t>基本资质</w:t>
            </w:r>
            <w:r>
              <w:rPr>
                <w:rFonts w:hint="eastAsia" w:ascii="宋体" w:hAnsi="宋体" w:cs="宋体"/>
                <w:b w:val="0"/>
                <w:bCs/>
                <w:color w:val="auto"/>
                <w:kern w:val="0"/>
                <w:sz w:val="24"/>
                <w:szCs w:val="24"/>
                <w:highlight w:val="none"/>
                <w:vertAlign w:val="baseline"/>
                <w:lang w:val="en-US" w:eastAsia="zh-CN"/>
              </w:rPr>
              <w:t>7</w:t>
            </w:r>
          </w:p>
        </w:tc>
        <w:tc>
          <w:tcPr>
            <w:tcW w:w="3203" w:type="dxa"/>
            <w:noWrap w:val="0"/>
            <w:vAlign w:val="center"/>
          </w:tcPr>
          <w:p w14:paraId="3D05285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参加本次采购活动前三年内，在经营活动中没有重大违法记录</w:t>
            </w:r>
          </w:p>
        </w:tc>
        <w:tc>
          <w:tcPr>
            <w:tcW w:w="4330" w:type="dxa"/>
            <w:noWrap w:val="0"/>
            <w:vAlign w:val="center"/>
          </w:tcPr>
          <w:p w14:paraId="5E99E39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提供采购活动前三年内在经营活动中没有重大违法记录声明函；</w:t>
            </w:r>
          </w:p>
          <w:p w14:paraId="1FF15DA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投标（响应）文件开启日资格审查小组在“信用中国”、“中国政府采购网”查询：未被列入失信被执行人、重大税收违法案件当事人名单、政府采购严重违法失信行为记录名单的，</w:t>
            </w:r>
            <w:r>
              <w:rPr>
                <w:rFonts w:hint="eastAsia" w:ascii="宋体" w:hAnsi="宋体" w:eastAsia="宋体" w:cs="宋体"/>
                <w:color w:val="auto"/>
                <w:sz w:val="24"/>
                <w:szCs w:val="24"/>
                <w:highlight w:val="none"/>
              </w:rPr>
              <w:t>有失信记录的将被</w:t>
            </w:r>
            <w:r>
              <w:rPr>
                <w:rFonts w:hint="eastAsia" w:ascii="宋体" w:hAnsi="宋体" w:eastAsia="宋体" w:cs="宋体"/>
                <w:color w:val="auto"/>
                <w:sz w:val="24"/>
                <w:szCs w:val="24"/>
                <w:highlight w:val="none"/>
                <w:lang w:eastAsia="zh-CN"/>
              </w:rPr>
              <w:t>拒绝其参与政府采购活动。</w:t>
            </w:r>
          </w:p>
        </w:tc>
      </w:tr>
      <w:tr w14:paraId="0432F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30" w:type="dxa"/>
            <w:noWrap w:val="0"/>
            <w:vAlign w:val="center"/>
          </w:tcPr>
          <w:p w14:paraId="14A0D7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color w:val="auto"/>
                <w:kern w:val="0"/>
                <w:sz w:val="24"/>
                <w:szCs w:val="24"/>
                <w:highlight w:val="none"/>
                <w:vertAlign w:val="baseline"/>
                <w:lang w:val="en-US" w:eastAsia="zh-CN" w:bidi="ar-SA"/>
              </w:rPr>
            </w:pPr>
            <w:r>
              <w:rPr>
                <w:rFonts w:hint="eastAsia" w:ascii="宋体" w:hAnsi="宋体" w:cs="宋体"/>
                <w:b w:val="0"/>
                <w:bCs/>
                <w:color w:val="auto"/>
                <w:kern w:val="0"/>
                <w:sz w:val="24"/>
                <w:szCs w:val="24"/>
                <w:highlight w:val="none"/>
                <w:vertAlign w:val="baseline"/>
                <w:lang w:val="en-US" w:eastAsia="zh-CN"/>
              </w:rPr>
              <w:t>8</w:t>
            </w:r>
          </w:p>
        </w:tc>
        <w:tc>
          <w:tcPr>
            <w:tcW w:w="1394" w:type="dxa"/>
            <w:noWrap w:val="0"/>
            <w:vAlign w:val="center"/>
          </w:tcPr>
          <w:p w14:paraId="287657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kern w:val="0"/>
                <w:sz w:val="24"/>
                <w:szCs w:val="24"/>
                <w:highlight w:val="none"/>
                <w:vertAlign w:val="baseline"/>
                <w:lang w:eastAsia="zh-CN"/>
              </w:rPr>
            </w:pPr>
            <w:r>
              <w:rPr>
                <w:rFonts w:hint="eastAsia" w:ascii="宋体" w:hAnsi="宋体" w:eastAsia="宋体" w:cs="宋体"/>
                <w:color w:val="auto"/>
                <w:sz w:val="24"/>
                <w:szCs w:val="24"/>
                <w:highlight w:val="none"/>
              </w:rPr>
              <w:t>采购政策需满足的资格要求</w:t>
            </w:r>
          </w:p>
        </w:tc>
        <w:tc>
          <w:tcPr>
            <w:tcW w:w="3203" w:type="dxa"/>
            <w:noWrap w:val="0"/>
            <w:vAlign w:val="center"/>
          </w:tcPr>
          <w:p w14:paraId="6E7F683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专门面向中小企业采购项目</w:t>
            </w:r>
          </w:p>
        </w:tc>
        <w:tc>
          <w:tcPr>
            <w:tcW w:w="4330" w:type="dxa"/>
            <w:noWrap w:val="0"/>
            <w:vAlign w:val="center"/>
          </w:tcPr>
          <w:p w14:paraId="3838677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highlight w:val="none"/>
                <w:lang w:eastAsia="zh-CN"/>
              </w:rPr>
              <w:t>按招标文件要求提供“中小企业声明函”或“监狱企业声明函”或“残疾人福利性单位声明函”。</w:t>
            </w:r>
          </w:p>
        </w:tc>
      </w:tr>
      <w:tr w14:paraId="0DA80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30" w:type="dxa"/>
            <w:noWrap w:val="0"/>
            <w:vAlign w:val="center"/>
          </w:tcPr>
          <w:p w14:paraId="483B9C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rPr>
              <w:t>结论</w:t>
            </w:r>
          </w:p>
        </w:tc>
        <w:tc>
          <w:tcPr>
            <w:tcW w:w="8927" w:type="dxa"/>
            <w:gridSpan w:val="3"/>
            <w:noWrap w:val="0"/>
            <w:vAlign w:val="center"/>
          </w:tcPr>
          <w:p w14:paraId="7C70B96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kern w:val="0"/>
                <w:sz w:val="24"/>
                <w:szCs w:val="24"/>
                <w:highlight w:val="none"/>
              </w:rPr>
              <w:t>评审结果：通过用“√”表示；未通过用“×”表示。</w:t>
            </w:r>
          </w:p>
        </w:tc>
      </w:tr>
    </w:tbl>
    <w:p w14:paraId="014C42F8">
      <w:pPr>
        <w:spacing w:line="400" w:lineRule="exact"/>
        <w:ind w:firstLine="480"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备注：如果</w:t>
      </w:r>
      <w:r>
        <w:rPr>
          <w:rFonts w:hint="eastAsia" w:ascii="宋体" w:hAnsi="宋体" w:eastAsia="宋体" w:cs="宋体"/>
          <w:b/>
          <w:color w:val="auto"/>
          <w:kern w:val="0"/>
          <w:sz w:val="24"/>
          <w:highlight w:val="none"/>
          <w:lang w:eastAsia="zh-CN"/>
        </w:rPr>
        <w:t>投标文件</w:t>
      </w:r>
      <w:r>
        <w:rPr>
          <w:rFonts w:hint="eastAsia" w:ascii="宋体" w:hAnsi="宋体" w:eastAsia="宋体" w:cs="宋体"/>
          <w:b/>
          <w:color w:val="auto"/>
          <w:kern w:val="0"/>
          <w:sz w:val="24"/>
          <w:highlight w:val="none"/>
        </w:rPr>
        <w:t>中有一项未通过上述审查标准，将认定整个</w:t>
      </w:r>
      <w:r>
        <w:rPr>
          <w:rFonts w:hint="eastAsia" w:ascii="宋体" w:hAnsi="宋体" w:eastAsia="宋体" w:cs="宋体"/>
          <w:b/>
          <w:color w:val="auto"/>
          <w:kern w:val="0"/>
          <w:sz w:val="24"/>
          <w:highlight w:val="none"/>
          <w:lang w:eastAsia="zh-CN"/>
        </w:rPr>
        <w:t>投标文件</w:t>
      </w:r>
      <w:r>
        <w:rPr>
          <w:rFonts w:hint="eastAsia" w:ascii="宋体" w:hAnsi="宋体" w:eastAsia="宋体" w:cs="宋体"/>
          <w:b/>
          <w:color w:val="auto"/>
          <w:kern w:val="0"/>
          <w:sz w:val="24"/>
          <w:highlight w:val="none"/>
        </w:rPr>
        <w:t>不响应</w:t>
      </w:r>
      <w:r>
        <w:rPr>
          <w:rFonts w:hint="eastAsia" w:ascii="宋体" w:hAnsi="宋体" w:eastAsia="宋体" w:cs="宋体"/>
          <w:b/>
          <w:color w:val="auto"/>
          <w:kern w:val="0"/>
          <w:sz w:val="24"/>
          <w:highlight w:val="none"/>
          <w:lang w:eastAsia="zh-CN"/>
        </w:rPr>
        <w:t>招标文件</w:t>
      </w:r>
      <w:r>
        <w:rPr>
          <w:rFonts w:hint="eastAsia" w:ascii="宋体" w:hAnsi="宋体" w:eastAsia="宋体" w:cs="宋体"/>
          <w:b/>
          <w:color w:val="auto"/>
          <w:kern w:val="0"/>
          <w:sz w:val="24"/>
          <w:highlight w:val="none"/>
        </w:rPr>
        <w:t>而予以无效处理，并且不允许供应商通过修改或撤销其不符合要求的差异或保留，使之成为具有响应性的投标。</w:t>
      </w:r>
    </w:p>
    <w:p w14:paraId="41247BC9">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3.2符合性检查。依据</w:t>
      </w:r>
      <w:r>
        <w:rPr>
          <w:rFonts w:hint="eastAsia" w:ascii="宋体" w:hAnsi="宋体" w:eastAsia="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的规定，从</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的有效性、完整性和对</w:t>
      </w:r>
      <w:r>
        <w:rPr>
          <w:rFonts w:hint="eastAsia" w:ascii="宋体" w:hAnsi="宋体" w:eastAsia="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的响应程度进行审查，以确定是否对</w:t>
      </w:r>
      <w:r>
        <w:rPr>
          <w:rFonts w:hint="eastAsia" w:ascii="宋体" w:hAnsi="宋体" w:eastAsia="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的实质性要求作出响应。</w:t>
      </w:r>
    </w:p>
    <w:p w14:paraId="7DFE2F84">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属于下列情况之一的，在符合性检查时按照无效投标处理：</w:t>
      </w:r>
    </w:p>
    <w:p w14:paraId="5C9CF97F">
      <w:pPr>
        <w:spacing w:line="400" w:lineRule="exact"/>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符合性审查表</w:t>
      </w:r>
    </w:p>
    <w:tbl>
      <w:tblPr>
        <w:tblStyle w:val="37"/>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394"/>
        <w:gridCol w:w="2908"/>
        <w:gridCol w:w="4625"/>
      </w:tblGrid>
      <w:tr w14:paraId="53D5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0" w:type="dxa"/>
            <w:noWrap w:val="0"/>
            <w:vAlign w:val="center"/>
          </w:tcPr>
          <w:p w14:paraId="404D68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b w:val="0"/>
                <w:bCs/>
                <w:color w:val="auto"/>
                <w:kern w:val="0"/>
                <w:sz w:val="24"/>
                <w:szCs w:val="24"/>
                <w:highlight w:val="none"/>
                <w:vertAlign w:val="baseline"/>
                <w:lang w:eastAsia="zh-CN"/>
              </w:rPr>
              <w:t>序号</w:t>
            </w:r>
          </w:p>
        </w:tc>
        <w:tc>
          <w:tcPr>
            <w:tcW w:w="1394" w:type="dxa"/>
            <w:noWrap w:val="0"/>
            <w:vAlign w:val="center"/>
          </w:tcPr>
          <w:p w14:paraId="57E207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b w:val="0"/>
                <w:bCs/>
                <w:color w:val="auto"/>
                <w:kern w:val="0"/>
                <w:sz w:val="24"/>
                <w:szCs w:val="24"/>
                <w:highlight w:val="none"/>
                <w:vertAlign w:val="baseline"/>
                <w:lang w:eastAsia="zh-CN"/>
              </w:rPr>
              <w:t>类型</w:t>
            </w:r>
          </w:p>
        </w:tc>
        <w:tc>
          <w:tcPr>
            <w:tcW w:w="2908" w:type="dxa"/>
            <w:noWrap w:val="0"/>
            <w:vAlign w:val="center"/>
          </w:tcPr>
          <w:p w14:paraId="141E66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b w:val="0"/>
                <w:bCs/>
                <w:color w:val="auto"/>
                <w:kern w:val="0"/>
                <w:sz w:val="24"/>
                <w:szCs w:val="24"/>
                <w:highlight w:val="none"/>
                <w:vertAlign w:val="baseline"/>
                <w:lang w:eastAsia="zh-CN"/>
              </w:rPr>
              <w:t>审查要求</w:t>
            </w:r>
          </w:p>
        </w:tc>
        <w:tc>
          <w:tcPr>
            <w:tcW w:w="4625" w:type="dxa"/>
            <w:noWrap w:val="0"/>
            <w:vAlign w:val="center"/>
          </w:tcPr>
          <w:p w14:paraId="555B8E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b w:val="0"/>
                <w:bCs/>
                <w:color w:val="auto"/>
                <w:kern w:val="0"/>
                <w:sz w:val="24"/>
                <w:szCs w:val="24"/>
                <w:highlight w:val="none"/>
                <w:vertAlign w:val="baseline"/>
                <w:lang w:eastAsia="zh-CN"/>
              </w:rPr>
              <w:t>要求说明</w:t>
            </w:r>
          </w:p>
        </w:tc>
      </w:tr>
      <w:tr w14:paraId="43F47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30" w:type="dxa"/>
            <w:noWrap w:val="0"/>
            <w:vAlign w:val="center"/>
          </w:tcPr>
          <w:p w14:paraId="7E5A40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1</w:t>
            </w:r>
          </w:p>
        </w:tc>
        <w:tc>
          <w:tcPr>
            <w:tcW w:w="1394" w:type="dxa"/>
            <w:noWrap w:val="0"/>
            <w:vAlign w:val="center"/>
          </w:tcPr>
          <w:p w14:paraId="5BD1D4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b w:val="0"/>
                <w:bCs/>
                <w:color w:val="auto"/>
                <w:kern w:val="0"/>
                <w:sz w:val="24"/>
                <w:szCs w:val="24"/>
                <w:highlight w:val="none"/>
                <w:vertAlign w:val="baseline"/>
                <w:lang w:val="en-US" w:eastAsia="zh-CN"/>
              </w:rPr>
              <w:t>报价</w:t>
            </w:r>
          </w:p>
        </w:tc>
        <w:tc>
          <w:tcPr>
            <w:tcW w:w="2908" w:type="dxa"/>
            <w:noWrap w:val="0"/>
            <w:vAlign w:val="center"/>
          </w:tcPr>
          <w:p w14:paraId="647CC1F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kern w:val="0"/>
                <w:sz w:val="24"/>
                <w:szCs w:val="24"/>
                <w:highlight w:val="none"/>
              </w:rPr>
              <w:t>投标报价</w:t>
            </w:r>
          </w:p>
        </w:tc>
        <w:tc>
          <w:tcPr>
            <w:tcW w:w="4625" w:type="dxa"/>
            <w:noWrap w:val="0"/>
            <w:vAlign w:val="center"/>
          </w:tcPr>
          <w:p w14:paraId="655FD15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kern w:val="0"/>
                <w:sz w:val="24"/>
                <w:szCs w:val="24"/>
                <w:highlight w:val="none"/>
                <w:lang w:eastAsia="zh-CN"/>
              </w:rPr>
              <w:t>投标报价是否唯一且未超过采购预算，并签字或盖章</w:t>
            </w:r>
          </w:p>
        </w:tc>
      </w:tr>
      <w:tr w14:paraId="2CA9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30" w:type="dxa"/>
            <w:noWrap w:val="0"/>
            <w:vAlign w:val="center"/>
          </w:tcPr>
          <w:p w14:paraId="2A43F1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2</w:t>
            </w:r>
          </w:p>
        </w:tc>
        <w:tc>
          <w:tcPr>
            <w:tcW w:w="1394" w:type="dxa"/>
            <w:noWrap w:val="0"/>
            <w:vAlign w:val="center"/>
          </w:tcPr>
          <w:p w14:paraId="762BDE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b w:val="0"/>
                <w:bCs/>
                <w:color w:val="auto"/>
                <w:kern w:val="0"/>
                <w:sz w:val="24"/>
                <w:szCs w:val="24"/>
                <w:highlight w:val="none"/>
                <w:vertAlign w:val="baseline"/>
                <w:lang w:val="en-US" w:eastAsia="zh-CN"/>
              </w:rPr>
              <w:t>商务资信</w:t>
            </w:r>
          </w:p>
        </w:tc>
        <w:tc>
          <w:tcPr>
            <w:tcW w:w="2908" w:type="dxa"/>
            <w:noWrap w:val="0"/>
            <w:vAlign w:val="center"/>
          </w:tcPr>
          <w:p w14:paraId="681952D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sz w:val="24"/>
                <w:szCs w:val="24"/>
                <w:highlight w:val="none"/>
                <w:lang w:eastAsia="zh-CN"/>
              </w:rPr>
              <w:t>投标供应商</w:t>
            </w:r>
            <w:r>
              <w:rPr>
                <w:rFonts w:hint="eastAsia" w:ascii="宋体" w:hAnsi="宋体" w:eastAsia="宋体" w:cs="宋体"/>
                <w:color w:val="auto"/>
                <w:sz w:val="24"/>
                <w:szCs w:val="24"/>
                <w:highlight w:val="none"/>
              </w:rPr>
              <w:t>名称</w:t>
            </w:r>
          </w:p>
        </w:tc>
        <w:tc>
          <w:tcPr>
            <w:tcW w:w="4625" w:type="dxa"/>
            <w:noWrap w:val="0"/>
            <w:vAlign w:val="center"/>
          </w:tcPr>
          <w:p w14:paraId="22E8925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sz w:val="24"/>
                <w:szCs w:val="24"/>
                <w:highlight w:val="none"/>
                <w:lang w:eastAsia="zh-CN"/>
              </w:rPr>
              <w:t>投标供应商</w:t>
            </w:r>
            <w:r>
              <w:rPr>
                <w:rFonts w:hint="eastAsia" w:ascii="宋体" w:hAnsi="宋体" w:eastAsia="宋体" w:cs="宋体"/>
                <w:color w:val="auto"/>
                <w:sz w:val="24"/>
                <w:szCs w:val="24"/>
                <w:highlight w:val="none"/>
              </w:rPr>
              <w:t>名称是否与</w:t>
            </w:r>
            <w:r>
              <w:rPr>
                <w:rFonts w:hint="eastAsia" w:ascii="宋体" w:hAnsi="宋体" w:eastAsia="宋体" w:cs="宋体"/>
                <w:color w:val="auto"/>
                <w:sz w:val="24"/>
                <w:szCs w:val="24"/>
                <w:highlight w:val="none"/>
                <w:lang w:val="en-US" w:eastAsia="zh-CN"/>
              </w:rPr>
              <w:t>证照</w:t>
            </w:r>
            <w:r>
              <w:rPr>
                <w:rFonts w:hint="eastAsia" w:ascii="宋体" w:hAnsi="宋体" w:eastAsia="宋体" w:cs="宋体"/>
                <w:color w:val="auto"/>
                <w:sz w:val="24"/>
                <w:szCs w:val="24"/>
                <w:highlight w:val="none"/>
              </w:rPr>
              <w:t>一致</w:t>
            </w:r>
          </w:p>
        </w:tc>
      </w:tr>
      <w:tr w14:paraId="4F98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30" w:type="dxa"/>
            <w:noWrap w:val="0"/>
            <w:vAlign w:val="center"/>
          </w:tcPr>
          <w:p w14:paraId="3ADD9B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3</w:t>
            </w:r>
          </w:p>
        </w:tc>
        <w:tc>
          <w:tcPr>
            <w:tcW w:w="1394" w:type="dxa"/>
            <w:noWrap w:val="0"/>
            <w:vAlign w:val="center"/>
          </w:tcPr>
          <w:p w14:paraId="7F5EC4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b w:val="0"/>
                <w:bCs/>
                <w:color w:val="auto"/>
                <w:kern w:val="0"/>
                <w:sz w:val="24"/>
                <w:szCs w:val="24"/>
                <w:highlight w:val="none"/>
                <w:vertAlign w:val="baseline"/>
                <w:lang w:val="en-US" w:eastAsia="zh-CN"/>
              </w:rPr>
              <w:t>商务资信</w:t>
            </w:r>
          </w:p>
        </w:tc>
        <w:tc>
          <w:tcPr>
            <w:tcW w:w="2908" w:type="dxa"/>
            <w:noWrap w:val="0"/>
            <w:vAlign w:val="center"/>
          </w:tcPr>
          <w:p w14:paraId="010F5F1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kern w:val="0"/>
                <w:sz w:val="24"/>
                <w:szCs w:val="24"/>
                <w:highlight w:val="none"/>
                <w:lang w:eastAsia="zh-CN"/>
              </w:rPr>
              <w:t>投标文件签署、盖章</w:t>
            </w:r>
          </w:p>
        </w:tc>
        <w:tc>
          <w:tcPr>
            <w:tcW w:w="4625" w:type="dxa"/>
            <w:noWrap w:val="0"/>
            <w:vAlign w:val="center"/>
          </w:tcPr>
          <w:p w14:paraId="275E01D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b w:val="0"/>
                <w:bCs/>
                <w:color w:val="auto"/>
                <w:kern w:val="0"/>
                <w:sz w:val="24"/>
                <w:szCs w:val="24"/>
                <w:highlight w:val="none"/>
                <w:vertAlign w:val="baseline"/>
                <w:lang w:eastAsia="zh-CN"/>
              </w:rPr>
              <w:t>投标文件按照招标文件规定要求签署、盖章</w:t>
            </w:r>
          </w:p>
        </w:tc>
      </w:tr>
      <w:tr w14:paraId="40974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30" w:type="dxa"/>
            <w:noWrap w:val="0"/>
            <w:vAlign w:val="center"/>
          </w:tcPr>
          <w:p w14:paraId="579832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4</w:t>
            </w:r>
          </w:p>
        </w:tc>
        <w:tc>
          <w:tcPr>
            <w:tcW w:w="1394" w:type="dxa"/>
            <w:noWrap w:val="0"/>
            <w:vAlign w:val="center"/>
          </w:tcPr>
          <w:p w14:paraId="2C584A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b w:val="0"/>
                <w:bCs/>
                <w:color w:val="auto"/>
                <w:kern w:val="0"/>
                <w:sz w:val="24"/>
                <w:szCs w:val="24"/>
                <w:highlight w:val="none"/>
                <w:vertAlign w:val="baseline"/>
                <w:lang w:val="en-US" w:eastAsia="zh-CN"/>
              </w:rPr>
              <w:t>商务资信</w:t>
            </w:r>
          </w:p>
        </w:tc>
        <w:tc>
          <w:tcPr>
            <w:tcW w:w="2908" w:type="dxa"/>
            <w:noWrap w:val="0"/>
            <w:vAlign w:val="center"/>
          </w:tcPr>
          <w:p w14:paraId="2612A94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sz w:val="24"/>
                <w:szCs w:val="24"/>
                <w:highlight w:val="none"/>
              </w:rPr>
              <w:t>投标保证金</w:t>
            </w:r>
          </w:p>
        </w:tc>
        <w:tc>
          <w:tcPr>
            <w:tcW w:w="4625" w:type="dxa"/>
            <w:noWrap w:val="0"/>
            <w:vAlign w:val="center"/>
          </w:tcPr>
          <w:p w14:paraId="019523C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kern w:val="0"/>
                <w:sz w:val="24"/>
                <w:szCs w:val="24"/>
                <w:highlight w:val="none"/>
                <w:lang w:eastAsia="zh-CN"/>
              </w:rPr>
              <w:t>按照招标文件要求</w:t>
            </w:r>
            <w:r>
              <w:rPr>
                <w:rFonts w:hint="eastAsia" w:ascii="宋体" w:hAnsi="宋体" w:eastAsia="宋体" w:cs="宋体"/>
                <w:color w:val="auto"/>
                <w:kern w:val="0"/>
                <w:sz w:val="24"/>
                <w:szCs w:val="24"/>
                <w:highlight w:val="none"/>
              </w:rPr>
              <w:t>交纳投标保证金</w:t>
            </w:r>
          </w:p>
        </w:tc>
      </w:tr>
      <w:tr w14:paraId="67404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30" w:type="dxa"/>
            <w:noWrap w:val="0"/>
            <w:vAlign w:val="center"/>
          </w:tcPr>
          <w:p w14:paraId="72D805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5</w:t>
            </w:r>
          </w:p>
        </w:tc>
        <w:tc>
          <w:tcPr>
            <w:tcW w:w="1394" w:type="dxa"/>
            <w:noWrap w:val="0"/>
            <w:vAlign w:val="center"/>
          </w:tcPr>
          <w:p w14:paraId="4F3585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b w:val="0"/>
                <w:bCs/>
                <w:color w:val="auto"/>
                <w:kern w:val="0"/>
                <w:sz w:val="24"/>
                <w:szCs w:val="24"/>
                <w:highlight w:val="none"/>
                <w:vertAlign w:val="baseline"/>
                <w:lang w:val="en-US" w:eastAsia="zh-CN"/>
              </w:rPr>
              <w:t>商务资信</w:t>
            </w:r>
          </w:p>
        </w:tc>
        <w:tc>
          <w:tcPr>
            <w:tcW w:w="2908" w:type="dxa"/>
            <w:noWrap w:val="0"/>
            <w:vAlign w:val="center"/>
          </w:tcPr>
          <w:p w14:paraId="5878C96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eastAsia="zh-CN"/>
              </w:rPr>
              <w:t>投标有效期、</w:t>
            </w:r>
            <w:r>
              <w:rPr>
                <w:rFonts w:hint="eastAsia" w:ascii="宋体" w:hAnsi="宋体" w:eastAsia="宋体" w:cs="宋体"/>
                <w:color w:val="auto"/>
                <w:kern w:val="0"/>
                <w:sz w:val="24"/>
                <w:szCs w:val="24"/>
                <w:highlight w:val="none"/>
                <w:lang w:val="en-US" w:eastAsia="zh-CN"/>
              </w:rPr>
              <w:t>合同履约期限、质保期</w:t>
            </w:r>
          </w:p>
        </w:tc>
        <w:tc>
          <w:tcPr>
            <w:tcW w:w="4625" w:type="dxa"/>
            <w:noWrap w:val="0"/>
            <w:vAlign w:val="center"/>
          </w:tcPr>
          <w:p w14:paraId="55E269E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kern w:val="0"/>
                <w:sz w:val="24"/>
                <w:szCs w:val="24"/>
                <w:highlight w:val="none"/>
                <w:lang w:eastAsia="zh-CN"/>
              </w:rPr>
              <w:t>投标有效期、</w:t>
            </w:r>
            <w:r>
              <w:rPr>
                <w:rFonts w:hint="eastAsia" w:ascii="宋体" w:hAnsi="宋体" w:eastAsia="宋体" w:cs="宋体"/>
                <w:color w:val="auto"/>
                <w:kern w:val="0"/>
                <w:sz w:val="24"/>
                <w:szCs w:val="24"/>
                <w:highlight w:val="none"/>
                <w:lang w:val="en-US" w:eastAsia="zh-CN"/>
              </w:rPr>
              <w:t>合同履约期限、质保期</w:t>
            </w:r>
            <w:r>
              <w:rPr>
                <w:rFonts w:hint="eastAsia" w:ascii="宋体" w:hAnsi="宋体" w:eastAsia="宋体" w:cs="宋体"/>
                <w:color w:val="auto"/>
                <w:kern w:val="0"/>
                <w:sz w:val="24"/>
                <w:szCs w:val="24"/>
                <w:highlight w:val="none"/>
                <w:lang w:eastAsia="zh-CN"/>
              </w:rPr>
              <w:t>满足招标文件要求</w:t>
            </w:r>
          </w:p>
        </w:tc>
      </w:tr>
      <w:tr w14:paraId="753D9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30" w:type="dxa"/>
            <w:noWrap w:val="0"/>
            <w:vAlign w:val="center"/>
          </w:tcPr>
          <w:p w14:paraId="35449F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6</w:t>
            </w:r>
          </w:p>
        </w:tc>
        <w:tc>
          <w:tcPr>
            <w:tcW w:w="1394" w:type="dxa"/>
            <w:noWrap w:val="0"/>
            <w:vAlign w:val="center"/>
          </w:tcPr>
          <w:p w14:paraId="7E0994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b w:val="0"/>
                <w:bCs/>
                <w:color w:val="auto"/>
                <w:kern w:val="0"/>
                <w:sz w:val="24"/>
                <w:szCs w:val="24"/>
                <w:highlight w:val="none"/>
                <w:vertAlign w:val="baseline"/>
                <w:lang w:val="en-US" w:eastAsia="zh-CN"/>
              </w:rPr>
              <w:t>技术</w:t>
            </w:r>
          </w:p>
        </w:tc>
        <w:tc>
          <w:tcPr>
            <w:tcW w:w="2908" w:type="dxa"/>
            <w:noWrap w:val="0"/>
            <w:vAlign w:val="center"/>
          </w:tcPr>
          <w:p w14:paraId="40E3493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实质性要求和条款</w:t>
            </w:r>
          </w:p>
        </w:tc>
        <w:tc>
          <w:tcPr>
            <w:tcW w:w="4625" w:type="dxa"/>
            <w:noWrap w:val="0"/>
            <w:vAlign w:val="center"/>
          </w:tcPr>
          <w:p w14:paraId="1C42449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文件的有效性、完整性是否响应</w:t>
            </w:r>
            <w:r>
              <w:rPr>
                <w:rFonts w:hint="eastAsia" w:ascii="宋体" w:hAnsi="宋体" w:eastAsia="宋体" w:cs="宋体"/>
                <w:color w:val="auto"/>
                <w:kern w:val="0"/>
                <w:sz w:val="24"/>
                <w:szCs w:val="24"/>
                <w:highlight w:val="none"/>
                <w:lang w:eastAsia="zh-CN"/>
              </w:rPr>
              <w:t>招标文件</w:t>
            </w:r>
            <w:r>
              <w:rPr>
                <w:rFonts w:hint="eastAsia" w:ascii="宋体" w:hAnsi="宋体" w:eastAsia="宋体" w:cs="宋体"/>
                <w:color w:val="auto"/>
                <w:kern w:val="0"/>
                <w:sz w:val="24"/>
                <w:szCs w:val="24"/>
                <w:highlight w:val="none"/>
              </w:rPr>
              <w:t>要求，是否响应</w:t>
            </w:r>
            <w:r>
              <w:rPr>
                <w:rFonts w:hint="eastAsia" w:ascii="宋体" w:hAnsi="宋体" w:eastAsia="宋体" w:cs="宋体"/>
                <w:color w:val="auto"/>
                <w:kern w:val="0"/>
                <w:sz w:val="24"/>
                <w:szCs w:val="24"/>
                <w:highlight w:val="none"/>
                <w:lang w:eastAsia="zh-CN"/>
              </w:rPr>
              <w:t>招标文件</w:t>
            </w:r>
            <w:r>
              <w:rPr>
                <w:rFonts w:hint="eastAsia" w:ascii="宋体" w:hAnsi="宋体" w:eastAsia="宋体" w:cs="宋体"/>
                <w:color w:val="auto"/>
                <w:kern w:val="0"/>
                <w:sz w:val="24"/>
                <w:szCs w:val="24"/>
                <w:highlight w:val="none"/>
              </w:rPr>
              <w:t>的实质性要求</w:t>
            </w:r>
            <w:r>
              <w:rPr>
                <w:rFonts w:hint="eastAsia" w:ascii="宋体" w:hAnsi="宋体" w:eastAsia="宋体" w:cs="宋体"/>
                <w:color w:val="auto"/>
                <w:kern w:val="0"/>
                <w:sz w:val="24"/>
                <w:szCs w:val="24"/>
                <w:highlight w:val="none"/>
                <w:lang w:eastAsia="zh-CN"/>
              </w:rPr>
              <w:t>和条款</w:t>
            </w:r>
          </w:p>
        </w:tc>
      </w:tr>
      <w:tr w14:paraId="4B8B1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30" w:type="dxa"/>
            <w:noWrap w:val="0"/>
            <w:vAlign w:val="center"/>
          </w:tcPr>
          <w:p w14:paraId="76005E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7</w:t>
            </w:r>
          </w:p>
        </w:tc>
        <w:tc>
          <w:tcPr>
            <w:tcW w:w="1394" w:type="dxa"/>
            <w:noWrap w:val="0"/>
            <w:vAlign w:val="center"/>
          </w:tcPr>
          <w:p w14:paraId="7B6530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kern w:val="0"/>
                <w:sz w:val="24"/>
                <w:szCs w:val="24"/>
                <w:highlight w:val="none"/>
                <w:vertAlign w:val="baseline"/>
                <w:lang w:eastAsia="zh-CN"/>
              </w:rPr>
            </w:pPr>
            <w:r>
              <w:rPr>
                <w:rFonts w:hint="eastAsia" w:ascii="宋体" w:hAnsi="宋体" w:cs="宋体"/>
                <w:b w:val="0"/>
                <w:bCs/>
                <w:color w:val="auto"/>
                <w:kern w:val="0"/>
                <w:sz w:val="24"/>
                <w:szCs w:val="24"/>
                <w:highlight w:val="none"/>
                <w:vertAlign w:val="baseline"/>
                <w:lang w:eastAsia="zh-CN"/>
              </w:rPr>
              <w:t>技术</w:t>
            </w:r>
          </w:p>
        </w:tc>
        <w:tc>
          <w:tcPr>
            <w:tcW w:w="2908" w:type="dxa"/>
            <w:noWrap w:val="0"/>
            <w:vAlign w:val="center"/>
          </w:tcPr>
          <w:p w14:paraId="081BDE8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采购人不能接受的条件</w:t>
            </w:r>
          </w:p>
        </w:tc>
        <w:tc>
          <w:tcPr>
            <w:tcW w:w="4625" w:type="dxa"/>
            <w:noWrap w:val="0"/>
            <w:vAlign w:val="center"/>
          </w:tcPr>
          <w:p w14:paraId="4ABD6DB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eastAsia="zh-CN"/>
              </w:rPr>
              <w:t>投标文件没有</w:t>
            </w:r>
            <w:r>
              <w:rPr>
                <w:rFonts w:hint="eastAsia" w:ascii="宋体" w:hAnsi="宋体" w:eastAsia="宋体" w:cs="宋体"/>
                <w:color w:val="auto"/>
                <w:kern w:val="0"/>
                <w:sz w:val="24"/>
                <w:szCs w:val="24"/>
                <w:highlight w:val="none"/>
              </w:rPr>
              <w:t>附有采购人不能接受的条件</w:t>
            </w:r>
          </w:p>
        </w:tc>
      </w:tr>
      <w:tr w14:paraId="6C2BA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30" w:type="dxa"/>
            <w:noWrap w:val="0"/>
            <w:vAlign w:val="center"/>
          </w:tcPr>
          <w:p w14:paraId="03C59F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rPr>
              <w:t>结论</w:t>
            </w:r>
          </w:p>
        </w:tc>
        <w:tc>
          <w:tcPr>
            <w:tcW w:w="8927" w:type="dxa"/>
            <w:gridSpan w:val="3"/>
            <w:noWrap w:val="0"/>
            <w:vAlign w:val="center"/>
          </w:tcPr>
          <w:p w14:paraId="773F3D7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kern w:val="0"/>
                <w:sz w:val="24"/>
                <w:szCs w:val="24"/>
                <w:highlight w:val="none"/>
              </w:rPr>
              <w:t>评审结果：通过用“√”表示；未通过用“×”表示。</w:t>
            </w:r>
          </w:p>
        </w:tc>
      </w:tr>
    </w:tbl>
    <w:p w14:paraId="3624467B">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lang w:eastAsia="zh-CN"/>
        </w:rPr>
      </w:pPr>
    </w:p>
    <w:p w14:paraId="3A7F1B5C">
      <w:pPr>
        <w:spacing w:line="400" w:lineRule="exact"/>
        <w:ind w:firstLine="480"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备注：如果</w:t>
      </w:r>
      <w:r>
        <w:rPr>
          <w:rFonts w:hint="eastAsia" w:ascii="宋体" w:hAnsi="宋体" w:eastAsia="宋体" w:cs="宋体"/>
          <w:b/>
          <w:color w:val="auto"/>
          <w:kern w:val="0"/>
          <w:sz w:val="24"/>
          <w:highlight w:val="none"/>
          <w:lang w:eastAsia="zh-CN"/>
        </w:rPr>
        <w:t>投标文件</w:t>
      </w:r>
      <w:r>
        <w:rPr>
          <w:rFonts w:hint="eastAsia" w:ascii="宋体" w:hAnsi="宋体" w:eastAsia="宋体" w:cs="宋体"/>
          <w:b/>
          <w:color w:val="auto"/>
          <w:kern w:val="0"/>
          <w:sz w:val="24"/>
          <w:highlight w:val="none"/>
        </w:rPr>
        <w:t>中有一项未通过上述审查标准，评标小组将认定整个</w:t>
      </w:r>
      <w:r>
        <w:rPr>
          <w:rFonts w:hint="eastAsia" w:ascii="宋体" w:hAnsi="宋体" w:eastAsia="宋体" w:cs="宋体"/>
          <w:b/>
          <w:color w:val="auto"/>
          <w:kern w:val="0"/>
          <w:sz w:val="24"/>
          <w:highlight w:val="none"/>
          <w:lang w:eastAsia="zh-CN"/>
        </w:rPr>
        <w:t>投标文件</w:t>
      </w:r>
      <w:r>
        <w:rPr>
          <w:rFonts w:hint="eastAsia" w:ascii="宋体" w:hAnsi="宋体" w:eastAsia="宋体" w:cs="宋体"/>
          <w:b/>
          <w:color w:val="auto"/>
          <w:kern w:val="0"/>
          <w:sz w:val="24"/>
          <w:highlight w:val="none"/>
        </w:rPr>
        <w:t>不响应</w:t>
      </w:r>
      <w:r>
        <w:rPr>
          <w:rFonts w:hint="eastAsia" w:ascii="宋体" w:hAnsi="宋体" w:eastAsia="宋体" w:cs="宋体"/>
          <w:b/>
          <w:color w:val="auto"/>
          <w:kern w:val="0"/>
          <w:sz w:val="24"/>
          <w:highlight w:val="none"/>
          <w:lang w:eastAsia="zh-CN"/>
        </w:rPr>
        <w:t>招标文件</w:t>
      </w:r>
      <w:r>
        <w:rPr>
          <w:rFonts w:hint="eastAsia" w:ascii="宋体" w:hAnsi="宋体" w:eastAsia="宋体" w:cs="宋体"/>
          <w:b/>
          <w:color w:val="auto"/>
          <w:kern w:val="0"/>
          <w:sz w:val="24"/>
          <w:highlight w:val="none"/>
        </w:rPr>
        <w:t>而予以无效处理，并且不允许供应商通过修改或撤销其不符合要求的差异或保留，使之成为具有响应性的投标。</w:t>
      </w:r>
    </w:p>
    <w:p w14:paraId="549DB97A">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3.2.1</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在</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符合性检查过程中，如果出现评标委员会成员意见不一致的情况，按照少数服从多数的原则确定，但不得违背政府采购基本原则和</w:t>
      </w:r>
      <w:r>
        <w:rPr>
          <w:rFonts w:hint="eastAsia" w:ascii="宋体" w:hAnsi="宋体" w:eastAsia="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规定。</w:t>
      </w:r>
    </w:p>
    <w:p w14:paraId="00C66F8C">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3.2.2 </w:t>
      </w:r>
      <w:r>
        <w:rPr>
          <w:rFonts w:hint="eastAsia" w:ascii="宋体" w:hAnsi="宋体" w:eastAsia="宋体" w:cs="宋体"/>
          <w:bCs/>
          <w:color w:val="auto"/>
          <w:sz w:val="24"/>
          <w:szCs w:val="24"/>
          <w:highlight w:val="none"/>
        </w:rPr>
        <w:t>提供相同品牌产品且通过资格审查、符合性审查的不同</w:t>
      </w:r>
      <w:r>
        <w:rPr>
          <w:rFonts w:hint="eastAsia" w:ascii="宋体" w:hAnsi="宋体" w:eastAsia="宋体" w:cs="宋体"/>
          <w:bCs/>
          <w:color w:val="auto"/>
          <w:sz w:val="24"/>
          <w:szCs w:val="24"/>
          <w:highlight w:val="none"/>
          <w:lang w:eastAsia="zh-CN"/>
        </w:rPr>
        <w:t>投标供应商</w:t>
      </w:r>
      <w:r>
        <w:rPr>
          <w:rFonts w:hint="eastAsia" w:ascii="宋体" w:hAnsi="宋体" w:eastAsia="宋体" w:cs="宋体"/>
          <w:bCs/>
          <w:color w:val="auto"/>
          <w:sz w:val="24"/>
          <w:szCs w:val="24"/>
          <w:highlight w:val="none"/>
        </w:rPr>
        <w:t>参加同一合同项下投标的，按一家</w:t>
      </w:r>
      <w:r>
        <w:rPr>
          <w:rFonts w:hint="eastAsia" w:ascii="宋体" w:hAnsi="宋体" w:eastAsia="宋体" w:cs="宋体"/>
          <w:bCs/>
          <w:color w:val="auto"/>
          <w:sz w:val="24"/>
          <w:szCs w:val="24"/>
          <w:highlight w:val="none"/>
          <w:lang w:eastAsia="zh-CN"/>
        </w:rPr>
        <w:t>投标供应商</w:t>
      </w:r>
      <w:r>
        <w:rPr>
          <w:rFonts w:hint="eastAsia" w:ascii="宋体" w:hAnsi="宋体" w:eastAsia="宋体" w:cs="宋体"/>
          <w:bCs/>
          <w:color w:val="auto"/>
          <w:sz w:val="24"/>
          <w:szCs w:val="24"/>
          <w:highlight w:val="none"/>
        </w:rPr>
        <w:t>计算，评审后得分最高的同品牌</w:t>
      </w:r>
      <w:r>
        <w:rPr>
          <w:rFonts w:hint="eastAsia" w:ascii="宋体" w:hAnsi="宋体" w:eastAsia="宋体" w:cs="宋体"/>
          <w:bCs/>
          <w:color w:val="auto"/>
          <w:sz w:val="24"/>
          <w:szCs w:val="24"/>
          <w:highlight w:val="none"/>
          <w:lang w:eastAsia="zh-CN"/>
        </w:rPr>
        <w:t>投标供应商</w:t>
      </w:r>
      <w:r>
        <w:rPr>
          <w:rFonts w:hint="eastAsia" w:ascii="宋体" w:hAnsi="宋体" w:eastAsia="宋体" w:cs="宋体"/>
          <w:bCs/>
          <w:color w:val="auto"/>
          <w:sz w:val="24"/>
          <w:szCs w:val="24"/>
          <w:highlight w:val="none"/>
        </w:rPr>
        <w:t>获得中标人推荐资格；评审得分相同的，由采购人或者采购人委托评标委员会采取随机抽取方式确定一个</w:t>
      </w:r>
      <w:r>
        <w:rPr>
          <w:rFonts w:hint="eastAsia" w:ascii="宋体" w:hAnsi="宋体" w:eastAsia="宋体" w:cs="宋体"/>
          <w:bCs/>
          <w:color w:val="auto"/>
          <w:sz w:val="24"/>
          <w:szCs w:val="24"/>
          <w:highlight w:val="none"/>
          <w:lang w:eastAsia="zh-CN"/>
        </w:rPr>
        <w:t>投标供应商</w:t>
      </w:r>
      <w:r>
        <w:rPr>
          <w:rFonts w:hint="eastAsia" w:ascii="宋体" w:hAnsi="宋体" w:eastAsia="宋体" w:cs="宋体"/>
          <w:bCs/>
          <w:color w:val="auto"/>
          <w:sz w:val="24"/>
          <w:szCs w:val="24"/>
          <w:highlight w:val="none"/>
        </w:rPr>
        <w:t>获得中标人推荐资格，其他同品牌</w:t>
      </w:r>
      <w:r>
        <w:rPr>
          <w:rFonts w:hint="eastAsia" w:ascii="宋体" w:hAnsi="宋体" w:eastAsia="宋体" w:cs="宋体"/>
          <w:bCs/>
          <w:color w:val="auto"/>
          <w:sz w:val="24"/>
          <w:szCs w:val="24"/>
          <w:highlight w:val="none"/>
          <w:lang w:eastAsia="zh-CN"/>
        </w:rPr>
        <w:t>投标供应商</w:t>
      </w:r>
      <w:r>
        <w:rPr>
          <w:rFonts w:hint="eastAsia" w:ascii="宋体" w:hAnsi="宋体" w:eastAsia="宋体" w:cs="宋体"/>
          <w:bCs/>
          <w:color w:val="auto"/>
          <w:sz w:val="24"/>
          <w:szCs w:val="24"/>
          <w:highlight w:val="none"/>
        </w:rPr>
        <w:t>不作为中标候选人；</w:t>
      </w:r>
    </w:p>
    <w:p w14:paraId="42405F51">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3.3澄清有关问题。对</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中含义不明确、同类问题表述不一致或者有明显文字和计算错误的内容，评标委员会可以书面形式（应当由评标委员会专家签字）要求供应商作出必要的澄清、说明或者纠正。供应商的澄清、说明或者补正应当采用书面形式，由其授权的代表签字，并不得超出</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的范围或者改变</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的实质性内容。</w:t>
      </w:r>
      <w:bookmarkStart w:id="87" w:name="_Toc183582287"/>
      <w:bookmarkEnd w:id="87"/>
      <w:bookmarkStart w:id="88" w:name="_Toc183682422"/>
      <w:bookmarkEnd w:id="88"/>
      <w:bookmarkStart w:id="89" w:name="_Toc217446104"/>
      <w:bookmarkEnd w:id="89"/>
    </w:p>
    <w:p w14:paraId="6B931A65">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3.4比较与评价。按</w:t>
      </w:r>
      <w:r>
        <w:rPr>
          <w:rFonts w:hint="eastAsia" w:ascii="宋体" w:hAnsi="宋体" w:eastAsia="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中规定的评标方法和标准，对符合性检查合格的</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进行商务</w:t>
      </w:r>
      <w:r>
        <w:rPr>
          <w:rFonts w:hint="eastAsia" w:ascii="宋体" w:hAnsi="宋体" w:eastAsia="宋体" w:cs="宋体"/>
          <w:bCs/>
          <w:color w:val="auto"/>
          <w:sz w:val="24"/>
          <w:szCs w:val="24"/>
          <w:highlight w:val="none"/>
          <w:lang w:eastAsia="zh-CN"/>
        </w:rPr>
        <w:t>、技术</w:t>
      </w:r>
      <w:r>
        <w:rPr>
          <w:rFonts w:hint="eastAsia" w:ascii="宋体" w:hAnsi="宋体" w:eastAsia="宋体" w:cs="宋体"/>
          <w:bCs/>
          <w:color w:val="auto"/>
          <w:sz w:val="24"/>
          <w:szCs w:val="24"/>
          <w:highlight w:val="none"/>
        </w:rPr>
        <w:t>和服务评估，综合比较与评价。</w:t>
      </w:r>
    </w:p>
    <w:p w14:paraId="005DBFDE">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3.5推荐</w:t>
      </w: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成交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候选供应商名单。</w:t>
      </w: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成交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候选供应商数量应当根据采购需要确定，但必须按顺序排列</w:t>
      </w: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成交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候选供应商。</w:t>
      </w:r>
    </w:p>
    <w:p w14:paraId="3D6F3276">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3.6编写评标报告。评标报告是评标委员会根据全体评标成员签字的原始评标记录和评标结果编写的报告，其主要内容包括：</w:t>
      </w:r>
    </w:p>
    <w:p w14:paraId="3D5864D5">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（1）项目概况、开标日期和地点；</w:t>
      </w:r>
    </w:p>
    <w:p w14:paraId="66CF6CDD">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（2）购买</w:t>
      </w:r>
      <w:r>
        <w:rPr>
          <w:rFonts w:hint="eastAsia" w:ascii="宋体" w:hAnsi="宋体" w:eastAsia="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的供应商名单和评标委员会成员名单；</w:t>
      </w:r>
    </w:p>
    <w:p w14:paraId="70FDA13D">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（3）评标方法和标准；</w:t>
      </w:r>
    </w:p>
    <w:p w14:paraId="692A49FC">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（4）开标记录和评标情况及说明，包括投标无效供应商名单及原因；</w:t>
      </w:r>
    </w:p>
    <w:p w14:paraId="62C05F0D">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（5）评标结果和</w:t>
      </w: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成交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候选供应商排序。</w:t>
      </w:r>
    </w:p>
    <w:p w14:paraId="58E9EA0A">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bookmarkStart w:id="90" w:name="_Toc217446103"/>
      <w:r>
        <w:rPr>
          <w:rFonts w:hint="eastAsia" w:ascii="宋体" w:hAnsi="宋体" w:eastAsia="宋体" w:cs="宋体"/>
          <w:bCs/>
          <w:color w:val="auto"/>
          <w:sz w:val="24"/>
          <w:szCs w:val="24"/>
          <w:highlight w:val="none"/>
        </w:rPr>
        <w:t>4. 评标细则及标准</w:t>
      </w:r>
      <w:bookmarkEnd w:id="90"/>
    </w:p>
    <w:p w14:paraId="54372222">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4.1 </w:t>
      </w:r>
      <w:r>
        <w:rPr>
          <w:rFonts w:hint="eastAsia" w:ascii="宋体" w:hAnsi="宋体" w:eastAsia="宋体" w:cs="宋体"/>
          <w:bCs/>
          <w:color w:val="auto"/>
          <w:sz w:val="24"/>
          <w:szCs w:val="24"/>
          <w:highlight w:val="none"/>
          <w:lang w:eastAsia="zh-CN"/>
        </w:rPr>
        <w:t>评标委员会</w:t>
      </w:r>
      <w:r>
        <w:rPr>
          <w:rFonts w:hint="eastAsia" w:ascii="宋体" w:hAnsi="宋体" w:eastAsia="宋体" w:cs="宋体"/>
          <w:bCs/>
          <w:color w:val="auto"/>
          <w:sz w:val="24"/>
          <w:szCs w:val="24"/>
          <w:highlight w:val="none"/>
        </w:rPr>
        <w:t>只对通过符合性检查的</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，根据</w:t>
      </w:r>
      <w:r>
        <w:rPr>
          <w:rFonts w:hint="eastAsia" w:ascii="宋体" w:hAnsi="宋体" w:eastAsia="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的要求采用相同的评标程序、评分办法及标准进行评价和比较。</w:t>
      </w:r>
    </w:p>
    <w:p w14:paraId="0C495098">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4.2 本次综合评分的因素是：价格、服务、业绩、对</w:t>
      </w:r>
      <w:r>
        <w:rPr>
          <w:rFonts w:hint="eastAsia" w:ascii="宋体" w:hAnsi="宋体" w:eastAsia="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的响应程度和（如涉及）节能、环境标志产品及</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规范性等。</w:t>
      </w:r>
    </w:p>
    <w:p w14:paraId="09062738">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4.3 除价格因素外，</w:t>
      </w:r>
      <w:r>
        <w:rPr>
          <w:rFonts w:hint="eastAsia" w:ascii="宋体" w:hAnsi="宋体" w:eastAsia="宋体" w:cs="宋体"/>
          <w:bCs/>
          <w:color w:val="auto"/>
          <w:sz w:val="24"/>
          <w:szCs w:val="24"/>
          <w:highlight w:val="none"/>
          <w:lang w:eastAsia="zh-CN"/>
        </w:rPr>
        <w:t>评标委员会</w:t>
      </w:r>
      <w:r>
        <w:rPr>
          <w:rFonts w:hint="eastAsia" w:ascii="宋体" w:hAnsi="宋体" w:eastAsia="宋体" w:cs="宋体"/>
          <w:bCs/>
          <w:color w:val="auto"/>
          <w:sz w:val="24"/>
          <w:szCs w:val="24"/>
          <w:highlight w:val="none"/>
        </w:rPr>
        <w:t>成员应依据</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规定的评分标准和方法独立对其他因素进行比较打分。</w:t>
      </w:r>
    </w:p>
    <w:p w14:paraId="41A6CB0A">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4.4 在评标过程中，</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有下列情况之一，评标委员会成员应当按照</w:t>
      </w:r>
      <w:r>
        <w:rPr>
          <w:rFonts w:hint="eastAsia" w:ascii="宋体" w:hAnsi="宋体" w:eastAsia="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规定的非实质性偏离进行扣分：</w:t>
      </w:r>
    </w:p>
    <w:p w14:paraId="4A683CEE">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文字表述的内容含义不明确，或者同类问题表述不一致，或者有明显文字和计算错误，或者提供的技术信息和数据资料不完整，供应商拒不或在规定的时间内没有进行澄清、说明或补正或澄清、说明、补正的内容也不能说明问题的；</w:t>
      </w:r>
    </w:p>
    <w:p w14:paraId="3A2B237C">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未编制目录、页码；</w:t>
      </w:r>
    </w:p>
    <w:p w14:paraId="17367E25">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（3）认定的与</w:t>
      </w:r>
      <w:r>
        <w:rPr>
          <w:rFonts w:hint="eastAsia" w:ascii="宋体" w:hAnsi="宋体" w:eastAsia="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规定的技术、商务和其他规定要求不符的非实质性偏离</w:t>
      </w:r>
      <w:r>
        <w:rPr>
          <w:rFonts w:hint="eastAsia" w:ascii="宋体" w:hAnsi="宋体" w:eastAsia="宋体" w:cs="宋体"/>
          <w:bCs/>
          <w:color w:val="auto"/>
          <w:sz w:val="24"/>
          <w:szCs w:val="24"/>
          <w:highlight w:val="none"/>
          <w:lang w:eastAsia="zh-CN"/>
        </w:rPr>
        <w:t>；</w:t>
      </w:r>
    </w:p>
    <w:p w14:paraId="3CD4275A">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（4）认定的其他非实质性偏离。</w:t>
      </w:r>
    </w:p>
    <w:p w14:paraId="34E2E0BC">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4.5</w:t>
      </w:r>
      <w:r>
        <w:rPr>
          <w:rFonts w:hint="eastAsia" w:ascii="宋体" w:hAnsi="宋体" w:eastAsia="宋体" w:cs="宋体"/>
          <w:bCs/>
          <w:color w:val="auto"/>
          <w:sz w:val="24"/>
          <w:szCs w:val="24"/>
          <w:highlight w:val="none"/>
          <w:lang w:eastAsia="zh-CN"/>
        </w:rPr>
        <w:t>综合</w:t>
      </w:r>
      <w:r>
        <w:rPr>
          <w:rFonts w:hint="eastAsia" w:ascii="宋体" w:hAnsi="宋体" w:eastAsia="宋体" w:cs="宋体"/>
          <w:bCs/>
          <w:color w:val="auto"/>
          <w:sz w:val="24"/>
          <w:szCs w:val="24"/>
          <w:highlight w:val="none"/>
        </w:rPr>
        <w:t>评</w:t>
      </w:r>
      <w:r>
        <w:rPr>
          <w:rFonts w:hint="eastAsia" w:ascii="宋体" w:hAnsi="宋体" w:eastAsia="宋体" w:cs="宋体"/>
          <w:bCs/>
          <w:color w:val="auto"/>
          <w:sz w:val="24"/>
          <w:szCs w:val="24"/>
          <w:highlight w:val="none"/>
          <w:lang w:eastAsia="zh-CN"/>
        </w:rPr>
        <w:t>审标准</w:t>
      </w:r>
    </w:p>
    <w:p w14:paraId="22A8B9B3">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4.5.1综合评</w:t>
      </w:r>
      <w:r>
        <w:rPr>
          <w:rFonts w:hint="eastAsia" w:ascii="宋体" w:hAnsi="宋体" w:eastAsia="宋体" w:cs="宋体"/>
          <w:bCs/>
          <w:color w:val="auto"/>
          <w:sz w:val="24"/>
          <w:szCs w:val="24"/>
          <w:highlight w:val="none"/>
          <w:lang w:eastAsia="zh-CN"/>
        </w:rPr>
        <w:t>审标准</w:t>
      </w:r>
      <w:r>
        <w:rPr>
          <w:rFonts w:hint="eastAsia" w:ascii="宋体" w:hAnsi="宋体" w:eastAsia="宋体" w:cs="宋体"/>
          <w:bCs/>
          <w:color w:val="auto"/>
          <w:sz w:val="24"/>
          <w:szCs w:val="24"/>
          <w:highlight w:val="none"/>
        </w:rPr>
        <w:t>的制定以科学合理、降低评标委员会自由裁量权为原则。</w:t>
      </w:r>
    </w:p>
    <w:p w14:paraId="3E1275B9">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4.5.2评标委员会将按照下述评</w:t>
      </w:r>
      <w:r>
        <w:rPr>
          <w:rFonts w:hint="eastAsia" w:ascii="宋体" w:hAnsi="宋体" w:eastAsia="宋体" w:cs="宋体"/>
          <w:bCs/>
          <w:color w:val="auto"/>
          <w:sz w:val="24"/>
          <w:szCs w:val="24"/>
          <w:highlight w:val="none"/>
          <w:lang w:eastAsia="zh-CN"/>
        </w:rPr>
        <w:t>审</w:t>
      </w:r>
      <w:r>
        <w:rPr>
          <w:rFonts w:hint="eastAsia" w:ascii="宋体" w:hAnsi="宋体" w:eastAsia="宋体" w:cs="宋体"/>
          <w:bCs/>
          <w:color w:val="auto"/>
          <w:sz w:val="24"/>
          <w:szCs w:val="24"/>
          <w:highlight w:val="none"/>
        </w:rPr>
        <w:t>标准对通过符合性检查的</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进行详细评审，供应商评审得分等于所有评委评分的算术平均值，结果保留两位小数。</w:t>
      </w:r>
    </w:p>
    <w:p w14:paraId="4B20C200">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评标因素权重表：</w:t>
      </w:r>
    </w:p>
    <w:tbl>
      <w:tblPr>
        <w:tblStyle w:val="36"/>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2610"/>
        <w:gridCol w:w="2631"/>
        <w:gridCol w:w="2453"/>
      </w:tblGrid>
      <w:tr w14:paraId="1A7E8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824" w:type="dxa"/>
            <w:tcBorders>
              <w:top w:val="single" w:color="auto" w:sz="4" w:space="0"/>
              <w:left w:val="single" w:color="auto" w:sz="4" w:space="0"/>
              <w:bottom w:val="single" w:color="auto" w:sz="4" w:space="0"/>
              <w:right w:val="single" w:color="auto" w:sz="4" w:space="0"/>
            </w:tcBorders>
            <w:noWrap w:val="0"/>
            <w:vAlign w:val="center"/>
          </w:tcPr>
          <w:p w14:paraId="0BABACD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610" w:type="dxa"/>
            <w:tcBorders>
              <w:top w:val="single" w:color="auto" w:sz="4" w:space="0"/>
              <w:left w:val="single" w:color="auto" w:sz="4" w:space="0"/>
              <w:bottom w:val="single" w:color="auto" w:sz="4" w:space="0"/>
              <w:right w:val="single" w:color="auto" w:sz="4" w:space="0"/>
            </w:tcBorders>
            <w:noWrap w:val="0"/>
            <w:vAlign w:val="center"/>
          </w:tcPr>
          <w:p w14:paraId="2AD7B47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631" w:type="dxa"/>
            <w:tcBorders>
              <w:top w:val="single" w:color="auto" w:sz="4" w:space="0"/>
              <w:left w:val="single" w:color="auto" w:sz="4" w:space="0"/>
              <w:bottom w:val="single" w:color="auto" w:sz="4" w:space="0"/>
              <w:right w:val="single" w:color="auto" w:sz="4" w:space="0"/>
            </w:tcBorders>
            <w:noWrap w:val="0"/>
            <w:vAlign w:val="center"/>
          </w:tcPr>
          <w:p w14:paraId="10DF93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453" w:type="dxa"/>
            <w:tcBorders>
              <w:top w:val="single" w:color="auto" w:sz="4" w:space="0"/>
              <w:left w:val="single" w:color="auto" w:sz="4" w:space="0"/>
              <w:bottom w:val="single" w:color="auto" w:sz="4" w:space="0"/>
              <w:right w:val="single" w:color="auto" w:sz="4" w:space="0"/>
            </w:tcBorders>
            <w:noWrap w:val="0"/>
            <w:vAlign w:val="center"/>
          </w:tcPr>
          <w:p w14:paraId="7A4ECE0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r>
      <w:tr w14:paraId="330B2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824" w:type="dxa"/>
            <w:tcBorders>
              <w:top w:val="single" w:color="auto" w:sz="4" w:space="0"/>
              <w:left w:val="single" w:color="auto" w:sz="4" w:space="0"/>
              <w:bottom w:val="single" w:color="auto" w:sz="4" w:space="0"/>
              <w:right w:val="single" w:color="auto" w:sz="4" w:space="0"/>
            </w:tcBorders>
            <w:noWrap w:val="0"/>
            <w:vAlign w:val="center"/>
          </w:tcPr>
          <w:p w14:paraId="496AD9B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评标因素</w:t>
            </w:r>
          </w:p>
        </w:tc>
        <w:tc>
          <w:tcPr>
            <w:tcW w:w="2610" w:type="dxa"/>
            <w:tcBorders>
              <w:top w:val="single" w:color="auto" w:sz="4" w:space="0"/>
              <w:left w:val="single" w:color="auto" w:sz="4" w:space="0"/>
              <w:bottom w:val="single" w:color="auto" w:sz="4" w:space="0"/>
              <w:right w:val="single" w:color="auto" w:sz="4" w:space="0"/>
            </w:tcBorders>
            <w:noWrap w:val="0"/>
            <w:vAlign w:val="center"/>
          </w:tcPr>
          <w:p w14:paraId="1336CEE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w:t>
            </w:r>
          </w:p>
        </w:tc>
        <w:tc>
          <w:tcPr>
            <w:tcW w:w="2631" w:type="dxa"/>
            <w:tcBorders>
              <w:top w:val="single" w:color="auto" w:sz="4" w:space="0"/>
              <w:left w:val="single" w:color="auto" w:sz="4" w:space="0"/>
              <w:bottom w:val="single" w:color="auto" w:sz="4" w:space="0"/>
              <w:right w:val="single" w:color="auto" w:sz="4" w:space="0"/>
            </w:tcBorders>
            <w:noWrap w:val="0"/>
            <w:vAlign w:val="center"/>
          </w:tcPr>
          <w:p w14:paraId="404951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技术、商务部分</w:t>
            </w:r>
          </w:p>
        </w:tc>
        <w:tc>
          <w:tcPr>
            <w:tcW w:w="2453" w:type="dxa"/>
            <w:tcBorders>
              <w:top w:val="single" w:color="auto" w:sz="4" w:space="0"/>
              <w:left w:val="single" w:color="auto" w:sz="4" w:space="0"/>
              <w:bottom w:val="single" w:color="auto" w:sz="4" w:space="0"/>
              <w:right w:val="single" w:color="auto" w:sz="4" w:space="0"/>
            </w:tcBorders>
            <w:noWrap w:val="0"/>
            <w:vAlign w:val="center"/>
          </w:tcPr>
          <w:p w14:paraId="563F2A0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合计</w:t>
            </w:r>
          </w:p>
        </w:tc>
      </w:tr>
      <w:tr w14:paraId="32183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824" w:type="dxa"/>
            <w:tcBorders>
              <w:top w:val="single" w:color="auto" w:sz="4" w:space="0"/>
              <w:left w:val="single" w:color="auto" w:sz="4" w:space="0"/>
              <w:bottom w:val="single" w:color="auto" w:sz="4" w:space="0"/>
              <w:right w:val="single" w:color="auto" w:sz="4" w:space="0"/>
            </w:tcBorders>
            <w:noWrap w:val="0"/>
            <w:vAlign w:val="center"/>
          </w:tcPr>
          <w:p w14:paraId="748F3CB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2610" w:type="dxa"/>
            <w:tcBorders>
              <w:top w:val="single" w:color="auto" w:sz="4" w:space="0"/>
              <w:left w:val="single" w:color="auto" w:sz="4" w:space="0"/>
              <w:bottom w:val="single" w:color="auto" w:sz="4" w:space="0"/>
              <w:right w:val="single" w:color="auto" w:sz="4" w:space="0"/>
            </w:tcBorders>
            <w:noWrap w:val="0"/>
            <w:vAlign w:val="center"/>
          </w:tcPr>
          <w:p w14:paraId="2D3C831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w:t>
            </w:r>
          </w:p>
        </w:tc>
        <w:tc>
          <w:tcPr>
            <w:tcW w:w="2631" w:type="dxa"/>
            <w:tcBorders>
              <w:top w:val="single" w:color="auto" w:sz="4" w:space="0"/>
              <w:left w:val="single" w:color="auto" w:sz="4" w:space="0"/>
              <w:bottom w:val="single" w:color="auto" w:sz="4" w:space="0"/>
              <w:right w:val="single" w:color="auto" w:sz="4" w:space="0"/>
            </w:tcBorders>
            <w:noWrap w:val="0"/>
            <w:vAlign w:val="center"/>
          </w:tcPr>
          <w:p w14:paraId="62E73A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70</w:t>
            </w:r>
            <w:r>
              <w:rPr>
                <w:rFonts w:hint="eastAsia" w:ascii="宋体" w:hAnsi="宋体" w:eastAsia="宋体" w:cs="宋体"/>
                <w:color w:val="auto"/>
                <w:sz w:val="24"/>
                <w:highlight w:val="none"/>
              </w:rPr>
              <w:t>%</w:t>
            </w:r>
          </w:p>
        </w:tc>
        <w:tc>
          <w:tcPr>
            <w:tcW w:w="2453" w:type="dxa"/>
            <w:tcBorders>
              <w:top w:val="single" w:color="auto" w:sz="4" w:space="0"/>
              <w:left w:val="single" w:color="auto" w:sz="4" w:space="0"/>
              <w:bottom w:val="single" w:color="auto" w:sz="4" w:space="0"/>
              <w:right w:val="single" w:color="auto" w:sz="4" w:space="0"/>
            </w:tcBorders>
            <w:noWrap w:val="0"/>
            <w:vAlign w:val="center"/>
          </w:tcPr>
          <w:p w14:paraId="0966E1C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100%</w:t>
            </w:r>
          </w:p>
        </w:tc>
      </w:tr>
    </w:tbl>
    <w:p w14:paraId="78B07F6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4.5.3 </w:t>
      </w:r>
      <w:r>
        <w:rPr>
          <w:rFonts w:hint="eastAsia" w:ascii="宋体" w:hAnsi="宋体" w:eastAsia="宋体" w:cs="宋体"/>
          <w:color w:val="auto"/>
          <w:sz w:val="24"/>
          <w:szCs w:val="24"/>
          <w:highlight w:val="none"/>
        </w:rPr>
        <w:t>价格得分的评分方法：采用低价优先法计算，即满足招标文件要求且投标价格最低的投标报价为评标基准价，其价格得分为满分。其他</w:t>
      </w:r>
      <w:r>
        <w:rPr>
          <w:rFonts w:hint="eastAsia" w:ascii="宋体" w:hAnsi="宋体" w:eastAsia="宋体" w:cs="宋体"/>
          <w:color w:val="auto"/>
          <w:sz w:val="24"/>
          <w:szCs w:val="24"/>
          <w:highlight w:val="none"/>
          <w:lang w:eastAsia="zh-CN"/>
        </w:rPr>
        <w:t>投标供应商</w:t>
      </w:r>
      <w:r>
        <w:rPr>
          <w:rFonts w:hint="eastAsia" w:ascii="宋体" w:hAnsi="宋体" w:eastAsia="宋体" w:cs="宋体"/>
          <w:color w:val="auto"/>
          <w:sz w:val="24"/>
          <w:szCs w:val="24"/>
          <w:highlight w:val="none"/>
        </w:rPr>
        <w:t>的价格得分统一按照下列公式计算：价格得分=（评标基准价/投标报价）×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%×100，如此类推，算出所有投标供应商的价格得分。</w:t>
      </w:r>
    </w:p>
    <w:p w14:paraId="7F6C3E1D">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4.5.4 报价评审标准</w:t>
      </w:r>
    </w:p>
    <w:p w14:paraId="6087224F">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报价评</w:t>
      </w:r>
      <w:r>
        <w:rPr>
          <w:rFonts w:hint="eastAsia" w:ascii="宋体" w:hAnsi="宋体" w:eastAsia="宋体" w:cs="宋体"/>
          <w:b/>
          <w:bCs/>
          <w:color w:val="auto"/>
          <w:sz w:val="24"/>
          <w:szCs w:val="24"/>
          <w:highlight w:val="none"/>
          <w:lang w:eastAsia="zh-CN"/>
        </w:rPr>
        <w:t>审</w:t>
      </w:r>
      <w:r>
        <w:rPr>
          <w:rFonts w:hint="eastAsia" w:ascii="宋体" w:hAnsi="宋体" w:eastAsia="宋体" w:cs="宋体"/>
          <w:b/>
          <w:bCs/>
          <w:color w:val="auto"/>
          <w:sz w:val="24"/>
          <w:szCs w:val="24"/>
          <w:highlight w:val="none"/>
        </w:rPr>
        <w:t>标准（</w:t>
      </w:r>
      <w:r>
        <w:rPr>
          <w:rFonts w:hint="eastAsia" w:ascii="宋体" w:hAnsi="宋体" w:eastAsia="宋体" w:cs="宋体"/>
          <w:b/>
          <w:color w:val="auto"/>
          <w:spacing w:val="-2"/>
          <w:sz w:val="24"/>
          <w:szCs w:val="24"/>
          <w:highlight w:val="none"/>
        </w:rPr>
        <w:t>占总分值的</w:t>
      </w:r>
      <w:r>
        <w:rPr>
          <w:rFonts w:hint="eastAsia" w:ascii="宋体" w:hAnsi="宋体" w:eastAsia="宋体" w:cs="宋体"/>
          <w:b/>
          <w:color w:val="auto"/>
          <w:spacing w:val="-2"/>
          <w:sz w:val="24"/>
          <w:szCs w:val="24"/>
          <w:highlight w:val="none"/>
          <w:lang w:val="en-US" w:eastAsia="zh-CN"/>
        </w:rPr>
        <w:t>30</w:t>
      </w:r>
      <w:r>
        <w:rPr>
          <w:rFonts w:hint="eastAsia" w:ascii="宋体" w:hAnsi="宋体" w:eastAsia="宋体" w:cs="宋体"/>
          <w:b/>
          <w:color w:val="auto"/>
          <w:spacing w:val="-2"/>
          <w:sz w:val="24"/>
          <w:szCs w:val="24"/>
          <w:highlight w:val="none"/>
        </w:rPr>
        <w:t>%</w:t>
      </w:r>
      <w:r>
        <w:rPr>
          <w:rFonts w:hint="eastAsia" w:ascii="宋体" w:hAnsi="宋体" w:eastAsia="宋体" w:cs="宋体"/>
          <w:b/>
          <w:bCs/>
          <w:color w:val="auto"/>
          <w:sz w:val="24"/>
          <w:szCs w:val="24"/>
          <w:highlight w:val="none"/>
        </w:rPr>
        <w:t>）</w:t>
      </w:r>
    </w:p>
    <w:tbl>
      <w:tblPr>
        <w:tblStyle w:val="36"/>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990"/>
        <w:gridCol w:w="7351"/>
        <w:gridCol w:w="955"/>
      </w:tblGrid>
      <w:tr w14:paraId="5845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541" w:type="dxa"/>
            <w:noWrap w:val="0"/>
            <w:vAlign w:val="center"/>
          </w:tcPr>
          <w:p w14:paraId="34CDFB6D">
            <w:pPr>
              <w:autoSpaceDE w:val="0"/>
              <w:autoSpaceDN w:val="0"/>
              <w:adjustRightInd w:val="0"/>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序号</w:t>
            </w:r>
          </w:p>
        </w:tc>
        <w:tc>
          <w:tcPr>
            <w:tcW w:w="990" w:type="dxa"/>
            <w:noWrap w:val="0"/>
            <w:vAlign w:val="center"/>
          </w:tcPr>
          <w:p w14:paraId="394B5D15">
            <w:pPr>
              <w:autoSpaceDE w:val="0"/>
              <w:autoSpaceDN w:val="0"/>
              <w:adjustRightInd w:val="0"/>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评审因素</w:t>
            </w:r>
          </w:p>
        </w:tc>
        <w:tc>
          <w:tcPr>
            <w:tcW w:w="7351" w:type="dxa"/>
            <w:noWrap w:val="0"/>
            <w:vAlign w:val="center"/>
          </w:tcPr>
          <w:p w14:paraId="045D547A">
            <w:pPr>
              <w:autoSpaceDE w:val="0"/>
              <w:autoSpaceDN w:val="0"/>
              <w:adjustRightInd w:val="0"/>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评分标准</w:t>
            </w:r>
          </w:p>
        </w:tc>
        <w:tc>
          <w:tcPr>
            <w:tcW w:w="955" w:type="dxa"/>
            <w:noWrap w:val="0"/>
            <w:vAlign w:val="center"/>
          </w:tcPr>
          <w:p w14:paraId="54F12EE8">
            <w:pPr>
              <w:autoSpaceDE w:val="0"/>
              <w:autoSpaceDN w:val="0"/>
              <w:adjustRightInd w:val="0"/>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分值</w:t>
            </w:r>
          </w:p>
        </w:tc>
      </w:tr>
      <w:tr w14:paraId="5FE0F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541" w:type="dxa"/>
            <w:noWrap w:val="0"/>
            <w:vAlign w:val="center"/>
          </w:tcPr>
          <w:p w14:paraId="42BCF4B3">
            <w:pPr>
              <w:autoSpaceDE w:val="0"/>
              <w:autoSpaceDN w:val="0"/>
              <w:adjustRightInd w:val="0"/>
              <w:jc w:val="center"/>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w:t>
            </w:r>
          </w:p>
        </w:tc>
        <w:tc>
          <w:tcPr>
            <w:tcW w:w="990" w:type="dxa"/>
            <w:noWrap w:val="0"/>
            <w:vAlign w:val="center"/>
          </w:tcPr>
          <w:p w14:paraId="2229AE2C">
            <w:pPr>
              <w:autoSpaceDE w:val="0"/>
              <w:autoSpaceDN w:val="0"/>
              <w:adjustRightIn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投标报价</w:t>
            </w:r>
          </w:p>
        </w:tc>
        <w:tc>
          <w:tcPr>
            <w:tcW w:w="7351" w:type="dxa"/>
            <w:noWrap w:val="0"/>
            <w:vAlign w:val="center"/>
          </w:tcPr>
          <w:p w14:paraId="046ABB07">
            <w:pPr>
              <w:autoSpaceDE w:val="0"/>
              <w:autoSpaceDN w:val="0"/>
              <w:adjustRightInd w:val="0"/>
              <w:rPr>
                <w:rFonts w:hint="eastAsia" w:ascii="宋体" w:hAnsi="宋体" w:cs="宋体"/>
                <w:color w:val="auto"/>
                <w:sz w:val="24"/>
                <w:highlight w:val="none"/>
                <w:lang w:val="zh-CN"/>
              </w:rPr>
            </w:pPr>
            <w:r>
              <w:rPr>
                <w:rFonts w:hint="eastAsia" w:ascii="宋体" w:hAnsi="宋体" w:cs="宋体"/>
                <w:color w:val="auto"/>
                <w:sz w:val="24"/>
                <w:highlight w:val="none"/>
                <w:lang w:val="zh-CN"/>
              </w:rPr>
              <w:t>满足招标文件要求且投标价格最低的投标报价为评标基准价，其价格分为满分。其他投标供应商的价格分统一按照下列公式计算:</w:t>
            </w:r>
          </w:p>
          <w:p w14:paraId="49ADFA51">
            <w:pPr>
              <w:autoSpaceDE w:val="0"/>
              <w:autoSpaceDN w:val="0"/>
              <w:adjustRightInd w:val="0"/>
              <w:rPr>
                <w:rFonts w:hint="eastAsia" w:ascii="宋体" w:hAnsi="宋体" w:eastAsia="宋体" w:cs="宋体"/>
                <w:color w:val="auto"/>
                <w:sz w:val="24"/>
                <w:highlight w:val="none"/>
              </w:rPr>
            </w:pPr>
            <w:r>
              <w:rPr>
                <w:rFonts w:hint="eastAsia" w:ascii="宋体" w:hAnsi="宋体" w:cs="宋体"/>
                <w:color w:val="auto"/>
                <w:sz w:val="24"/>
                <w:highlight w:val="none"/>
                <w:lang w:val="zh-CN"/>
              </w:rPr>
              <w:t>投标报价得分=(评标基准价/投标报价)</w:t>
            </w:r>
            <w:r>
              <w:rPr>
                <w:rFonts w:hint="eastAsia" w:ascii="宋体" w:hAnsi="宋体" w:cs="宋体"/>
                <w:color w:val="auto"/>
                <w:sz w:val="24"/>
                <w:highlight w:val="none"/>
                <w:lang w:val="en-US" w:eastAsia="zh-CN"/>
              </w:rPr>
              <w:t>*30</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w:t>
            </w:r>
            <w:r>
              <w:rPr>
                <w:rFonts w:hint="eastAsia" w:ascii="宋体" w:hAnsi="宋体" w:cs="宋体"/>
                <w:color w:val="auto"/>
                <w:sz w:val="24"/>
                <w:highlight w:val="none"/>
                <w:lang w:val="zh-CN"/>
              </w:rPr>
              <w:t>100。</w:t>
            </w:r>
          </w:p>
        </w:tc>
        <w:tc>
          <w:tcPr>
            <w:tcW w:w="955" w:type="dxa"/>
            <w:noWrap w:val="0"/>
            <w:vAlign w:val="center"/>
          </w:tcPr>
          <w:p w14:paraId="5A066C91">
            <w:pPr>
              <w:autoSpaceDE w:val="0"/>
              <w:autoSpaceDN w:val="0"/>
              <w:adjustRightIn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30分</w:t>
            </w:r>
          </w:p>
        </w:tc>
      </w:tr>
    </w:tbl>
    <w:p w14:paraId="66D710AF">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r>
        <w:rPr>
          <w:rFonts w:hint="eastAsia" w:ascii="宋体" w:hAnsi="宋体" w:eastAsia="宋体" w:cs="宋体"/>
          <w:color w:val="auto"/>
          <w:sz w:val="24"/>
          <w:szCs w:val="24"/>
          <w:highlight w:val="none"/>
          <w:lang w:val="en-US" w:eastAsia="zh-CN"/>
        </w:rPr>
        <w:t>4.5.5 商务技术评审标准</w:t>
      </w:r>
    </w:p>
    <w:p w14:paraId="02E24FF4">
      <w:pPr>
        <w:spacing w:line="40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商务技术评审</w:t>
      </w:r>
      <w:r>
        <w:rPr>
          <w:rFonts w:hint="eastAsia" w:ascii="宋体" w:hAnsi="宋体" w:cs="宋体"/>
          <w:b/>
          <w:color w:val="auto"/>
          <w:sz w:val="24"/>
          <w:szCs w:val="24"/>
          <w:highlight w:val="none"/>
          <w:lang w:eastAsia="zh-CN"/>
        </w:rPr>
        <w:t>标准</w:t>
      </w:r>
      <w:r>
        <w:rPr>
          <w:rFonts w:hint="eastAsia" w:ascii="宋体" w:hAnsi="宋体" w:cs="宋体"/>
          <w:b/>
          <w:color w:val="auto"/>
          <w:sz w:val="24"/>
          <w:szCs w:val="24"/>
          <w:highlight w:val="none"/>
        </w:rPr>
        <w:t>（占总分值的</w:t>
      </w:r>
      <w:r>
        <w:rPr>
          <w:rFonts w:hint="eastAsia" w:ascii="宋体" w:hAnsi="宋体" w:cs="宋体"/>
          <w:b/>
          <w:color w:val="auto"/>
          <w:sz w:val="24"/>
          <w:szCs w:val="24"/>
          <w:highlight w:val="none"/>
          <w:lang w:val="en-US" w:eastAsia="zh-CN"/>
        </w:rPr>
        <w:t>7</w:t>
      </w:r>
      <w:r>
        <w:rPr>
          <w:rFonts w:hint="eastAsia" w:ascii="宋体" w:hAnsi="宋体" w:cs="宋体"/>
          <w:b/>
          <w:color w:val="auto"/>
          <w:sz w:val="24"/>
          <w:szCs w:val="24"/>
          <w:highlight w:val="none"/>
        </w:rPr>
        <w:t>0</w:t>
      </w:r>
      <w:r>
        <w:rPr>
          <w:rFonts w:hint="eastAsia" w:ascii="宋体" w:hAnsi="宋体" w:cs="宋体"/>
          <w:b/>
          <w:color w:val="auto"/>
          <w:sz w:val="24"/>
          <w:szCs w:val="24"/>
          <w:highlight w:val="none"/>
          <w:lang w:val="en-US" w:eastAsia="zh-CN"/>
        </w:rPr>
        <w:t>%</w:t>
      </w:r>
      <w:r>
        <w:rPr>
          <w:rFonts w:hint="eastAsia" w:ascii="宋体" w:hAnsi="宋体" w:cs="宋体"/>
          <w:b/>
          <w:color w:val="auto"/>
          <w:sz w:val="24"/>
          <w:szCs w:val="24"/>
          <w:highlight w:val="none"/>
        </w:rPr>
        <w:t>）</w:t>
      </w:r>
    </w:p>
    <w:tbl>
      <w:tblPr>
        <w:tblStyle w:val="36"/>
        <w:tblW w:w="52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29"/>
        <w:gridCol w:w="664"/>
        <w:gridCol w:w="7284"/>
        <w:gridCol w:w="900"/>
      </w:tblGrid>
      <w:tr w14:paraId="3772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2" w:hRule="atLeast"/>
          <w:jc w:val="center"/>
        </w:trPr>
        <w:tc>
          <w:tcPr>
            <w:tcW w:w="428" w:type="pct"/>
            <w:noWrap w:val="0"/>
            <w:tcMar>
              <w:top w:w="15" w:type="dxa"/>
              <w:left w:w="15" w:type="dxa"/>
              <w:bottom w:w="0" w:type="dxa"/>
              <w:right w:w="15" w:type="dxa"/>
            </w:tcMar>
            <w:vAlign w:val="center"/>
          </w:tcPr>
          <w:p w14:paraId="106FEF3D">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4"/>
                <w:szCs w:val="24"/>
                <w:highlight w:val="none"/>
                <w:lang w:eastAsia="zh-CN" w:bidi="ug-CN"/>
              </w:rPr>
            </w:pPr>
            <w:r>
              <w:rPr>
                <w:rFonts w:hint="eastAsia" w:ascii="宋体" w:hAnsi="宋体" w:eastAsia="宋体" w:cs="宋体"/>
                <w:b/>
                <w:bCs/>
                <w:color w:val="auto"/>
                <w:sz w:val="24"/>
                <w:szCs w:val="24"/>
                <w:highlight w:val="none"/>
                <w:lang w:eastAsia="zh-CN" w:bidi="ug-CN"/>
              </w:rPr>
              <w:t>序号</w:t>
            </w:r>
          </w:p>
        </w:tc>
        <w:tc>
          <w:tcPr>
            <w:tcW w:w="343" w:type="pct"/>
            <w:noWrap w:val="0"/>
            <w:tcMar>
              <w:top w:w="15" w:type="dxa"/>
              <w:left w:w="15" w:type="dxa"/>
              <w:bottom w:w="0" w:type="dxa"/>
              <w:right w:w="15" w:type="dxa"/>
            </w:tcMar>
            <w:vAlign w:val="center"/>
          </w:tcPr>
          <w:p w14:paraId="5F6C24F4">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sz w:val="24"/>
                <w:szCs w:val="24"/>
                <w:highlight w:val="none"/>
                <w:lang w:bidi="ug-CN"/>
              </w:rPr>
            </w:pPr>
            <w:r>
              <w:rPr>
                <w:rFonts w:hint="eastAsia" w:ascii="宋体" w:hAnsi="宋体" w:eastAsia="宋体" w:cs="宋体"/>
                <w:b/>
                <w:bCs/>
                <w:color w:val="auto"/>
                <w:sz w:val="24"/>
                <w:szCs w:val="24"/>
                <w:highlight w:val="none"/>
                <w:lang w:bidi="ug-CN"/>
              </w:rPr>
              <w:t>评审</w:t>
            </w:r>
          </w:p>
          <w:p w14:paraId="7733B87B">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sz w:val="24"/>
                <w:szCs w:val="24"/>
                <w:highlight w:val="none"/>
                <w:lang w:eastAsia="zh-CN" w:bidi="ug-CN"/>
              </w:rPr>
            </w:pPr>
            <w:r>
              <w:rPr>
                <w:rFonts w:hint="eastAsia" w:ascii="宋体" w:hAnsi="宋体" w:eastAsia="宋体" w:cs="宋体"/>
                <w:b/>
                <w:bCs/>
                <w:color w:val="auto"/>
                <w:sz w:val="24"/>
                <w:szCs w:val="24"/>
                <w:highlight w:val="none"/>
                <w:lang w:eastAsia="zh-CN" w:bidi="ug-CN"/>
              </w:rPr>
              <w:t>因素</w:t>
            </w:r>
          </w:p>
        </w:tc>
        <w:tc>
          <w:tcPr>
            <w:tcW w:w="3763" w:type="pct"/>
            <w:noWrap w:val="0"/>
            <w:tcMar>
              <w:top w:w="15" w:type="dxa"/>
              <w:left w:w="15" w:type="dxa"/>
              <w:bottom w:w="0" w:type="dxa"/>
              <w:right w:w="15" w:type="dxa"/>
            </w:tcMar>
            <w:vAlign w:val="center"/>
          </w:tcPr>
          <w:p w14:paraId="6BD0A104">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4"/>
                <w:szCs w:val="24"/>
                <w:highlight w:val="none"/>
                <w:lang w:eastAsia="zh-CN" w:bidi="ug-CN"/>
              </w:rPr>
            </w:pPr>
            <w:r>
              <w:rPr>
                <w:rFonts w:hint="eastAsia" w:ascii="宋体" w:hAnsi="宋体" w:eastAsia="宋体" w:cs="宋体"/>
                <w:b/>
                <w:bCs/>
                <w:color w:val="auto"/>
                <w:sz w:val="24"/>
                <w:szCs w:val="24"/>
                <w:highlight w:val="none"/>
                <w:lang w:bidi="ug-CN"/>
              </w:rPr>
              <w:t>评</w:t>
            </w:r>
            <w:r>
              <w:rPr>
                <w:rFonts w:hint="eastAsia" w:ascii="宋体" w:hAnsi="宋体" w:eastAsia="宋体" w:cs="宋体"/>
                <w:b/>
                <w:bCs/>
                <w:color w:val="auto"/>
                <w:sz w:val="24"/>
                <w:szCs w:val="24"/>
                <w:highlight w:val="none"/>
                <w:lang w:eastAsia="zh-CN" w:bidi="ug-CN"/>
              </w:rPr>
              <w:t>审标准</w:t>
            </w:r>
          </w:p>
        </w:tc>
        <w:tc>
          <w:tcPr>
            <w:tcW w:w="465" w:type="pct"/>
            <w:noWrap w:val="0"/>
            <w:tcMar>
              <w:top w:w="15" w:type="dxa"/>
              <w:left w:w="15" w:type="dxa"/>
              <w:bottom w:w="0" w:type="dxa"/>
              <w:right w:w="15" w:type="dxa"/>
            </w:tcMar>
            <w:vAlign w:val="center"/>
          </w:tcPr>
          <w:p w14:paraId="25B8A41E">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2028A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4" w:hRule="atLeast"/>
          <w:jc w:val="center"/>
        </w:trPr>
        <w:tc>
          <w:tcPr>
            <w:tcW w:w="428" w:type="pct"/>
            <w:noWrap w:val="0"/>
            <w:vAlign w:val="center"/>
          </w:tcPr>
          <w:p w14:paraId="7FF36CD7">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2"/>
                <w:sz w:val="24"/>
                <w:szCs w:val="24"/>
                <w:highlight w:val="none"/>
                <w:lang w:val="en-US" w:eastAsia="zh-CN" w:bidi="ug-CN"/>
              </w:rPr>
            </w:pPr>
            <w:r>
              <w:rPr>
                <w:rFonts w:hint="eastAsia" w:ascii="宋体" w:hAnsi="宋体" w:eastAsia="宋体" w:cs="宋体"/>
                <w:color w:val="auto"/>
                <w:sz w:val="24"/>
                <w:szCs w:val="24"/>
                <w:highlight w:val="none"/>
                <w:lang w:val="en-US" w:eastAsia="zh-CN" w:bidi="ug-CN"/>
              </w:rPr>
              <w:t>1</w:t>
            </w:r>
          </w:p>
        </w:tc>
        <w:tc>
          <w:tcPr>
            <w:tcW w:w="343" w:type="pct"/>
            <w:noWrap w:val="0"/>
            <w:vAlign w:val="center"/>
          </w:tcPr>
          <w:p w14:paraId="71CB21A9">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 w:val="24"/>
                <w:szCs w:val="24"/>
                <w:highlight w:val="none"/>
                <w:lang w:val="en-US" w:eastAsia="zh-CN" w:bidi="ug-CN"/>
              </w:rPr>
            </w:pPr>
            <w:r>
              <w:rPr>
                <w:rFonts w:hint="eastAsia" w:ascii="宋体" w:hAnsi="宋体" w:eastAsia="宋体" w:cs="宋体"/>
                <w:color w:val="auto"/>
                <w:sz w:val="24"/>
                <w:szCs w:val="24"/>
                <w:highlight w:val="none"/>
                <w:lang w:eastAsia="zh-CN" w:bidi="ug-CN"/>
              </w:rPr>
              <w:t>业绩</w:t>
            </w:r>
          </w:p>
        </w:tc>
        <w:tc>
          <w:tcPr>
            <w:tcW w:w="3763" w:type="pct"/>
            <w:noWrap w:val="0"/>
            <w:tcMar>
              <w:top w:w="15" w:type="dxa"/>
              <w:left w:w="15" w:type="dxa"/>
              <w:bottom w:w="0" w:type="dxa"/>
              <w:right w:w="15" w:type="dxa"/>
            </w:tcMar>
            <w:vAlign w:val="center"/>
          </w:tcPr>
          <w:p w14:paraId="27CA9C21">
            <w:pPr>
              <w:keepNext w:val="0"/>
              <w:keepLines w:val="0"/>
              <w:pageBreakBefore w:val="0"/>
              <w:widowControl/>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sz w:val="24"/>
                <w:szCs w:val="24"/>
                <w:highlight w:val="none"/>
                <w:lang w:val="en-US" w:eastAsia="zh-CN" w:bidi="ug-CN"/>
              </w:rPr>
            </w:pPr>
            <w:r>
              <w:rPr>
                <w:rFonts w:hint="eastAsia" w:ascii="宋体" w:hAnsi="宋体" w:eastAsia="宋体" w:cs="宋体"/>
                <w:color w:val="auto"/>
                <w:sz w:val="24"/>
                <w:szCs w:val="24"/>
                <w:highlight w:val="none"/>
                <w:lang w:val="en-US" w:eastAsia="zh-CN" w:bidi="ug-CN"/>
              </w:rPr>
              <w:t>投标供应商近三年（2022年1月1日至今）类似业绩，每提供1项得2分，最多6分。（需提供中标通知书或合同扫描件加盖公章（合同需提供关键页（包含内容、金额及双方签署页），内容提供不全的不得分）</w:t>
            </w:r>
          </w:p>
        </w:tc>
        <w:tc>
          <w:tcPr>
            <w:tcW w:w="465" w:type="pct"/>
            <w:noWrap/>
            <w:tcMar>
              <w:top w:w="15" w:type="dxa"/>
              <w:left w:w="15" w:type="dxa"/>
              <w:bottom w:w="0" w:type="dxa"/>
              <w:right w:w="15" w:type="dxa"/>
            </w:tcMar>
            <w:vAlign w:val="center"/>
          </w:tcPr>
          <w:p w14:paraId="5D1B8536">
            <w:pPr>
              <w:keepNext w:val="0"/>
              <w:keepLines w:val="0"/>
              <w:pageBreakBefore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6分</w:t>
            </w:r>
          </w:p>
        </w:tc>
      </w:tr>
      <w:tr w14:paraId="2BAEE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428" w:type="pct"/>
            <w:noWrap w:val="0"/>
            <w:vAlign w:val="center"/>
          </w:tcPr>
          <w:p w14:paraId="625A216C">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4"/>
                <w:szCs w:val="24"/>
                <w:highlight w:val="none"/>
                <w:lang w:val="en-US" w:eastAsia="zh-CN" w:bidi="ug-CN"/>
              </w:rPr>
            </w:pPr>
            <w:r>
              <w:rPr>
                <w:rFonts w:hint="eastAsia" w:ascii="宋体" w:hAnsi="宋体" w:eastAsia="宋体" w:cs="宋体"/>
                <w:color w:val="auto"/>
                <w:sz w:val="24"/>
                <w:szCs w:val="24"/>
                <w:highlight w:val="none"/>
                <w:lang w:val="en-US" w:eastAsia="zh-CN" w:bidi="ug-CN"/>
              </w:rPr>
              <w:t>2</w:t>
            </w:r>
          </w:p>
        </w:tc>
        <w:tc>
          <w:tcPr>
            <w:tcW w:w="343" w:type="pct"/>
            <w:noWrap w:val="0"/>
            <w:vAlign w:val="center"/>
          </w:tcPr>
          <w:p w14:paraId="10FD25DC">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 w:val="24"/>
                <w:szCs w:val="24"/>
                <w:highlight w:val="none"/>
                <w:lang w:val="en-US" w:eastAsia="zh-CN" w:bidi="ug-CN"/>
              </w:rPr>
            </w:pPr>
            <w:r>
              <w:rPr>
                <w:rFonts w:hint="eastAsia" w:ascii="宋体" w:hAnsi="宋体" w:eastAsia="宋体" w:cs="宋体"/>
                <w:color w:val="auto"/>
                <w:kern w:val="2"/>
                <w:sz w:val="24"/>
                <w:szCs w:val="24"/>
                <w:highlight w:val="none"/>
                <w:lang w:val="en-US" w:eastAsia="zh-CN" w:bidi="ug-CN"/>
              </w:rPr>
              <w:t xml:space="preserve">技术性能 </w:t>
            </w:r>
          </w:p>
        </w:tc>
        <w:tc>
          <w:tcPr>
            <w:tcW w:w="3763" w:type="pct"/>
            <w:noWrap w:val="0"/>
            <w:vAlign w:val="center"/>
          </w:tcPr>
          <w:p w14:paraId="37509DE0">
            <w:pPr>
              <w:keepNext w:val="0"/>
              <w:keepLines w:val="0"/>
              <w:pageBreakBefore w:val="0"/>
              <w:kinsoku/>
              <w:wordWrap/>
              <w:overflowPunct/>
              <w:topLinePunct w:val="0"/>
              <w:autoSpaceDE/>
              <w:autoSpaceDN/>
              <w:bidi w:val="0"/>
              <w:spacing w:line="30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货物选型、技术参数响应性较好，能满足使用要求，提供产品完全符合招标文件采购需求且没有负偏离的得 </w:t>
            </w:r>
            <w:r>
              <w:rPr>
                <w:rFonts w:hint="eastAsia" w:ascii="宋体" w:hAnsi="宋体" w:eastAsia="宋体" w:cs="宋体"/>
                <w:color w:val="auto"/>
                <w:sz w:val="24"/>
                <w:szCs w:val="24"/>
                <w:highlight w:val="none"/>
                <w:lang w:val="en-US" w:eastAsia="zh-CN"/>
              </w:rPr>
              <w:t>34</w:t>
            </w:r>
            <w:r>
              <w:rPr>
                <w:rFonts w:hint="eastAsia" w:ascii="宋体" w:hAnsi="宋体" w:eastAsia="宋体" w:cs="宋体"/>
                <w:color w:val="auto"/>
                <w:sz w:val="24"/>
                <w:szCs w:val="24"/>
                <w:highlight w:val="none"/>
              </w:rPr>
              <w:t xml:space="preserve"> 分。</w:t>
            </w:r>
          </w:p>
          <w:p w14:paraId="37DEC354">
            <w:pPr>
              <w:keepNext w:val="0"/>
              <w:keepLines w:val="0"/>
              <w:pageBreakBefore w:val="0"/>
              <w:kinsoku/>
              <w:wordWrap/>
              <w:overflowPunct/>
              <w:topLinePunct w:val="0"/>
              <w:autoSpaceDE/>
              <w:autoSpaceDN/>
              <w:bidi w:val="0"/>
              <w:spacing w:line="30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经评审专家结合采购需求及供应商提供的投标文件内容进行综合评审后认为，</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提供的产品</w:t>
            </w:r>
            <w:r>
              <w:rPr>
                <w:rFonts w:hint="eastAsia" w:ascii="宋体" w:hAnsi="宋体" w:eastAsia="宋体" w:cs="宋体"/>
                <w:color w:val="auto"/>
                <w:sz w:val="24"/>
                <w:szCs w:val="24"/>
                <w:highlight w:val="none"/>
                <w:lang w:val="en-US" w:eastAsia="zh-CN"/>
              </w:rPr>
              <w:t>与</w:t>
            </w:r>
            <w:r>
              <w:rPr>
                <w:rFonts w:hint="eastAsia" w:ascii="宋体" w:hAnsi="宋体" w:eastAsia="宋体" w:cs="宋体"/>
                <w:color w:val="auto"/>
                <w:sz w:val="24"/>
                <w:szCs w:val="24"/>
                <w:highlight w:val="none"/>
              </w:rPr>
              <w:t>带有▲号的技术参数存在负偏离的，</w:t>
            </w:r>
            <w:r>
              <w:rPr>
                <w:rFonts w:hint="eastAsia" w:ascii="宋体" w:hAnsi="宋体" w:eastAsia="宋体" w:cs="宋体"/>
                <w:color w:val="auto"/>
                <w:sz w:val="24"/>
                <w:szCs w:val="24"/>
                <w:highlight w:val="none"/>
                <w:lang w:val="en-US" w:eastAsia="zh-CN"/>
              </w:rPr>
              <w:t>每有一项负偏离</w:t>
            </w:r>
            <w:r>
              <w:rPr>
                <w:rFonts w:hint="eastAsia" w:ascii="宋体" w:hAnsi="宋体" w:eastAsia="宋体" w:cs="宋体"/>
                <w:color w:val="auto"/>
                <w:sz w:val="24"/>
                <w:szCs w:val="24"/>
                <w:highlight w:val="none"/>
              </w:rPr>
              <w:t>扣</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共</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项</w:t>
            </w:r>
            <w:r>
              <w:rPr>
                <w:rFonts w:hint="eastAsia" w:ascii="宋体" w:hAnsi="宋体" w:eastAsia="宋体" w:cs="宋体"/>
                <w:color w:val="auto"/>
                <w:sz w:val="24"/>
                <w:szCs w:val="24"/>
                <w:highlight w:val="none"/>
              </w:rPr>
              <w:t>▲号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最多扣</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p w14:paraId="1F07B03C">
            <w:pPr>
              <w:keepNext w:val="0"/>
              <w:keepLines w:val="0"/>
              <w:pageBreakBefore w:val="0"/>
              <w:kinsoku/>
              <w:wordWrap/>
              <w:overflowPunct/>
              <w:topLinePunct w:val="0"/>
              <w:autoSpaceDE/>
              <w:autoSpaceDN/>
              <w:bidi w:val="0"/>
              <w:spacing w:line="30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其他参数未响应或者负偏离的扣0.5分，扣完为止。</w:t>
            </w:r>
          </w:p>
          <w:p w14:paraId="25A20F89">
            <w:pPr>
              <w:keepNext w:val="0"/>
              <w:keepLines w:val="0"/>
              <w:pageBreakBefore w:val="0"/>
              <w:kinsoku/>
              <w:wordWrap/>
              <w:overflowPunct/>
              <w:topLinePunct w:val="0"/>
              <w:autoSpaceDE/>
              <w:autoSpaceDN/>
              <w:bidi w:val="0"/>
              <w:spacing w:line="300" w:lineRule="auto"/>
              <w:textAlignment w:val="auto"/>
              <w:rPr>
                <w:rFonts w:hint="eastAsia" w:ascii="宋体" w:hAnsi="宋体" w:eastAsia="宋体" w:cs="宋体"/>
                <w:color w:val="auto"/>
                <w:sz w:val="24"/>
                <w:szCs w:val="24"/>
                <w:highlight w:val="none"/>
                <w:lang w:val="en-US" w:eastAsia="zh-CN" w:bidi="ug-CN"/>
              </w:rPr>
            </w:pPr>
            <w:r>
              <w:rPr>
                <w:rFonts w:hint="eastAsia" w:ascii="宋体" w:hAnsi="宋体" w:eastAsia="宋体" w:cs="宋体"/>
                <w:color w:val="auto"/>
                <w:sz w:val="24"/>
                <w:szCs w:val="24"/>
                <w:highlight w:val="none"/>
              </w:rPr>
              <w:t>提供相关参数证明材料</w:t>
            </w:r>
            <w:r>
              <w:rPr>
                <w:rFonts w:hint="eastAsia" w:ascii="宋体" w:hAnsi="宋体" w:eastAsia="宋体" w:cs="宋体"/>
                <w:color w:val="auto"/>
                <w:sz w:val="24"/>
                <w:szCs w:val="24"/>
                <w:highlight w:val="none"/>
                <w:lang w:eastAsia="zh-CN"/>
              </w:rPr>
              <w:t>（产品须具有产品合格证，参数以产品说明书或相关证书或第三方检测报告作为支持条件等均可</w:t>
            </w:r>
            <w:r>
              <w:rPr>
                <w:rFonts w:hint="eastAsia" w:ascii="宋体" w:hAnsi="宋体" w:eastAsia="宋体" w:cs="宋体"/>
                <w:color w:val="auto"/>
                <w:sz w:val="24"/>
                <w:szCs w:val="24"/>
                <w:highlight w:val="none"/>
              </w:rPr>
              <w:t>），注明证明材料在投标响应文件的具体页码，并在技术支持资料中做出明确标识，</w:t>
            </w:r>
            <w:r>
              <w:rPr>
                <w:rFonts w:hint="eastAsia" w:ascii="宋体" w:hAnsi="宋体" w:eastAsia="宋体" w:cs="宋体"/>
                <w:color w:val="auto"/>
                <w:sz w:val="24"/>
                <w:szCs w:val="24"/>
                <w:highlight w:val="none"/>
                <w:lang w:val="en-US" w:eastAsia="zh-CN"/>
              </w:rPr>
              <w:t>因证明材料模糊不清，无法分辨、无法证明技术参数内容、或照抄完全复制参数不具有参考性的证明材料视为</w:t>
            </w:r>
            <w:r>
              <w:rPr>
                <w:rFonts w:hint="eastAsia" w:ascii="宋体" w:hAnsi="宋体" w:eastAsia="宋体" w:cs="宋体"/>
                <w:color w:val="auto"/>
                <w:sz w:val="24"/>
                <w:szCs w:val="24"/>
                <w:highlight w:val="none"/>
              </w:rPr>
              <w:t>负偏离。</w:t>
            </w:r>
          </w:p>
        </w:tc>
        <w:tc>
          <w:tcPr>
            <w:tcW w:w="465" w:type="pct"/>
            <w:noWrap/>
            <w:vAlign w:val="center"/>
          </w:tcPr>
          <w:p w14:paraId="772BC348">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kern w:val="2"/>
                <w:sz w:val="24"/>
                <w:szCs w:val="24"/>
                <w:highlight w:val="none"/>
                <w:lang w:val="en-US" w:eastAsia="zh-CN" w:bidi="ug-CN"/>
              </w:rPr>
            </w:pPr>
            <w:r>
              <w:rPr>
                <w:rFonts w:hint="eastAsia" w:ascii="宋体" w:hAnsi="宋体" w:eastAsia="宋体" w:cs="宋体"/>
                <w:color w:val="auto"/>
                <w:kern w:val="2"/>
                <w:sz w:val="24"/>
                <w:szCs w:val="24"/>
                <w:highlight w:val="none"/>
                <w:lang w:val="en-US" w:eastAsia="zh-CN" w:bidi="ug-CN"/>
              </w:rPr>
              <w:t>34分</w:t>
            </w:r>
          </w:p>
        </w:tc>
      </w:tr>
      <w:tr w14:paraId="25B27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428" w:type="pct"/>
            <w:noWrap w:val="0"/>
            <w:vAlign w:val="center"/>
          </w:tcPr>
          <w:p w14:paraId="75022FC4">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kern w:val="2"/>
                <w:sz w:val="24"/>
                <w:szCs w:val="24"/>
                <w:highlight w:val="none"/>
                <w:lang w:val="en-US" w:eastAsia="zh-CN" w:bidi="ug-CN"/>
              </w:rPr>
            </w:pPr>
            <w:r>
              <w:rPr>
                <w:rFonts w:hint="eastAsia" w:ascii="宋体" w:hAnsi="宋体" w:eastAsia="宋体" w:cs="宋体"/>
                <w:color w:val="auto"/>
                <w:kern w:val="2"/>
                <w:sz w:val="24"/>
                <w:szCs w:val="24"/>
                <w:highlight w:val="none"/>
                <w:lang w:val="en-US" w:eastAsia="zh-CN" w:bidi="ug-CN"/>
              </w:rPr>
              <w:t>3</w:t>
            </w:r>
          </w:p>
        </w:tc>
        <w:tc>
          <w:tcPr>
            <w:tcW w:w="343" w:type="pct"/>
            <w:noWrap w:val="0"/>
            <w:vAlign w:val="center"/>
          </w:tcPr>
          <w:p w14:paraId="6312357B">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default" w:ascii="宋体" w:hAnsi="宋体" w:eastAsia="宋体" w:cs="宋体"/>
                <w:color w:val="auto"/>
                <w:sz w:val="24"/>
                <w:szCs w:val="24"/>
                <w:highlight w:val="none"/>
                <w:lang w:val="en-US" w:eastAsia="zh-CN" w:bidi="ug-CN"/>
              </w:rPr>
            </w:pPr>
            <w:r>
              <w:rPr>
                <w:rFonts w:hint="eastAsia" w:ascii="宋体" w:hAnsi="宋体" w:eastAsia="宋体" w:cs="宋体"/>
                <w:color w:val="auto"/>
                <w:sz w:val="24"/>
                <w:szCs w:val="24"/>
                <w:highlight w:val="none"/>
                <w:lang w:val="en-US" w:eastAsia="zh-CN" w:bidi="ug-CN"/>
              </w:rPr>
              <w:t>供货方案</w:t>
            </w:r>
          </w:p>
        </w:tc>
        <w:tc>
          <w:tcPr>
            <w:tcW w:w="3763" w:type="pct"/>
            <w:noWrap w:val="0"/>
            <w:vAlign w:val="center"/>
          </w:tcPr>
          <w:p w14:paraId="7E070A07">
            <w:pPr>
              <w:keepNext w:val="0"/>
              <w:keepLines w:val="0"/>
              <w:pageBreakBefore w:val="0"/>
              <w:widowControl/>
              <w:kinsoku/>
              <w:wordWrap/>
              <w:overflowPunct/>
              <w:topLinePunct w:val="0"/>
              <w:autoSpaceDE/>
              <w:autoSpaceDN/>
              <w:bidi w:val="0"/>
              <w:adjustRightInd w:val="0"/>
              <w:snapToGrid w:val="0"/>
              <w:spacing w:line="300" w:lineRule="auto"/>
              <w:jc w:val="both"/>
              <w:textAlignment w:val="auto"/>
              <w:rPr>
                <w:rFonts w:hint="eastAsia" w:ascii="宋体" w:hAnsi="宋体" w:eastAsia="宋体" w:cs="宋体"/>
                <w:color w:val="auto"/>
                <w:kern w:val="2"/>
                <w:sz w:val="24"/>
                <w:szCs w:val="24"/>
                <w:highlight w:val="none"/>
                <w:lang w:val="en-US" w:eastAsia="zh-CN" w:bidi="ug-CN"/>
              </w:rPr>
            </w:pPr>
            <w:r>
              <w:rPr>
                <w:rFonts w:hint="eastAsia" w:ascii="宋体" w:hAnsi="宋体" w:eastAsia="宋体" w:cs="宋体"/>
                <w:color w:val="auto"/>
                <w:kern w:val="2"/>
                <w:sz w:val="24"/>
                <w:szCs w:val="24"/>
                <w:highlight w:val="none"/>
                <w:lang w:val="en-US" w:eastAsia="zh-CN" w:bidi="ug-CN"/>
              </w:rPr>
              <w:t>投标供应商需在投标文件中提供的供货方案，包括但不限于：</w:t>
            </w:r>
          </w:p>
          <w:p w14:paraId="12F7F186">
            <w:pPr>
              <w:keepNext w:val="0"/>
              <w:keepLines w:val="0"/>
              <w:pageBreakBefore w:val="0"/>
              <w:widowControl/>
              <w:numPr>
                <w:ilvl w:val="0"/>
                <w:numId w:val="6"/>
              </w:numPr>
              <w:kinsoku/>
              <w:wordWrap/>
              <w:overflowPunct/>
              <w:topLinePunct w:val="0"/>
              <w:autoSpaceDE/>
              <w:autoSpaceDN/>
              <w:bidi w:val="0"/>
              <w:adjustRightInd w:val="0"/>
              <w:snapToGrid w:val="0"/>
              <w:spacing w:line="300" w:lineRule="auto"/>
              <w:jc w:val="both"/>
              <w:textAlignment w:val="auto"/>
              <w:rPr>
                <w:rFonts w:hint="eastAsia" w:ascii="宋体" w:hAnsi="宋体" w:eastAsia="宋体" w:cs="宋体"/>
                <w:color w:val="auto"/>
                <w:kern w:val="2"/>
                <w:sz w:val="24"/>
                <w:szCs w:val="24"/>
                <w:highlight w:val="none"/>
                <w:lang w:val="en-US" w:eastAsia="zh-CN" w:bidi="ug-CN"/>
              </w:rPr>
            </w:pPr>
            <w:r>
              <w:rPr>
                <w:rFonts w:hint="eastAsia" w:ascii="宋体" w:hAnsi="宋体" w:eastAsia="宋体" w:cs="宋体"/>
                <w:color w:val="auto"/>
                <w:kern w:val="2"/>
                <w:sz w:val="24"/>
                <w:szCs w:val="24"/>
                <w:highlight w:val="none"/>
                <w:lang w:val="en-US" w:eastAsia="zh-CN" w:bidi="ug-CN"/>
              </w:rPr>
              <w:t>供货计划；</w:t>
            </w:r>
          </w:p>
          <w:p w14:paraId="14BF2AC3">
            <w:pPr>
              <w:keepNext w:val="0"/>
              <w:keepLines w:val="0"/>
              <w:pageBreakBefore w:val="0"/>
              <w:widowControl/>
              <w:numPr>
                <w:ilvl w:val="0"/>
                <w:numId w:val="6"/>
              </w:numPr>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ug-CN"/>
              </w:rPr>
            </w:pPr>
            <w:r>
              <w:rPr>
                <w:rFonts w:hint="eastAsia" w:ascii="宋体" w:hAnsi="宋体" w:eastAsia="宋体" w:cs="宋体"/>
                <w:color w:val="auto"/>
                <w:kern w:val="2"/>
                <w:sz w:val="24"/>
                <w:szCs w:val="24"/>
                <w:highlight w:val="none"/>
                <w:lang w:val="en-US" w:eastAsia="zh-CN" w:bidi="ug-CN"/>
              </w:rPr>
              <w:t>运输方式、方案；</w:t>
            </w:r>
          </w:p>
          <w:p w14:paraId="5B6FA109">
            <w:pPr>
              <w:keepNext w:val="0"/>
              <w:keepLines w:val="0"/>
              <w:pageBreakBefore w:val="0"/>
              <w:widowControl/>
              <w:numPr>
                <w:ilvl w:val="0"/>
                <w:numId w:val="6"/>
              </w:numPr>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ug-CN"/>
              </w:rPr>
            </w:pPr>
            <w:r>
              <w:rPr>
                <w:rFonts w:hint="eastAsia" w:ascii="宋体" w:hAnsi="宋体" w:eastAsia="宋体" w:cs="宋体"/>
                <w:color w:val="auto"/>
                <w:kern w:val="2"/>
                <w:sz w:val="24"/>
                <w:szCs w:val="24"/>
                <w:highlight w:val="none"/>
                <w:lang w:val="en-US" w:eastAsia="zh-CN" w:bidi="ug-CN"/>
              </w:rPr>
              <w:t>验收方案；</w:t>
            </w:r>
          </w:p>
          <w:p w14:paraId="58C46E8E">
            <w:pPr>
              <w:keepNext w:val="0"/>
              <w:keepLines w:val="0"/>
              <w:pageBreakBefore w:val="0"/>
              <w:widowControl/>
              <w:numPr>
                <w:ilvl w:val="0"/>
                <w:numId w:val="6"/>
              </w:numPr>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ug-CN"/>
              </w:rPr>
            </w:pPr>
            <w:r>
              <w:rPr>
                <w:rFonts w:hint="eastAsia" w:ascii="宋体" w:hAnsi="宋体" w:eastAsia="宋体" w:cs="宋体"/>
                <w:color w:val="auto"/>
                <w:kern w:val="2"/>
                <w:sz w:val="24"/>
                <w:szCs w:val="24"/>
                <w:highlight w:val="none"/>
                <w:lang w:val="en-US" w:eastAsia="zh-CN" w:bidi="ug-CN"/>
              </w:rPr>
              <w:t xml:space="preserve">突发情况应急服务预案等。 </w:t>
            </w:r>
          </w:p>
          <w:p w14:paraId="56526A98">
            <w:pPr>
              <w:keepNext w:val="0"/>
              <w:keepLines w:val="0"/>
              <w:pageBreakBefore w:val="0"/>
              <w:widowControl/>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kern w:val="2"/>
                <w:sz w:val="24"/>
                <w:szCs w:val="24"/>
                <w:highlight w:val="none"/>
                <w:lang w:val="en-US" w:eastAsia="zh-CN" w:bidi="ug-CN"/>
              </w:rPr>
            </w:pPr>
            <w:r>
              <w:rPr>
                <w:rFonts w:hint="eastAsia" w:ascii="宋体" w:hAnsi="宋体" w:eastAsia="宋体" w:cs="宋体"/>
                <w:color w:val="auto"/>
                <w:kern w:val="2"/>
                <w:sz w:val="24"/>
                <w:szCs w:val="24"/>
                <w:highlight w:val="none"/>
                <w:lang w:val="en-US" w:eastAsia="zh-CN" w:bidi="ug-CN"/>
              </w:rPr>
              <w:t>以上方案内容完全满足采购需求，方案完整、思路清晰、目标明确，能准确把握项目重点，运输方式合理可行，验收方案与应急服务全面可靠，能体现个性化服务的，得12分；</w:t>
            </w:r>
            <w:r>
              <w:rPr>
                <w:rFonts w:ascii="宋体" w:hAnsi="宋体" w:eastAsia="宋体" w:cs="宋体"/>
                <w:color w:val="auto"/>
                <w:sz w:val="24"/>
                <w:highlight w:val="none"/>
              </w:rPr>
              <w:t>每缺少一项内容扣</w:t>
            </w:r>
            <w:r>
              <w:rPr>
                <w:rFonts w:hint="eastAsia" w:ascii="宋体" w:hAnsi="宋体" w:cs="宋体"/>
                <w:color w:val="auto"/>
                <w:sz w:val="24"/>
                <w:highlight w:val="none"/>
                <w:lang w:val="en-US" w:eastAsia="zh-CN"/>
              </w:rPr>
              <w:t>3</w:t>
            </w:r>
            <w:r>
              <w:rPr>
                <w:rFonts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szCs w:val="24"/>
                <w:highlight w:val="none"/>
                <w:lang w:val="en-US" w:eastAsia="zh-CN"/>
              </w:rPr>
              <w:t>每有一项方案内容完整，但针对性较弱的扣1分；</w:t>
            </w:r>
            <w:r>
              <w:rPr>
                <w:rFonts w:ascii="宋体" w:hAnsi="宋体" w:eastAsia="宋体" w:cs="宋体"/>
                <w:color w:val="auto"/>
                <w:sz w:val="24"/>
                <w:highlight w:val="none"/>
              </w:rPr>
              <w:t>每有一项内容不完整或未能满足采购需求的或每有一处不具有针对性或逻辑性错误且不完整的扣</w:t>
            </w:r>
            <w:r>
              <w:rPr>
                <w:rFonts w:hint="eastAsia" w:ascii="宋体" w:hAnsi="宋体" w:cs="宋体"/>
                <w:color w:val="auto"/>
                <w:sz w:val="24"/>
                <w:highlight w:val="none"/>
                <w:lang w:val="en-US" w:eastAsia="zh-CN"/>
              </w:rPr>
              <w:t>2</w:t>
            </w:r>
            <w:r>
              <w:rPr>
                <w:rFonts w:ascii="宋体" w:hAnsi="宋体" w:eastAsia="宋体" w:cs="宋体"/>
                <w:color w:val="auto"/>
                <w:sz w:val="24"/>
                <w:highlight w:val="none"/>
              </w:rPr>
              <w:t>分；扣完为止。</w:t>
            </w:r>
          </w:p>
        </w:tc>
        <w:tc>
          <w:tcPr>
            <w:tcW w:w="465" w:type="pct"/>
            <w:noWrap/>
            <w:vAlign w:val="center"/>
          </w:tcPr>
          <w:p w14:paraId="588FF192">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kern w:val="2"/>
                <w:sz w:val="24"/>
                <w:szCs w:val="24"/>
                <w:highlight w:val="none"/>
                <w:lang w:val="en-US" w:eastAsia="zh-CN" w:bidi="ug-CN"/>
              </w:rPr>
            </w:pPr>
            <w:r>
              <w:rPr>
                <w:rFonts w:hint="eastAsia" w:ascii="宋体" w:hAnsi="宋体" w:eastAsia="宋体" w:cs="宋体"/>
                <w:color w:val="auto"/>
                <w:kern w:val="2"/>
                <w:sz w:val="24"/>
                <w:szCs w:val="24"/>
                <w:highlight w:val="none"/>
                <w:lang w:val="en-US" w:eastAsia="zh-CN" w:bidi="ug-CN"/>
              </w:rPr>
              <w:t>12分</w:t>
            </w:r>
          </w:p>
        </w:tc>
      </w:tr>
      <w:tr w14:paraId="5B477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28" w:type="pct"/>
            <w:noWrap w:val="0"/>
            <w:vAlign w:val="center"/>
          </w:tcPr>
          <w:p w14:paraId="0A20E371">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kern w:val="2"/>
                <w:sz w:val="24"/>
                <w:szCs w:val="24"/>
                <w:highlight w:val="none"/>
                <w:lang w:val="en-US" w:eastAsia="zh-CN" w:bidi="ug-CN"/>
              </w:rPr>
            </w:pPr>
            <w:r>
              <w:rPr>
                <w:rFonts w:hint="eastAsia" w:ascii="宋体" w:hAnsi="宋体" w:eastAsia="宋体" w:cs="宋体"/>
                <w:color w:val="auto"/>
                <w:kern w:val="2"/>
                <w:sz w:val="24"/>
                <w:szCs w:val="24"/>
                <w:highlight w:val="none"/>
                <w:lang w:val="en-US" w:eastAsia="zh-CN" w:bidi="ug-CN"/>
              </w:rPr>
              <w:t>4</w:t>
            </w:r>
          </w:p>
        </w:tc>
        <w:tc>
          <w:tcPr>
            <w:tcW w:w="343" w:type="pct"/>
            <w:noWrap w:val="0"/>
            <w:vAlign w:val="center"/>
          </w:tcPr>
          <w:p w14:paraId="283593EA">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2"/>
                <w:sz w:val="24"/>
                <w:szCs w:val="24"/>
                <w:highlight w:val="none"/>
                <w:lang w:val="en-US" w:eastAsia="zh-CN" w:bidi="ug-CN"/>
              </w:rPr>
            </w:pPr>
            <w:r>
              <w:rPr>
                <w:rFonts w:hint="eastAsia" w:ascii="宋体" w:hAnsi="宋体" w:eastAsia="宋体" w:cs="宋体"/>
                <w:b w:val="0"/>
                <w:bCs w:val="0"/>
                <w:color w:val="auto"/>
                <w:sz w:val="24"/>
                <w:szCs w:val="24"/>
                <w:highlight w:val="none"/>
                <w:lang w:val="en-US" w:eastAsia="zh-CN"/>
              </w:rPr>
              <w:t>质量保证措施</w:t>
            </w:r>
          </w:p>
        </w:tc>
        <w:tc>
          <w:tcPr>
            <w:tcW w:w="3763" w:type="pct"/>
            <w:noWrap w:val="0"/>
            <w:vAlign w:val="center"/>
          </w:tcPr>
          <w:p w14:paraId="05A4CA2A">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color w:val="auto"/>
                <w:kern w:val="2"/>
                <w:sz w:val="24"/>
                <w:szCs w:val="24"/>
                <w:highlight w:val="none"/>
                <w:lang w:val="en-US" w:eastAsia="zh-CN" w:bidi="ug-CN"/>
              </w:rPr>
            </w:pPr>
            <w:r>
              <w:rPr>
                <w:rFonts w:hint="eastAsia" w:ascii="宋体" w:hAnsi="宋体" w:eastAsia="宋体" w:cs="宋体"/>
                <w:b w:val="0"/>
                <w:bCs w:val="0"/>
                <w:color w:val="auto"/>
                <w:sz w:val="24"/>
                <w:szCs w:val="24"/>
                <w:highlight w:val="none"/>
                <w:lang w:val="en-US" w:eastAsia="zh-CN"/>
              </w:rPr>
              <w:t>结合本项目的特点，制定项目质量保证措施及承诺（包含产品的采购及配送过程中的质量保障措施、使用操作及相关的质量保障制度建设等）方案完整详细、逻辑清晰、表达清楚、人员配置合理，实施步骤明确且切实可行的得5分；</w:t>
            </w:r>
            <w:r>
              <w:rPr>
                <w:rFonts w:hint="eastAsia" w:ascii="宋体" w:hAnsi="宋体" w:eastAsia="宋体" w:cs="宋体"/>
                <w:color w:val="auto"/>
                <w:sz w:val="24"/>
                <w:szCs w:val="24"/>
                <w:highlight w:val="none"/>
                <w:lang w:val="en-US" w:eastAsia="zh-CN"/>
              </w:rPr>
              <w:t>方案内容完整，但针对性较弱的得3分；</w:t>
            </w:r>
            <w:r>
              <w:rPr>
                <w:rFonts w:hint="eastAsia" w:ascii="宋体" w:hAnsi="宋体" w:eastAsia="宋体" w:cs="宋体"/>
                <w:color w:val="auto"/>
                <w:sz w:val="24"/>
                <w:highlight w:val="none"/>
                <w:lang w:val="en-US" w:eastAsia="zh-CN"/>
              </w:rPr>
              <w:t>方案</w:t>
            </w:r>
            <w:r>
              <w:rPr>
                <w:rFonts w:ascii="宋体" w:hAnsi="宋体" w:eastAsia="宋体" w:cs="宋体"/>
                <w:color w:val="auto"/>
                <w:sz w:val="24"/>
                <w:highlight w:val="none"/>
              </w:rPr>
              <w:t>内容</w:t>
            </w:r>
            <w:r>
              <w:rPr>
                <w:rFonts w:hint="eastAsia" w:ascii="宋体" w:hAnsi="宋体" w:eastAsia="宋体" w:cs="宋体"/>
                <w:color w:val="auto"/>
                <w:sz w:val="24"/>
                <w:highlight w:val="none"/>
                <w:lang w:val="en-US" w:eastAsia="zh-CN"/>
              </w:rPr>
              <w:t>瑕疵</w:t>
            </w:r>
            <w:r>
              <w:rPr>
                <w:rFonts w:ascii="宋体" w:hAnsi="宋体" w:eastAsia="宋体" w:cs="宋体"/>
                <w:color w:val="auto"/>
                <w:sz w:val="24"/>
                <w:highlight w:val="none"/>
              </w:rPr>
              <w:t>或不具有针对性或逻辑性错误的</w:t>
            </w:r>
            <w:r>
              <w:rPr>
                <w:rFonts w:hint="eastAsia" w:ascii="宋体" w:hAnsi="宋体" w:eastAsia="宋体" w:cs="宋体"/>
                <w:color w:val="auto"/>
                <w:sz w:val="24"/>
                <w:highlight w:val="none"/>
                <w:lang w:val="en-US" w:eastAsia="zh-CN"/>
              </w:rPr>
              <w:t>得</w:t>
            </w:r>
            <w:r>
              <w:rPr>
                <w:rFonts w:hint="eastAsia" w:ascii="宋体" w:hAnsi="宋体" w:cs="宋体"/>
                <w:color w:val="auto"/>
                <w:sz w:val="24"/>
                <w:highlight w:val="none"/>
                <w:lang w:val="en-US" w:eastAsia="zh-CN"/>
              </w:rPr>
              <w:t>1</w:t>
            </w:r>
            <w:r>
              <w:rPr>
                <w:rFonts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未提供不得分</w:t>
            </w:r>
            <w:r>
              <w:rPr>
                <w:rFonts w:ascii="宋体" w:hAnsi="宋体" w:eastAsia="宋体" w:cs="宋体"/>
                <w:color w:val="auto"/>
                <w:sz w:val="24"/>
                <w:highlight w:val="none"/>
              </w:rPr>
              <w:t>。</w:t>
            </w:r>
          </w:p>
        </w:tc>
        <w:tc>
          <w:tcPr>
            <w:tcW w:w="465" w:type="pct"/>
            <w:noWrap/>
            <w:vAlign w:val="center"/>
          </w:tcPr>
          <w:p w14:paraId="7967C91B">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kern w:val="2"/>
                <w:sz w:val="24"/>
                <w:szCs w:val="24"/>
                <w:highlight w:val="none"/>
                <w:lang w:val="en-US" w:eastAsia="zh-CN" w:bidi="ug-CN"/>
              </w:rPr>
            </w:pPr>
            <w:r>
              <w:rPr>
                <w:rFonts w:hint="eastAsia" w:ascii="宋体" w:hAnsi="宋体" w:eastAsia="宋体" w:cs="宋体"/>
                <w:color w:val="auto"/>
                <w:kern w:val="2"/>
                <w:sz w:val="24"/>
                <w:szCs w:val="24"/>
                <w:highlight w:val="none"/>
                <w:lang w:val="en-US" w:eastAsia="zh-CN" w:bidi="ug-CN"/>
              </w:rPr>
              <w:t>5分</w:t>
            </w:r>
          </w:p>
        </w:tc>
      </w:tr>
      <w:tr w14:paraId="135C4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428" w:type="pct"/>
            <w:noWrap w:val="0"/>
            <w:vAlign w:val="center"/>
          </w:tcPr>
          <w:p w14:paraId="6018CF0D">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kern w:val="2"/>
                <w:sz w:val="24"/>
                <w:szCs w:val="24"/>
                <w:highlight w:val="none"/>
                <w:lang w:val="en-US" w:eastAsia="zh-CN" w:bidi="ug-CN"/>
              </w:rPr>
            </w:pPr>
            <w:r>
              <w:rPr>
                <w:rFonts w:hint="eastAsia" w:ascii="宋体" w:hAnsi="宋体" w:eastAsia="宋体" w:cs="宋体"/>
                <w:color w:val="auto"/>
                <w:kern w:val="2"/>
                <w:sz w:val="24"/>
                <w:szCs w:val="24"/>
                <w:highlight w:val="none"/>
                <w:lang w:val="en-US" w:eastAsia="zh-CN" w:bidi="ug-CN"/>
              </w:rPr>
              <w:t>5</w:t>
            </w:r>
          </w:p>
        </w:tc>
        <w:tc>
          <w:tcPr>
            <w:tcW w:w="343" w:type="pct"/>
            <w:noWrap w:val="0"/>
            <w:vAlign w:val="center"/>
          </w:tcPr>
          <w:p w14:paraId="0BC7B004">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培训方案</w:t>
            </w:r>
          </w:p>
        </w:tc>
        <w:tc>
          <w:tcPr>
            <w:tcW w:w="3763" w:type="pct"/>
            <w:noWrap w:val="0"/>
            <w:vAlign w:val="center"/>
          </w:tcPr>
          <w:p w14:paraId="1CCA00D4">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color w:val="auto"/>
                <w:kern w:val="2"/>
                <w:sz w:val="24"/>
                <w:szCs w:val="24"/>
                <w:highlight w:val="none"/>
                <w:lang w:val="en-US" w:eastAsia="zh-CN" w:bidi="ug-CN"/>
              </w:rPr>
            </w:pPr>
            <w:r>
              <w:rPr>
                <w:rFonts w:hint="eastAsia" w:ascii="宋体" w:hAnsi="宋体" w:eastAsia="宋体" w:cs="宋体"/>
                <w:color w:val="auto"/>
                <w:kern w:val="2"/>
                <w:sz w:val="24"/>
                <w:szCs w:val="24"/>
                <w:highlight w:val="none"/>
                <w:lang w:val="en-US" w:eastAsia="zh-CN" w:bidi="ug-CN"/>
              </w:rPr>
              <w:t>根据招标文件要求编制培训方案，包括但不限于培训团队实力、培训方式选择、培训周期计划，培训效果巩固、培训内容、培训经验、能力、研训基地等内容。</w:t>
            </w:r>
          </w:p>
          <w:p w14:paraId="5C7607CA">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ug-CN"/>
              </w:rPr>
              <w:t>内容完全满足要求，培训团队人员充足、实力深厚、经验丰富，培训方式合理可行，培训周期计划安排周密，效果巩固措施完整、科学的，得 4分；培训方案内容完整，但针对性较弱的得2分；</w:t>
            </w:r>
            <w:r>
              <w:rPr>
                <w:rFonts w:hint="eastAsia" w:ascii="宋体" w:hAnsi="宋体" w:eastAsia="宋体" w:cs="宋体"/>
                <w:color w:val="auto"/>
                <w:sz w:val="24"/>
                <w:highlight w:val="none"/>
                <w:lang w:val="en-US" w:eastAsia="zh-CN"/>
              </w:rPr>
              <w:t>方案</w:t>
            </w:r>
            <w:r>
              <w:rPr>
                <w:rFonts w:ascii="宋体" w:hAnsi="宋体" w:eastAsia="宋体" w:cs="宋体"/>
                <w:color w:val="auto"/>
                <w:sz w:val="24"/>
                <w:highlight w:val="none"/>
              </w:rPr>
              <w:t>内容</w:t>
            </w:r>
            <w:r>
              <w:rPr>
                <w:rFonts w:hint="eastAsia" w:ascii="宋体" w:hAnsi="宋体" w:eastAsia="宋体" w:cs="宋体"/>
                <w:color w:val="auto"/>
                <w:sz w:val="24"/>
                <w:highlight w:val="none"/>
                <w:lang w:val="en-US" w:eastAsia="zh-CN"/>
              </w:rPr>
              <w:t>瑕疵</w:t>
            </w:r>
            <w:r>
              <w:rPr>
                <w:rFonts w:ascii="宋体" w:hAnsi="宋体" w:eastAsia="宋体" w:cs="宋体"/>
                <w:color w:val="auto"/>
                <w:sz w:val="24"/>
                <w:highlight w:val="none"/>
              </w:rPr>
              <w:t>或不具有针对性或逻辑性错误的</w:t>
            </w:r>
            <w:r>
              <w:rPr>
                <w:rFonts w:hint="eastAsia" w:ascii="宋体" w:hAnsi="宋体" w:eastAsia="宋体" w:cs="宋体"/>
                <w:color w:val="auto"/>
                <w:sz w:val="24"/>
                <w:highlight w:val="none"/>
                <w:lang w:val="en-US" w:eastAsia="zh-CN"/>
              </w:rPr>
              <w:t>得</w:t>
            </w:r>
            <w:r>
              <w:rPr>
                <w:rFonts w:hint="eastAsia" w:ascii="宋体" w:hAnsi="宋体" w:cs="宋体"/>
                <w:color w:val="auto"/>
                <w:sz w:val="24"/>
                <w:highlight w:val="none"/>
                <w:lang w:val="en-US" w:eastAsia="zh-CN"/>
              </w:rPr>
              <w:t>1</w:t>
            </w:r>
            <w:r>
              <w:rPr>
                <w:rFonts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未提供不得分</w:t>
            </w:r>
            <w:r>
              <w:rPr>
                <w:rFonts w:ascii="宋体" w:hAnsi="宋体" w:eastAsia="宋体" w:cs="宋体"/>
                <w:color w:val="auto"/>
                <w:sz w:val="24"/>
                <w:highlight w:val="none"/>
              </w:rPr>
              <w:t>。</w:t>
            </w:r>
          </w:p>
        </w:tc>
        <w:tc>
          <w:tcPr>
            <w:tcW w:w="465" w:type="pct"/>
            <w:noWrap/>
            <w:vAlign w:val="center"/>
          </w:tcPr>
          <w:p w14:paraId="3A4D5C13">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kern w:val="2"/>
                <w:sz w:val="24"/>
                <w:szCs w:val="24"/>
                <w:highlight w:val="none"/>
                <w:lang w:val="en-US" w:eastAsia="zh-CN" w:bidi="ug-CN"/>
              </w:rPr>
            </w:pPr>
            <w:r>
              <w:rPr>
                <w:rFonts w:hint="eastAsia" w:ascii="宋体" w:hAnsi="宋体" w:eastAsia="宋体" w:cs="宋体"/>
                <w:color w:val="auto"/>
                <w:kern w:val="2"/>
                <w:sz w:val="24"/>
                <w:szCs w:val="24"/>
                <w:highlight w:val="none"/>
                <w:lang w:val="en-US" w:eastAsia="zh-CN" w:bidi="ug-CN"/>
              </w:rPr>
              <w:t>4分</w:t>
            </w:r>
          </w:p>
        </w:tc>
      </w:tr>
      <w:tr w14:paraId="69903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428" w:type="pct"/>
            <w:noWrap w:val="0"/>
            <w:vAlign w:val="center"/>
          </w:tcPr>
          <w:p w14:paraId="7109EAA6">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kern w:val="2"/>
                <w:sz w:val="24"/>
                <w:szCs w:val="24"/>
                <w:highlight w:val="none"/>
                <w:lang w:val="en-US" w:eastAsia="zh-CN" w:bidi="ug-CN"/>
              </w:rPr>
            </w:pPr>
            <w:r>
              <w:rPr>
                <w:rFonts w:hint="eastAsia" w:ascii="宋体" w:hAnsi="宋体" w:eastAsia="宋体" w:cs="宋体"/>
                <w:color w:val="auto"/>
                <w:kern w:val="2"/>
                <w:sz w:val="24"/>
                <w:szCs w:val="24"/>
                <w:highlight w:val="none"/>
                <w:lang w:val="en-US" w:eastAsia="zh-CN" w:bidi="ug-CN"/>
              </w:rPr>
              <w:t>6</w:t>
            </w:r>
          </w:p>
        </w:tc>
        <w:tc>
          <w:tcPr>
            <w:tcW w:w="343" w:type="pct"/>
            <w:noWrap w:val="0"/>
            <w:vAlign w:val="center"/>
          </w:tcPr>
          <w:p w14:paraId="31B216DF">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default" w:ascii="宋体" w:hAnsi="宋体" w:eastAsia="宋体" w:cs="宋体"/>
                <w:color w:val="auto"/>
                <w:kern w:val="2"/>
                <w:sz w:val="24"/>
                <w:szCs w:val="24"/>
                <w:highlight w:val="none"/>
                <w:lang w:val="en-US" w:eastAsia="zh-CN" w:bidi="ug-CN"/>
              </w:rPr>
            </w:pPr>
            <w:r>
              <w:rPr>
                <w:rFonts w:hint="eastAsia" w:ascii="宋体" w:hAnsi="宋体" w:eastAsia="宋体" w:cs="宋体"/>
                <w:color w:val="auto"/>
                <w:kern w:val="2"/>
                <w:sz w:val="24"/>
                <w:szCs w:val="24"/>
                <w:highlight w:val="none"/>
                <w:lang w:val="en-US" w:eastAsia="zh-CN" w:bidi="ug-CN"/>
              </w:rPr>
              <w:t>售后服务</w:t>
            </w:r>
          </w:p>
        </w:tc>
        <w:tc>
          <w:tcPr>
            <w:tcW w:w="3763" w:type="pct"/>
            <w:noWrap w:val="0"/>
            <w:vAlign w:val="center"/>
          </w:tcPr>
          <w:p w14:paraId="3E64D414">
            <w:pPr>
              <w:keepNext w:val="0"/>
              <w:keepLines w:val="0"/>
              <w:pageBreakBefore w:val="0"/>
              <w:widowControl/>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kern w:val="2"/>
                <w:sz w:val="24"/>
                <w:szCs w:val="24"/>
                <w:highlight w:val="none"/>
                <w:lang w:val="en-US" w:eastAsia="zh-CN" w:bidi="ug-CN"/>
              </w:rPr>
            </w:pPr>
            <w:r>
              <w:rPr>
                <w:rFonts w:hint="eastAsia" w:ascii="宋体" w:hAnsi="宋体" w:eastAsia="宋体" w:cs="宋体"/>
                <w:color w:val="auto"/>
                <w:kern w:val="2"/>
                <w:sz w:val="24"/>
                <w:szCs w:val="24"/>
                <w:highlight w:val="none"/>
                <w:lang w:val="en-US" w:eastAsia="zh-CN" w:bidi="ug-CN"/>
              </w:rPr>
              <w:t>投标供应商有完善的售后服务体系，具有专业且完备的售后服务团队，保证能及时响应客户需求，提供优质售后服务。编制售后服务方案，提供相关佐证材料（包括：（1）质保期内售后服务方式；（2）质保期外售后服务方式；（3）服务响应时间；（4）备品备件；（5）维护保养；（6）售后服务承诺书等方案)。全部提供得</w:t>
            </w:r>
            <w:r>
              <w:rPr>
                <w:rFonts w:hint="eastAsia" w:ascii="宋体" w:hAnsi="宋体" w:cs="宋体"/>
                <w:color w:val="auto"/>
                <w:kern w:val="2"/>
                <w:sz w:val="24"/>
                <w:szCs w:val="24"/>
                <w:highlight w:val="none"/>
                <w:lang w:val="en-US" w:eastAsia="zh-CN" w:bidi="ug-CN"/>
              </w:rPr>
              <w:t>6</w:t>
            </w:r>
            <w:bookmarkStart w:id="234" w:name="_GoBack"/>
            <w:bookmarkEnd w:id="234"/>
            <w:r>
              <w:rPr>
                <w:rFonts w:hint="eastAsia" w:ascii="宋体" w:hAnsi="宋体" w:eastAsia="宋体" w:cs="宋体"/>
                <w:color w:val="auto"/>
                <w:kern w:val="2"/>
                <w:sz w:val="24"/>
                <w:szCs w:val="24"/>
                <w:highlight w:val="none"/>
                <w:lang w:val="en-US" w:eastAsia="zh-CN" w:bidi="ug-CN"/>
              </w:rPr>
              <w:t>分，每缺一小项扣1分，每有一小项表述混乱或不清晰的扣1分；未提供的不得分。</w:t>
            </w:r>
          </w:p>
        </w:tc>
        <w:tc>
          <w:tcPr>
            <w:tcW w:w="465" w:type="pct"/>
            <w:noWrap/>
            <w:vAlign w:val="center"/>
          </w:tcPr>
          <w:p w14:paraId="505F0623">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kern w:val="2"/>
                <w:sz w:val="24"/>
                <w:szCs w:val="24"/>
                <w:highlight w:val="none"/>
                <w:lang w:val="en-US" w:eastAsia="zh-CN" w:bidi="ug-CN"/>
              </w:rPr>
            </w:pPr>
            <w:r>
              <w:rPr>
                <w:rFonts w:hint="eastAsia" w:ascii="宋体" w:hAnsi="宋体" w:eastAsia="宋体" w:cs="宋体"/>
                <w:color w:val="auto"/>
                <w:kern w:val="2"/>
                <w:sz w:val="24"/>
                <w:szCs w:val="24"/>
                <w:highlight w:val="none"/>
                <w:lang w:val="en-US" w:eastAsia="zh-CN" w:bidi="ug-CN"/>
              </w:rPr>
              <w:t>6分</w:t>
            </w:r>
          </w:p>
        </w:tc>
      </w:tr>
      <w:tr w14:paraId="1CAC0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428" w:type="pct"/>
            <w:noWrap w:val="0"/>
            <w:vAlign w:val="center"/>
          </w:tcPr>
          <w:p w14:paraId="0BEA4DD5">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kern w:val="2"/>
                <w:sz w:val="24"/>
                <w:szCs w:val="24"/>
                <w:highlight w:val="none"/>
                <w:lang w:val="en-US" w:eastAsia="zh-CN" w:bidi="ug-CN"/>
              </w:rPr>
            </w:pPr>
            <w:r>
              <w:rPr>
                <w:rFonts w:hint="eastAsia" w:ascii="宋体" w:hAnsi="宋体" w:eastAsia="宋体" w:cs="宋体"/>
                <w:color w:val="auto"/>
                <w:kern w:val="2"/>
                <w:sz w:val="24"/>
                <w:szCs w:val="24"/>
                <w:highlight w:val="none"/>
                <w:lang w:val="en-US" w:eastAsia="zh-CN" w:bidi="ug-CN"/>
              </w:rPr>
              <w:t>7</w:t>
            </w:r>
          </w:p>
        </w:tc>
        <w:tc>
          <w:tcPr>
            <w:tcW w:w="343" w:type="pct"/>
            <w:noWrap w:val="0"/>
            <w:vAlign w:val="center"/>
          </w:tcPr>
          <w:p w14:paraId="792533B9">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2"/>
                <w:sz w:val="24"/>
                <w:szCs w:val="24"/>
                <w:highlight w:val="none"/>
                <w:lang w:val="en-US" w:eastAsia="zh-CN" w:bidi="ug-CN"/>
              </w:rPr>
            </w:pPr>
            <w:r>
              <w:rPr>
                <w:rFonts w:hint="eastAsia" w:ascii="宋体" w:hAnsi="宋体" w:eastAsia="宋体" w:cs="宋体"/>
                <w:color w:val="auto"/>
                <w:sz w:val="24"/>
                <w:szCs w:val="24"/>
                <w:highlight w:val="none"/>
                <w:lang w:val="en-US" w:eastAsia="zh-CN" w:bidi="ug-CN"/>
              </w:rPr>
              <w:t>保密措施</w:t>
            </w:r>
          </w:p>
        </w:tc>
        <w:tc>
          <w:tcPr>
            <w:tcW w:w="3763" w:type="pct"/>
            <w:noWrap w:val="0"/>
            <w:vAlign w:val="center"/>
          </w:tcPr>
          <w:p w14:paraId="173A8DDB">
            <w:pPr>
              <w:keepNext w:val="0"/>
              <w:keepLines w:val="0"/>
              <w:pageBreakBefore w:val="0"/>
              <w:widowControl/>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kern w:val="2"/>
                <w:sz w:val="24"/>
                <w:szCs w:val="24"/>
                <w:highlight w:val="none"/>
                <w:lang w:val="en-US" w:eastAsia="zh-CN" w:bidi="ug-CN"/>
              </w:rPr>
            </w:pPr>
            <w:r>
              <w:rPr>
                <w:rFonts w:hint="eastAsia" w:ascii="宋体" w:hAnsi="宋体" w:eastAsia="宋体" w:cs="宋体"/>
                <w:color w:val="auto"/>
                <w:sz w:val="24"/>
                <w:szCs w:val="24"/>
                <w:highlight w:val="none"/>
                <w:lang w:val="en-US" w:eastAsia="zh-CN" w:bidi="ug-CN"/>
              </w:rPr>
              <w:t>提供针对本项目制定专项保密措施解决方案，至少应包括：1、保密制度；2、保密措施等，包含但不限于上述全部内容且方案详细，清晰有利于项目的得3分。(如有陷或不足在此分数基础上进行扣分)，以上2项中，每有1项缺失或完全无法满足项目求的扣1.5分，每有1项中内容存在缺陷或不足扣0.5分。</w:t>
            </w:r>
          </w:p>
        </w:tc>
        <w:tc>
          <w:tcPr>
            <w:tcW w:w="465" w:type="pct"/>
            <w:noWrap/>
            <w:vAlign w:val="center"/>
          </w:tcPr>
          <w:p w14:paraId="5FD07810">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2"/>
                <w:sz w:val="24"/>
                <w:szCs w:val="24"/>
                <w:highlight w:val="none"/>
                <w:lang w:val="en-US" w:eastAsia="zh-CN" w:bidi="ug-CN"/>
              </w:rPr>
            </w:pPr>
            <w:r>
              <w:rPr>
                <w:rFonts w:hint="eastAsia" w:ascii="宋体" w:hAnsi="宋体" w:eastAsia="宋体" w:cs="宋体"/>
                <w:color w:val="auto"/>
                <w:sz w:val="24"/>
                <w:szCs w:val="24"/>
                <w:highlight w:val="none"/>
                <w:lang w:val="en-US" w:eastAsia="zh-CN" w:bidi="ug-CN"/>
              </w:rPr>
              <w:t>3分</w:t>
            </w:r>
          </w:p>
        </w:tc>
      </w:tr>
      <w:tr w14:paraId="346E6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71" w:type="pct"/>
            <w:gridSpan w:val="2"/>
            <w:noWrap w:val="0"/>
            <w:vAlign w:val="center"/>
          </w:tcPr>
          <w:p w14:paraId="472E2653">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default" w:ascii="宋体" w:hAnsi="宋体" w:eastAsia="宋体" w:cs="宋体"/>
                <w:color w:val="auto"/>
                <w:sz w:val="24"/>
                <w:szCs w:val="24"/>
                <w:highlight w:val="none"/>
                <w:lang w:val="en-US" w:eastAsia="zh-CN" w:bidi="ug-CN"/>
              </w:rPr>
            </w:pPr>
            <w:r>
              <w:rPr>
                <w:rFonts w:hint="eastAsia" w:ascii="宋体" w:hAnsi="宋体" w:eastAsia="宋体" w:cs="宋体"/>
                <w:color w:val="auto"/>
                <w:sz w:val="24"/>
                <w:szCs w:val="24"/>
                <w:highlight w:val="none"/>
                <w:lang w:val="en-US" w:eastAsia="zh-CN" w:bidi="ug-CN"/>
              </w:rPr>
              <w:t>合计</w:t>
            </w:r>
          </w:p>
        </w:tc>
        <w:tc>
          <w:tcPr>
            <w:tcW w:w="3763" w:type="pct"/>
            <w:noWrap w:val="0"/>
            <w:vAlign w:val="center"/>
          </w:tcPr>
          <w:p w14:paraId="584DBCD5">
            <w:pPr>
              <w:keepNext w:val="0"/>
              <w:keepLines w:val="0"/>
              <w:pageBreakBefore w:val="0"/>
              <w:widowControl/>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sz w:val="24"/>
                <w:szCs w:val="24"/>
                <w:highlight w:val="none"/>
                <w:lang w:val="en-US" w:eastAsia="zh-CN" w:bidi="ug-CN"/>
              </w:rPr>
            </w:pPr>
          </w:p>
        </w:tc>
        <w:tc>
          <w:tcPr>
            <w:tcW w:w="465" w:type="pct"/>
            <w:noWrap/>
            <w:vAlign w:val="center"/>
          </w:tcPr>
          <w:p w14:paraId="0D468160">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sz w:val="24"/>
                <w:szCs w:val="24"/>
                <w:highlight w:val="none"/>
                <w:lang w:val="en-US" w:eastAsia="zh-CN" w:bidi="ug-CN"/>
              </w:rPr>
            </w:pPr>
            <w:r>
              <w:rPr>
                <w:rFonts w:hint="eastAsia" w:ascii="宋体" w:hAnsi="宋体" w:eastAsia="宋体" w:cs="宋体"/>
                <w:color w:val="auto"/>
                <w:sz w:val="24"/>
                <w:szCs w:val="24"/>
                <w:highlight w:val="none"/>
                <w:lang w:val="en-US" w:eastAsia="zh-CN" w:bidi="ug-CN"/>
              </w:rPr>
              <w:t>70分</w:t>
            </w:r>
          </w:p>
        </w:tc>
      </w:tr>
    </w:tbl>
    <w:p w14:paraId="1EC32113">
      <w:pPr>
        <w:spacing w:line="400" w:lineRule="exact"/>
        <w:ind w:firstLine="480" w:firstLineChars="200"/>
        <w:rPr>
          <w:rFonts w:hint="eastAsia" w:ascii="宋体" w:hAnsi="宋体" w:eastAsia="宋体" w:cs="宋体"/>
          <w:b/>
          <w:bCs/>
          <w:color w:val="auto"/>
          <w:highlight w:val="none"/>
        </w:rPr>
      </w:pPr>
      <w:r>
        <w:rPr>
          <w:rFonts w:hint="eastAsia" w:ascii="宋体" w:hAnsi="宋体" w:eastAsia="宋体" w:cs="宋体"/>
          <w:b/>
          <w:bCs/>
          <w:color w:val="auto"/>
          <w:sz w:val="24"/>
          <w:highlight w:val="none"/>
        </w:rPr>
        <w:t>说明：技术偏离表与</w:t>
      </w:r>
      <w:r>
        <w:rPr>
          <w:rFonts w:hint="eastAsia" w:ascii="宋体" w:hAnsi="宋体" w:eastAsia="宋体" w:cs="宋体"/>
          <w:b/>
          <w:bCs/>
          <w:color w:val="auto"/>
          <w:sz w:val="24"/>
          <w:highlight w:val="none"/>
          <w:lang w:eastAsia="zh-CN"/>
        </w:rPr>
        <w:t>投标供应商</w:t>
      </w:r>
      <w:r>
        <w:rPr>
          <w:rFonts w:hint="eastAsia" w:ascii="宋体" w:hAnsi="宋体" w:eastAsia="宋体" w:cs="宋体"/>
          <w:b/>
          <w:bCs/>
          <w:color w:val="auto"/>
          <w:sz w:val="24"/>
          <w:highlight w:val="none"/>
        </w:rPr>
        <w:t>所提供的技术资料参数不符情况</w:t>
      </w:r>
      <w:r>
        <w:rPr>
          <w:rFonts w:hint="eastAsia" w:ascii="宋体" w:hAnsi="宋体" w:eastAsia="宋体" w:cs="宋体"/>
          <w:b/>
          <w:bCs/>
          <w:color w:val="auto"/>
          <w:sz w:val="24"/>
          <w:highlight w:val="none"/>
          <w:lang w:val="en-US" w:eastAsia="zh-CN"/>
        </w:rPr>
        <w:t>以技术资料参数数据为准</w:t>
      </w:r>
      <w:r>
        <w:rPr>
          <w:rFonts w:hint="eastAsia" w:ascii="宋体" w:hAnsi="宋体" w:eastAsia="宋体" w:cs="宋体"/>
          <w:b/>
          <w:bCs/>
          <w:color w:val="auto"/>
          <w:sz w:val="24"/>
          <w:highlight w:val="none"/>
        </w:rPr>
        <w:t>。</w:t>
      </w:r>
    </w:p>
    <w:p w14:paraId="21F1BCDF">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4.5.</w:t>
      </w:r>
      <w:r>
        <w:rPr>
          <w:rFonts w:hint="eastAsia" w:ascii="宋体" w:hAnsi="宋体" w:eastAsia="宋体" w:cs="宋体"/>
          <w:bCs/>
          <w:color w:val="auto"/>
          <w:sz w:val="24"/>
          <w:szCs w:val="24"/>
          <w:highlight w:val="none"/>
          <w:lang w:val="en-US" w:eastAsia="zh-CN"/>
        </w:rPr>
        <w:t xml:space="preserve">6 </w:t>
      </w:r>
      <w:r>
        <w:rPr>
          <w:rFonts w:hint="eastAsia" w:ascii="宋体" w:hAnsi="宋体" w:eastAsia="宋体" w:cs="宋体"/>
          <w:bCs/>
          <w:color w:val="auto"/>
          <w:sz w:val="24"/>
          <w:szCs w:val="24"/>
          <w:highlight w:val="none"/>
        </w:rPr>
        <w:t>供应商总分=</w:t>
      </w:r>
      <w:r>
        <w:rPr>
          <w:rFonts w:hint="eastAsia" w:ascii="宋体" w:hAnsi="宋体" w:eastAsia="宋体" w:cs="宋体"/>
          <w:bCs/>
          <w:color w:val="auto"/>
          <w:sz w:val="24"/>
          <w:szCs w:val="24"/>
          <w:highlight w:val="none"/>
          <w:lang w:val="en-US" w:eastAsia="zh-CN"/>
        </w:rPr>
        <w:t>商务技术部分得分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报价部分</w:t>
      </w:r>
      <w:r>
        <w:rPr>
          <w:rFonts w:hint="eastAsia" w:ascii="宋体" w:hAnsi="宋体" w:eastAsia="宋体" w:cs="宋体"/>
          <w:bCs/>
          <w:color w:val="auto"/>
          <w:sz w:val="24"/>
          <w:szCs w:val="24"/>
          <w:highlight w:val="none"/>
          <w:lang w:val="en-US"/>
        </w:rPr>
        <w:t>得分</w:t>
      </w:r>
      <w:r>
        <w:rPr>
          <w:rFonts w:hint="eastAsia" w:ascii="宋体" w:hAnsi="宋体" w:eastAsia="宋体" w:cs="宋体"/>
          <w:bCs/>
          <w:color w:val="auto"/>
          <w:sz w:val="24"/>
          <w:szCs w:val="24"/>
          <w:highlight w:val="none"/>
        </w:rPr>
        <w:t>，结果保留两位小数。</w:t>
      </w:r>
    </w:p>
    <w:p w14:paraId="1B728B13">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bookmarkStart w:id="91" w:name="_Toc217446060"/>
      <w:r>
        <w:rPr>
          <w:rFonts w:hint="eastAsia" w:ascii="宋体" w:hAnsi="宋体" w:eastAsia="宋体" w:cs="宋体"/>
          <w:bCs/>
          <w:color w:val="auto"/>
          <w:sz w:val="24"/>
          <w:szCs w:val="24"/>
          <w:highlight w:val="none"/>
        </w:rPr>
        <w:t>5. 废标</w:t>
      </w:r>
    </w:p>
    <w:p w14:paraId="66DF94AB">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本次政府采购活动中，出现下列情形之一的，予以废标：</w:t>
      </w:r>
    </w:p>
    <w:p w14:paraId="6A72F4EE">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（1）符合专业条件的供应商或者对</w:t>
      </w:r>
      <w:r>
        <w:rPr>
          <w:rFonts w:hint="eastAsia" w:ascii="宋体" w:hAnsi="宋体" w:eastAsia="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作实质响应的供应商不足三家的；</w:t>
      </w:r>
    </w:p>
    <w:p w14:paraId="66268324">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（2）出现影响采购公正的违法、违规行为的；</w:t>
      </w:r>
    </w:p>
    <w:p w14:paraId="6D8E318E">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（3）供应商的报价均超过了采购预算，采购人不能支付的；</w:t>
      </w:r>
    </w:p>
    <w:p w14:paraId="17644F12">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（4）因重大变故，采购任务取消的。</w:t>
      </w:r>
    </w:p>
    <w:p w14:paraId="31FA3AB0">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废标后，采购代理机构应在发布采购公告的媒体上发布废标公告，并公告废标的详细理由。</w:t>
      </w:r>
    </w:p>
    <w:p w14:paraId="6A979D18">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 定标</w:t>
      </w:r>
      <w:bookmarkEnd w:id="91"/>
      <w:bookmarkStart w:id="92" w:name="_Toc217446061"/>
    </w:p>
    <w:p w14:paraId="34B661B1">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 定标原则</w:t>
      </w:r>
      <w:bookmarkEnd w:id="92"/>
      <w:r>
        <w:rPr>
          <w:rFonts w:hint="eastAsia" w:ascii="宋体" w:hAnsi="宋体" w:eastAsia="宋体" w:cs="宋体"/>
          <w:bCs/>
          <w:color w:val="auto"/>
          <w:sz w:val="24"/>
          <w:szCs w:val="24"/>
          <w:highlight w:val="none"/>
        </w:rPr>
        <w:t>：本项目根据</w:t>
      </w:r>
      <w:r>
        <w:rPr>
          <w:rFonts w:hint="eastAsia" w:ascii="宋体" w:hAnsi="宋体" w:eastAsia="宋体" w:cs="宋体"/>
          <w:bCs/>
          <w:color w:val="auto"/>
          <w:sz w:val="24"/>
          <w:szCs w:val="24"/>
          <w:highlight w:val="none"/>
          <w:lang w:eastAsia="zh-CN"/>
        </w:rPr>
        <w:t>评标委员会</w:t>
      </w:r>
      <w:r>
        <w:rPr>
          <w:rFonts w:hint="eastAsia" w:ascii="宋体" w:hAnsi="宋体" w:eastAsia="宋体" w:cs="宋体"/>
          <w:bCs/>
          <w:color w:val="auto"/>
          <w:sz w:val="24"/>
          <w:szCs w:val="24"/>
          <w:highlight w:val="none"/>
        </w:rPr>
        <w:t>推荐的</w:t>
      </w: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成交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候选人名单，按顺序确定</w:t>
      </w: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成交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人。</w:t>
      </w:r>
    </w:p>
    <w:p w14:paraId="056FAAA2">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bookmarkStart w:id="93" w:name="_Toc217446062"/>
      <w:r>
        <w:rPr>
          <w:rFonts w:hint="eastAsia" w:ascii="宋体" w:hAnsi="宋体" w:eastAsia="宋体" w:cs="宋体"/>
          <w:bCs/>
          <w:color w:val="auto"/>
          <w:sz w:val="24"/>
          <w:szCs w:val="24"/>
          <w:highlight w:val="none"/>
        </w:rPr>
        <w:t>6.2 定标程序</w:t>
      </w:r>
      <w:bookmarkEnd w:id="93"/>
    </w:p>
    <w:p w14:paraId="3544A3A4">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6.2.1 </w:t>
      </w:r>
      <w:r>
        <w:rPr>
          <w:rFonts w:hint="eastAsia" w:ascii="宋体" w:hAnsi="宋体" w:eastAsia="宋体" w:cs="宋体"/>
          <w:bCs/>
          <w:color w:val="auto"/>
          <w:sz w:val="24"/>
          <w:szCs w:val="24"/>
          <w:highlight w:val="none"/>
          <w:lang w:eastAsia="zh-CN"/>
        </w:rPr>
        <w:t>评标委员会</w:t>
      </w:r>
      <w:r>
        <w:rPr>
          <w:rFonts w:hint="eastAsia" w:ascii="宋体" w:hAnsi="宋体" w:eastAsia="宋体" w:cs="宋体"/>
          <w:bCs/>
          <w:color w:val="auto"/>
          <w:sz w:val="24"/>
          <w:szCs w:val="24"/>
          <w:highlight w:val="none"/>
        </w:rPr>
        <w:t>将评标情况写出书面报告，推荐</w:t>
      </w: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成交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候选人，并按照综合得分高低标明排列顺序。本项目采用综合评分法，评标结果按评审后得分由高到低顺序排列。得分相同的，按投标报价由低到高顺序排列。</w:t>
      </w:r>
      <w:r>
        <w:rPr>
          <w:rFonts w:hint="eastAsia" w:ascii="宋体" w:hAnsi="宋体" w:eastAsia="宋体" w:cs="宋体"/>
          <w:color w:val="auto"/>
          <w:sz w:val="24"/>
          <w:szCs w:val="24"/>
          <w:highlight w:val="none"/>
          <w:lang w:eastAsia="zh-CN"/>
        </w:rPr>
        <w:t>得分且投标报价相同的，技术指标较优的一方为中标人。</w:t>
      </w:r>
    </w:p>
    <w:p w14:paraId="4CF37902">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6.2.2 采购代理机构在评标结束后两个工作日内将评标报告送至采购人。</w:t>
      </w:r>
    </w:p>
    <w:p w14:paraId="63742108">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6.2.3 采购人应当自收到评审报告之日起5个工作日内在评审报告推荐的</w:t>
      </w: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成交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候选人中按顺序确定</w:t>
      </w: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成交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供应商。</w:t>
      </w:r>
    </w:p>
    <w:p w14:paraId="034A5653">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6.2.4 根据采购人确定的</w:t>
      </w: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成交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人，采购人在采购公告发布的媒体上发布</w:t>
      </w: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成交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公告，同时向</w:t>
      </w: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成交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人发出</w:t>
      </w: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成交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通知书。</w:t>
      </w:r>
    </w:p>
    <w:p w14:paraId="1F9B6798">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6.2.5 采购单位不退回</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和其他投标资料。</w:t>
      </w:r>
      <w:bookmarkEnd w:id="86"/>
    </w:p>
    <w:p w14:paraId="24274A60">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bookmarkStart w:id="94" w:name="_Toc208849022"/>
      <w:bookmarkStart w:id="95" w:name="_Toc183682432"/>
      <w:bookmarkStart w:id="96" w:name="_Toc217446105"/>
      <w:bookmarkStart w:id="97" w:name="_Toc183582297"/>
      <w:r>
        <w:rPr>
          <w:rFonts w:hint="eastAsia" w:ascii="宋体" w:hAnsi="宋体" w:eastAsia="宋体" w:cs="宋体"/>
          <w:bCs/>
          <w:color w:val="auto"/>
          <w:sz w:val="24"/>
          <w:szCs w:val="24"/>
          <w:highlight w:val="none"/>
        </w:rPr>
        <w:t xml:space="preserve">7. </w:t>
      </w:r>
      <w:bookmarkEnd w:id="94"/>
      <w:bookmarkEnd w:id="95"/>
      <w:bookmarkEnd w:id="96"/>
      <w:bookmarkEnd w:id="97"/>
      <w:r>
        <w:rPr>
          <w:rFonts w:hint="eastAsia" w:ascii="宋体" w:hAnsi="宋体" w:eastAsia="宋体" w:cs="宋体"/>
          <w:bCs/>
          <w:color w:val="auto"/>
          <w:sz w:val="24"/>
          <w:szCs w:val="24"/>
          <w:highlight w:val="none"/>
        </w:rPr>
        <w:t>评标专家在政府采购活动中承担以下义务：</w:t>
      </w:r>
    </w:p>
    <w:p w14:paraId="37ED2D6A">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7.1 遵纪守法，客观、公正、廉洁地履行职责。</w:t>
      </w:r>
    </w:p>
    <w:p w14:paraId="4EBB629A">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7.2 按照政府采购法律法规和</w:t>
      </w:r>
      <w:r>
        <w:rPr>
          <w:rFonts w:hint="eastAsia" w:ascii="宋体" w:hAnsi="宋体" w:eastAsia="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的规定要求对供应商的资格条件和供应商提供的产品价格、技术、服务等方面严格进行评判，提供科学合理、公平公正的评审意见，参与起草评审报告，并予签字确认。</w:t>
      </w:r>
    </w:p>
    <w:p w14:paraId="057AC22E">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7.3 保守秘密。不得透露</w:t>
      </w:r>
      <w:r>
        <w:rPr>
          <w:rFonts w:hint="eastAsia" w:ascii="宋体" w:hAnsi="宋体" w:eastAsia="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咨询情况，不得泄漏供应商的</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及知悉的商业秘密，不得向供应商透露评审情况。</w:t>
      </w:r>
    </w:p>
    <w:p w14:paraId="7ED5A36E">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7.4 发现供应商在政府采购活动中有不正当竞争或恶意串通等违规行为，及时向政府采购评审工作的组织者或财政部门报告并加以制止。</w:t>
      </w:r>
    </w:p>
    <w:p w14:paraId="30B03040">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发现采购人、政府采购代理机构及其工作人员在政府采购活动中有干预评审、发表倾向性和歧视性言论、受贿或者接受供应商的其他好处及其他违法违规行为，及时向财政部门报告。</w:t>
      </w:r>
    </w:p>
    <w:p w14:paraId="7694C175">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7.5 解答有关方面对政府采购评审工作中有关问题的询问，配合采购人或者政府采购代理机构答复供应商质疑，配合财政部门的投诉处理工作等事宜。</w:t>
      </w:r>
    </w:p>
    <w:p w14:paraId="3E225602">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7.6 法律、法规和规章规定的其他义务。</w:t>
      </w:r>
    </w:p>
    <w:p w14:paraId="7F2EA19D">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 评审专家在政府采购活动中应当遵守以下工作纪律：</w:t>
      </w:r>
    </w:p>
    <w:p w14:paraId="6E4534E7">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8.1 应邀按时参加评审和咨询活动。遇特殊情况不能出席或途中遇阻不能按时参加评审或咨询的，应及时告知财政部门或者采购人或者政府采购代理机构，不得私自转托他人。</w:t>
      </w:r>
    </w:p>
    <w:p w14:paraId="1AED3F29">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8.2 不得参加与自己有利害关系的政府采购项目的评审活动。对与自己有利害关系的评审项目，如受到邀请，应主动提出回避。财政部门、采购人或政府采购代理机构也可要求该评审专家回避。</w:t>
      </w:r>
    </w:p>
    <w:p w14:paraId="19FBE5CE">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有利害关系主要是指三年内曾在参加该采购项目供应商中任职(包括一般工作)或担任顾问，配偶或直系亲属在参加该采购项目的供应商中任职或担任顾问，与参加该采购项目供应商发生过法律纠纷，以及其他可能影响公正评审的情况。</w:t>
      </w:r>
    </w:p>
    <w:p w14:paraId="2758F334">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8.3 评审或咨询过程中关闭通讯设备，不得与外界联系。因发生不可预见情况，确实需要与外界联系的，应当有在场工作人员陪同。</w:t>
      </w:r>
    </w:p>
    <w:p w14:paraId="4A987B18">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8.4 评审过程中，不得发表影响评审公正的倾向性、歧视性言论；不得征询或者接受采购人的倾向性意见；不得以任何明示或暗示的方式要求参加该采购项目的供应商以澄清、说明或补正为借口，表达与其原</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原意不同的新意见；不得以</w:t>
      </w:r>
      <w:r>
        <w:rPr>
          <w:rFonts w:hint="eastAsia" w:ascii="宋体" w:hAnsi="宋体" w:eastAsia="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没有规定的方法和标准作为评审的依据；不得违反规定的评审格式评分和撰写评审意见；不得拒绝对自己的评审意见签字确认。</w:t>
      </w:r>
    </w:p>
    <w:p w14:paraId="432884F6">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8.5 在咨询工作中，严格执行国家产业政策和产品标准，认真听取咨询方的合理要求，提出科学合理的、无倾向性和歧视性的咨询方案，并对所提出的意见和建议承担个人责任。</w:t>
      </w:r>
    </w:p>
    <w:p w14:paraId="4A6BA4AD">
      <w:pPr>
        <w:pStyle w:val="3"/>
        <w:keepNext/>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32"/>
          <w:szCs w:val="32"/>
          <w:highlight w:val="none"/>
        </w:rPr>
      </w:pPr>
      <w:bookmarkStart w:id="98" w:name="_Toc19239"/>
      <w:r>
        <w:rPr>
          <w:rFonts w:hint="eastAsia" w:ascii="宋体" w:hAnsi="宋体" w:eastAsia="宋体" w:cs="宋体"/>
          <w:color w:val="auto"/>
          <w:sz w:val="32"/>
          <w:szCs w:val="32"/>
          <w:highlight w:val="none"/>
        </w:rPr>
        <w:br w:type="page"/>
      </w:r>
      <w:bookmarkStart w:id="99" w:name="_Toc5716"/>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eastAsia="zh-CN"/>
        </w:rPr>
        <w:t>五</w:t>
      </w:r>
      <w:r>
        <w:rPr>
          <w:rFonts w:hint="eastAsia" w:ascii="宋体" w:hAnsi="宋体" w:eastAsia="宋体" w:cs="宋体"/>
          <w:color w:val="auto"/>
          <w:sz w:val="32"/>
          <w:szCs w:val="32"/>
          <w:highlight w:val="none"/>
        </w:rPr>
        <w:t>部分 政府采购合同</w:t>
      </w:r>
      <w:bookmarkEnd w:id="61"/>
      <w:bookmarkEnd w:id="62"/>
      <w:bookmarkEnd w:id="63"/>
      <w:bookmarkEnd w:id="64"/>
      <w:bookmarkEnd w:id="98"/>
      <w:bookmarkEnd w:id="99"/>
    </w:p>
    <w:p w14:paraId="64EC6E52">
      <w:pPr>
        <w:pStyle w:val="1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100" w:name="_Toc349573144"/>
      <w:bookmarkStart w:id="101" w:name="_Toc298240429"/>
      <w:bookmarkStart w:id="102" w:name="_Toc349637943"/>
    </w:p>
    <w:p w14:paraId="42F62D9F">
      <w:pPr>
        <w:pStyle w:val="16"/>
        <w:rPr>
          <w:rFonts w:hint="eastAsia" w:ascii="宋体" w:hAnsi="宋体" w:eastAsia="宋体" w:cs="宋体"/>
          <w:color w:val="auto"/>
          <w:sz w:val="24"/>
          <w:szCs w:val="24"/>
          <w:highlight w:val="none"/>
        </w:rPr>
      </w:pPr>
    </w:p>
    <w:p w14:paraId="2145BED2">
      <w:pPr>
        <w:pStyle w:val="17"/>
        <w:rPr>
          <w:rFonts w:hint="eastAsia"/>
          <w:color w:val="auto"/>
          <w:highlight w:val="none"/>
        </w:rPr>
      </w:pPr>
    </w:p>
    <w:p w14:paraId="5774406B">
      <w:pPr>
        <w:pStyle w:val="13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center"/>
        <w:textAlignment w:val="auto"/>
        <w:rPr>
          <w:rFonts w:hint="eastAsia" w:ascii="宋体" w:hAnsi="宋体" w:eastAsia="宋体" w:cs="宋体"/>
          <w:b/>
          <w:color w:val="auto"/>
          <w:sz w:val="24"/>
          <w:szCs w:val="24"/>
          <w:highlight w:val="none"/>
        </w:rPr>
      </w:pPr>
    </w:p>
    <w:p w14:paraId="15C778B2">
      <w:pPr>
        <w:pStyle w:val="132"/>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政府采购合同</w:t>
      </w:r>
    </w:p>
    <w:p w14:paraId="5FCF05A7">
      <w:pPr>
        <w:pStyle w:val="132"/>
        <w:jc w:val="center"/>
        <w:rPr>
          <w:rFonts w:hint="eastAsia" w:ascii="宋体" w:hAnsi="宋体" w:eastAsia="宋体" w:cs="宋体"/>
          <w:b/>
          <w:color w:val="auto"/>
          <w:sz w:val="52"/>
          <w:szCs w:val="52"/>
          <w:highlight w:val="none"/>
        </w:rPr>
      </w:pPr>
    </w:p>
    <w:p w14:paraId="212584C7">
      <w:pPr>
        <w:pStyle w:val="132"/>
        <w:jc w:val="center"/>
        <w:rPr>
          <w:rFonts w:hint="eastAsia" w:ascii="宋体" w:hAnsi="宋体" w:eastAsia="宋体" w:cs="宋体"/>
          <w:b/>
          <w:color w:val="auto"/>
          <w:sz w:val="52"/>
          <w:szCs w:val="52"/>
          <w:highlight w:val="none"/>
        </w:rPr>
      </w:pPr>
    </w:p>
    <w:p w14:paraId="354F6F3A">
      <w:pPr>
        <w:pStyle w:val="132"/>
        <w:jc w:val="center"/>
        <w:rPr>
          <w:rFonts w:hint="eastAsia" w:ascii="宋体" w:hAnsi="宋体" w:eastAsia="宋体" w:cs="宋体"/>
          <w:b/>
          <w:color w:val="auto"/>
          <w:sz w:val="52"/>
          <w:szCs w:val="52"/>
          <w:highlight w:val="none"/>
        </w:rPr>
      </w:pPr>
    </w:p>
    <w:p w14:paraId="14C2DE2F">
      <w:pPr>
        <w:pStyle w:val="132"/>
        <w:jc w:val="center"/>
        <w:rPr>
          <w:rFonts w:hint="eastAsia" w:ascii="宋体" w:hAnsi="宋体" w:eastAsia="宋体" w:cs="宋体"/>
          <w:b/>
          <w:color w:val="auto"/>
          <w:sz w:val="52"/>
          <w:szCs w:val="52"/>
          <w:highlight w:val="none"/>
        </w:rPr>
      </w:pPr>
    </w:p>
    <w:p w14:paraId="7FEE47D0">
      <w:pPr>
        <w:pStyle w:val="132"/>
        <w:jc w:val="center"/>
        <w:rPr>
          <w:rFonts w:hint="eastAsia" w:ascii="宋体" w:hAnsi="宋体" w:eastAsia="宋体" w:cs="宋体"/>
          <w:b/>
          <w:color w:val="auto"/>
          <w:sz w:val="52"/>
          <w:szCs w:val="52"/>
          <w:highlight w:val="none"/>
        </w:rPr>
      </w:pPr>
    </w:p>
    <w:p w14:paraId="50B392DF">
      <w:pPr>
        <w:pStyle w:val="132"/>
        <w:jc w:val="center"/>
        <w:rPr>
          <w:rFonts w:hint="eastAsia" w:ascii="宋体" w:hAnsi="宋体" w:eastAsia="宋体" w:cs="宋体"/>
          <w:b/>
          <w:color w:val="auto"/>
          <w:sz w:val="52"/>
          <w:szCs w:val="52"/>
          <w:highlight w:val="none"/>
        </w:rPr>
      </w:pPr>
    </w:p>
    <w:p w14:paraId="68F74FBD">
      <w:pPr>
        <w:pStyle w:val="132"/>
        <w:jc w:val="center"/>
        <w:rPr>
          <w:rFonts w:hint="eastAsia" w:ascii="宋体" w:hAnsi="宋体" w:eastAsia="宋体" w:cs="宋体"/>
          <w:b/>
          <w:color w:val="auto"/>
          <w:sz w:val="52"/>
          <w:szCs w:val="52"/>
          <w:highlight w:val="none"/>
        </w:rPr>
      </w:pPr>
    </w:p>
    <w:p w14:paraId="40BDD89D">
      <w:pPr>
        <w:pStyle w:val="132"/>
        <w:jc w:val="center"/>
        <w:rPr>
          <w:rFonts w:hint="eastAsia" w:ascii="宋体" w:hAnsi="宋体" w:eastAsia="宋体" w:cs="宋体"/>
          <w:b/>
          <w:color w:val="auto"/>
          <w:sz w:val="52"/>
          <w:szCs w:val="52"/>
          <w:highlight w:val="none"/>
        </w:rPr>
      </w:pPr>
    </w:p>
    <w:p w14:paraId="4D832699">
      <w:pPr>
        <w:pStyle w:val="132"/>
        <w:jc w:val="center"/>
        <w:rPr>
          <w:rFonts w:hint="eastAsia" w:ascii="宋体" w:hAnsi="宋体" w:eastAsia="宋体" w:cs="宋体"/>
          <w:b/>
          <w:color w:val="auto"/>
          <w:sz w:val="52"/>
          <w:szCs w:val="52"/>
          <w:highlight w:val="none"/>
        </w:rPr>
      </w:pPr>
    </w:p>
    <w:p w14:paraId="3859C170">
      <w:pPr>
        <w:pStyle w:val="132"/>
        <w:ind w:left="0" w:leftChars="0" w:firstLine="2099" w:firstLineChars="656"/>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项目名称:</w:t>
      </w:r>
      <w:r>
        <w:rPr>
          <w:rFonts w:hint="eastAsia" w:ascii="宋体" w:hAnsi="宋体" w:eastAsia="宋体" w:cs="宋体"/>
          <w:b/>
          <w:color w:val="auto"/>
          <w:sz w:val="32"/>
          <w:szCs w:val="32"/>
          <w:highlight w:val="none"/>
          <w:u w:val="single"/>
        </w:rPr>
        <w:t xml:space="preserve">                    </w:t>
      </w:r>
    </w:p>
    <w:p w14:paraId="311C770E">
      <w:pPr>
        <w:pStyle w:val="132"/>
        <w:spacing w:before="312" w:beforeLines="100"/>
        <w:ind w:left="0" w:leftChars="0" w:firstLine="2099" w:firstLineChars="656"/>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项目编号:</w:t>
      </w:r>
      <w:r>
        <w:rPr>
          <w:rFonts w:hint="eastAsia" w:ascii="宋体" w:hAnsi="宋体" w:eastAsia="宋体" w:cs="宋体"/>
          <w:b/>
          <w:color w:val="auto"/>
          <w:sz w:val="32"/>
          <w:szCs w:val="32"/>
          <w:highlight w:val="none"/>
          <w:u w:val="single"/>
        </w:rPr>
        <w:t xml:space="preserve">                    </w:t>
      </w:r>
    </w:p>
    <w:p w14:paraId="32985B69">
      <w:pPr>
        <w:pStyle w:val="165"/>
        <w:spacing w:line="560" w:lineRule="exact"/>
        <w:ind w:firstLine="480"/>
        <w:rPr>
          <w:rFonts w:hint="eastAsia" w:ascii="宋体" w:hAnsi="宋体"/>
          <w:color w:val="auto"/>
          <w:highlight w:val="none"/>
        </w:rPr>
      </w:pPr>
      <w:bookmarkStart w:id="103" w:name="OLE_LINK4"/>
    </w:p>
    <w:p w14:paraId="05A75CD1">
      <w:pPr>
        <w:pStyle w:val="165"/>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合同编号：</w:t>
      </w:r>
    </w:p>
    <w:p w14:paraId="1C9BA075">
      <w:pPr>
        <w:pStyle w:val="165"/>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w:t>
      </w:r>
      <w:r>
        <w:rPr>
          <w:rFonts w:hint="eastAsia" w:ascii="宋体" w:hAnsi="宋体" w:eastAsia="宋体" w:cs="宋体"/>
          <w:color w:val="auto"/>
          <w:sz w:val="24"/>
          <w:szCs w:val="24"/>
          <w:highlight w:val="none"/>
          <w:u w:val="single"/>
        </w:rPr>
        <w:t>20</w:t>
      </w:r>
      <w:r>
        <w:rPr>
          <w:rFonts w:hint="eastAsia" w:ascii="宋体" w:hAnsi="宋体" w:eastAsia="宋体" w:cs="宋体"/>
          <w:color w:val="auto"/>
          <w:sz w:val="24"/>
          <w:szCs w:val="24"/>
          <w:highlight w:val="none"/>
          <w:u w:val="single"/>
          <w:lang w:val="en-US" w:eastAsia="zh-CN"/>
        </w:rPr>
        <w:t>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E8044A6">
      <w:pPr>
        <w:pStyle w:val="165"/>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甲方（需方）：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5AA0EFC">
      <w:pPr>
        <w:pStyle w:val="165"/>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乙方（供方）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241C1B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根据《中华人民共和国政府采购法》、《中华人民共和国</w:t>
      </w:r>
      <w:r>
        <w:rPr>
          <w:rFonts w:hint="eastAsia" w:ascii="宋体" w:hAnsi="宋体" w:eastAsia="宋体" w:cs="宋体"/>
          <w:color w:val="auto"/>
          <w:sz w:val="24"/>
          <w:szCs w:val="24"/>
          <w:highlight w:val="none"/>
          <w:lang w:val="en-US" w:eastAsia="zh-CN"/>
        </w:rPr>
        <w:t>政府采购法实施条例</w:t>
      </w:r>
      <w:r>
        <w:rPr>
          <w:rFonts w:hint="eastAsia" w:ascii="宋体" w:hAnsi="宋体" w:eastAsia="宋体" w:cs="宋体"/>
          <w:color w:val="auto"/>
          <w:sz w:val="24"/>
          <w:szCs w:val="24"/>
          <w:highlight w:val="none"/>
        </w:rPr>
        <w:t>》、《中华人民共和国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》及其它有关法律、行政法规的规定，根据</w:t>
      </w:r>
      <w:r>
        <w:rPr>
          <w:rFonts w:hint="eastAsia" w:ascii="宋体" w:hAnsi="宋体" w:eastAsia="宋体" w:cs="宋体"/>
          <w:color w:val="auto"/>
          <w:sz w:val="24"/>
          <w:szCs w:val="24"/>
          <w:highlight w:val="none"/>
          <w:u w:val="single"/>
          <w:lang w:val="en-US" w:eastAsia="zh-CN"/>
        </w:rPr>
        <w:t>市属单位2025年防暴装备采购项目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》、乙方的《</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响应文件》及《中标通知书》，甲、乙双方同意签署本合同并共同遵守：</w:t>
      </w:r>
    </w:p>
    <w:p w14:paraId="275A6282">
      <w:pPr>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b/>
          <w:bCs/>
          <w:color w:val="auto"/>
          <w:sz w:val="24"/>
          <w:szCs w:val="24"/>
          <w:highlight w:val="none"/>
        </w:rPr>
        <w:t>合同内容</w:t>
      </w:r>
    </w:p>
    <w:p w14:paraId="4F247BC3">
      <w:pPr>
        <w:keepNext w:val="0"/>
        <w:keepLines w:val="0"/>
        <w:pageBreakBefore w:val="0"/>
        <w:widowControl w:val="0"/>
        <w:kinsoku/>
        <w:wordWrap/>
        <w:overflowPunct/>
        <w:topLinePunct w:val="0"/>
        <w:autoSpaceDE/>
        <w:autoSpaceDN/>
        <w:bidi w:val="0"/>
        <w:adjustRightInd/>
        <w:snapToGrid/>
        <w:spacing w:line="400" w:lineRule="exact"/>
        <w:ind w:firstLine="470" w:firstLineChars="196"/>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乙方向甲方提供的货物明细见下表：</w:t>
      </w:r>
    </w:p>
    <w:tbl>
      <w:tblPr>
        <w:tblStyle w:val="36"/>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962"/>
        <w:gridCol w:w="1127"/>
        <w:gridCol w:w="1099"/>
        <w:gridCol w:w="1334"/>
        <w:gridCol w:w="953"/>
        <w:gridCol w:w="1903"/>
        <w:gridCol w:w="1759"/>
      </w:tblGrid>
      <w:tr w14:paraId="30C14AA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042" w:hRule="atLeast"/>
        </w:trPr>
        <w:tc>
          <w:tcPr>
            <w:tcW w:w="96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8F781D1">
            <w:pPr>
              <w:widowControl/>
              <w:spacing w:after="16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127"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567F00EA">
            <w:pPr>
              <w:widowControl/>
              <w:spacing w:after="16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名称</w:t>
            </w:r>
          </w:p>
        </w:tc>
        <w:tc>
          <w:tcPr>
            <w:tcW w:w="1099"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370CE992">
            <w:pPr>
              <w:widowControl/>
              <w:spacing w:after="16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品牌</w:t>
            </w:r>
          </w:p>
        </w:tc>
        <w:tc>
          <w:tcPr>
            <w:tcW w:w="1334" w:type="dxa"/>
            <w:tcBorders>
              <w:top w:val="single" w:color="000000" w:sz="8" w:space="0"/>
              <w:left w:val="nil"/>
              <w:bottom w:val="single" w:color="000000" w:sz="8" w:space="0"/>
              <w:right w:val="single" w:color="auto" w:sz="4" w:space="0"/>
            </w:tcBorders>
            <w:noWrap w:val="0"/>
            <w:tcMar>
              <w:top w:w="0" w:type="dxa"/>
              <w:left w:w="108" w:type="dxa"/>
              <w:bottom w:w="0" w:type="dxa"/>
              <w:right w:w="108" w:type="dxa"/>
            </w:tcMar>
            <w:vAlign w:val="center"/>
          </w:tcPr>
          <w:p w14:paraId="3A9294EC">
            <w:pPr>
              <w:widowControl/>
              <w:spacing w:after="16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制造商</w:t>
            </w:r>
          </w:p>
        </w:tc>
        <w:tc>
          <w:tcPr>
            <w:tcW w:w="953"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410B7AC6">
            <w:pPr>
              <w:widowControl/>
              <w:spacing w:after="16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1903"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14F95400">
            <w:pPr>
              <w:widowControl/>
              <w:spacing w:after="16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单价（元）</w:t>
            </w:r>
          </w:p>
        </w:tc>
        <w:tc>
          <w:tcPr>
            <w:tcW w:w="1759"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2664FDB3">
            <w:pPr>
              <w:widowControl/>
              <w:spacing w:after="16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总价（元）</w:t>
            </w:r>
          </w:p>
        </w:tc>
      </w:tr>
      <w:tr w14:paraId="7043CEE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7" w:hRule="atLeast"/>
        </w:trPr>
        <w:tc>
          <w:tcPr>
            <w:tcW w:w="96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DFCF9B8">
            <w:pPr>
              <w:keepNext/>
              <w:keepLines/>
              <w:widowControl/>
              <w:spacing w:before="260" w:after="260"/>
              <w:ind w:firstLine="200"/>
              <w:textAlignment w:val="center"/>
              <w:rPr>
                <w:rFonts w:hint="eastAsia" w:ascii="宋体" w:hAnsi="宋体" w:eastAsia="宋体" w:cs="宋体"/>
                <w:color w:val="auto"/>
                <w:kern w:val="0"/>
                <w:sz w:val="24"/>
                <w:szCs w:val="24"/>
                <w:highlight w:val="none"/>
              </w:rPr>
            </w:pPr>
          </w:p>
        </w:tc>
        <w:tc>
          <w:tcPr>
            <w:tcW w:w="1127"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77CA5627">
            <w:pPr>
              <w:keepNext/>
              <w:keepLines/>
              <w:widowControl/>
              <w:spacing w:before="260" w:after="260"/>
              <w:ind w:firstLine="200"/>
              <w:textAlignment w:val="center"/>
              <w:rPr>
                <w:rFonts w:hint="eastAsia" w:ascii="宋体" w:hAnsi="宋体" w:eastAsia="宋体" w:cs="宋体"/>
                <w:color w:val="auto"/>
                <w:kern w:val="0"/>
                <w:sz w:val="24"/>
                <w:szCs w:val="24"/>
                <w:highlight w:val="none"/>
              </w:rPr>
            </w:pPr>
          </w:p>
        </w:tc>
        <w:tc>
          <w:tcPr>
            <w:tcW w:w="1099"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6ABBA3C3">
            <w:pPr>
              <w:keepNext/>
              <w:keepLines/>
              <w:widowControl/>
              <w:spacing w:before="260" w:after="260"/>
              <w:ind w:firstLine="200"/>
              <w:textAlignment w:val="center"/>
              <w:rPr>
                <w:rFonts w:hint="eastAsia" w:ascii="宋体" w:hAnsi="宋体" w:eastAsia="宋体" w:cs="宋体"/>
                <w:color w:val="auto"/>
                <w:kern w:val="0"/>
                <w:sz w:val="24"/>
                <w:szCs w:val="24"/>
                <w:highlight w:val="none"/>
              </w:rPr>
            </w:pPr>
          </w:p>
        </w:tc>
        <w:tc>
          <w:tcPr>
            <w:tcW w:w="1334" w:type="dxa"/>
            <w:tcBorders>
              <w:top w:val="single" w:color="000000" w:sz="8" w:space="0"/>
              <w:left w:val="nil"/>
              <w:bottom w:val="single" w:color="000000" w:sz="8" w:space="0"/>
              <w:right w:val="single" w:color="auto" w:sz="4" w:space="0"/>
            </w:tcBorders>
            <w:noWrap w:val="0"/>
            <w:tcMar>
              <w:top w:w="0" w:type="dxa"/>
              <w:left w:w="108" w:type="dxa"/>
              <w:bottom w:w="0" w:type="dxa"/>
              <w:right w:w="108" w:type="dxa"/>
            </w:tcMar>
            <w:vAlign w:val="center"/>
          </w:tcPr>
          <w:p w14:paraId="30E9912F">
            <w:pPr>
              <w:keepNext/>
              <w:keepLines/>
              <w:widowControl/>
              <w:spacing w:before="260" w:after="260"/>
              <w:ind w:firstLine="200"/>
              <w:textAlignment w:val="center"/>
              <w:rPr>
                <w:rFonts w:hint="eastAsia" w:ascii="宋体" w:hAnsi="宋体" w:eastAsia="宋体" w:cs="宋体"/>
                <w:color w:val="auto"/>
                <w:kern w:val="0"/>
                <w:sz w:val="24"/>
                <w:szCs w:val="24"/>
                <w:highlight w:val="none"/>
              </w:rPr>
            </w:pPr>
          </w:p>
        </w:tc>
        <w:tc>
          <w:tcPr>
            <w:tcW w:w="953"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289EA978">
            <w:pPr>
              <w:keepNext/>
              <w:keepLines/>
              <w:widowControl/>
              <w:spacing w:before="260" w:after="260"/>
              <w:ind w:firstLine="200"/>
              <w:textAlignment w:val="center"/>
              <w:rPr>
                <w:rFonts w:hint="eastAsia" w:ascii="宋体" w:hAnsi="宋体" w:eastAsia="宋体" w:cs="宋体"/>
                <w:color w:val="auto"/>
                <w:kern w:val="0"/>
                <w:sz w:val="24"/>
                <w:szCs w:val="24"/>
                <w:highlight w:val="none"/>
              </w:rPr>
            </w:pPr>
          </w:p>
        </w:tc>
        <w:tc>
          <w:tcPr>
            <w:tcW w:w="1903"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353A3B93">
            <w:pPr>
              <w:keepNext/>
              <w:keepLines/>
              <w:widowControl/>
              <w:spacing w:before="260" w:after="260"/>
              <w:ind w:firstLine="200"/>
              <w:textAlignment w:val="center"/>
              <w:rPr>
                <w:rFonts w:hint="eastAsia" w:ascii="宋体" w:hAnsi="宋体" w:eastAsia="宋体" w:cs="宋体"/>
                <w:color w:val="auto"/>
                <w:kern w:val="0"/>
                <w:sz w:val="24"/>
                <w:szCs w:val="24"/>
                <w:highlight w:val="none"/>
              </w:rPr>
            </w:pPr>
          </w:p>
        </w:tc>
        <w:tc>
          <w:tcPr>
            <w:tcW w:w="1759"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68A71B64">
            <w:pPr>
              <w:keepNext/>
              <w:keepLines/>
              <w:widowControl/>
              <w:spacing w:before="260" w:after="260"/>
              <w:ind w:firstLine="200"/>
              <w:textAlignment w:val="center"/>
              <w:rPr>
                <w:rFonts w:hint="eastAsia" w:ascii="宋体" w:hAnsi="宋体" w:eastAsia="宋体" w:cs="宋体"/>
                <w:color w:val="auto"/>
                <w:kern w:val="0"/>
                <w:sz w:val="24"/>
                <w:szCs w:val="24"/>
                <w:highlight w:val="none"/>
              </w:rPr>
            </w:pPr>
          </w:p>
        </w:tc>
      </w:tr>
      <w:tr w14:paraId="529796F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15" w:hRule="atLeast"/>
        </w:trPr>
        <w:tc>
          <w:tcPr>
            <w:tcW w:w="96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F464514">
            <w:pPr>
              <w:keepNext/>
              <w:keepLines/>
              <w:widowControl/>
              <w:spacing w:before="260" w:after="260"/>
              <w:ind w:firstLine="200"/>
              <w:textAlignment w:val="center"/>
              <w:rPr>
                <w:rFonts w:hint="eastAsia" w:ascii="宋体" w:hAnsi="宋体" w:eastAsia="宋体" w:cs="宋体"/>
                <w:color w:val="auto"/>
                <w:kern w:val="0"/>
                <w:sz w:val="24"/>
                <w:szCs w:val="24"/>
                <w:highlight w:val="none"/>
              </w:rPr>
            </w:pPr>
          </w:p>
        </w:tc>
        <w:tc>
          <w:tcPr>
            <w:tcW w:w="1127"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7BCF6C65">
            <w:pPr>
              <w:keepNext/>
              <w:keepLines/>
              <w:widowControl/>
              <w:spacing w:before="260" w:after="260"/>
              <w:ind w:firstLine="200"/>
              <w:textAlignment w:val="center"/>
              <w:rPr>
                <w:rFonts w:hint="eastAsia" w:ascii="宋体" w:hAnsi="宋体" w:eastAsia="宋体" w:cs="宋体"/>
                <w:color w:val="auto"/>
                <w:kern w:val="0"/>
                <w:sz w:val="24"/>
                <w:szCs w:val="24"/>
                <w:highlight w:val="none"/>
              </w:rPr>
            </w:pPr>
          </w:p>
        </w:tc>
        <w:tc>
          <w:tcPr>
            <w:tcW w:w="1099"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4927A14D">
            <w:pPr>
              <w:keepNext/>
              <w:keepLines/>
              <w:widowControl/>
              <w:spacing w:before="260" w:after="260"/>
              <w:ind w:firstLine="200"/>
              <w:textAlignment w:val="center"/>
              <w:rPr>
                <w:rFonts w:hint="eastAsia" w:ascii="宋体" w:hAnsi="宋体" w:eastAsia="宋体" w:cs="宋体"/>
                <w:color w:val="auto"/>
                <w:kern w:val="0"/>
                <w:sz w:val="24"/>
                <w:szCs w:val="24"/>
                <w:highlight w:val="none"/>
              </w:rPr>
            </w:pPr>
          </w:p>
        </w:tc>
        <w:tc>
          <w:tcPr>
            <w:tcW w:w="1334" w:type="dxa"/>
            <w:tcBorders>
              <w:top w:val="single" w:color="000000" w:sz="8" w:space="0"/>
              <w:left w:val="nil"/>
              <w:bottom w:val="single" w:color="000000" w:sz="8" w:space="0"/>
              <w:right w:val="single" w:color="auto" w:sz="4" w:space="0"/>
            </w:tcBorders>
            <w:noWrap w:val="0"/>
            <w:tcMar>
              <w:top w:w="0" w:type="dxa"/>
              <w:left w:w="108" w:type="dxa"/>
              <w:bottom w:w="0" w:type="dxa"/>
              <w:right w:w="108" w:type="dxa"/>
            </w:tcMar>
            <w:vAlign w:val="center"/>
          </w:tcPr>
          <w:p w14:paraId="69844CB5">
            <w:pPr>
              <w:keepNext/>
              <w:keepLines/>
              <w:widowControl/>
              <w:spacing w:before="260" w:after="260"/>
              <w:ind w:firstLine="200"/>
              <w:textAlignment w:val="center"/>
              <w:rPr>
                <w:rFonts w:hint="eastAsia" w:ascii="宋体" w:hAnsi="宋体" w:eastAsia="宋体" w:cs="宋体"/>
                <w:color w:val="auto"/>
                <w:kern w:val="0"/>
                <w:sz w:val="24"/>
                <w:szCs w:val="24"/>
                <w:highlight w:val="none"/>
              </w:rPr>
            </w:pPr>
          </w:p>
        </w:tc>
        <w:tc>
          <w:tcPr>
            <w:tcW w:w="953"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18B64505">
            <w:pPr>
              <w:keepNext/>
              <w:keepLines/>
              <w:widowControl/>
              <w:spacing w:before="260" w:after="260"/>
              <w:ind w:firstLine="200"/>
              <w:textAlignment w:val="center"/>
              <w:rPr>
                <w:rFonts w:hint="eastAsia" w:ascii="宋体" w:hAnsi="宋体" w:eastAsia="宋体" w:cs="宋体"/>
                <w:color w:val="auto"/>
                <w:kern w:val="0"/>
                <w:sz w:val="24"/>
                <w:szCs w:val="24"/>
                <w:highlight w:val="none"/>
              </w:rPr>
            </w:pPr>
          </w:p>
        </w:tc>
        <w:tc>
          <w:tcPr>
            <w:tcW w:w="1903"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52D85E2F">
            <w:pPr>
              <w:keepNext/>
              <w:keepLines/>
              <w:widowControl/>
              <w:spacing w:before="260" w:after="260"/>
              <w:ind w:firstLine="200"/>
              <w:textAlignment w:val="center"/>
              <w:rPr>
                <w:rFonts w:hint="eastAsia" w:ascii="宋体" w:hAnsi="宋体" w:eastAsia="宋体" w:cs="宋体"/>
                <w:color w:val="auto"/>
                <w:kern w:val="0"/>
                <w:sz w:val="24"/>
                <w:szCs w:val="24"/>
                <w:highlight w:val="none"/>
              </w:rPr>
            </w:pPr>
          </w:p>
        </w:tc>
        <w:tc>
          <w:tcPr>
            <w:tcW w:w="1759"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1698B0F4">
            <w:pPr>
              <w:keepNext/>
              <w:keepLines/>
              <w:widowControl/>
              <w:spacing w:before="260" w:after="260"/>
              <w:ind w:firstLine="200"/>
              <w:textAlignment w:val="center"/>
              <w:rPr>
                <w:rFonts w:hint="eastAsia" w:ascii="宋体" w:hAnsi="宋体" w:eastAsia="宋体" w:cs="宋体"/>
                <w:color w:val="auto"/>
                <w:kern w:val="0"/>
                <w:sz w:val="24"/>
                <w:szCs w:val="24"/>
                <w:highlight w:val="none"/>
              </w:rPr>
            </w:pPr>
          </w:p>
        </w:tc>
      </w:tr>
    </w:tbl>
    <w:p w14:paraId="7E6B330F">
      <w:pPr>
        <w:widowControl/>
        <w:spacing w:line="360" w:lineRule="auto"/>
        <w:jc w:val="left"/>
        <w:rPr>
          <w:rFonts w:hint="eastAsia" w:ascii="宋体" w:hAnsi="宋体" w:eastAsia="宋体" w:cs="宋体"/>
          <w:b/>
          <w:bCs/>
          <w:color w:val="auto"/>
          <w:sz w:val="24"/>
          <w:szCs w:val="24"/>
          <w:highlight w:val="none"/>
        </w:rPr>
        <w:sectPr>
          <w:footerReference r:id="rId6" w:type="default"/>
          <w:pgSz w:w="11906" w:h="16838"/>
          <w:pgMar w:top="1418" w:right="1274" w:bottom="1418" w:left="1418" w:header="850" w:footer="964" w:gutter="0"/>
          <w:pgNumType w:fmt="decimal" w:start="1"/>
          <w:cols w:space="720" w:num="1"/>
          <w:docGrid w:type="linesAndChars" w:linePitch="312" w:charSpace="0"/>
        </w:sectPr>
      </w:pPr>
    </w:p>
    <w:p w14:paraId="40BAD26E">
      <w:pPr>
        <w:keepNext w:val="0"/>
        <w:keepLines w:val="0"/>
        <w:pageBreakBefore w:val="0"/>
        <w:kinsoku/>
        <w:wordWrap/>
        <w:overflowPunct/>
        <w:topLinePunct w:val="0"/>
        <w:autoSpaceDE/>
        <w:autoSpaceDN/>
        <w:bidi w:val="0"/>
        <w:adjustRightInd/>
        <w:spacing w:line="400" w:lineRule="exact"/>
        <w:ind w:firstLine="472" w:firstLineChars="196"/>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二、合同金额</w:t>
      </w:r>
    </w:p>
    <w:p w14:paraId="43A96D9E">
      <w:pPr>
        <w:pStyle w:val="12"/>
        <w:keepNext w:val="0"/>
        <w:keepLines w:val="0"/>
        <w:pageBreakBefore w:val="0"/>
        <w:kinsoku/>
        <w:wordWrap/>
        <w:overflowPunct/>
        <w:topLinePunct w:val="0"/>
        <w:autoSpaceDE/>
        <w:autoSpaceDN/>
        <w:bidi w:val="0"/>
        <w:adjustRightInd/>
        <w:spacing w:line="400" w:lineRule="exact"/>
        <w:ind w:firstLine="48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本项目合同总价为：人民币大写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元整</w:t>
      </w:r>
      <w:r>
        <w:rPr>
          <w:rFonts w:hint="eastAsia" w:ascii="宋体" w:hAnsi="宋体" w:eastAsia="宋体" w:cs="宋体"/>
          <w:color w:val="auto"/>
          <w:sz w:val="24"/>
          <w:szCs w:val="24"/>
          <w:highlight w:val="none"/>
        </w:rPr>
        <w:t>，即人民币</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rPr>
        <w:t>元</w:t>
      </w:r>
      <w:r>
        <w:rPr>
          <w:rFonts w:hint="eastAsia" w:ascii="宋体" w:hAnsi="宋体" w:eastAsia="宋体" w:cs="宋体"/>
          <w:color w:val="auto"/>
          <w:sz w:val="24"/>
          <w:szCs w:val="24"/>
          <w:highlight w:val="none"/>
        </w:rPr>
        <w:t>。该合同总价已包括本项目的</w:t>
      </w:r>
      <w:r>
        <w:rPr>
          <w:rFonts w:hint="eastAsia" w:ascii="宋体" w:hAnsi="宋体" w:eastAsia="宋体" w:cs="宋体"/>
          <w:color w:val="auto"/>
          <w:sz w:val="24"/>
          <w:szCs w:val="24"/>
          <w:highlight w:val="none"/>
          <w:shd w:val="clear" w:color="auto" w:fill="FFFFFF"/>
        </w:rPr>
        <w:t>材料、制造、包装、运输、保险、装卸、调试、检测、验收合格交付使用之前及保修期内保修服务与备用物件等所有其他有关各项费用和包含各环节增值税税金等全部费用。本合同执行期间合同总价不变，甲方无须通过任何形式另向乙方支付本合同规定之外的其他任何费用。</w:t>
      </w:r>
    </w:p>
    <w:p w14:paraId="2BDE56A0">
      <w:pPr>
        <w:keepNext w:val="0"/>
        <w:keepLines w:val="0"/>
        <w:pageBreakBefore w:val="0"/>
        <w:kinsoku/>
        <w:wordWrap/>
        <w:overflowPunct/>
        <w:topLinePunct w:val="0"/>
        <w:autoSpaceDE/>
        <w:autoSpaceDN/>
        <w:bidi w:val="0"/>
        <w:adjustRightInd/>
        <w:spacing w:line="400" w:lineRule="exact"/>
        <w:ind w:firstLine="472" w:firstLineChars="196"/>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三、支付和结算方式</w:t>
      </w:r>
    </w:p>
    <w:p w14:paraId="6D66BFA3">
      <w:pPr>
        <w:keepNext w:val="0"/>
        <w:keepLines w:val="0"/>
        <w:pageBreakBefore w:val="0"/>
        <w:widowControl/>
        <w:tabs>
          <w:tab w:val="left" w:pos="360"/>
          <w:tab w:val="left" w:pos="54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1.双方因本合同发生的一切费用均以人民币结算及支付。</w:t>
      </w:r>
    </w:p>
    <w:p w14:paraId="2A1E7FD1">
      <w:pPr>
        <w:keepNext w:val="0"/>
        <w:keepLines w:val="0"/>
        <w:pageBreakBefore w:val="0"/>
        <w:widowControl/>
        <w:tabs>
          <w:tab w:val="left" w:pos="360"/>
          <w:tab w:val="left" w:pos="54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2.双方的账号名称、开户银行及账号以本合同提供的为准。</w:t>
      </w:r>
    </w:p>
    <w:p w14:paraId="36544AC9">
      <w:pPr>
        <w:keepNext w:val="0"/>
        <w:keepLines w:val="0"/>
        <w:pageBreakBefore w:val="0"/>
        <w:widowControl/>
        <w:tabs>
          <w:tab w:val="left" w:pos="360"/>
          <w:tab w:val="left" w:pos="540"/>
        </w:tabs>
        <w:kinsoku/>
        <w:wordWrap/>
        <w:overflowPunct/>
        <w:topLinePunct w:val="0"/>
        <w:autoSpaceDE/>
        <w:autoSpaceDN/>
        <w:bidi w:val="0"/>
        <w:adjustRightInd/>
        <w:snapToGrid w:val="0"/>
        <w:spacing w:line="400" w:lineRule="exact"/>
        <w:ind w:firstLine="436" w:firstLineChars="1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甲方名称：</w:t>
      </w:r>
    </w:p>
    <w:p w14:paraId="564795D4">
      <w:pPr>
        <w:keepNext w:val="0"/>
        <w:keepLines w:val="0"/>
        <w:pageBreakBefore w:val="0"/>
        <w:widowControl/>
        <w:tabs>
          <w:tab w:val="left" w:pos="360"/>
          <w:tab w:val="left" w:pos="540"/>
        </w:tabs>
        <w:kinsoku/>
        <w:wordWrap/>
        <w:overflowPunct/>
        <w:topLinePunct w:val="0"/>
        <w:autoSpaceDE/>
        <w:autoSpaceDN/>
        <w:bidi w:val="0"/>
        <w:adjustRightInd/>
        <w:snapToGrid w:val="0"/>
        <w:spacing w:line="400" w:lineRule="exact"/>
        <w:ind w:firstLine="436" w:firstLineChars="1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 </w:t>
      </w:r>
    </w:p>
    <w:p w14:paraId="60D8EB24">
      <w:pPr>
        <w:keepNext w:val="0"/>
        <w:keepLines w:val="0"/>
        <w:pageBreakBefore w:val="0"/>
        <w:kinsoku/>
        <w:wordWrap/>
        <w:overflowPunct/>
        <w:topLinePunct w:val="0"/>
        <w:autoSpaceDE/>
        <w:autoSpaceDN/>
        <w:bidi w:val="0"/>
        <w:adjustRightInd/>
        <w:spacing w:line="400" w:lineRule="exact"/>
        <w:ind w:firstLine="436" w:firstLineChars="1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p>
    <w:p w14:paraId="361AB124">
      <w:pPr>
        <w:keepNext w:val="0"/>
        <w:keepLines w:val="0"/>
        <w:pageBreakBefore w:val="0"/>
        <w:kinsoku/>
        <w:wordWrap/>
        <w:overflowPunct/>
        <w:topLinePunct w:val="0"/>
        <w:autoSpaceDE/>
        <w:autoSpaceDN/>
        <w:bidi w:val="0"/>
        <w:adjustRightInd/>
        <w:spacing w:line="400" w:lineRule="exact"/>
        <w:ind w:firstLine="436" w:firstLineChars="1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纳税识别号：</w:t>
      </w:r>
    </w:p>
    <w:p w14:paraId="5071B194">
      <w:pPr>
        <w:keepNext w:val="0"/>
        <w:keepLines w:val="0"/>
        <w:pageBreakBefore w:val="0"/>
        <w:widowControl/>
        <w:tabs>
          <w:tab w:val="left" w:pos="360"/>
          <w:tab w:val="left" w:pos="540"/>
        </w:tabs>
        <w:kinsoku/>
        <w:wordWrap/>
        <w:overflowPunct/>
        <w:topLinePunct w:val="0"/>
        <w:autoSpaceDE/>
        <w:autoSpaceDN/>
        <w:bidi w:val="0"/>
        <w:adjustRightInd/>
        <w:snapToGrid w:val="0"/>
        <w:spacing w:line="400" w:lineRule="exact"/>
        <w:ind w:firstLine="436" w:firstLineChars="1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乙方名称：</w:t>
      </w:r>
    </w:p>
    <w:p w14:paraId="645E585C">
      <w:pPr>
        <w:keepNext w:val="0"/>
        <w:keepLines w:val="0"/>
        <w:pageBreakBefore w:val="0"/>
        <w:widowControl/>
        <w:tabs>
          <w:tab w:val="left" w:pos="360"/>
          <w:tab w:val="left" w:pos="540"/>
        </w:tabs>
        <w:kinsoku/>
        <w:wordWrap/>
        <w:overflowPunct/>
        <w:topLinePunct w:val="0"/>
        <w:autoSpaceDE/>
        <w:autoSpaceDN/>
        <w:bidi w:val="0"/>
        <w:adjustRightInd/>
        <w:snapToGrid w:val="0"/>
        <w:spacing w:line="400" w:lineRule="exact"/>
        <w:ind w:firstLine="436" w:firstLineChars="1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p w14:paraId="69A5C338">
      <w:pPr>
        <w:keepNext w:val="0"/>
        <w:keepLines w:val="0"/>
        <w:pageBreakBefore w:val="0"/>
        <w:widowControl/>
        <w:tabs>
          <w:tab w:val="left" w:pos="360"/>
          <w:tab w:val="left" w:pos="540"/>
        </w:tabs>
        <w:kinsoku/>
        <w:wordWrap/>
        <w:overflowPunct/>
        <w:topLinePunct w:val="0"/>
        <w:autoSpaceDE/>
        <w:autoSpaceDN/>
        <w:bidi w:val="0"/>
        <w:adjustRightInd/>
        <w:snapToGrid w:val="0"/>
        <w:spacing w:line="400" w:lineRule="exact"/>
        <w:ind w:firstLine="436" w:firstLineChars="1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p>
    <w:p w14:paraId="5E44C582">
      <w:pPr>
        <w:keepNext w:val="0"/>
        <w:keepLines w:val="0"/>
        <w:pageBreakBefore w:val="0"/>
        <w:widowControl/>
        <w:tabs>
          <w:tab w:val="left" w:pos="360"/>
          <w:tab w:val="left" w:pos="540"/>
        </w:tabs>
        <w:kinsoku/>
        <w:wordWrap/>
        <w:overflowPunct/>
        <w:topLinePunct w:val="0"/>
        <w:autoSpaceDE/>
        <w:autoSpaceDN/>
        <w:bidi w:val="0"/>
        <w:adjustRightInd/>
        <w:snapToGrid w:val="0"/>
        <w:spacing w:line="400" w:lineRule="exact"/>
        <w:ind w:firstLine="436" w:firstLineChars="1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3.付款方式：</w:t>
      </w:r>
    </w:p>
    <w:p w14:paraId="7DA1752C">
      <w:pPr>
        <w:keepNext w:val="0"/>
        <w:keepLines w:val="0"/>
        <w:pageBreakBefore w:val="0"/>
        <w:widowControl/>
        <w:tabs>
          <w:tab w:val="left" w:pos="360"/>
          <w:tab w:val="left" w:pos="540"/>
        </w:tabs>
        <w:kinsoku/>
        <w:wordWrap/>
        <w:overflowPunct/>
        <w:topLinePunct w:val="0"/>
        <w:autoSpaceDE/>
        <w:autoSpaceDN/>
        <w:bidi w:val="0"/>
        <w:adjustRightInd/>
        <w:snapToGrid w:val="0"/>
        <w:spacing w:line="400" w:lineRule="exact"/>
        <w:ind w:firstLine="436" w:firstLineChars="1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4.乙方应在甲方付款前，向甲方开具真实、合法、有效的和足额的发票。</w:t>
      </w:r>
    </w:p>
    <w:p w14:paraId="352D0D4C">
      <w:pPr>
        <w:keepNext w:val="0"/>
        <w:keepLines w:val="0"/>
        <w:pageBreakBefore w:val="0"/>
        <w:kinsoku/>
        <w:wordWrap/>
        <w:overflowPunct/>
        <w:topLinePunct w:val="0"/>
        <w:autoSpaceDE/>
        <w:autoSpaceDN/>
        <w:bidi w:val="0"/>
        <w:adjustRightInd/>
        <w:spacing w:line="400" w:lineRule="exact"/>
        <w:ind w:firstLine="472" w:firstLineChars="196"/>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四、交货</w:t>
      </w:r>
    </w:p>
    <w:p w14:paraId="6AD6FB4B">
      <w:pPr>
        <w:pStyle w:val="12"/>
        <w:keepNext w:val="0"/>
        <w:keepLines w:val="0"/>
        <w:pageBreakBefore w:val="0"/>
        <w:kinsoku/>
        <w:wordWrap/>
        <w:overflowPunct/>
        <w:topLinePunct w:val="0"/>
        <w:autoSpaceDE/>
        <w:autoSpaceDN/>
        <w:bidi w:val="0"/>
        <w:adjustRightInd/>
        <w:spacing w:line="400" w:lineRule="exact"/>
        <w:ind w:firstLine="48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1.交货期限：</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 xml:space="preserve"> 。</w:t>
      </w:r>
    </w:p>
    <w:p w14:paraId="587D781F">
      <w:pPr>
        <w:keepNext w:val="0"/>
        <w:keepLines w:val="0"/>
        <w:pageBreakBefore w:val="0"/>
        <w:widowControl/>
        <w:tabs>
          <w:tab w:val="left" w:pos="36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shd w:val="clear" w:color="auto" w:fill="FFFFFF"/>
        </w:rPr>
        <w:t>2.交货地点及联系人：</w:t>
      </w:r>
      <w:r>
        <w:rPr>
          <w:rFonts w:hint="eastAsia" w:ascii="宋体" w:hAnsi="宋体" w:eastAsia="宋体" w:cs="宋体"/>
          <w:color w:val="auto"/>
          <w:sz w:val="24"/>
          <w:szCs w:val="24"/>
          <w:highlight w:val="none"/>
        </w:rPr>
        <w:t>乙方负责办理运输和保险，将货物运抵市属单位指定地点，有关运输、保险和装卸等一切相关的费用由乙方承担。甲方指定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shd w:val="clear" w:color="auto" w:fill="FFFFFF"/>
        </w:rPr>
        <w:t>为联系人，联系电话：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shd w:val="clear" w:color="auto" w:fill="FFFFFF"/>
        </w:rPr>
        <w:t>。</w:t>
      </w:r>
    </w:p>
    <w:p w14:paraId="2DF50C50">
      <w:pPr>
        <w:keepNext w:val="0"/>
        <w:keepLines w:val="0"/>
        <w:pageBreakBefore w:val="0"/>
        <w:widowControl/>
        <w:tabs>
          <w:tab w:val="left" w:pos="36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3.</w:t>
      </w:r>
      <w:r>
        <w:rPr>
          <w:rFonts w:hint="eastAsia" w:ascii="宋体" w:hAnsi="宋体" w:eastAsia="宋体" w:cs="宋体"/>
          <w:color w:val="auto"/>
          <w:sz w:val="24"/>
          <w:szCs w:val="24"/>
          <w:highlight w:val="none"/>
        </w:rPr>
        <w:t>乙方应在货物运到甲方地点日七日前，向甲方提供货物卸车、清点计划（内容包括：合同号、设备名称、数量、价格、箱数、型号规格、重量和体积、拟发运的时间及其他必要的说明），并于发运的同时通知甲方。</w:t>
      </w:r>
    </w:p>
    <w:p w14:paraId="5AF2AE9F">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开箱清点及初步检验时双方应派人员参加。凡由于乙方对合同货物包装不善、标记不明、防护措施不当或在合同货物装箱前保管不良，致使合同货物遭到损坏或丢失，乙方应负责免费更换或补足，并承担由此给甲方造成的一切损失。</w:t>
      </w:r>
    </w:p>
    <w:p w14:paraId="6F0B111F">
      <w:pPr>
        <w:keepNext w:val="0"/>
        <w:keepLines w:val="0"/>
        <w:pageBreakBefore w:val="0"/>
        <w:kinsoku/>
        <w:wordWrap/>
        <w:overflowPunct/>
        <w:topLinePunct w:val="0"/>
        <w:autoSpaceDE/>
        <w:autoSpaceDN/>
        <w:bidi w:val="0"/>
        <w:adjustRightInd/>
        <w:spacing w:line="400" w:lineRule="exact"/>
        <w:ind w:firstLine="472" w:firstLineChars="196"/>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五、验收</w:t>
      </w:r>
    </w:p>
    <w:p w14:paraId="4A80D436">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1.验收时间：交货后，乙方应积极配合甲方做好安装调试，安装调试完毕后向甲方提出验收申请，甲方应在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个工作日内完成验收并签署验收意见。</w:t>
      </w:r>
    </w:p>
    <w:p w14:paraId="21B70FA8">
      <w:pPr>
        <w:keepNext w:val="0"/>
        <w:keepLines w:val="0"/>
        <w:pageBreakBefore w:val="0"/>
        <w:widowControl/>
        <w:tabs>
          <w:tab w:val="left" w:pos="142"/>
          <w:tab w:val="left" w:pos="42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2.</w:t>
      </w:r>
      <w:r>
        <w:rPr>
          <w:rFonts w:hint="eastAsia" w:ascii="宋体" w:hAnsi="宋体" w:eastAsia="宋体" w:cs="宋体"/>
          <w:color w:val="auto"/>
          <w:sz w:val="24"/>
          <w:szCs w:val="24"/>
          <w:highlight w:val="none"/>
        </w:rPr>
        <w:t>乙方提供给甲方的合同货物应通过货物制造厂商的出厂检验，并提供质量合格证书。乙方承诺提供给甲方的合同货物的技术规范应与本项目</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中《采购需求》部分中的规定相一致，同时，乙方提供的货物质量应符合中华人民共和国强制性标准及相应的国家和行业技术标准和规范（可以高于但不得低于该规范标准）、本次采购相关文件中的全部相关要求。</w:t>
      </w:r>
    </w:p>
    <w:p w14:paraId="12BB4342">
      <w:pPr>
        <w:keepNext w:val="0"/>
        <w:keepLines w:val="0"/>
        <w:pageBreakBefore w:val="0"/>
        <w:widowControl/>
        <w:tabs>
          <w:tab w:val="left" w:pos="142"/>
          <w:tab w:val="left" w:pos="42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应在本合同约定的交货期限内将所提供货物的装箱清单、配件、随机工具、用户使用手册、原厂保修卡等资料交付给甲方；乙方不能完整交付货物及本款规定的单证和工具的，必须在交货期限届满之日起7日内负责补齐，否则视为未按合同约定交货。</w:t>
      </w:r>
    </w:p>
    <w:p w14:paraId="402CF353">
      <w:pPr>
        <w:keepNext w:val="0"/>
        <w:keepLines w:val="0"/>
        <w:pageBreakBefore w:val="0"/>
        <w:widowControl/>
        <w:tabs>
          <w:tab w:val="left" w:pos="36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4.</w:t>
      </w:r>
      <w:r>
        <w:rPr>
          <w:rFonts w:hint="eastAsia" w:ascii="宋体" w:hAnsi="宋体" w:eastAsia="宋体" w:cs="宋体"/>
          <w:color w:val="auto"/>
          <w:sz w:val="24"/>
          <w:szCs w:val="24"/>
          <w:highlight w:val="none"/>
        </w:rPr>
        <w:t>乙方保证，乙方依据本合同提供的货物及相关的软件和技术资料等，乙方均已得到有关知识产权等权利人的合法授权并向甲方提供相应的证明材料，如发生涉及到专利权、著作权、商标权等争议，乙方负责处理，并承担由此给甲方造成的一切损失，包括但不限于第三人的索赔、行政处罚等不利后果。</w:t>
      </w:r>
    </w:p>
    <w:p w14:paraId="33F87142">
      <w:pPr>
        <w:keepNext w:val="0"/>
        <w:keepLines w:val="0"/>
        <w:pageBreakBefore w:val="0"/>
        <w:kinsoku/>
        <w:wordWrap/>
        <w:overflowPunct/>
        <w:topLinePunct w:val="0"/>
        <w:autoSpaceDE/>
        <w:autoSpaceDN/>
        <w:bidi w:val="0"/>
        <w:adjustRightInd/>
        <w:spacing w:line="400" w:lineRule="exact"/>
        <w:ind w:firstLine="472" w:firstLineChars="196"/>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六、售后服务</w:t>
      </w:r>
    </w:p>
    <w:p w14:paraId="25B606C6">
      <w:pPr>
        <w:pStyle w:val="165"/>
        <w:keepNext w:val="0"/>
        <w:keepLines w:val="0"/>
        <w:pageBreakBefore w:val="0"/>
        <w:kinsoku/>
        <w:wordWrap/>
        <w:overflowPunct/>
        <w:topLinePunct w:val="0"/>
        <w:autoSpaceDE/>
        <w:autoSpaceDN/>
        <w:bidi w:val="0"/>
        <w:adjustRightIn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1.验收合格之日起开始计算，乙方提供本项目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个月的质保期。在质保期内，提供免费支持与服务；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9EB97C0">
      <w:pPr>
        <w:pStyle w:val="165"/>
        <w:keepNext w:val="0"/>
        <w:keepLines w:val="0"/>
        <w:pageBreakBefore w:val="0"/>
        <w:kinsoku/>
        <w:wordWrap/>
        <w:overflowPunct/>
        <w:topLinePunct w:val="0"/>
        <w:autoSpaceDE/>
        <w:autoSpaceDN/>
        <w:bidi w:val="0"/>
        <w:adjustRightIn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2.乙方指定负责与甲方联系售后服务事宜，联系人电话：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40DF279">
      <w:pPr>
        <w:pStyle w:val="165"/>
        <w:keepNext w:val="0"/>
        <w:keepLines w:val="0"/>
        <w:pageBreakBefore w:val="0"/>
        <w:kinsoku/>
        <w:wordWrap/>
        <w:overflowPunct/>
        <w:topLinePunct w:val="0"/>
        <w:autoSpaceDE/>
        <w:autoSpaceDN/>
        <w:bidi w:val="0"/>
        <w:adjustRightIn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3.质保期内，如产品存在由于设计、制造引起的质量问题，乙方应及时（最迟不应超过3日）免费维修或更换零配件。</w:t>
      </w:r>
    </w:p>
    <w:p w14:paraId="422CFB7C">
      <w:pPr>
        <w:keepNext w:val="0"/>
        <w:keepLines w:val="0"/>
        <w:pageBreakBefore w:val="0"/>
        <w:widowControl/>
        <w:tabs>
          <w:tab w:val="left" w:pos="36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4.在合同货物免费保修期届满后，乙方保证继续为甲方提供设备的维修服务，乙方保证在合同货物使用期内以不高于本合同货物、相关配件及服务的价格，向甲方提供备品、备件及维修服务。</w:t>
      </w:r>
    </w:p>
    <w:p w14:paraId="558C8557">
      <w:pPr>
        <w:pStyle w:val="165"/>
        <w:keepNext w:val="0"/>
        <w:keepLines w:val="0"/>
        <w:pageBreakBefore w:val="0"/>
        <w:kinsoku/>
        <w:wordWrap/>
        <w:overflowPunct/>
        <w:topLinePunct w:val="0"/>
        <w:autoSpaceDE/>
        <w:autoSpaceDN/>
        <w:bidi w:val="0"/>
        <w:adjustRightIn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5.培训承诺：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E8EC643">
      <w:pPr>
        <w:keepNext w:val="0"/>
        <w:keepLines w:val="0"/>
        <w:pageBreakBefore w:val="0"/>
        <w:kinsoku/>
        <w:wordWrap/>
        <w:overflowPunct/>
        <w:topLinePunct w:val="0"/>
        <w:autoSpaceDE/>
        <w:autoSpaceDN/>
        <w:bidi w:val="0"/>
        <w:adjustRightInd/>
        <w:spacing w:line="400" w:lineRule="exact"/>
        <w:ind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七、双方权利与义务</w:t>
      </w:r>
    </w:p>
    <w:p w14:paraId="4DCC5497">
      <w:pPr>
        <w:keepNext w:val="0"/>
        <w:keepLines w:val="0"/>
        <w:pageBreakBefore w:val="0"/>
        <w:kinsoku/>
        <w:wordWrap/>
        <w:overflowPunct/>
        <w:topLinePunct w:val="0"/>
        <w:autoSpaceDE/>
        <w:autoSpaceDN/>
        <w:bidi w:val="0"/>
        <w:adjustRightInd/>
        <w:spacing w:line="400" w:lineRule="exact"/>
        <w:ind w:left="539" w:leftChars="228" w:hanging="60" w:hangingChars="25"/>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甲方：</w:t>
      </w:r>
    </w:p>
    <w:p w14:paraId="6B22EF4A">
      <w:pPr>
        <w:keepNext w:val="0"/>
        <w:keepLines w:val="0"/>
        <w:pageBreakBefore w:val="0"/>
        <w:kinsoku/>
        <w:wordWrap/>
        <w:overflowPunct/>
        <w:topLinePunct w:val="0"/>
        <w:autoSpaceDE/>
        <w:autoSpaceDN/>
        <w:bidi w:val="0"/>
        <w:adjustRightInd/>
        <w:spacing w:line="400" w:lineRule="exact"/>
        <w:ind w:left="61" w:leftChars="29"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1.派专人与乙方联系收货及安装调试，协调乙方在工期内有关水、电、库房、运输等其他现场供应需求，保证相关的配合；</w:t>
      </w:r>
    </w:p>
    <w:p w14:paraId="7CC00E0F">
      <w:pPr>
        <w:keepNext w:val="0"/>
        <w:keepLines w:val="0"/>
        <w:pageBreakBefore w:val="0"/>
        <w:kinsoku/>
        <w:wordWrap/>
        <w:overflowPunct/>
        <w:topLinePunct w:val="0"/>
        <w:autoSpaceDE/>
        <w:autoSpaceDN/>
        <w:bidi w:val="0"/>
        <w:adjustRightInd/>
        <w:spacing w:line="400" w:lineRule="exact"/>
        <w:ind w:left="61" w:leftChars="29"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2.负责项目的组织协调、现场配合和验收工作；</w:t>
      </w:r>
    </w:p>
    <w:p w14:paraId="6603419B">
      <w:pPr>
        <w:keepNext w:val="0"/>
        <w:keepLines w:val="0"/>
        <w:pageBreakBefore w:val="0"/>
        <w:kinsoku/>
        <w:wordWrap/>
        <w:overflowPunct/>
        <w:topLinePunct w:val="0"/>
        <w:autoSpaceDE/>
        <w:autoSpaceDN/>
        <w:bidi w:val="0"/>
        <w:adjustRightInd/>
        <w:spacing w:line="400" w:lineRule="exact"/>
        <w:ind w:left="61" w:leftChars="29"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3.按照合同约定及时支付货款。</w:t>
      </w:r>
    </w:p>
    <w:p w14:paraId="09090254">
      <w:pPr>
        <w:keepNext w:val="0"/>
        <w:keepLines w:val="0"/>
        <w:pageBreakBefore w:val="0"/>
        <w:kinsoku/>
        <w:wordWrap/>
        <w:overflowPunct/>
        <w:topLinePunct w:val="0"/>
        <w:autoSpaceDE/>
        <w:autoSpaceDN/>
        <w:bidi w:val="0"/>
        <w:adjustRightInd/>
        <w:spacing w:line="400" w:lineRule="exact"/>
        <w:ind w:left="61" w:leftChars="29" w:firstLine="354" w:firstLineChars="147"/>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乙方：</w:t>
      </w:r>
    </w:p>
    <w:p w14:paraId="1F0F2F11">
      <w:pPr>
        <w:keepNext w:val="0"/>
        <w:keepLines w:val="0"/>
        <w:pageBreakBefore w:val="0"/>
        <w:kinsoku/>
        <w:wordWrap/>
        <w:overflowPunct/>
        <w:topLinePunct w:val="0"/>
        <w:autoSpaceDE/>
        <w:autoSpaceDN/>
        <w:bidi w:val="0"/>
        <w:adjustRightInd/>
        <w:spacing w:line="400" w:lineRule="exact"/>
        <w:ind w:left="61" w:leftChars="29"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1.成立本项目的实施项目人员，选派出项目组组长和项目技术监督人员，并书面通知甲方；</w:t>
      </w:r>
    </w:p>
    <w:p w14:paraId="42D2FFDB">
      <w:pPr>
        <w:keepNext w:val="0"/>
        <w:keepLines w:val="0"/>
        <w:pageBreakBefore w:val="0"/>
        <w:kinsoku/>
        <w:wordWrap/>
        <w:overflowPunct/>
        <w:topLinePunct w:val="0"/>
        <w:autoSpaceDE/>
        <w:autoSpaceDN/>
        <w:bidi w:val="0"/>
        <w:adjustRightInd/>
        <w:spacing w:line="400" w:lineRule="exact"/>
        <w:ind w:left="61" w:leftChars="29"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2.实验项目组负责对本项目进行深化设计、项目实施和验收工作，做好项目实施方案并及时与甲方沟通，及时与甲方联系送货及安装调试事宜；</w:t>
      </w:r>
    </w:p>
    <w:p w14:paraId="67DFDB5A">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3.严格按照合同约定的品牌、型号、技术指标、配置清单及数量及时在约定供货期内供货。</w:t>
      </w:r>
    </w:p>
    <w:p w14:paraId="45802AC5">
      <w:pPr>
        <w:keepNext w:val="0"/>
        <w:keepLines w:val="0"/>
        <w:pageBreakBefore w:val="0"/>
        <w:kinsoku/>
        <w:wordWrap/>
        <w:overflowPunct/>
        <w:topLinePunct w:val="0"/>
        <w:autoSpaceDE/>
        <w:autoSpaceDN/>
        <w:bidi w:val="0"/>
        <w:adjustRightInd/>
        <w:spacing w:line="400" w:lineRule="exact"/>
        <w:ind w:firstLine="472" w:firstLineChars="196"/>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八、违约责任</w:t>
      </w:r>
    </w:p>
    <w:p w14:paraId="5A78C71C">
      <w:pPr>
        <w:pStyle w:val="165"/>
        <w:keepNext w:val="0"/>
        <w:keepLines w:val="0"/>
        <w:pageBreakBefore w:val="0"/>
        <w:kinsoku/>
        <w:wordWrap/>
        <w:overflowPunct/>
        <w:topLinePunct w:val="0"/>
        <w:autoSpaceDE/>
        <w:autoSpaceDN/>
        <w:bidi w:val="0"/>
        <w:adjustRightIn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1.甲方违约责任</w:t>
      </w:r>
    </w:p>
    <w:p w14:paraId="08307DFC">
      <w:pPr>
        <w:pStyle w:val="165"/>
        <w:keepNext w:val="0"/>
        <w:keepLines w:val="0"/>
        <w:pageBreakBefore w:val="0"/>
        <w:kinsoku/>
        <w:wordWrap/>
        <w:overflowPunct/>
        <w:topLinePunct w:val="0"/>
        <w:autoSpaceDE/>
        <w:autoSpaceDN/>
        <w:bidi w:val="0"/>
        <w:adjustRightIn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甲方无正当理由拒收货物的，甲方应偿付合同总价百分之</w:t>
      </w:r>
      <w:r>
        <w:rPr>
          <w:rFonts w:hint="eastAsia" w:ascii="宋体" w:hAnsi="宋体" w:eastAsia="宋体" w:cs="宋体"/>
          <w:color w:val="auto"/>
          <w:sz w:val="24"/>
          <w:szCs w:val="24"/>
          <w:highlight w:val="none"/>
          <w:u w:val="single"/>
        </w:rPr>
        <w:t>二十</w:t>
      </w:r>
      <w:r>
        <w:rPr>
          <w:rFonts w:hint="eastAsia" w:ascii="宋体" w:hAnsi="宋体" w:eastAsia="宋体" w:cs="宋体"/>
          <w:color w:val="auto"/>
          <w:sz w:val="24"/>
          <w:szCs w:val="24"/>
          <w:highlight w:val="none"/>
        </w:rPr>
        <w:t>的违约金；</w:t>
      </w:r>
    </w:p>
    <w:p w14:paraId="4226110A">
      <w:pPr>
        <w:pStyle w:val="165"/>
        <w:keepNext w:val="0"/>
        <w:keepLines w:val="0"/>
        <w:pageBreakBefore w:val="0"/>
        <w:kinsoku/>
        <w:wordWrap/>
        <w:overflowPunct/>
        <w:topLinePunct w:val="0"/>
        <w:autoSpaceDE/>
        <w:autoSpaceDN/>
        <w:bidi w:val="0"/>
        <w:adjustRightIn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甲方逾期支付货款的，除应及时付足货款外，应向乙方偿付欠款总额万分之</w:t>
      </w:r>
      <w:r>
        <w:rPr>
          <w:rFonts w:hint="eastAsia" w:ascii="宋体" w:hAnsi="宋体" w:eastAsia="宋体" w:cs="宋体"/>
          <w:color w:val="auto"/>
          <w:sz w:val="24"/>
          <w:szCs w:val="24"/>
          <w:highlight w:val="none"/>
          <w:u w:val="single"/>
        </w:rPr>
        <w:t>二</w:t>
      </w:r>
      <w:r>
        <w:rPr>
          <w:rFonts w:hint="eastAsia" w:ascii="宋体" w:hAnsi="宋体" w:eastAsia="宋体" w:cs="宋体"/>
          <w:color w:val="auto"/>
          <w:sz w:val="24"/>
          <w:szCs w:val="24"/>
          <w:highlight w:val="none"/>
        </w:rPr>
        <w:t xml:space="preserve"> /天的违约金，逾期付款超过</w:t>
      </w:r>
      <w:r>
        <w:rPr>
          <w:rFonts w:hint="eastAsia" w:ascii="宋体" w:hAnsi="宋体" w:eastAsia="宋体" w:cs="宋体"/>
          <w:color w:val="auto"/>
          <w:sz w:val="24"/>
          <w:szCs w:val="24"/>
          <w:highlight w:val="none"/>
          <w:u w:val="single"/>
        </w:rPr>
        <w:t>30</w:t>
      </w:r>
      <w:r>
        <w:rPr>
          <w:rFonts w:hint="eastAsia" w:ascii="宋体" w:hAnsi="宋体" w:eastAsia="宋体" w:cs="宋体"/>
          <w:color w:val="auto"/>
          <w:sz w:val="24"/>
          <w:szCs w:val="24"/>
          <w:highlight w:val="none"/>
        </w:rPr>
        <w:t>天的，乙方有权终止合同，但因乙方原因造成甲方逾期付款的除外。</w:t>
      </w:r>
    </w:p>
    <w:p w14:paraId="0FF374C9">
      <w:pPr>
        <w:pStyle w:val="165"/>
        <w:keepNext w:val="0"/>
        <w:keepLines w:val="0"/>
        <w:pageBreakBefore w:val="0"/>
        <w:kinsoku/>
        <w:wordWrap/>
        <w:overflowPunct/>
        <w:topLinePunct w:val="0"/>
        <w:autoSpaceDE/>
        <w:autoSpaceDN/>
        <w:bidi w:val="0"/>
        <w:adjustRightIn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甲方偿付的违约金不足以弥补乙方损失的，还应按乙方损失尚未弥补的部分，支付赔偿金给乙方。</w:t>
      </w:r>
    </w:p>
    <w:p w14:paraId="1995D8F4">
      <w:pPr>
        <w:pStyle w:val="165"/>
        <w:keepNext w:val="0"/>
        <w:keepLines w:val="0"/>
        <w:pageBreakBefore w:val="0"/>
        <w:kinsoku/>
        <w:wordWrap/>
        <w:overflowPunct/>
        <w:topLinePunct w:val="0"/>
        <w:autoSpaceDE/>
        <w:autoSpaceDN/>
        <w:bidi w:val="0"/>
        <w:adjustRightIn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2、乙方违约责任</w:t>
      </w:r>
    </w:p>
    <w:p w14:paraId="1D6E2167">
      <w:pPr>
        <w:pStyle w:val="165"/>
        <w:keepNext w:val="0"/>
        <w:keepLines w:val="0"/>
        <w:pageBreakBefore w:val="0"/>
        <w:kinsoku/>
        <w:wordWrap/>
        <w:overflowPunct/>
        <w:topLinePunct w:val="0"/>
        <w:autoSpaceDE/>
        <w:autoSpaceDN/>
        <w:bidi w:val="0"/>
        <w:adjustRightIn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（1）乙方必须亲自履行合同义务，未经甲方同意不得以任何形式向其它第三方分包本项目，否则应向甲方支付合同总价百分之五十的违约金,并承担因此给甲方造成的一切损失,且甲方有权终止本合同。</w:t>
      </w:r>
    </w:p>
    <w:p w14:paraId="30AF8E69">
      <w:pPr>
        <w:pStyle w:val="165"/>
        <w:keepNext w:val="0"/>
        <w:keepLines w:val="0"/>
        <w:pageBreakBefore w:val="0"/>
        <w:kinsoku/>
        <w:wordWrap/>
        <w:overflowPunct/>
        <w:topLinePunct w:val="0"/>
        <w:autoSpaceDE/>
        <w:autoSpaceDN/>
        <w:bidi w:val="0"/>
        <w:adjustRightIn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（2）交货期限内，乙方交付的货物质量不符合合同规定的，乙方应向甲方支付合同总价的百分之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的违约金，并须在合同规定的交货期限内更换合格的货物给甲方，否则，视作乙方不能交付货物而违约，按本条本款下述第“（3）”项规定由乙方偿付违约赔偿金给甲方。</w:t>
      </w:r>
    </w:p>
    <w:p w14:paraId="1CAB60E8">
      <w:pPr>
        <w:pStyle w:val="165"/>
        <w:keepNext w:val="0"/>
        <w:keepLines w:val="0"/>
        <w:pageBreakBefore w:val="0"/>
        <w:kinsoku/>
        <w:wordWrap/>
        <w:overflowPunct/>
        <w:topLinePunct w:val="0"/>
        <w:autoSpaceDE/>
        <w:autoSpaceDN/>
        <w:bidi w:val="0"/>
        <w:adjustRightIn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（3）乙方不能交付货物或逾期交付货物而违约的，除应及时交足货物外，应向甲方偿付逾期交货部分货款总额的万分之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/天的违约金；逾期交货超过30天，甲方有权终止合同，乙方则应按合同总价的百分之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的款额向甲方偿付赔偿金，并须全额退还甲方已经付给乙方的货款及其利息。</w:t>
      </w:r>
    </w:p>
    <w:p w14:paraId="119EF42E">
      <w:pPr>
        <w:keepNext w:val="0"/>
        <w:keepLines w:val="0"/>
        <w:pageBreakBefore w:val="0"/>
        <w:kinsoku/>
        <w:wordWrap/>
        <w:overflowPunct/>
        <w:topLinePunct w:val="0"/>
        <w:autoSpaceDE/>
        <w:autoSpaceDN/>
        <w:bidi w:val="0"/>
        <w:adjustRightInd/>
        <w:spacing w:before="240"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交货期届满后，乙方货物经甲方送交具有法定资格条件的质量技术监督机构检测后，如检测结果认定货物质量不符合国家强制性标准或行业标准（可以高于不得低于该标准）或本合同规定标准的，则视为乙方没有按时交货而违约，乙方须在收到甲方通知之日起15日内或者甲方按照本合同载明的联系方式向乙方发出通知之日起20日内无条件更换合格的货物，如逾期不能更换合格的货物，甲方有权终止本合同，乙方应另付合同总价的百分之</w:t>
      </w:r>
      <w:r>
        <w:rPr>
          <w:rFonts w:hint="eastAsia" w:ascii="宋体" w:hAnsi="宋体" w:eastAsia="宋体" w:cs="宋体"/>
          <w:color w:val="auto"/>
          <w:sz w:val="24"/>
          <w:szCs w:val="24"/>
          <w:highlight w:val="none"/>
          <w:u w:val="single"/>
        </w:rPr>
        <w:t>十</w:t>
      </w:r>
      <w:r>
        <w:rPr>
          <w:rFonts w:hint="eastAsia" w:ascii="宋体" w:hAnsi="宋体" w:eastAsia="宋体" w:cs="宋体"/>
          <w:color w:val="auto"/>
          <w:sz w:val="24"/>
          <w:szCs w:val="24"/>
          <w:highlight w:val="none"/>
        </w:rPr>
        <w:t>的赔偿金给甲方。货物经检测符合以上全部标准的，检测费由甲方承担；货物不符合以上任一标准的，检测费由乙方承担。</w:t>
      </w:r>
    </w:p>
    <w:p w14:paraId="72A3FDB1">
      <w:pPr>
        <w:pStyle w:val="165"/>
        <w:keepNext w:val="0"/>
        <w:keepLines w:val="0"/>
        <w:pageBreakBefore w:val="0"/>
        <w:kinsoku/>
        <w:wordWrap/>
        <w:overflowPunct/>
        <w:topLinePunct w:val="0"/>
        <w:autoSpaceDE/>
        <w:autoSpaceDN/>
        <w:bidi w:val="0"/>
        <w:adjustRightIn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保证本合同货物的权利无瑕疵，包括货物所有权及知识产权等权利无瑕疵。如任何第三方经法院（或仲裁机构）裁决有权对上述货物主张权利或国家机关依法对货物进行没收、查处等限制使用的，乙方除应向甲方返还已收款项外，还应另按合同总价的百分之</w:t>
      </w:r>
      <w:r>
        <w:rPr>
          <w:rFonts w:hint="eastAsia" w:ascii="宋体" w:hAnsi="宋体" w:eastAsia="宋体" w:cs="宋体"/>
          <w:color w:val="auto"/>
          <w:sz w:val="24"/>
          <w:szCs w:val="24"/>
          <w:highlight w:val="none"/>
          <w:u w:val="single"/>
        </w:rPr>
        <w:t>十</w:t>
      </w:r>
      <w:r>
        <w:rPr>
          <w:rFonts w:hint="eastAsia" w:ascii="宋体" w:hAnsi="宋体" w:eastAsia="宋体" w:cs="宋体"/>
          <w:color w:val="auto"/>
          <w:sz w:val="24"/>
          <w:szCs w:val="24"/>
          <w:highlight w:val="none"/>
        </w:rPr>
        <w:t>向甲方支付违约金并赔偿因此给甲方造成的一切损失。</w:t>
      </w:r>
    </w:p>
    <w:p w14:paraId="4C604324">
      <w:pPr>
        <w:pStyle w:val="165"/>
        <w:keepNext w:val="0"/>
        <w:keepLines w:val="0"/>
        <w:pageBreakBefore w:val="0"/>
        <w:kinsoku/>
        <w:wordWrap/>
        <w:overflowPunct/>
        <w:topLinePunct w:val="0"/>
        <w:autoSpaceDE/>
        <w:autoSpaceDN/>
        <w:bidi w:val="0"/>
        <w:adjustRightIn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（6）乙方偿付的违约金不足以弥补甲方损失的，还应按甲方损失尚未弥补的部分，支付赔偿金给甲方。</w:t>
      </w:r>
    </w:p>
    <w:p w14:paraId="250EB7E5">
      <w:pPr>
        <w:pStyle w:val="134"/>
        <w:keepNext w:val="0"/>
        <w:keepLines w:val="0"/>
        <w:pageBreakBefore w:val="0"/>
        <w:widowControl/>
        <w:tabs>
          <w:tab w:val="left" w:pos="0"/>
        </w:tabs>
        <w:kinsoku/>
        <w:wordWrap/>
        <w:overflowPunct/>
        <w:topLinePunct w:val="0"/>
        <w:autoSpaceDE/>
        <w:autoSpaceDN/>
        <w:bidi w:val="0"/>
        <w:adjustRightInd/>
        <w:snapToGrid w:val="0"/>
        <w:spacing w:line="400" w:lineRule="exact"/>
        <w:ind w:firstLine="48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7）本次采购的合同项下的任何合同、文件等均应当符合有关环保、知识产权及其他法律法规的规定，包括童工禁用、劳动保护待遇、安全生产等法律规定。乙方已清楚本次甲方已尽声明、提示、审慎核查等注意义务及相关责任，若仍发生任何相关违反法律、法规之情形均属乙方单方面之因素、原因、责任。乙方在投标、合同的签订及履行过程中，其投标或签署、履行合同均意味着其已承诺，任何情况下，均将严格遵守法律、法规，并且应当独立承担全部及任何法律责任，包括对甲方或任何第三方的民事侵权赔偿责任。</w:t>
      </w:r>
    </w:p>
    <w:p w14:paraId="3C72D08F">
      <w:pPr>
        <w:keepNext w:val="0"/>
        <w:keepLines w:val="0"/>
        <w:pageBreakBefore w:val="0"/>
        <w:kinsoku/>
        <w:wordWrap/>
        <w:overflowPunct/>
        <w:topLinePunct w:val="0"/>
        <w:autoSpaceDE/>
        <w:autoSpaceDN/>
        <w:bidi w:val="0"/>
        <w:adjustRightInd/>
        <w:spacing w:line="400" w:lineRule="exact"/>
        <w:ind w:firstLine="472" w:firstLineChars="196"/>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九、不可抗力</w:t>
      </w:r>
    </w:p>
    <w:p w14:paraId="25A8D511">
      <w:pPr>
        <w:keepNext w:val="0"/>
        <w:keepLines w:val="0"/>
        <w:pageBreakBefore w:val="0"/>
        <w:widowControl/>
        <w:tabs>
          <w:tab w:val="left" w:pos="36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1.不可抗力指下列事件：战争、动乱、瘟疫、严重火灾、洪水、地震、风暴或其他自然灾害，以及本合同各方不可预见、不可防止并不能避免或克服的一切其他因素及事件。</w:t>
      </w:r>
    </w:p>
    <w:p w14:paraId="627E3463">
      <w:pPr>
        <w:keepNext w:val="0"/>
        <w:keepLines w:val="0"/>
        <w:pageBreakBefore w:val="0"/>
        <w:widowControl/>
        <w:tabs>
          <w:tab w:val="left" w:pos="36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任何一方因不可抗力不能履行本合同规定的全部或部分义务，该方应尽快通知另一方，并须在不可抗力发生之日起七日内以书面形式向另一方提供详细情况报告及不可抗力对履行本合同的影响程度的说明。就上述不可抗力的发生须由受到不可抗力影响的一方负责同时提供由公证机关作出的公证证明。</w:t>
      </w:r>
    </w:p>
    <w:p w14:paraId="0B455D09">
      <w:pPr>
        <w:keepNext w:val="0"/>
        <w:keepLines w:val="0"/>
        <w:pageBreakBefore w:val="0"/>
        <w:widowControl/>
        <w:tabs>
          <w:tab w:val="left" w:pos="36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5B593DE3">
      <w:pPr>
        <w:keepNext w:val="0"/>
        <w:keepLines w:val="0"/>
        <w:pageBreakBefore w:val="0"/>
        <w:widowControl/>
        <w:tabs>
          <w:tab w:val="left" w:pos="36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4.合同双方应根据不可抗力对本合同履行的影响程度，协商确定是否终止本合同，或是继续履行本合同。</w:t>
      </w:r>
    </w:p>
    <w:p w14:paraId="5CAEF11F">
      <w:pPr>
        <w:keepNext w:val="0"/>
        <w:keepLines w:val="0"/>
        <w:pageBreakBefore w:val="0"/>
        <w:kinsoku/>
        <w:wordWrap/>
        <w:overflowPunct/>
        <w:topLinePunct w:val="0"/>
        <w:autoSpaceDE/>
        <w:autoSpaceDN/>
        <w:bidi w:val="0"/>
        <w:adjustRightInd/>
        <w:spacing w:line="400" w:lineRule="exact"/>
        <w:ind w:firstLine="431" w:firstLineChars="17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十、争议解决办法</w:t>
      </w:r>
    </w:p>
    <w:p w14:paraId="52787135">
      <w:pPr>
        <w:pStyle w:val="165"/>
        <w:keepNext w:val="0"/>
        <w:keepLines w:val="0"/>
        <w:pageBreakBefore w:val="0"/>
        <w:kinsoku/>
        <w:wordWrap/>
        <w:overflowPunct/>
        <w:topLinePunct w:val="0"/>
        <w:autoSpaceDE/>
        <w:autoSpaceDN/>
        <w:bidi w:val="0"/>
        <w:adjustRightIn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1、因货物的质量问题发生争议，可由甲乙任一方提请质量技术监督部门或其指定的质量鉴定机构进行质量鉴定。货物符合合同要求标准的，鉴定费由甲方承担；货物不符合质量标准的，鉴定费由乙方承担。</w:t>
      </w:r>
    </w:p>
    <w:p w14:paraId="08ED3276">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2、合同履行期间,若双方发生争议，可协商或由有关部门调解解决，协商或调解不成的，应选择甲方住所地法院通过诉讼方式解决。</w:t>
      </w:r>
    </w:p>
    <w:p w14:paraId="439C957F">
      <w:pPr>
        <w:keepNext w:val="0"/>
        <w:keepLines w:val="0"/>
        <w:pageBreakBefore w:val="0"/>
        <w:kinsoku/>
        <w:wordWrap/>
        <w:overflowPunct/>
        <w:topLinePunct w:val="0"/>
        <w:autoSpaceDE/>
        <w:autoSpaceDN/>
        <w:bidi w:val="0"/>
        <w:adjustRightInd/>
        <w:spacing w:line="400" w:lineRule="exact"/>
        <w:ind w:firstLine="431" w:firstLineChars="17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十一、其他约定</w:t>
      </w:r>
    </w:p>
    <w:p w14:paraId="59960726">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份，甲方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份，乙方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份，招标代理机构一份，具有同等法律效力。</w:t>
      </w:r>
    </w:p>
    <w:p w14:paraId="031FECE2">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2.本合同经双方盖章及代表签字即行生效，合同执行期间双方均不得随意涂改、变更或解除合同。</w:t>
      </w:r>
    </w:p>
    <w:p w14:paraId="596618B7">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3.本合同及其附件之未尽事宜，需经双方共同协商，另行补充规定。本合同之附件与合同正文具有同等法律效力。本合同附件、设备清单及技术参数是本合同的组成部分。</w:t>
      </w:r>
    </w:p>
    <w:p w14:paraId="63560210">
      <w:pPr>
        <w:pStyle w:val="12"/>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p>
    <w:bookmarkEnd w:id="103"/>
    <w:tbl>
      <w:tblPr>
        <w:tblStyle w:val="37"/>
        <w:tblW w:w="87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09"/>
        <w:gridCol w:w="2171"/>
        <w:gridCol w:w="2171"/>
        <w:gridCol w:w="2171"/>
      </w:tblGrid>
      <w:tr w14:paraId="58DE7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2209" w:type="dxa"/>
            <w:noWrap w:val="0"/>
            <w:vAlign w:val="center"/>
          </w:tcPr>
          <w:p w14:paraId="6A6569C1">
            <w:pPr>
              <w:ind w:right="1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甲方（盖章）：</w:t>
            </w:r>
          </w:p>
        </w:tc>
        <w:tc>
          <w:tcPr>
            <w:tcW w:w="2171" w:type="dxa"/>
            <w:noWrap w:val="0"/>
            <w:vAlign w:val="center"/>
          </w:tcPr>
          <w:p w14:paraId="259A2634">
            <w:pPr>
              <w:ind w:right="11"/>
              <w:rPr>
                <w:rFonts w:hint="eastAsia" w:ascii="宋体" w:hAnsi="宋体" w:eastAsia="宋体" w:cs="宋体"/>
                <w:color w:val="auto"/>
                <w:sz w:val="24"/>
                <w:szCs w:val="24"/>
                <w:highlight w:val="none"/>
              </w:rPr>
            </w:pPr>
          </w:p>
        </w:tc>
        <w:tc>
          <w:tcPr>
            <w:tcW w:w="2171" w:type="dxa"/>
            <w:noWrap w:val="0"/>
            <w:vAlign w:val="center"/>
          </w:tcPr>
          <w:p w14:paraId="480A0695">
            <w:pPr>
              <w:ind w:right="1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乙方（盖章）：</w:t>
            </w:r>
          </w:p>
        </w:tc>
        <w:tc>
          <w:tcPr>
            <w:tcW w:w="2171" w:type="dxa"/>
            <w:noWrap w:val="0"/>
            <w:vAlign w:val="center"/>
          </w:tcPr>
          <w:p w14:paraId="4249B4E4">
            <w:pPr>
              <w:ind w:right="11"/>
              <w:rPr>
                <w:rFonts w:hint="eastAsia" w:ascii="宋体" w:hAnsi="宋体" w:eastAsia="宋体" w:cs="宋体"/>
                <w:color w:val="auto"/>
                <w:sz w:val="24"/>
                <w:szCs w:val="24"/>
                <w:highlight w:val="none"/>
              </w:rPr>
            </w:pPr>
          </w:p>
        </w:tc>
      </w:tr>
      <w:tr w14:paraId="6DDAF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jc w:val="center"/>
        </w:trPr>
        <w:tc>
          <w:tcPr>
            <w:tcW w:w="2209" w:type="dxa"/>
            <w:noWrap w:val="0"/>
            <w:vAlign w:val="center"/>
          </w:tcPr>
          <w:p w14:paraId="23CAB94C">
            <w:pPr>
              <w:ind w:right="1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法人或授权代表</w:t>
            </w:r>
          </w:p>
          <w:p w14:paraId="19C1B388">
            <w:pPr>
              <w:ind w:right="1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w:t>
            </w:r>
          </w:p>
        </w:tc>
        <w:tc>
          <w:tcPr>
            <w:tcW w:w="2171" w:type="dxa"/>
            <w:noWrap w:val="0"/>
            <w:vAlign w:val="center"/>
          </w:tcPr>
          <w:p w14:paraId="008D9E29">
            <w:pPr>
              <w:ind w:right="11"/>
              <w:rPr>
                <w:rFonts w:hint="eastAsia" w:ascii="宋体" w:hAnsi="宋体" w:eastAsia="宋体" w:cs="宋体"/>
                <w:color w:val="auto"/>
                <w:sz w:val="24"/>
                <w:szCs w:val="24"/>
                <w:highlight w:val="none"/>
              </w:rPr>
            </w:pPr>
          </w:p>
        </w:tc>
        <w:tc>
          <w:tcPr>
            <w:tcW w:w="2171" w:type="dxa"/>
            <w:noWrap w:val="0"/>
            <w:vAlign w:val="center"/>
          </w:tcPr>
          <w:p w14:paraId="1AEFDCAC">
            <w:pPr>
              <w:ind w:right="1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法人或授权代表</w:t>
            </w:r>
          </w:p>
          <w:p w14:paraId="5CE99432">
            <w:pPr>
              <w:ind w:right="1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w:t>
            </w:r>
          </w:p>
        </w:tc>
        <w:tc>
          <w:tcPr>
            <w:tcW w:w="2171" w:type="dxa"/>
            <w:noWrap w:val="0"/>
            <w:vAlign w:val="center"/>
          </w:tcPr>
          <w:p w14:paraId="67C558FF">
            <w:pPr>
              <w:ind w:right="11"/>
              <w:rPr>
                <w:rFonts w:hint="eastAsia" w:ascii="宋体" w:hAnsi="宋体" w:eastAsia="宋体" w:cs="宋体"/>
                <w:color w:val="auto"/>
                <w:sz w:val="24"/>
                <w:szCs w:val="24"/>
                <w:highlight w:val="none"/>
              </w:rPr>
            </w:pPr>
          </w:p>
        </w:tc>
      </w:tr>
      <w:tr w14:paraId="5E9C9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2209" w:type="dxa"/>
            <w:noWrap w:val="0"/>
            <w:vAlign w:val="center"/>
          </w:tcPr>
          <w:p w14:paraId="5FF3D45C">
            <w:pPr>
              <w:ind w:right="1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c>
          <w:tcPr>
            <w:tcW w:w="2171" w:type="dxa"/>
            <w:noWrap w:val="0"/>
            <w:vAlign w:val="center"/>
          </w:tcPr>
          <w:p w14:paraId="3D0305DC">
            <w:pPr>
              <w:ind w:right="11"/>
              <w:rPr>
                <w:rFonts w:hint="eastAsia" w:ascii="宋体" w:hAnsi="宋体" w:eastAsia="宋体" w:cs="宋体"/>
                <w:color w:val="auto"/>
                <w:sz w:val="24"/>
                <w:szCs w:val="24"/>
                <w:highlight w:val="none"/>
              </w:rPr>
            </w:pPr>
          </w:p>
        </w:tc>
        <w:tc>
          <w:tcPr>
            <w:tcW w:w="2171" w:type="dxa"/>
            <w:noWrap w:val="0"/>
            <w:vAlign w:val="center"/>
          </w:tcPr>
          <w:p w14:paraId="14CF639A">
            <w:pPr>
              <w:ind w:right="1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c>
          <w:tcPr>
            <w:tcW w:w="2171" w:type="dxa"/>
            <w:noWrap w:val="0"/>
            <w:vAlign w:val="center"/>
          </w:tcPr>
          <w:p w14:paraId="4FAE580F">
            <w:pPr>
              <w:ind w:right="11"/>
              <w:rPr>
                <w:rFonts w:hint="eastAsia" w:ascii="宋体" w:hAnsi="宋体" w:eastAsia="宋体" w:cs="宋体"/>
                <w:color w:val="auto"/>
                <w:sz w:val="24"/>
                <w:szCs w:val="24"/>
                <w:highlight w:val="none"/>
              </w:rPr>
            </w:pPr>
          </w:p>
        </w:tc>
      </w:tr>
      <w:tr w14:paraId="5E29B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2209" w:type="dxa"/>
            <w:noWrap w:val="0"/>
            <w:vAlign w:val="center"/>
          </w:tcPr>
          <w:p w14:paraId="5FCE489E">
            <w:pPr>
              <w:ind w:right="1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171" w:type="dxa"/>
            <w:noWrap w:val="0"/>
            <w:vAlign w:val="center"/>
          </w:tcPr>
          <w:p w14:paraId="6AB8932D">
            <w:pPr>
              <w:ind w:right="11"/>
              <w:rPr>
                <w:rFonts w:hint="eastAsia" w:ascii="宋体" w:hAnsi="宋体" w:eastAsia="宋体" w:cs="宋体"/>
                <w:color w:val="auto"/>
                <w:sz w:val="24"/>
                <w:szCs w:val="24"/>
                <w:highlight w:val="none"/>
              </w:rPr>
            </w:pPr>
          </w:p>
        </w:tc>
        <w:tc>
          <w:tcPr>
            <w:tcW w:w="2171" w:type="dxa"/>
            <w:noWrap w:val="0"/>
            <w:vAlign w:val="center"/>
          </w:tcPr>
          <w:p w14:paraId="29775597">
            <w:pPr>
              <w:ind w:right="1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171" w:type="dxa"/>
            <w:noWrap w:val="0"/>
            <w:vAlign w:val="center"/>
          </w:tcPr>
          <w:p w14:paraId="3967B471">
            <w:pPr>
              <w:ind w:right="11"/>
              <w:rPr>
                <w:rFonts w:hint="eastAsia" w:ascii="宋体" w:hAnsi="宋体" w:eastAsia="宋体" w:cs="宋体"/>
                <w:color w:val="auto"/>
                <w:sz w:val="24"/>
                <w:szCs w:val="24"/>
                <w:highlight w:val="none"/>
              </w:rPr>
            </w:pPr>
          </w:p>
        </w:tc>
      </w:tr>
      <w:tr w14:paraId="58C04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2209" w:type="dxa"/>
            <w:noWrap w:val="0"/>
            <w:vAlign w:val="center"/>
          </w:tcPr>
          <w:p w14:paraId="6689CD67">
            <w:pPr>
              <w:ind w:right="1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tc>
        <w:tc>
          <w:tcPr>
            <w:tcW w:w="2171" w:type="dxa"/>
            <w:noWrap w:val="0"/>
            <w:vAlign w:val="center"/>
          </w:tcPr>
          <w:p w14:paraId="2A40D5E3">
            <w:pPr>
              <w:ind w:right="11"/>
              <w:rPr>
                <w:rFonts w:hint="eastAsia" w:ascii="宋体" w:hAnsi="宋体" w:eastAsia="宋体" w:cs="宋体"/>
                <w:color w:val="auto"/>
                <w:sz w:val="24"/>
                <w:szCs w:val="24"/>
                <w:highlight w:val="none"/>
              </w:rPr>
            </w:pPr>
          </w:p>
        </w:tc>
        <w:tc>
          <w:tcPr>
            <w:tcW w:w="2171" w:type="dxa"/>
            <w:noWrap w:val="0"/>
            <w:vAlign w:val="center"/>
          </w:tcPr>
          <w:p w14:paraId="24327A67">
            <w:pPr>
              <w:ind w:right="1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tc>
        <w:tc>
          <w:tcPr>
            <w:tcW w:w="2171" w:type="dxa"/>
            <w:noWrap w:val="0"/>
            <w:vAlign w:val="center"/>
          </w:tcPr>
          <w:p w14:paraId="229D24A7">
            <w:pPr>
              <w:ind w:right="11"/>
              <w:rPr>
                <w:rFonts w:hint="eastAsia" w:ascii="宋体" w:hAnsi="宋体" w:eastAsia="宋体" w:cs="宋体"/>
                <w:color w:val="auto"/>
                <w:sz w:val="24"/>
                <w:szCs w:val="24"/>
                <w:highlight w:val="none"/>
              </w:rPr>
            </w:pPr>
          </w:p>
        </w:tc>
      </w:tr>
    </w:tbl>
    <w:p w14:paraId="471C11A5">
      <w:pPr>
        <w:pStyle w:val="18"/>
        <w:ind w:left="0" w:leftChars="0"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具体以实际签订合同为准！！！</w:t>
      </w:r>
    </w:p>
    <w:p w14:paraId="185FB919">
      <w:pPr>
        <w:pStyle w:val="3"/>
        <w:keepNext/>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32"/>
          <w:szCs w:val="32"/>
          <w:highlight w:val="none"/>
        </w:rPr>
      </w:pPr>
      <w:bookmarkStart w:id="104" w:name="_Toc15405"/>
      <w:r>
        <w:rPr>
          <w:rFonts w:hint="eastAsia" w:ascii="宋体" w:hAnsi="宋体" w:eastAsia="宋体" w:cs="宋体"/>
          <w:color w:val="auto"/>
          <w:sz w:val="32"/>
          <w:szCs w:val="32"/>
          <w:highlight w:val="none"/>
        </w:rPr>
        <w:br w:type="page"/>
      </w:r>
      <w:bookmarkStart w:id="105" w:name="_Toc28776"/>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eastAsia="zh-CN"/>
        </w:rPr>
        <w:t>六</w:t>
      </w:r>
      <w:r>
        <w:rPr>
          <w:rFonts w:hint="eastAsia" w:ascii="宋体" w:hAnsi="宋体" w:eastAsia="宋体" w:cs="宋体"/>
          <w:color w:val="auto"/>
          <w:sz w:val="32"/>
          <w:szCs w:val="32"/>
          <w:highlight w:val="none"/>
        </w:rPr>
        <w:t>部分</w:t>
      </w:r>
      <w:bookmarkEnd w:id="100"/>
      <w:bookmarkEnd w:id="101"/>
      <w:bookmarkEnd w:id="102"/>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投标文件格式</w:t>
      </w:r>
      <w:bookmarkEnd w:id="104"/>
      <w:bookmarkEnd w:id="105"/>
    </w:p>
    <w:p w14:paraId="6A737D37">
      <w:pPr>
        <w:pStyle w:val="4"/>
        <w:jc w:val="center"/>
        <w:rPr>
          <w:rFonts w:hint="eastAsia" w:ascii="宋体" w:hAnsi="宋体" w:eastAsia="宋体" w:cs="宋体"/>
          <w:color w:val="auto"/>
          <w:sz w:val="24"/>
          <w:szCs w:val="24"/>
          <w:highlight w:val="none"/>
          <w:lang w:eastAsia="zh-CN"/>
        </w:rPr>
      </w:pPr>
      <w:bookmarkStart w:id="106" w:name="_Toc485"/>
      <w:bookmarkStart w:id="107" w:name="_Toc3944"/>
      <w:bookmarkStart w:id="108" w:name="_Toc8526"/>
      <w:bookmarkStart w:id="109" w:name="_Toc21283"/>
      <w:bookmarkStart w:id="110" w:name="_Toc16640"/>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eastAsia="zh-CN"/>
        </w:rPr>
        <w:t>文件封面</w:t>
      </w:r>
      <w:bookmarkEnd w:id="106"/>
      <w:bookmarkEnd w:id="107"/>
    </w:p>
    <w:p w14:paraId="629AD255">
      <w:pPr>
        <w:autoSpaceDE w:val="0"/>
        <w:autoSpaceDN w:val="0"/>
        <w:adjustRightInd w:val="0"/>
        <w:jc w:val="right"/>
        <w:rPr>
          <w:rFonts w:hint="eastAsia" w:ascii="宋体" w:hAnsi="宋体" w:eastAsia="宋体" w:cs="宋体"/>
          <w:b/>
          <w:color w:val="auto"/>
          <w:spacing w:val="-6"/>
          <w:kern w:val="0"/>
          <w:sz w:val="32"/>
          <w:szCs w:val="32"/>
          <w:highlight w:val="none"/>
          <w:bdr w:val="single" w:color="auto" w:sz="4" w:space="0"/>
        </w:rPr>
      </w:pPr>
    </w:p>
    <w:p w14:paraId="3224537B">
      <w:pPr>
        <w:pStyle w:val="69"/>
        <w:rPr>
          <w:rFonts w:hint="eastAsia"/>
          <w:color w:val="auto"/>
          <w:highlight w:val="none"/>
        </w:rPr>
      </w:pPr>
    </w:p>
    <w:p w14:paraId="237B73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color w:val="auto"/>
          <w:spacing w:val="-6"/>
          <w:kern w:val="0"/>
          <w:sz w:val="48"/>
          <w:szCs w:val="48"/>
          <w:highlight w:val="none"/>
          <w:lang w:val="en-US" w:eastAsia="zh-CN"/>
        </w:rPr>
        <w:t>市属单位2025年防暴装备采购项目</w:t>
      </w:r>
    </w:p>
    <w:p w14:paraId="19A93241">
      <w:pPr>
        <w:keepNext w:val="0"/>
        <w:keepLines w:val="0"/>
        <w:pageBreakBefore w:val="0"/>
        <w:widowControl w:val="0"/>
        <w:kinsoku/>
        <w:wordWrap/>
        <w:overflowPunct/>
        <w:topLinePunct w:val="0"/>
        <w:autoSpaceDE/>
        <w:autoSpaceDN/>
        <w:bidi w:val="0"/>
        <w:adjustRightInd/>
        <w:snapToGrid/>
        <w:spacing w:line="240" w:lineRule="auto"/>
        <w:ind w:left="2520" w:leftChars="1200"/>
        <w:textAlignment w:val="auto"/>
        <w:rPr>
          <w:rFonts w:hint="eastAsia" w:ascii="宋体" w:hAnsi="宋体" w:eastAsia="宋体" w:cs="宋体"/>
          <w:color w:val="auto"/>
          <w:sz w:val="32"/>
          <w:szCs w:val="32"/>
          <w:highlight w:val="none"/>
          <w:u w:val="single"/>
          <w:lang w:val="en-US"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项目编号：</w:t>
      </w:r>
      <w:r>
        <w:rPr>
          <w:rFonts w:hint="eastAsia" w:ascii="宋体" w:hAnsi="宋体" w:eastAsia="宋体" w:cs="宋体"/>
          <w:color w:val="auto"/>
          <w:sz w:val="32"/>
          <w:szCs w:val="32"/>
          <w:highlight w:val="none"/>
          <w:u w:val="none"/>
          <w:lang w:val="en-US" w:eastAsia="zh-CN"/>
        </w:rPr>
        <w:t>NO.2025(HZXR)040）</w:t>
      </w:r>
    </w:p>
    <w:p w14:paraId="7DAA5BCB">
      <w:pPr>
        <w:spacing w:line="360" w:lineRule="auto"/>
        <w:jc w:val="center"/>
        <w:rPr>
          <w:rFonts w:hint="eastAsia" w:ascii="宋体" w:hAnsi="宋体" w:eastAsia="宋体" w:cs="宋体"/>
          <w:b/>
          <w:color w:val="auto"/>
          <w:sz w:val="32"/>
          <w:szCs w:val="32"/>
          <w:highlight w:val="none"/>
        </w:rPr>
      </w:pPr>
    </w:p>
    <w:p w14:paraId="1CCC385D">
      <w:pPr>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投标文件</w:t>
      </w:r>
    </w:p>
    <w:p w14:paraId="7CDA1A00">
      <w:pPr>
        <w:spacing w:line="360" w:lineRule="auto"/>
        <w:jc w:val="center"/>
        <w:rPr>
          <w:rFonts w:hint="eastAsia" w:ascii="宋体" w:hAnsi="宋体" w:eastAsia="宋体" w:cs="宋体"/>
          <w:b/>
          <w:color w:val="auto"/>
          <w:sz w:val="32"/>
          <w:szCs w:val="56"/>
          <w:highlight w:val="none"/>
          <w:lang w:eastAsia="zh-CN"/>
        </w:rPr>
      </w:pPr>
    </w:p>
    <w:p w14:paraId="53836A96">
      <w:pPr>
        <w:pStyle w:val="15"/>
        <w:rPr>
          <w:rFonts w:hint="eastAsia" w:ascii="宋体" w:hAnsi="宋体" w:eastAsia="宋体" w:cs="宋体"/>
          <w:b/>
          <w:color w:val="auto"/>
          <w:szCs w:val="48"/>
          <w:highlight w:val="none"/>
        </w:rPr>
      </w:pPr>
    </w:p>
    <w:p w14:paraId="380823E8">
      <w:pPr>
        <w:pStyle w:val="16"/>
        <w:tabs>
          <w:tab w:val="left" w:pos="924"/>
        </w:tabs>
        <w:rPr>
          <w:rFonts w:hint="eastAsia" w:ascii="宋体" w:hAnsi="宋体" w:eastAsia="宋体" w:cs="宋体"/>
          <w:b/>
          <w:color w:val="auto"/>
          <w:szCs w:val="48"/>
          <w:highlight w:val="none"/>
        </w:rPr>
      </w:pPr>
    </w:p>
    <w:p w14:paraId="155D8199">
      <w:pPr>
        <w:pStyle w:val="16"/>
        <w:tabs>
          <w:tab w:val="left" w:pos="924"/>
        </w:tabs>
        <w:rPr>
          <w:rFonts w:hint="eastAsia" w:ascii="宋体" w:hAnsi="宋体" w:eastAsia="宋体" w:cs="宋体"/>
          <w:b/>
          <w:color w:val="auto"/>
          <w:szCs w:val="48"/>
          <w:highlight w:val="none"/>
        </w:rPr>
      </w:pPr>
    </w:p>
    <w:p w14:paraId="381E766A">
      <w:pPr>
        <w:spacing w:line="360" w:lineRule="auto"/>
        <w:jc w:val="center"/>
        <w:rPr>
          <w:rFonts w:hint="eastAsia" w:ascii="宋体" w:hAnsi="宋体" w:eastAsia="宋体" w:cs="宋体"/>
          <w:b/>
          <w:color w:val="auto"/>
          <w:sz w:val="24"/>
          <w:szCs w:val="48"/>
          <w:highlight w:val="none"/>
        </w:rPr>
      </w:pPr>
    </w:p>
    <w:p w14:paraId="22C8937D">
      <w:pPr>
        <w:spacing w:line="360" w:lineRule="auto"/>
        <w:ind w:left="1898" w:leftChars="904" w:firstLine="0" w:firstLineChars="0"/>
        <w:rPr>
          <w:rFonts w:hint="eastAsia" w:ascii="宋体" w:hAnsi="宋体" w:eastAsia="宋体" w:cs="宋体"/>
          <w:color w:val="auto"/>
          <w:sz w:val="30"/>
          <w:highlight w:val="none"/>
          <w:lang w:val="en-US" w:eastAsia="zh-CN"/>
        </w:rPr>
      </w:pPr>
      <w:r>
        <w:rPr>
          <w:rFonts w:hint="eastAsia" w:ascii="宋体" w:hAnsi="宋体" w:eastAsia="宋体" w:cs="宋体"/>
          <w:color w:val="auto"/>
          <w:sz w:val="30"/>
          <w:highlight w:val="none"/>
        </w:rPr>
        <w:t>投标</w:t>
      </w:r>
      <w:r>
        <w:rPr>
          <w:rFonts w:hint="eastAsia" w:ascii="宋体" w:hAnsi="宋体" w:eastAsia="宋体" w:cs="宋体"/>
          <w:color w:val="auto"/>
          <w:sz w:val="30"/>
          <w:highlight w:val="none"/>
          <w:lang w:val="en-US" w:eastAsia="zh-CN"/>
        </w:rPr>
        <w:t>供应商</w:t>
      </w:r>
      <w:r>
        <w:rPr>
          <w:rFonts w:hint="eastAsia" w:ascii="宋体" w:hAnsi="宋体" w:eastAsia="宋体" w:cs="宋体"/>
          <w:color w:val="auto"/>
          <w:sz w:val="30"/>
          <w:highlight w:val="none"/>
        </w:rPr>
        <w:t>：</w:t>
      </w:r>
      <w:r>
        <w:rPr>
          <w:rFonts w:hint="eastAsia" w:ascii="宋体" w:hAnsi="宋体" w:eastAsia="宋体" w:cs="宋体"/>
          <w:color w:val="auto"/>
          <w:sz w:val="30"/>
          <w:highlight w:val="none"/>
          <w:u w:val="single"/>
        </w:rPr>
        <w:t xml:space="preserve">   （全称）（</w:t>
      </w:r>
      <w:r>
        <w:rPr>
          <w:rFonts w:hint="eastAsia" w:ascii="宋体" w:hAnsi="宋体" w:eastAsia="宋体" w:cs="宋体"/>
          <w:color w:val="auto"/>
          <w:sz w:val="30"/>
          <w:highlight w:val="none"/>
          <w:u w:val="single"/>
          <w:lang w:eastAsia="zh-CN"/>
        </w:rPr>
        <w:t>公章</w:t>
      </w:r>
      <w:r>
        <w:rPr>
          <w:rFonts w:hint="eastAsia" w:ascii="宋体" w:hAnsi="宋体" w:eastAsia="宋体" w:cs="宋体"/>
          <w:color w:val="auto"/>
          <w:sz w:val="30"/>
          <w:highlight w:val="none"/>
          <w:u w:val="single"/>
        </w:rPr>
        <w:t>）</w:t>
      </w:r>
      <w:r>
        <w:rPr>
          <w:rFonts w:hint="eastAsia" w:ascii="宋体" w:hAnsi="宋体" w:eastAsia="宋体" w:cs="宋体"/>
          <w:color w:val="auto"/>
          <w:sz w:val="30"/>
          <w:highlight w:val="none"/>
          <w:u w:val="single"/>
          <w:lang w:val="en-US" w:eastAsia="zh-CN"/>
        </w:rPr>
        <w:t xml:space="preserve">          </w:t>
      </w:r>
    </w:p>
    <w:p w14:paraId="1EE1827C">
      <w:pPr>
        <w:spacing w:line="360" w:lineRule="auto"/>
        <w:ind w:left="1898" w:leftChars="904" w:firstLine="0" w:firstLineChars="0"/>
        <w:rPr>
          <w:rFonts w:hint="eastAsia" w:ascii="宋体" w:hAnsi="宋体" w:eastAsia="宋体" w:cs="宋体"/>
          <w:color w:val="auto"/>
          <w:sz w:val="30"/>
          <w:highlight w:val="none"/>
          <w:lang w:val="en-US" w:eastAsia="zh-CN"/>
        </w:rPr>
      </w:pPr>
      <w:r>
        <w:rPr>
          <w:rFonts w:hint="eastAsia" w:ascii="宋体" w:hAnsi="宋体" w:eastAsia="宋体" w:cs="宋体"/>
          <w:color w:val="auto"/>
          <w:sz w:val="30"/>
          <w:highlight w:val="none"/>
        </w:rPr>
        <w:t>法人代表或授权代表</w:t>
      </w:r>
      <w:r>
        <w:rPr>
          <w:rFonts w:hint="eastAsia" w:ascii="宋体" w:hAnsi="宋体" w:eastAsia="宋体" w:cs="宋体"/>
          <w:color w:val="auto"/>
          <w:sz w:val="30"/>
          <w:highlight w:val="none"/>
          <w:lang w:eastAsia="zh-CN"/>
        </w:rPr>
        <w:t>（</w:t>
      </w:r>
      <w:r>
        <w:rPr>
          <w:rFonts w:hint="eastAsia" w:ascii="宋体" w:hAnsi="宋体" w:eastAsia="宋体" w:cs="宋体"/>
          <w:color w:val="auto"/>
          <w:sz w:val="30"/>
          <w:highlight w:val="none"/>
          <w:lang w:val="en-US" w:eastAsia="zh-CN"/>
        </w:rPr>
        <w:t>签字或盖章</w:t>
      </w:r>
      <w:r>
        <w:rPr>
          <w:rFonts w:hint="eastAsia" w:ascii="宋体" w:hAnsi="宋体" w:eastAsia="宋体" w:cs="宋体"/>
          <w:color w:val="auto"/>
          <w:sz w:val="30"/>
          <w:highlight w:val="none"/>
          <w:lang w:eastAsia="zh-CN"/>
        </w:rPr>
        <w:t>）</w:t>
      </w:r>
      <w:r>
        <w:rPr>
          <w:rFonts w:hint="eastAsia" w:ascii="宋体" w:hAnsi="宋体" w:eastAsia="宋体" w:cs="宋体"/>
          <w:color w:val="auto"/>
          <w:sz w:val="30"/>
          <w:highlight w:val="none"/>
        </w:rPr>
        <w:t>：</w:t>
      </w:r>
      <w:r>
        <w:rPr>
          <w:rFonts w:hint="eastAsia" w:ascii="宋体" w:hAnsi="宋体" w:eastAsia="宋体" w:cs="宋体"/>
          <w:color w:val="auto"/>
          <w:sz w:val="30"/>
          <w:highlight w:val="none"/>
          <w:u w:val="single"/>
          <w:lang w:val="en-US" w:eastAsia="zh-CN"/>
        </w:rPr>
        <w:t xml:space="preserve">         </w:t>
      </w:r>
    </w:p>
    <w:p w14:paraId="448D2CB5">
      <w:pPr>
        <w:spacing w:line="360" w:lineRule="auto"/>
        <w:ind w:left="1898" w:leftChars="904" w:firstLine="0" w:firstLineChars="0"/>
        <w:rPr>
          <w:rFonts w:hint="eastAsia" w:ascii="宋体" w:hAnsi="宋体" w:eastAsia="宋体" w:cs="宋体"/>
          <w:color w:val="auto"/>
          <w:sz w:val="30"/>
          <w:highlight w:val="none"/>
          <w:u w:val="single"/>
          <w:lang w:val="en-US" w:eastAsia="zh-CN"/>
        </w:rPr>
      </w:pPr>
      <w:r>
        <w:rPr>
          <w:rFonts w:hint="eastAsia" w:ascii="宋体" w:hAnsi="宋体" w:eastAsia="宋体" w:cs="宋体"/>
          <w:color w:val="auto"/>
          <w:sz w:val="30"/>
          <w:highlight w:val="none"/>
          <w:lang w:val="en-US" w:eastAsia="zh-CN"/>
        </w:rPr>
        <w:t>联系人及</w:t>
      </w:r>
      <w:r>
        <w:rPr>
          <w:rFonts w:hint="eastAsia" w:ascii="宋体" w:hAnsi="宋体" w:eastAsia="宋体" w:cs="宋体"/>
          <w:color w:val="auto"/>
          <w:sz w:val="30"/>
          <w:highlight w:val="none"/>
        </w:rPr>
        <w:t>联系</w:t>
      </w:r>
      <w:r>
        <w:rPr>
          <w:rFonts w:hint="eastAsia" w:ascii="宋体" w:hAnsi="宋体" w:eastAsia="宋体" w:cs="宋体"/>
          <w:color w:val="auto"/>
          <w:sz w:val="30"/>
          <w:highlight w:val="none"/>
          <w:lang w:eastAsia="zh-CN"/>
        </w:rPr>
        <w:t>方式</w:t>
      </w:r>
      <w:r>
        <w:rPr>
          <w:rFonts w:hint="eastAsia" w:ascii="宋体" w:hAnsi="宋体" w:eastAsia="宋体" w:cs="宋体"/>
          <w:color w:val="auto"/>
          <w:sz w:val="30"/>
          <w:highlight w:val="none"/>
        </w:rPr>
        <w:t>：</w:t>
      </w:r>
      <w:r>
        <w:rPr>
          <w:rFonts w:hint="eastAsia" w:ascii="宋体" w:hAnsi="宋体" w:eastAsia="宋体" w:cs="宋体"/>
          <w:color w:val="auto"/>
          <w:sz w:val="30"/>
          <w:highlight w:val="none"/>
          <w:u w:val="single"/>
          <w:lang w:val="en-US" w:eastAsia="zh-CN"/>
        </w:rPr>
        <w:t xml:space="preserve">                    </w:t>
      </w:r>
    </w:p>
    <w:p w14:paraId="18C2FB64">
      <w:pPr>
        <w:spacing w:line="360" w:lineRule="auto"/>
        <w:ind w:left="1898" w:leftChars="904" w:firstLine="0" w:firstLineChars="0"/>
        <w:rPr>
          <w:rFonts w:hint="eastAsia" w:ascii="宋体" w:hAnsi="宋体" w:eastAsia="宋体" w:cs="宋体"/>
          <w:color w:val="auto"/>
          <w:sz w:val="30"/>
          <w:highlight w:val="none"/>
          <w:lang w:val="en-US" w:eastAsia="zh-CN"/>
        </w:rPr>
      </w:pPr>
      <w:r>
        <w:rPr>
          <w:rFonts w:hint="eastAsia" w:ascii="宋体" w:hAnsi="宋体" w:eastAsia="宋体" w:cs="宋体"/>
          <w:color w:val="auto"/>
          <w:sz w:val="30"/>
          <w:highlight w:val="none"/>
        </w:rPr>
        <w:t>单位地址：</w:t>
      </w:r>
      <w:r>
        <w:rPr>
          <w:rFonts w:hint="eastAsia" w:ascii="宋体" w:hAnsi="宋体" w:eastAsia="宋体" w:cs="宋体"/>
          <w:color w:val="auto"/>
          <w:sz w:val="30"/>
          <w:highlight w:val="none"/>
          <w:u w:val="single"/>
          <w:lang w:val="en-US" w:eastAsia="zh-CN"/>
        </w:rPr>
        <w:t xml:space="preserve">                             </w:t>
      </w:r>
    </w:p>
    <w:p w14:paraId="2B1EC9D0">
      <w:pPr>
        <w:spacing w:line="360" w:lineRule="auto"/>
        <w:ind w:left="1898" w:leftChars="904" w:firstLine="0" w:firstLineChars="0"/>
        <w:rPr>
          <w:rFonts w:hint="eastAsia" w:ascii="宋体" w:hAnsi="宋体" w:eastAsia="宋体" w:cs="宋体"/>
          <w:color w:val="auto"/>
          <w:sz w:val="30"/>
          <w:highlight w:val="none"/>
          <w:lang w:val="en-US" w:eastAsia="zh-CN"/>
        </w:rPr>
      </w:pPr>
      <w:r>
        <w:rPr>
          <w:rFonts w:hint="eastAsia" w:ascii="宋体" w:hAnsi="宋体" w:eastAsia="宋体" w:cs="宋体"/>
          <w:color w:val="auto"/>
          <w:sz w:val="30"/>
          <w:highlight w:val="none"/>
          <w:lang w:eastAsia="zh-CN"/>
        </w:rPr>
        <w:t>日</w:t>
      </w:r>
      <w:r>
        <w:rPr>
          <w:rFonts w:hint="eastAsia" w:ascii="宋体" w:hAnsi="宋体" w:eastAsia="宋体" w:cs="宋体"/>
          <w:color w:val="auto"/>
          <w:sz w:val="30"/>
          <w:highlight w:val="none"/>
          <w:lang w:val="en-US" w:eastAsia="zh-CN"/>
        </w:rPr>
        <w:t xml:space="preserve">    </w:t>
      </w:r>
      <w:r>
        <w:rPr>
          <w:rFonts w:hint="eastAsia" w:ascii="宋体" w:hAnsi="宋体" w:eastAsia="宋体" w:cs="宋体"/>
          <w:color w:val="auto"/>
          <w:sz w:val="30"/>
          <w:highlight w:val="none"/>
          <w:lang w:eastAsia="zh-CN"/>
        </w:rPr>
        <w:t>期</w:t>
      </w:r>
      <w:r>
        <w:rPr>
          <w:rFonts w:hint="eastAsia" w:ascii="宋体" w:hAnsi="宋体" w:eastAsia="宋体" w:cs="宋体"/>
          <w:color w:val="auto"/>
          <w:sz w:val="30"/>
          <w:highlight w:val="none"/>
        </w:rPr>
        <w:t>：</w:t>
      </w:r>
      <w:r>
        <w:rPr>
          <w:rFonts w:hint="eastAsia" w:ascii="宋体" w:hAnsi="宋体" w:eastAsia="宋体" w:cs="宋体"/>
          <w:color w:val="auto"/>
          <w:sz w:val="30"/>
          <w:highlight w:val="none"/>
          <w:u w:val="single"/>
          <w:lang w:val="en-US" w:eastAsia="zh-CN"/>
        </w:rPr>
        <w:t xml:space="preserve">                             </w:t>
      </w:r>
    </w:p>
    <w:p w14:paraId="5FC8F608">
      <w:pPr>
        <w:pStyle w:val="132"/>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p>
    <w:p w14:paraId="566B6B3F">
      <w:pPr>
        <w:pStyle w:val="132"/>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p>
    <w:p w14:paraId="2FC73418">
      <w:pPr>
        <w:pStyle w:val="132"/>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p>
    <w:p w14:paraId="75A9DB62">
      <w:pPr>
        <w:pStyle w:val="132"/>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p>
    <w:p w14:paraId="1E242161">
      <w:pPr>
        <w:bidi w:val="0"/>
        <w:jc w:val="center"/>
        <w:rPr>
          <w:rFonts w:hint="eastAsia" w:ascii="宋体" w:hAnsi="宋体" w:eastAsia="宋体" w:cs="宋体"/>
          <w:b/>
          <w:bCs/>
          <w:color w:val="auto"/>
          <w:sz w:val="24"/>
          <w:szCs w:val="24"/>
          <w:highlight w:val="none"/>
        </w:rPr>
      </w:pPr>
      <w:bookmarkStart w:id="111" w:name="_Toc1721037"/>
      <w:bookmarkStart w:id="112" w:name="_Toc3891637"/>
      <w:bookmarkStart w:id="113" w:name="_Toc31656"/>
      <w:bookmarkStart w:id="114" w:name="_Toc13820"/>
      <w:bookmarkStart w:id="115" w:name="_Toc1719141"/>
      <w:bookmarkStart w:id="116" w:name="_Toc3891638"/>
      <w:bookmarkStart w:id="117" w:name="_Toc30637"/>
      <w:bookmarkStart w:id="118" w:name="_Toc1721038"/>
      <w:bookmarkStart w:id="119" w:name="_Toc1719142"/>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目录</w:t>
      </w:r>
      <w:bookmarkEnd w:id="111"/>
      <w:bookmarkEnd w:id="112"/>
      <w:bookmarkEnd w:id="113"/>
      <w:bookmarkEnd w:id="114"/>
      <w:bookmarkEnd w:id="115"/>
    </w:p>
    <w:p w14:paraId="5A72C31C">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（自行编制，</w:t>
      </w:r>
      <w:r>
        <w:rPr>
          <w:rFonts w:hint="eastAsia" w:ascii="宋体" w:hAnsi="宋体" w:eastAsia="宋体" w:cs="宋体"/>
          <w:bCs/>
          <w:color w:val="auto"/>
          <w:sz w:val="24"/>
          <w:szCs w:val="24"/>
          <w:highlight w:val="none"/>
        </w:rPr>
        <w:t>为便于查找，请标明页码</w:t>
      </w:r>
      <w:r>
        <w:rPr>
          <w:rFonts w:hint="eastAsia" w:ascii="宋体" w:hAnsi="宋体" w:eastAsia="宋体" w:cs="宋体"/>
          <w:color w:val="auto"/>
          <w:sz w:val="24"/>
          <w:szCs w:val="24"/>
          <w:highlight w:val="none"/>
        </w:rPr>
        <w:t>）</w:t>
      </w:r>
    </w:p>
    <w:p w14:paraId="68B2999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一、资格文件</w:t>
      </w:r>
    </w:p>
    <w:p w14:paraId="34511A6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（一）满足《中华人民共和国政府采购法》第二十二条规定</w:t>
      </w:r>
    </w:p>
    <w:p w14:paraId="010B4E3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1.资格声明函</w:t>
      </w:r>
    </w:p>
    <w:p w14:paraId="01B13E7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2.法定代表人身份证明及授权委托书</w:t>
      </w:r>
    </w:p>
    <w:p w14:paraId="25AEE43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3.具有独立承担民事责任的能力</w:t>
      </w:r>
    </w:p>
    <w:p w14:paraId="36030D9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4.具有良好的商业信誉和健全的财务会计制度</w:t>
      </w:r>
    </w:p>
    <w:p w14:paraId="7B7F13C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5.具有履行合同所必需的设备和专业技术能力</w:t>
      </w:r>
    </w:p>
    <w:p w14:paraId="477B280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6.有依法缴纳税收和社会保障资金的良好记录</w:t>
      </w:r>
    </w:p>
    <w:p w14:paraId="400D318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7.参加政府采购活动前三年内，在经营活动中没有重大违法记录</w:t>
      </w:r>
    </w:p>
    <w:p w14:paraId="5412F89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（二）落实政府采购政策需满足的资格要求</w:t>
      </w:r>
    </w:p>
    <w:p w14:paraId="58031C3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（三）投标保证金</w:t>
      </w:r>
    </w:p>
    <w:p w14:paraId="44B47B8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二、报价文件</w:t>
      </w:r>
    </w:p>
    <w:p w14:paraId="3F801F2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（一）开标一览表</w:t>
      </w:r>
    </w:p>
    <w:p w14:paraId="4EBB7AD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（二）报价明细表</w:t>
      </w:r>
    </w:p>
    <w:p w14:paraId="7B148C8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三、商务技术文件</w:t>
      </w:r>
    </w:p>
    <w:p w14:paraId="6ED7B00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（一）投标函</w:t>
      </w:r>
    </w:p>
    <w:p w14:paraId="173ED9A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（二）供应商基本情况表</w:t>
      </w:r>
    </w:p>
    <w:p w14:paraId="65ED3AD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（三）商务、技术条款偏离表</w:t>
      </w:r>
    </w:p>
    <w:p w14:paraId="577A5B8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（四）投标供应商近三年类似业绩</w:t>
      </w:r>
    </w:p>
    <w:p w14:paraId="2273303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（五）拟投入项目人员</w:t>
      </w:r>
    </w:p>
    <w:p w14:paraId="4B5A01F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（六）</w:t>
      </w:r>
      <w:r>
        <w:rPr>
          <w:rFonts w:hint="eastAsia" w:ascii="宋体" w:hAnsi="宋体" w:eastAsia="宋体" w:cs="宋体"/>
          <w:b w:val="0"/>
          <w:bCs w:val="0"/>
          <w:color w:val="auto"/>
          <w:sz w:val="24"/>
          <w:szCs w:val="24"/>
          <w:highlight w:val="none"/>
          <w:lang w:val="en-US" w:eastAsia="zh-CN"/>
        </w:rPr>
        <w:t>供货</w:t>
      </w:r>
      <w:r>
        <w:rPr>
          <w:rFonts w:hint="eastAsia" w:ascii="宋体" w:hAnsi="宋体" w:eastAsia="宋体" w:cs="宋体"/>
          <w:b w:val="0"/>
          <w:bCs w:val="0"/>
          <w:color w:val="auto"/>
          <w:sz w:val="24"/>
          <w:szCs w:val="24"/>
          <w:highlight w:val="none"/>
        </w:rPr>
        <w:t>方案</w:t>
      </w:r>
    </w:p>
    <w:p w14:paraId="0A00C6C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（七）保密承诺书</w:t>
      </w:r>
    </w:p>
    <w:p w14:paraId="7265BD6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（八）其他有利于投标的资料及证明文件等</w:t>
      </w:r>
    </w:p>
    <w:p w14:paraId="61234A2B">
      <w:pPr>
        <w:spacing w:line="440" w:lineRule="exact"/>
        <w:ind w:firstLine="149" w:firstLineChars="62"/>
        <w:jc w:val="center"/>
        <w:rPr>
          <w:rFonts w:hint="eastAsia" w:ascii="宋体" w:hAnsi="宋体" w:eastAsia="宋体" w:cs="宋体"/>
          <w:b/>
          <w:bCs/>
          <w:color w:val="auto"/>
          <w:sz w:val="24"/>
          <w:szCs w:val="24"/>
          <w:highlight w:val="none"/>
        </w:rPr>
      </w:pPr>
    </w:p>
    <w:p w14:paraId="2581ABB3">
      <w:pPr>
        <w:spacing w:line="440" w:lineRule="exact"/>
        <w:ind w:firstLine="149" w:firstLineChars="62"/>
        <w:jc w:val="center"/>
        <w:rPr>
          <w:rFonts w:hint="eastAsia" w:ascii="宋体" w:hAnsi="宋体" w:eastAsia="宋体" w:cs="宋体"/>
          <w:b/>
          <w:bCs/>
          <w:color w:val="auto"/>
          <w:sz w:val="24"/>
          <w:szCs w:val="24"/>
          <w:highlight w:val="none"/>
        </w:rPr>
      </w:pPr>
    </w:p>
    <w:p w14:paraId="69D50970">
      <w:pPr>
        <w:spacing w:line="440" w:lineRule="exact"/>
        <w:ind w:firstLine="149" w:firstLineChars="62"/>
        <w:jc w:val="center"/>
        <w:rPr>
          <w:rFonts w:hint="eastAsia" w:ascii="宋体" w:hAnsi="宋体" w:eastAsia="宋体" w:cs="宋体"/>
          <w:b/>
          <w:bCs/>
          <w:color w:val="auto"/>
          <w:sz w:val="24"/>
          <w:szCs w:val="24"/>
          <w:highlight w:val="none"/>
        </w:rPr>
      </w:pPr>
    </w:p>
    <w:p w14:paraId="6B2E4195">
      <w:pPr>
        <w:spacing w:line="440" w:lineRule="exact"/>
        <w:ind w:firstLine="149" w:firstLineChars="62"/>
        <w:jc w:val="center"/>
        <w:rPr>
          <w:rFonts w:hint="eastAsia" w:ascii="宋体" w:hAnsi="宋体" w:eastAsia="宋体" w:cs="宋体"/>
          <w:b/>
          <w:bCs/>
          <w:color w:val="auto"/>
          <w:sz w:val="24"/>
          <w:szCs w:val="24"/>
          <w:highlight w:val="none"/>
        </w:rPr>
      </w:pPr>
    </w:p>
    <w:p w14:paraId="56133C3F">
      <w:pPr>
        <w:spacing w:line="440" w:lineRule="exact"/>
        <w:ind w:firstLine="149" w:firstLineChars="62"/>
        <w:jc w:val="center"/>
        <w:rPr>
          <w:rFonts w:hint="eastAsia" w:ascii="宋体" w:hAnsi="宋体" w:eastAsia="宋体" w:cs="宋体"/>
          <w:b/>
          <w:bCs/>
          <w:color w:val="auto"/>
          <w:sz w:val="24"/>
          <w:szCs w:val="24"/>
          <w:highlight w:val="none"/>
        </w:rPr>
      </w:pPr>
    </w:p>
    <w:p w14:paraId="4E6DF5C0">
      <w:pPr>
        <w:spacing w:line="440" w:lineRule="exact"/>
        <w:ind w:firstLine="149" w:firstLineChars="62"/>
        <w:jc w:val="center"/>
        <w:rPr>
          <w:rFonts w:hint="eastAsia" w:ascii="宋体" w:hAnsi="宋体" w:eastAsia="宋体" w:cs="宋体"/>
          <w:b/>
          <w:bCs/>
          <w:color w:val="auto"/>
          <w:sz w:val="24"/>
          <w:szCs w:val="24"/>
          <w:highlight w:val="none"/>
        </w:rPr>
      </w:pPr>
    </w:p>
    <w:p w14:paraId="4A4B0E19">
      <w:pPr>
        <w:spacing w:line="440" w:lineRule="exact"/>
        <w:ind w:firstLine="149" w:firstLineChars="62"/>
        <w:jc w:val="center"/>
        <w:rPr>
          <w:rFonts w:hint="eastAsia" w:ascii="宋体" w:hAnsi="宋体" w:eastAsia="宋体" w:cs="宋体"/>
          <w:b/>
          <w:bCs/>
          <w:color w:val="auto"/>
          <w:sz w:val="24"/>
          <w:szCs w:val="24"/>
          <w:highlight w:val="none"/>
        </w:rPr>
      </w:pPr>
    </w:p>
    <w:bookmarkEnd w:id="116"/>
    <w:bookmarkEnd w:id="117"/>
    <w:bookmarkEnd w:id="118"/>
    <w:bookmarkEnd w:id="119"/>
    <w:p w14:paraId="437C1BE4">
      <w:pPr>
        <w:pStyle w:val="4"/>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8"/>
          <w:szCs w:val="28"/>
          <w:highlight w:val="none"/>
        </w:rPr>
      </w:pPr>
      <w:bookmarkStart w:id="120" w:name="_Toc8048"/>
      <w:bookmarkStart w:id="121" w:name="_Toc28689"/>
      <w:r>
        <w:rPr>
          <w:rFonts w:hint="eastAsia" w:ascii="宋体" w:hAnsi="宋体" w:eastAsia="宋体" w:cs="宋体"/>
          <w:color w:val="auto"/>
          <w:sz w:val="28"/>
          <w:szCs w:val="28"/>
          <w:highlight w:val="none"/>
          <w:lang w:eastAsia="zh-CN"/>
        </w:rPr>
        <w:t>一</w:t>
      </w:r>
      <w:r>
        <w:rPr>
          <w:rFonts w:hint="eastAsia" w:ascii="宋体" w:hAnsi="宋体" w:eastAsia="宋体" w:cs="宋体"/>
          <w:color w:val="auto"/>
          <w:sz w:val="28"/>
          <w:szCs w:val="28"/>
          <w:highlight w:val="none"/>
        </w:rPr>
        <w:t>、资</w:t>
      </w:r>
      <w:r>
        <w:rPr>
          <w:rFonts w:hint="eastAsia" w:ascii="宋体" w:hAnsi="宋体" w:eastAsia="宋体" w:cs="宋体"/>
          <w:color w:val="auto"/>
          <w:sz w:val="28"/>
          <w:szCs w:val="28"/>
          <w:highlight w:val="none"/>
          <w:lang w:eastAsia="zh-CN"/>
        </w:rPr>
        <w:t>格</w:t>
      </w:r>
      <w:r>
        <w:rPr>
          <w:rFonts w:hint="eastAsia" w:ascii="宋体" w:hAnsi="宋体" w:eastAsia="宋体" w:cs="宋体"/>
          <w:color w:val="auto"/>
          <w:sz w:val="28"/>
          <w:szCs w:val="28"/>
          <w:highlight w:val="none"/>
        </w:rPr>
        <w:t>文件</w:t>
      </w:r>
      <w:bookmarkEnd w:id="108"/>
      <w:bookmarkEnd w:id="109"/>
      <w:bookmarkEnd w:id="120"/>
      <w:bookmarkEnd w:id="121"/>
    </w:p>
    <w:p w14:paraId="0DE7DAEC">
      <w:pPr>
        <w:pStyle w:val="5"/>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szCs w:val="24"/>
          <w:highlight w:val="none"/>
        </w:rPr>
      </w:pPr>
      <w:bookmarkStart w:id="122" w:name="_Toc32061"/>
      <w:bookmarkStart w:id="123" w:name="_Toc13751"/>
      <w:bookmarkStart w:id="124" w:name="_Toc31100"/>
      <w:bookmarkStart w:id="125" w:name="_Toc5330"/>
      <w:bookmarkStart w:id="126" w:name="_Toc10358"/>
      <w:bookmarkStart w:id="127" w:name="_Toc31104"/>
      <w:r>
        <w:rPr>
          <w:rFonts w:hint="eastAsia" w:ascii="宋体" w:hAnsi="宋体" w:eastAsia="宋体" w:cs="宋体"/>
          <w:b/>
          <w:color w:val="auto"/>
          <w:sz w:val="24"/>
          <w:szCs w:val="24"/>
          <w:highlight w:val="none"/>
          <w:lang w:val="en-US" w:eastAsia="zh-CN"/>
        </w:rPr>
        <w:t>（一）满足《中华人民共和国政府采购法》第二十二条规定</w:t>
      </w:r>
      <w:bookmarkEnd w:id="122"/>
      <w:bookmarkEnd w:id="123"/>
      <w:bookmarkEnd w:id="124"/>
    </w:p>
    <w:bookmarkEnd w:id="125"/>
    <w:p w14:paraId="0CD61EE8">
      <w:pPr>
        <w:pStyle w:val="5"/>
        <w:keepNext w:val="0"/>
        <w:keepLines w:val="0"/>
        <w:pageBreakBefore w:val="0"/>
        <w:widowControl w:val="0"/>
        <w:tabs>
          <w:tab w:val="left" w:pos="540"/>
        </w:tabs>
        <w:kinsoku/>
        <w:wordWrap/>
        <w:overflowPunct/>
        <w:topLinePunct w:val="0"/>
        <w:autoSpaceDE/>
        <w:autoSpaceDN/>
        <w:bidi w:val="0"/>
        <w:adjustRightInd w:val="0"/>
        <w:snapToGrid w:val="0"/>
        <w:spacing w:line="360" w:lineRule="auto"/>
        <w:jc w:val="center"/>
        <w:textAlignment w:val="auto"/>
        <w:rPr>
          <w:rFonts w:hint="eastAsia" w:eastAsia="宋体"/>
          <w:color w:val="auto"/>
          <w:sz w:val="24"/>
          <w:szCs w:val="24"/>
          <w:highlight w:val="none"/>
          <w:lang w:eastAsia="zh-CN"/>
        </w:rPr>
      </w:pPr>
      <w:bookmarkStart w:id="128" w:name="_Toc5001"/>
      <w:bookmarkStart w:id="129" w:name="_Toc27002"/>
      <w:bookmarkStart w:id="130" w:name="_Toc31544"/>
      <w:bookmarkStart w:id="131" w:name="_Toc31244"/>
      <w:bookmarkStart w:id="132" w:name="_Toc17503"/>
      <w:bookmarkStart w:id="133" w:name="_Toc18030"/>
      <w:bookmarkStart w:id="134" w:name="_Toc4376"/>
      <w:bookmarkStart w:id="135" w:name="_Toc31522"/>
      <w:bookmarkStart w:id="136" w:name="_Toc29395"/>
      <w:r>
        <w:rPr>
          <w:rFonts w:hint="eastAsia" w:ascii="宋体" w:hAnsi="宋体" w:eastAsia="宋体" w:cs="宋体"/>
          <w:color w:val="auto"/>
          <w:sz w:val="24"/>
          <w:szCs w:val="24"/>
          <w:highlight w:val="none"/>
          <w:lang w:val="en-US" w:eastAsia="zh-CN"/>
        </w:rPr>
        <w:t>1.</w:t>
      </w:r>
      <w:bookmarkEnd w:id="128"/>
      <w:bookmarkEnd w:id="129"/>
      <w:r>
        <w:rPr>
          <w:rFonts w:hint="eastAsia" w:eastAsia="宋体"/>
          <w:color w:val="auto"/>
          <w:sz w:val="24"/>
          <w:szCs w:val="24"/>
          <w:highlight w:val="none"/>
          <w:lang w:eastAsia="zh-CN"/>
        </w:rPr>
        <w:t>资格声明函</w:t>
      </w:r>
      <w:bookmarkEnd w:id="130"/>
      <w:bookmarkEnd w:id="131"/>
      <w:bookmarkEnd w:id="132"/>
      <w:bookmarkEnd w:id="133"/>
      <w:bookmarkEnd w:id="134"/>
    </w:p>
    <w:p w14:paraId="6744D2F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致：</w:t>
      </w:r>
      <w:r>
        <w:rPr>
          <w:rFonts w:hint="default" w:ascii="宋体" w:hAnsi="宋体" w:cs="宋体"/>
          <w:color w:val="auto"/>
          <w:sz w:val="24"/>
          <w:highlight w:val="none"/>
          <w:u w:val="single"/>
          <w:lang w:val="en-US" w:eastAsia="zh-CN"/>
        </w:rPr>
        <w:t>新疆华展鑫荣项目管理咨询有限公司</w:t>
      </w:r>
      <w:r>
        <w:rPr>
          <w:rFonts w:hint="eastAsia" w:ascii="宋体" w:hAnsi="宋体" w:cs="宋体"/>
          <w:color w:val="auto"/>
          <w:sz w:val="24"/>
          <w:highlight w:val="none"/>
          <w:u w:val="single"/>
          <w:lang w:val="en-US" w:eastAsia="zh-CN"/>
        </w:rPr>
        <w:t xml:space="preserve"> </w:t>
      </w:r>
    </w:p>
    <w:p w14:paraId="1124C2EA">
      <w:pPr>
        <w:pStyle w:val="23"/>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auto"/>
          <w:sz w:val="24"/>
          <w:highlight w:val="none"/>
        </w:rPr>
      </w:pPr>
      <w:bookmarkStart w:id="137" w:name="_Toc11591"/>
      <w:r>
        <w:rPr>
          <w:rFonts w:hint="eastAsia" w:ascii="宋体" w:hAnsi="宋体" w:cs="宋体"/>
          <w:color w:val="auto"/>
          <w:sz w:val="24"/>
          <w:highlight w:val="none"/>
        </w:rPr>
        <w:t>关于贵方</w:t>
      </w:r>
      <w:r>
        <w:rPr>
          <w:rFonts w:hint="eastAsia" w:ascii="宋体" w:hAnsi="宋体" w:cs="宋体"/>
          <w:color w:val="auto"/>
          <w:sz w:val="24"/>
          <w:highlight w:val="none"/>
          <w:u w:val="single"/>
        </w:rPr>
        <w:t>　　　　</w:t>
      </w:r>
      <w:r>
        <w:rPr>
          <w:rFonts w:hint="eastAsia" w:ascii="宋体" w:hAnsi="宋体" w:cs="宋体"/>
          <w:color w:val="auto"/>
          <w:sz w:val="24"/>
          <w:highlight w:val="none"/>
        </w:rPr>
        <w:t>年</w:t>
      </w:r>
      <w:r>
        <w:rPr>
          <w:rFonts w:hint="eastAsia" w:ascii="宋体" w:hAnsi="宋体" w:cs="宋体"/>
          <w:color w:val="auto"/>
          <w:sz w:val="24"/>
          <w:highlight w:val="none"/>
          <w:u w:val="single"/>
        </w:rPr>
        <w:t>　　</w:t>
      </w:r>
      <w:r>
        <w:rPr>
          <w:rFonts w:hint="eastAsia" w:ascii="宋体" w:hAnsi="宋体" w:cs="宋体"/>
          <w:color w:val="auto"/>
          <w:sz w:val="24"/>
          <w:highlight w:val="none"/>
        </w:rPr>
        <w:t>月</w:t>
      </w:r>
      <w:r>
        <w:rPr>
          <w:rFonts w:hint="eastAsia" w:ascii="宋体" w:hAnsi="宋体" w:cs="宋体"/>
          <w:color w:val="auto"/>
          <w:sz w:val="24"/>
          <w:highlight w:val="none"/>
          <w:u w:val="single"/>
        </w:rPr>
        <w:t>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项目编号</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eastAsia="zh-CN"/>
        </w:rPr>
        <w:t>采购</w:t>
      </w:r>
      <w:r>
        <w:rPr>
          <w:rFonts w:hint="eastAsia" w:ascii="宋体" w:hAnsi="宋体" w:cs="宋体"/>
          <w:color w:val="auto"/>
          <w:sz w:val="24"/>
          <w:highlight w:val="none"/>
        </w:rPr>
        <w:t>公告，本签字人愿意参加投标，并有能力提供</w:t>
      </w:r>
      <w:r>
        <w:rPr>
          <w:rFonts w:hint="eastAsia" w:ascii="宋体" w:hAnsi="宋体" w:cs="宋体"/>
          <w:color w:val="auto"/>
          <w:sz w:val="24"/>
          <w:highlight w:val="none"/>
          <w:u w:val="single"/>
        </w:rPr>
        <w:t>　　（</w:t>
      </w:r>
      <w:r>
        <w:rPr>
          <w:rFonts w:hint="eastAsia" w:ascii="宋体" w:hAnsi="宋体" w:cs="宋体"/>
          <w:i/>
          <w:iCs/>
          <w:color w:val="auto"/>
          <w:sz w:val="24"/>
          <w:highlight w:val="none"/>
          <w:u w:val="single"/>
        </w:rPr>
        <w:t>项目名称</w:t>
      </w:r>
      <w:r>
        <w:rPr>
          <w:rFonts w:hint="eastAsia" w:ascii="宋体" w:hAnsi="宋体" w:cs="宋体"/>
          <w:color w:val="auto"/>
          <w:sz w:val="24"/>
          <w:highlight w:val="none"/>
          <w:u w:val="single"/>
        </w:rPr>
        <w:t>）　　</w:t>
      </w:r>
      <w:r>
        <w:rPr>
          <w:rFonts w:hint="eastAsia" w:ascii="宋体" w:hAnsi="宋体" w:cs="宋体"/>
          <w:color w:val="auto"/>
          <w:sz w:val="24"/>
          <w:highlight w:val="none"/>
        </w:rPr>
        <w:t>中</w:t>
      </w:r>
      <w:r>
        <w:rPr>
          <w:rFonts w:hint="eastAsia" w:ascii="宋体" w:hAnsi="宋体" w:cs="宋体"/>
          <w:color w:val="auto"/>
          <w:sz w:val="24"/>
          <w:highlight w:val="none"/>
          <w:u w:val="none"/>
          <w:lang w:eastAsia="zh-CN"/>
        </w:rPr>
        <w:t>所投货物的</w:t>
      </w:r>
      <w:r>
        <w:rPr>
          <w:rFonts w:hint="eastAsia" w:ascii="宋体" w:hAnsi="宋体" w:cs="宋体"/>
          <w:color w:val="auto"/>
          <w:sz w:val="24"/>
          <w:highlight w:val="none"/>
          <w:u w:val="none"/>
        </w:rPr>
        <w:t>招标</w:t>
      </w:r>
      <w:r>
        <w:rPr>
          <w:rFonts w:hint="eastAsia" w:ascii="宋体" w:hAnsi="宋体" w:cs="宋体"/>
          <w:color w:val="auto"/>
          <w:sz w:val="24"/>
          <w:highlight w:val="none"/>
          <w:lang w:eastAsia="zh-CN"/>
        </w:rPr>
        <w:t>活动</w:t>
      </w:r>
      <w:r>
        <w:rPr>
          <w:rFonts w:hint="eastAsia" w:ascii="宋体" w:hAnsi="宋体" w:cs="宋体"/>
          <w:color w:val="auto"/>
          <w:sz w:val="24"/>
          <w:highlight w:val="none"/>
        </w:rPr>
        <w:t>，并证明所提交的所有文件和说明是准确和真实的。</w:t>
      </w:r>
    </w:p>
    <w:p w14:paraId="279340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我方承诺</w:t>
      </w:r>
      <w:r>
        <w:rPr>
          <w:rFonts w:hint="eastAsia" w:ascii="宋体" w:hAnsi="宋体" w:eastAsia="宋体" w:cs="宋体"/>
          <w:color w:val="auto"/>
          <w:sz w:val="24"/>
          <w:szCs w:val="24"/>
          <w:highlight w:val="none"/>
          <w:lang w:eastAsia="zh-CN"/>
        </w:rPr>
        <w:t>声明：完全</w:t>
      </w:r>
      <w:r>
        <w:rPr>
          <w:rFonts w:hint="eastAsia" w:ascii="宋体" w:hAnsi="宋体" w:eastAsia="宋体" w:cs="宋体"/>
          <w:color w:val="auto"/>
          <w:sz w:val="24"/>
          <w:szCs w:val="24"/>
          <w:highlight w:val="none"/>
        </w:rPr>
        <w:t>具备《中华人民共和国政府采购法》中规定的参加政府采购活动的供应商应当具备的条件：</w:t>
      </w:r>
    </w:p>
    <w:p w14:paraId="284774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具有独立承担民事责任的能力；</w:t>
      </w:r>
    </w:p>
    <w:p w14:paraId="5C98CB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具有良好的商业信誉和健全的财务会计制度；</w:t>
      </w:r>
    </w:p>
    <w:p w14:paraId="367913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具有履行合同所必需的设备和专业技术能力；</w:t>
      </w:r>
    </w:p>
    <w:p w14:paraId="22E524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有依法缴纳税收和社会保障资金的良好记录；</w:t>
      </w:r>
    </w:p>
    <w:p w14:paraId="428EAB2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参加此项采购活动前三年内，在经营活动中没有重大违法记录；</w:t>
      </w:r>
    </w:p>
    <w:p w14:paraId="0F8AE6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法律、行政法规规定的其他条件。</w:t>
      </w:r>
    </w:p>
    <w:p w14:paraId="4D5096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本公司对上述声明的真实性负责，如有虚假将依法承担相应责任。</w:t>
      </w:r>
    </w:p>
    <w:p w14:paraId="6213DAC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p>
    <w:p w14:paraId="380350A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p>
    <w:p w14:paraId="4F3CAB5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p>
    <w:p w14:paraId="7678339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p>
    <w:p w14:paraId="08530D63">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供应商名称（</w:t>
      </w:r>
      <w:r>
        <w:rPr>
          <w:rFonts w:hint="eastAsia" w:ascii="宋体" w:hAnsi="宋体" w:eastAsia="宋体" w:cs="宋体"/>
          <w:b w:val="0"/>
          <w:bCs w:val="0"/>
          <w:color w:val="auto"/>
          <w:kern w:val="0"/>
          <w:sz w:val="24"/>
          <w:szCs w:val="24"/>
          <w:highlight w:val="none"/>
          <w:lang w:val="en-US" w:eastAsia="zh-CN"/>
        </w:rPr>
        <w:t>盖</w:t>
      </w:r>
      <w:r>
        <w:rPr>
          <w:rFonts w:hint="eastAsia" w:ascii="宋体" w:hAnsi="宋体" w:eastAsia="宋体" w:cs="宋体"/>
          <w:b w:val="0"/>
          <w:bCs w:val="0"/>
          <w:color w:val="auto"/>
          <w:kern w:val="0"/>
          <w:sz w:val="24"/>
          <w:szCs w:val="24"/>
          <w:highlight w:val="none"/>
          <w:lang w:eastAsia="zh-CN"/>
        </w:rPr>
        <w:t>公章</w:t>
      </w: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u w:val="single"/>
          <w:lang w:val="en-US" w:eastAsia="zh-CN"/>
        </w:rPr>
        <w:t xml:space="preserve">                     </w:t>
      </w:r>
    </w:p>
    <w:p w14:paraId="2833F389">
      <w:pPr>
        <w:pStyle w:val="35"/>
        <w:rPr>
          <w:rFonts w:hint="default"/>
          <w:color w:val="auto"/>
          <w:highlight w:val="none"/>
          <w:lang w:val="en-US" w:eastAsia="zh-CN"/>
        </w:rPr>
      </w:pPr>
    </w:p>
    <w:p w14:paraId="404C2322">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w:t>
      </w:r>
      <w:r>
        <w:rPr>
          <w:rFonts w:hint="eastAsia" w:ascii="宋体" w:hAnsi="宋体" w:eastAsia="宋体" w:cs="宋体"/>
          <w:b w:val="0"/>
          <w:bCs w:val="0"/>
          <w:color w:val="auto"/>
          <w:kern w:val="0"/>
          <w:sz w:val="24"/>
          <w:szCs w:val="24"/>
          <w:highlight w:val="none"/>
          <w:lang w:val="en-US" w:eastAsia="zh-CN"/>
        </w:rPr>
        <w:t>签字</w:t>
      </w:r>
      <w:r>
        <w:rPr>
          <w:rFonts w:hint="eastAsia" w:ascii="宋体" w:hAnsi="宋体" w:eastAsia="宋体" w:cs="宋体"/>
          <w:b w:val="0"/>
          <w:bCs w:val="0"/>
          <w:color w:val="auto"/>
          <w:kern w:val="0"/>
          <w:sz w:val="24"/>
          <w:szCs w:val="24"/>
          <w:highlight w:val="none"/>
          <w:lang w:eastAsia="zh-CN"/>
        </w:rPr>
        <w:t>或盖章</w:t>
      </w: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u w:val="single"/>
          <w:lang w:val="en-US" w:eastAsia="zh-CN"/>
        </w:rPr>
        <w:t xml:space="preserve">                   </w:t>
      </w:r>
    </w:p>
    <w:p w14:paraId="1A83354C">
      <w:pPr>
        <w:pStyle w:val="35"/>
        <w:rPr>
          <w:rFonts w:hint="eastAsia"/>
          <w:color w:val="auto"/>
          <w:highlight w:val="none"/>
          <w:lang w:val="en-US" w:eastAsia="zh-CN"/>
        </w:rPr>
      </w:pPr>
    </w:p>
    <w:p w14:paraId="55BC34B8">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47D7885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p>
    <w:p w14:paraId="3EB7E9C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p>
    <w:p w14:paraId="1128B08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p>
    <w:p w14:paraId="491C96CC">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备注：没有提供此项声明函的，视为未实质性响应招标文件要求，将按无效响应处理。</w:t>
      </w:r>
    </w:p>
    <w:p w14:paraId="4CDA6E5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p>
    <w:p w14:paraId="030E53DE">
      <w:pPr>
        <w:pStyle w:val="5"/>
        <w:keepNext w:val="0"/>
        <w:keepLines w:val="0"/>
        <w:pageBreakBefore w:val="0"/>
        <w:widowControl w:val="0"/>
        <w:tabs>
          <w:tab w:val="left" w:pos="540"/>
        </w:tabs>
        <w:kinsoku/>
        <w:wordWrap/>
        <w:overflowPunct/>
        <w:topLinePunct w:val="0"/>
        <w:autoSpaceDE/>
        <w:autoSpaceDN/>
        <w:bidi w:val="0"/>
        <w:spacing w:line="360" w:lineRule="auto"/>
        <w:jc w:val="center"/>
        <w:textAlignment w:val="auto"/>
        <w:rPr>
          <w:rStyle w:val="48"/>
          <w:rFonts w:hint="eastAsia" w:eastAsia="宋体" w:cs="宋体"/>
          <w:b/>
          <w:bCs/>
          <w:color w:val="auto"/>
          <w:sz w:val="24"/>
          <w:szCs w:val="24"/>
          <w:highlight w:val="none"/>
          <w:lang w:eastAsia="zh-CN"/>
        </w:rPr>
      </w:pPr>
      <w:bookmarkStart w:id="138" w:name="_Toc18634"/>
      <w:bookmarkStart w:id="139" w:name="_Toc17522"/>
      <w:bookmarkStart w:id="140" w:name="_Toc25434"/>
      <w:bookmarkStart w:id="141" w:name="_Toc716"/>
      <w:bookmarkStart w:id="142" w:name="_Toc27466"/>
      <w:bookmarkStart w:id="143" w:name="_Toc26139"/>
      <w:bookmarkStart w:id="144" w:name="_Toc4204"/>
      <w:bookmarkStart w:id="145" w:name="_Toc5321"/>
      <w:bookmarkStart w:id="146" w:name="_Toc19215"/>
      <w:bookmarkStart w:id="147" w:name="_Toc19137"/>
      <w:bookmarkStart w:id="148" w:name="_Toc22804"/>
      <w:bookmarkStart w:id="149" w:name="_Toc18845"/>
      <w:r>
        <w:rPr>
          <w:rStyle w:val="48"/>
          <w:rFonts w:hint="eastAsia" w:cs="宋体"/>
          <w:b/>
          <w:bCs/>
          <w:color w:val="auto"/>
          <w:sz w:val="24"/>
          <w:szCs w:val="24"/>
          <w:highlight w:val="none"/>
          <w:lang w:val="en-US" w:eastAsia="zh-CN"/>
        </w:rPr>
        <w:t>2.</w:t>
      </w:r>
      <w:bookmarkEnd w:id="138"/>
      <w:r>
        <w:rPr>
          <w:rStyle w:val="48"/>
          <w:rFonts w:hint="eastAsia" w:cs="宋体"/>
          <w:b/>
          <w:bCs/>
          <w:color w:val="auto"/>
          <w:sz w:val="24"/>
          <w:szCs w:val="24"/>
          <w:highlight w:val="none"/>
          <w:lang w:eastAsia="zh-CN"/>
        </w:rPr>
        <w:t>法定代表人身份证明及</w:t>
      </w:r>
      <w:r>
        <w:rPr>
          <w:rFonts w:hint="eastAsia" w:cs="宋体"/>
          <w:color w:val="auto"/>
          <w:sz w:val="24"/>
          <w:szCs w:val="24"/>
          <w:highlight w:val="none"/>
        </w:rPr>
        <w:t>授权委托书</w:t>
      </w:r>
      <w:bookmarkEnd w:id="139"/>
      <w:bookmarkEnd w:id="140"/>
      <w:bookmarkEnd w:id="141"/>
      <w:bookmarkEnd w:id="142"/>
      <w:bookmarkEnd w:id="143"/>
      <w:bookmarkEnd w:id="144"/>
      <w:bookmarkEnd w:id="145"/>
      <w:bookmarkEnd w:id="146"/>
    </w:p>
    <w:p w14:paraId="270BFC28">
      <w:pPr>
        <w:keepNext w:val="0"/>
        <w:keepLines w:val="0"/>
        <w:pageBreakBefore w:val="0"/>
        <w:widowControl w:val="0"/>
        <w:kinsoku/>
        <w:wordWrap/>
        <w:overflowPunct/>
        <w:topLinePunct w:val="0"/>
        <w:autoSpaceDE/>
        <w:autoSpaceDN/>
        <w:bidi w:val="0"/>
        <w:spacing w:line="360" w:lineRule="auto"/>
        <w:jc w:val="center"/>
        <w:textAlignment w:val="auto"/>
        <w:rPr>
          <w:rFonts w:hint="eastAsia" w:eastAsia="宋体"/>
          <w:b/>
          <w:bCs/>
          <w:color w:val="auto"/>
          <w:sz w:val="24"/>
          <w:szCs w:val="24"/>
          <w:highlight w:val="none"/>
          <w:lang w:eastAsia="zh-CN"/>
        </w:rPr>
      </w:pPr>
      <w:r>
        <w:rPr>
          <w:rFonts w:hint="eastAsia"/>
          <w:b/>
          <w:bCs/>
          <w:color w:val="auto"/>
          <w:sz w:val="24"/>
          <w:szCs w:val="24"/>
          <w:highlight w:val="none"/>
          <w:lang w:eastAsia="zh-CN"/>
        </w:rPr>
        <w:t>法定代表人身份证明</w:t>
      </w:r>
    </w:p>
    <w:p w14:paraId="46C0CF23">
      <w:pPr>
        <w:pStyle w:val="35"/>
        <w:keepNext w:val="0"/>
        <w:keepLines w:val="0"/>
        <w:pageBreakBefore w:val="0"/>
        <w:widowControl w:val="0"/>
        <w:kinsoku/>
        <w:wordWrap/>
        <w:overflowPunct/>
        <w:topLinePunct w:val="0"/>
        <w:autoSpaceDE/>
        <w:autoSpaceDN/>
        <w:bidi w:val="0"/>
        <w:spacing w:line="360" w:lineRule="auto"/>
        <w:textAlignment w:val="auto"/>
        <w:rPr>
          <w:rFonts w:hint="eastAsia"/>
          <w:color w:val="auto"/>
          <w:highlight w:val="none"/>
        </w:rPr>
      </w:pPr>
    </w:p>
    <w:p w14:paraId="1D2639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企业名称：</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456E60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企业类型：</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3456556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264815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成立时间：</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3557F0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营业期限：</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284E42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姓名：</w:t>
      </w:r>
      <w:r>
        <w:rPr>
          <w:rFonts w:hint="eastAsia" w:cs="宋体"/>
          <w:color w:val="auto"/>
          <w:sz w:val="24"/>
          <w:szCs w:val="24"/>
          <w:highlight w:val="none"/>
          <w:u w:val="single"/>
        </w:rPr>
        <w:t xml:space="preserve">                  </w:t>
      </w:r>
      <w:r>
        <w:rPr>
          <w:rFonts w:hint="eastAsia" w:cs="宋体"/>
          <w:color w:val="auto"/>
          <w:sz w:val="24"/>
          <w:szCs w:val="24"/>
          <w:highlight w:val="none"/>
        </w:rPr>
        <w:t>性别：</w:t>
      </w:r>
      <w:r>
        <w:rPr>
          <w:rFonts w:hint="eastAsia" w:cs="宋体"/>
          <w:color w:val="auto"/>
          <w:sz w:val="24"/>
          <w:szCs w:val="24"/>
          <w:highlight w:val="none"/>
          <w:u w:val="single"/>
        </w:rPr>
        <w:t xml:space="preserve">            </w:t>
      </w:r>
      <w:r>
        <w:rPr>
          <w:rFonts w:hint="eastAsia" w:cs="宋体"/>
          <w:color w:val="auto"/>
          <w:sz w:val="24"/>
          <w:szCs w:val="24"/>
          <w:highlight w:val="none"/>
        </w:rPr>
        <w:t>年龄：</w:t>
      </w:r>
      <w:r>
        <w:rPr>
          <w:rFonts w:hint="eastAsia" w:cs="宋体"/>
          <w:color w:val="auto"/>
          <w:sz w:val="24"/>
          <w:szCs w:val="24"/>
          <w:highlight w:val="none"/>
          <w:u w:val="single"/>
        </w:rPr>
        <w:t xml:space="preserve">            </w:t>
      </w:r>
    </w:p>
    <w:p w14:paraId="459814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职务：</w:t>
      </w:r>
      <w:r>
        <w:rPr>
          <w:rFonts w:hint="eastAsia" w:cs="宋体"/>
          <w:color w:val="auto"/>
          <w:sz w:val="24"/>
          <w:szCs w:val="24"/>
          <w:highlight w:val="none"/>
          <w:u w:val="single"/>
        </w:rPr>
        <w:t xml:space="preserve">                  </w:t>
      </w:r>
      <w:r>
        <w:rPr>
          <w:rFonts w:hint="eastAsia" w:cs="宋体"/>
          <w:color w:val="auto"/>
          <w:sz w:val="24"/>
          <w:szCs w:val="24"/>
          <w:highlight w:val="none"/>
        </w:rPr>
        <w:t xml:space="preserve">系 </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供应商</w:t>
      </w:r>
      <w:r>
        <w:rPr>
          <w:rFonts w:hint="eastAsia" w:cs="宋体"/>
          <w:color w:val="auto"/>
          <w:sz w:val="24"/>
          <w:szCs w:val="24"/>
          <w:highlight w:val="none"/>
          <w:u w:val="single"/>
        </w:rPr>
        <w:t xml:space="preserve">公司名称） </w:t>
      </w:r>
      <w:r>
        <w:rPr>
          <w:rFonts w:hint="eastAsia" w:cs="宋体"/>
          <w:color w:val="auto"/>
          <w:sz w:val="24"/>
          <w:szCs w:val="24"/>
          <w:highlight w:val="none"/>
        </w:rPr>
        <w:t>的法定代表人。</w:t>
      </w:r>
    </w:p>
    <w:p w14:paraId="245F08FB">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r>
        <w:rPr>
          <w:rFonts w:hint="eastAsia" w:cs="宋体"/>
          <w:color w:val="auto"/>
          <w:sz w:val="24"/>
          <w:szCs w:val="24"/>
          <w:highlight w:val="none"/>
        </w:rPr>
        <w:t>特此证明。</w:t>
      </w:r>
    </w:p>
    <w:p w14:paraId="12FEE975">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r>
        <w:rPr>
          <w:rFonts w:hint="eastAsia" w:cs="宋体"/>
          <w:color w:val="auto"/>
          <w:sz w:val="24"/>
          <w:szCs w:val="24"/>
          <w:highlight w:val="none"/>
        </w:rPr>
        <w:t>法定代表人身份证</w:t>
      </w:r>
      <w:r>
        <w:rPr>
          <w:rFonts w:hint="eastAsia" w:ascii="宋体" w:hAnsi="宋体" w:cs="宋体"/>
          <w:color w:val="auto"/>
          <w:sz w:val="24"/>
          <w:highlight w:val="none"/>
        </w:rPr>
        <w:t>扫描件</w:t>
      </w:r>
      <w:r>
        <w:rPr>
          <w:rFonts w:hint="eastAsia" w:cs="宋体"/>
          <w:color w:val="auto"/>
          <w:sz w:val="24"/>
          <w:szCs w:val="24"/>
          <w:highlight w:val="none"/>
        </w:rPr>
        <w:t>：</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9"/>
        <w:gridCol w:w="4070"/>
      </w:tblGrid>
      <w:tr w14:paraId="1F6BE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4069" w:type="dxa"/>
            <w:noWrap w:val="0"/>
            <w:vAlign w:val="center"/>
          </w:tcPr>
          <w:p w14:paraId="28E6E5C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宋体"/>
                <w:color w:val="auto"/>
                <w:sz w:val="24"/>
                <w:szCs w:val="24"/>
                <w:highlight w:val="none"/>
              </w:rPr>
            </w:pPr>
            <w:r>
              <w:rPr>
                <w:rFonts w:hint="eastAsia" w:cs="宋体"/>
                <w:color w:val="auto"/>
                <w:sz w:val="24"/>
                <w:szCs w:val="24"/>
                <w:highlight w:val="none"/>
              </w:rPr>
              <w:t>身份证正面</w:t>
            </w:r>
          </w:p>
        </w:tc>
        <w:tc>
          <w:tcPr>
            <w:tcW w:w="4070" w:type="dxa"/>
            <w:noWrap w:val="0"/>
            <w:vAlign w:val="center"/>
          </w:tcPr>
          <w:p w14:paraId="09B1610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宋体"/>
                <w:color w:val="auto"/>
                <w:sz w:val="24"/>
                <w:szCs w:val="24"/>
                <w:highlight w:val="none"/>
              </w:rPr>
            </w:pPr>
            <w:r>
              <w:rPr>
                <w:rFonts w:hint="eastAsia" w:cs="宋体"/>
                <w:color w:val="auto"/>
                <w:sz w:val="24"/>
                <w:szCs w:val="24"/>
                <w:highlight w:val="none"/>
              </w:rPr>
              <w:t>身份证背面</w:t>
            </w:r>
          </w:p>
        </w:tc>
      </w:tr>
    </w:tbl>
    <w:p w14:paraId="7B13A742">
      <w:pPr>
        <w:pStyle w:val="12"/>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highlight w:val="none"/>
        </w:rPr>
      </w:pPr>
    </w:p>
    <w:p w14:paraId="38DB72F8">
      <w:pPr>
        <w:pStyle w:val="12"/>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highlight w:val="none"/>
        </w:rPr>
      </w:pPr>
    </w:p>
    <w:p w14:paraId="1466E164">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u w:val="single"/>
        </w:rPr>
      </w:pPr>
      <w:r>
        <w:rPr>
          <w:rFonts w:hint="eastAsia" w:cs="宋体"/>
          <w:color w:val="auto"/>
          <w:sz w:val="24"/>
          <w:szCs w:val="24"/>
          <w:highlight w:val="none"/>
          <w:lang w:eastAsia="zh-CN"/>
        </w:rPr>
        <w:t>供应商</w:t>
      </w:r>
      <w:r>
        <w:rPr>
          <w:rFonts w:hint="eastAsia" w:cs="宋体"/>
          <w:color w:val="auto"/>
          <w:sz w:val="24"/>
          <w:szCs w:val="24"/>
          <w:highlight w:val="none"/>
        </w:rPr>
        <w:t>（</w:t>
      </w:r>
      <w:r>
        <w:rPr>
          <w:rFonts w:hint="eastAsia" w:ascii="宋体" w:hAnsi="宋体" w:eastAsia="宋体" w:cs="宋体"/>
          <w:b w:val="0"/>
          <w:bCs w:val="0"/>
          <w:color w:val="auto"/>
          <w:kern w:val="0"/>
          <w:sz w:val="24"/>
          <w:szCs w:val="24"/>
          <w:highlight w:val="none"/>
          <w:lang w:val="en-US" w:eastAsia="zh-CN"/>
        </w:rPr>
        <w:t>盖</w:t>
      </w:r>
      <w:r>
        <w:rPr>
          <w:rFonts w:hint="eastAsia" w:ascii="宋体" w:hAnsi="宋体" w:eastAsia="宋体" w:cs="宋体"/>
          <w:b w:val="0"/>
          <w:bCs w:val="0"/>
          <w:color w:val="auto"/>
          <w:kern w:val="0"/>
          <w:sz w:val="24"/>
          <w:szCs w:val="24"/>
          <w:highlight w:val="none"/>
          <w:lang w:eastAsia="zh-CN"/>
        </w:rPr>
        <w:t>公章</w:t>
      </w:r>
      <w:r>
        <w:rPr>
          <w:rFonts w:hint="eastAsia" w:cs="宋体"/>
          <w:color w:val="auto"/>
          <w:sz w:val="24"/>
          <w:szCs w:val="24"/>
          <w:highlight w:val="none"/>
        </w:rPr>
        <w:t>）：</w:t>
      </w:r>
      <w:r>
        <w:rPr>
          <w:rFonts w:hint="eastAsia" w:cs="宋体"/>
          <w:color w:val="auto"/>
          <w:sz w:val="24"/>
          <w:szCs w:val="24"/>
          <w:highlight w:val="none"/>
          <w:u w:val="single"/>
        </w:rPr>
        <w:t xml:space="preserve">                      </w:t>
      </w:r>
    </w:p>
    <w:p w14:paraId="1762EB79">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r>
        <w:rPr>
          <w:rFonts w:hint="eastAsia" w:cs="宋体"/>
          <w:color w:val="auto"/>
          <w:sz w:val="24"/>
          <w:szCs w:val="24"/>
          <w:highlight w:val="none"/>
        </w:rPr>
        <w:t>日  期：</w:t>
      </w:r>
      <w:r>
        <w:rPr>
          <w:rFonts w:hint="eastAsia" w:cs="宋体"/>
          <w:color w:val="auto"/>
          <w:sz w:val="24"/>
          <w:szCs w:val="24"/>
          <w:highlight w:val="none"/>
          <w:u w:val="single"/>
        </w:rPr>
        <w:t xml:space="preserve">        </w:t>
      </w:r>
      <w:r>
        <w:rPr>
          <w:rFonts w:hint="eastAsia" w:cs="宋体"/>
          <w:color w:val="auto"/>
          <w:sz w:val="24"/>
          <w:szCs w:val="24"/>
          <w:highlight w:val="none"/>
        </w:rPr>
        <w:t xml:space="preserve">年 </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765D2536">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p>
    <w:p w14:paraId="5CEFF96E">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cs="宋体"/>
          <w:b/>
          <w:bCs/>
          <w:color w:val="auto"/>
          <w:sz w:val="24"/>
          <w:szCs w:val="24"/>
          <w:highlight w:val="none"/>
        </w:rPr>
      </w:pPr>
      <w:r>
        <w:rPr>
          <w:rFonts w:hint="eastAsia" w:cs="宋体"/>
          <w:b/>
          <w:bCs/>
          <w:color w:val="auto"/>
          <w:sz w:val="24"/>
          <w:szCs w:val="24"/>
          <w:highlight w:val="none"/>
        </w:rPr>
        <w:t>注：本证明书为法定代表人本人作为公司代理人参与投标的，提供此项证明书。</w:t>
      </w:r>
    </w:p>
    <w:p w14:paraId="3D6FC0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0D1B135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44BCEBB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76301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A5D51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0FE01A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437E76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宋体"/>
          <w:b/>
          <w:bCs/>
          <w:color w:val="auto"/>
          <w:sz w:val="24"/>
          <w:szCs w:val="24"/>
          <w:highlight w:val="none"/>
        </w:rPr>
      </w:pPr>
      <w:r>
        <w:rPr>
          <w:rFonts w:hint="eastAsia" w:cs="宋体"/>
          <w:b/>
          <w:bCs/>
          <w:color w:val="auto"/>
          <w:sz w:val="24"/>
          <w:szCs w:val="24"/>
          <w:highlight w:val="none"/>
        </w:rPr>
        <w:t>法定代表人授权委托书</w:t>
      </w:r>
    </w:p>
    <w:p w14:paraId="35778CE2">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r>
        <w:rPr>
          <w:rFonts w:hint="eastAsia" w:cs="宋体"/>
          <w:color w:val="auto"/>
          <w:sz w:val="24"/>
          <w:szCs w:val="24"/>
          <w:highlight w:val="none"/>
        </w:rPr>
        <w:t>本授权委托书声明：我</w:t>
      </w:r>
      <w:r>
        <w:rPr>
          <w:rFonts w:hint="eastAsia" w:cs="宋体"/>
          <w:color w:val="auto"/>
          <w:sz w:val="24"/>
          <w:szCs w:val="24"/>
          <w:highlight w:val="none"/>
          <w:u w:val="single"/>
        </w:rPr>
        <w:t>（姓名）</w:t>
      </w:r>
      <w:r>
        <w:rPr>
          <w:rFonts w:hint="eastAsia" w:cs="宋体"/>
          <w:color w:val="auto"/>
          <w:sz w:val="24"/>
          <w:szCs w:val="24"/>
          <w:highlight w:val="none"/>
        </w:rPr>
        <w:t>系</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供应商名称</w:t>
      </w:r>
      <w:r>
        <w:rPr>
          <w:rFonts w:hint="eastAsia" w:cs="宋体"/>
          <w:color w:val="auto"/>
          <w:sz w:val="24"/>
          <w:szCs w:val="24"/>
          <w:highlight w:val="none"/>
          <w:u w:val="single"/>
        </w:rPr>
        <w:t>）</w:t>
      </w:r>
      <w:r>
        <w:rPr>
          <w:rFonts w:hint="eastAsia" w:cs="宋体"/>
          <w:color w:val="auto"/>
          <w:sz w:val="24"/>
          <w:szCs w:val="24"/>
          <w:highlight w:val="none"/>
        </w:rPr>
        <w:t>的法人代表人，现授权委托</w:t>
      </w:r>
      <w:r>
        <w:rPr>
          <w:rFonts w:hint="eastAsia" w:cs="宋体"/>
          <w:color w:val="auto"/>
          <w:sz w:val="24"/>
          <w:szCs w:val="24"/>
          <w:highlight w:val="none"/>
          <w:u w:val="none"/>
          <w:lang w:eastAsia="zh-CN"/>
        </w:rPr>
        <w:t>公司</w:t>
      </w:r>
      <w:r>
        <w:rPr>
          <w:rFonts w:hint="eastAsia" w:cs="宋体"/>
          <w:color w:val="auto"/>
          <w:sz w:val="24"/>
          <w:szCs w:val="24"/>
          <w:highlight w:val="none"/>
          <w:lang w:eastAsia="zh-CN"/>
        </w:rPr>
        <w:t>正式员工</w:t>
      </w:r>
      <w:r>
        <w:rPr>
          <w:rFonts w:hint="eastAsia" w:cs="宋体"/>
          <w:color w:val="auto"/>
          <w:sz w:val="24"/>
          <w:szCs w:val="24"/>
          <w:highlight w:val="none"/>
          <w:u w:val="single"/>
        </w:rPr>
        <w:t>（姓名）</w:t>
      </w:r>
      <w:r>
        <w:rPr>
          <w:rFonts w:hint="eastAsia" w:cs="宋体"/>
          <w:color w:val="auto"/>
          <w:sz w:val="24"/>
          <w:szCs w:val="24"/>
          <w:highlight w:val="none"/>
        </w:rPr>
        <w:t>为我公司代理人，以本公司的名义参加</w:t>
      </w:r>
      <w:r>
        <w:rPr>
          <w:rFonts w:hint="eastAsia" w:cs="宋体"/>
          <w:color w:val="auto"/>
          <w:sz w:val="24"/>
          <w:szCs w:val="24"/>
          <w:highlight w:val="none"/>
          <w:u w:val="single"/>
        </w:rPr>
        <w:t>（</w:t>
      </w:r>
      <w:r>
        <w:rPr>
          <w:rFonts w:hint="eastAsia" w:cs="宋体"/>
          <w:color w:val="auto"/>
          <w:sz w:val="24"/>
          <w:szCs w:val="24"/>
          <w:highlight w:val="none"/>
          <w:u w:val="single"/>
          <w:lang w:eastAsia="zh-CN"/>
        </w:rPr>
        <w:t>采购人</w:t>
      </w:r>
      <w:r>
        <w:rPr>
          <w:rFonts w:hint="eastAsia" w:cs="宋体"/>
          <w:color w:val="auto"/>
          <w:sz w:val="24"/>
          <w:szCs w:val="24"/>
          <w:highlight w:val="none"/>
          <w:u w:val="single"/>
        </w:rPr>
        <w:t>）</w:t>
      </w:r>
      <w:r>
        <w:rPr>
          <w:rFonts w:hint="eastAsia" w:cs="宋体"/>
          <w:color w:val="auto"/>
          <w:sz w:val="24"/>
          <w:szCs w:val="24"/>
          <w:highlight w:val="none"/>
        </w:rPr>
        <w:t>的</w:t>
      </w:r>
      <w:r>
        <w:rPr>
          <w:rFonts w:hint="eastAsia" w:cs="宋体"/>
          <w:color w:val="auto"/>
          <w:sz w:val="24"/>
          <w:szCs w:val="24"/>
          <w:highlight w:val="none"/>
          <w:u w:val="single"/>
        </w:rPr>
        <w:t xml:space="preserve">  （项目名称） </w:t>
      </w:r>
      <w:r>
        <w:rPr>
          <w:rFonts w:hint="eastAsia" w:cs="宋体"/>
          <w:color w:val="auto"/>
          <w:sz w:val="24"/>
          <w:szCs w:val="24"/>
          <w:highlight w:val="none"/>
        </w:rPr>
        <w:t>的投标活动。代理人在参加整个项目招标响应活动、合同招标过程中所签署的一切文件和处理与之有关的一切事物，我均予以承认。</w:t>
      </w:r>
    </w:p>
    <w:p w14:paraId="0B4C896E">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r>
        <w:rPr>
          <w:rFonts w:hint="eastAsia" w:cs="宋体"/>
          <w:color w:val="auto"/>
          <w:sz w:val="24"/>
          <w:szCs w:val="24"/>
          <w:highlight w:val="none"/>
        </w:rPr>
        <w:t>代理人：</w:t>
      </w:r>
      <w:r>
        <w:rPr>
          <w:rFonts w:hint="eastAsia" w:cs="宋体"/>
          <w:color w:val="auto"/>
          <w:sz w:val="24"/>
          <w:szCs w:val="24"/>
          <w:highlight w:val="none"/>
          <w:u w:val="single"/>
        </w:rPr>
        <w:t xml:space="preserve">              </w:t>
      </w:r>
      <w:r>
        <w:rPr>
          <w:rFonts w:hint="eastAsia" w:cs="宋体"/>
          <w:color w:val="auto"/>
          <w:sz w:val="24"/>
          <w:szCs w:val="24"/>
          <w:highlight w:val="none"/>
        </w:rPr>
        <w:t>性别：</w:t>
      </w:r>
      <w:r>
        <w:rPr>
          <w:rFonts w:hint="eastAsia" w:cs="宋体"/>
          <w:color w:val="auto"/>
          <w:sz w:val="24"/>
          <w:szCs w:val="24"/>
          <w:highlight w:val="none"/>
          <w:u w:val="single"/>
        </w:rPr>
        <w:t xml:space="preserve">      </w:t>
      </w:r>
      <w:r>
        <w:rPr>
          <w:rFonts w:hint="eastAsia" w:cs="宋体"/>
          <w:color w:val="auto"/>
          <w:sz w:val="24"/>
          <w:szCs w:val="24"/>
          <w:highlight w:val="none"/>
        </w:rPr>
        <w:t xml:space="preserve">   年龄：</w:t>
      </w:r>
      <w:r>
        <w:rPr>
          <w:rFonts w:hint="eastAsia" w:cs="宋体"/>
          <w:color w:val="auto"/>
          <w:sz w:val="24"/>
          <w:szCs w:val="24"/>
          <w:highlight w:val="none"/>
          <w:u w:val="single"/>
        </w:rPr>
        <w:t xml:space="preserve">       </w:t>
      </w:r>
    </w:p>
    <w:p w14:paraId="1C85C986">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r>
        <w:rPr>
          <w:rFonts w:hint="eastAsia" w:cs="宋体"/>
          <w:color w:val="auto"/>
          <w:sz w:val="24"/>
          <w:szCs w:val="24"/>
          <w:highlight w:val="none"/>
        </w:rPr>
        <w:t>单  位：</w:t>
      </w:r>
      <w:r>
        <w:rPr>
          <w:rFonts w:hint="eastAsia" w:cs="宋体"/>
          <w:color w:val="auto"/>
          <w:sz w:val="24"/>
          <w:szCs w:val="24"/>
          <w:highlight w:val="none"/>
          <w:u w:val="single"/>
        </w:rPr>
        <w:t xml:space="preserve">             </w:t>
      </w:r>
      <w:r>
        <w:rPr>
          <w:rFonts w:hint="eastAsia" w:cs="宋体"/>
          <w:color w:val="auto"/>
          <w:sz w:val="24"/>
          <w:szCs w:val="24"/>
          <w:highlight w:val="none"/>
        </w:rPr>
        <w:t xml:space="preserve"> 部门：</w:t>
      </w:r>
      <w:r>
        <w:rPr>
          <w:rFonts w:hint="eastAsia" w:cs="宋体"/>
          <w:color w:val="auto"/>
          <w:sz w:val="24"/>
          <w:szCs w:val="24"/>
          <w:highlight w:val="none"/>
          <w:u w:val="single"/>
        </w:rPr>
        <w:t xml:space="preserve">       </w:t>
      </w:r>
      <w:r>
        <w:rPr>
          <w:rFonts w:hint="eastAsia" w:cs="宋体"/>
          <w:color w:val="auto"/>
          <w:sz w:val="24"/>
          <w:szCs w:val="24"/>
          <w:highlight w:val="none"/>
        </w:rPr>
        <w:t xml:space="preserve">  职务：</w:t>
      </w:r>
      <w:r>
        <w:rPr>
          <w:rFonts w:hint="eastAsia" w:cs="宋体"/>
          <w:color w:val="auto"/>
          <w:sz w:val="24"/>
          <w:szCs w:val="24"/>
          <w:highlight w:val="none"/>
          <w:u w:val="single"/>
        </w:rPr>
        <w:t xml:space="preserve">       </w:t>
      </w:r>
    </w:p>
    <w:p w14:paraId="6483E537">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r>
        <w:rPr>
          <w:rFonts w:hint="eastAsia" w:cs="宋体"/>
          <w:color w:val="auto"/>
          <w:sz w:val="24"/>
          <w:szCs w:val="24"/>
          <w:highlight w:val="none"/>
        </w:rPr>
        <w:t>联系电话：</w:t>
      </w:r>
      <w:r>
        <w:rPr>
          <w:rFonts w:hint="eastAsia" w:cs="宋体"/>
          <w:color w:val="auto"/>
          <w:sz w:val="24"/>
          <w:szCs w:val="24"/>
          <w:highlight w:val="none"/>
          <w:u w:val="single"/>
        </w:rPr>
        <w:t xml:space="preserve">            </w:t>
      </w:r>
      <w:r>
        <w:rPr>
          <w:rFonts w:hint="eastAsia" w:cs="宋体"/>
          <w:color w:val="auto"/>
          <w:sz w:val="24"/>
          <w:szCs w:val="24"/>
          <w:highlight w:val="none"/>
        </w:rPr>
        <w:t>邮箱：</w:t>
      </w:r>
      <w:r>
        <w:rPr>
          <w:rFonts w:hint="eastAsia" w:cs="宋体"/>
          <w:color w:val="auto"/>
          <w:sz w:val="24"/>
          <w:szCs w:val="24"/>
          <w:highlight w:val="none"/>
          <w:u w:val="single"/>
        </w:rPr>
        <w:t xml:space="preserve">                   </w:t>
      </w:r>
    </w:p>
    <w:p w14:paraId="3EBAC318">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r>
        <w:rPr>
          <w:rFonts w:hint="eastAsia" w:cs="宋体"/>
          <w:color w:val="auto"/>
          <w:sz w:val="24"/>
          <w:szCs w:val="24"/>
          <w:highlight w:val="none"/>
        </w:rPr>
        <w:t>代理人无转委托权。</w:t>
      </w:r>
    </w:p>
    <w:p w14:paraId="57150A66">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r>
        <w:rPr>
          <w:rFonts w:hint="eastAsia" w:cs="宋体"/>
          <w:color w:val="auto"/>
          <w:sz w:val="24"/>
          <w:szCs w:val="24"/>
          <w:highlight w:val="none"/>
        </w:rPr>
        <w:t>授权人身份证</w:t>
      </w:r>
      <w:r>
        <w:rPr>
          <w:rFonts w:hint="eastAsia" w:ascii="宋体" w:hAnsi="宋体" w:cs="宋体"/>
          <w:color w:val="auto"/>
          <w:sz w:val="24"/>
          <w:highlight w:val="none"/>
        </w:rPr>
        <w:t>扫描件</w:t>
      </w:r>
      <w:r>
        <w:rPr>
          <w:rFonts w:hint="eastAsia" w:cs="宋体"/>
          <w:color w:val="auto"/>
          <w:sz w:val="24"/>
          <w:szCs w:val="24"/>
          <w:highlight w:val="none"/>
        </w:rPr>
        <w:t>：</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9"/>
        <w:gridCol w:w="4070"/>
      </w:tblGrid>
      <w:tr w14:paraId="37D5D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4069" w:type="dxa"/>
            <w:noWrap w:val="0"/>
            <w:vAlign w:val="center"/>
          </w:tcPr>
          <w:p w14:paraId="0A5569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宋体"/>
                <w:color w:val="auto"/>
                <w:sz w:val="24"/>
                <w:szCs w:val="24"/>
                <w:highlight w:val="none"/>
              </w:rPr>
            </w:pPr>
            <w:r>
              <w:rPr>
                <w:rFonts w:hint="eastAsia" w:cs="宋体"/>
                <w:color w:val="auto"/>
                <w:sz w:val="24"/>
                <w:szCs w:val="24"/>
                <w:highlight w:val="none"/>
              </w:rPr>
              <w:t>身份证正面</w:t>
            </w:r>
          </w:p>
        </w:tc>
        <w:tc>
          <w:tcPr>
            <w:tcW w:w="4070" w:type="dxa"/>
            <w:noWrap w:val="0"/>
            <w:vAlign w:val="center"/>
          </w:tcPr>
          <w:p w14:paraId="63F222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宋体"/>
                <w:color w:val="auto"/>
                <w:sz w:val="24"/>
                <w:szCs w:val="24"/>
                <w:highlight w:val="none"/>
              </w:rPr>
            </w:pPr>
            <w:r>
              <w:rPr>
                <w:rFonts w:hint="eastAsia" w:cs="宋体"/>
                <w:color w:val="auto"/>
                <w:sz w:val="24"/>
                <w:szCs w:val="24"/>
                <w:highlight w:val="none"/>
              </w:rPr>
              <w:t>身份证背面</w:t>
            </w:r>
          </w:p>
        </w:tc>
      </w:tr>
    </w:tbl>
    <w:p w14:paraId="577E620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cs="宋体"/>
          <w:color w:val="auto"/>
          <w:sz w:val="24"/>
          <w:szCs w:val="24"/>
          <w:highlight w:val="none"/>
        </w:rPr>
      </w:pPr>
      <w:r>
        <w:rPr>
          <w:rFonts w:hint="eastAsia" w:cs="宋体"/>
          <w:color w:val="auto"/>
          <w:sz w:val="24"/>
          <w:szCs w:val="24"/>
          <w:highlight w:val="none"/>
        </w:rPr>
        <w:t>被授权人身份证</w:t>
      </w:r>
      <w:r>
        <w:rPr>
          <w:rFonts w:hint="eastAsia" w:ascii="宋体" w:hAnsi="宋体" w:cs="宋体"/>
          <w:color w:val="auto"/>
          <w:sz w:val="24"/>
          <w:highlight w:val="none"/>
        </w:rPr>
        <w:t>扫描件</w:t>
      </w:r>
      <w:r>
        <w:rPr>
          <w:rFonts w:hint="eastAsia" w:cs="宋体"/>
          <w:color w:val="auto"/>
          <w:sz w:val="24"/>
          <w:szCs w:val="24"/>
          <w:highlight w:val="none"/>
        </w:rPr>
        <w:t>：</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9"/>
        <w:gridCol w:w="4070"/>
      </w:tblGrid>
      <w:tr w14:paraId="18D0F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4069" w:type="dxa"/>
            <w:noWrap w:val="0"/>
            <w:vAlign w:val="center"/>
          </w:tcPr>
          <w:p w14:paraId="6A0509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宋体"/>
                <w:color w:val="auto"/>
                <w:sz w:val="24"/>
                <w:szCs w:val="24"/>
                <w:highlight w:val="none"/>
              </w:rPr>
            </w:pPr>
            <w:r>
              <w:rPr>
                <w:rFonts w:hint="eastAsia" w:cs="宋体"/>
                <w:color w:val="auto"/>
                <w:sz w:val="24"/>
                <w:szCs w:val="24"/>
                <w:highlight w:val="none"/>
              </w:rPr>
              <w:t>身份证正面</w:t>
            </w:r>
          </w:p>
        </w:tc>
        <w:tc>
          <w:tcPr>
            <w:tcW w:w="4070" w:type="dxa"/>
            <w:noWrap w:val="0"/>
            <w:vAlign w:val="center"/>
          </w:tcPr>
          <w:p w14:paraId="70B9B9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宋体"/>
                <w:color w:val="auto"/>
                <w:sz w:val="24"/>
                <w:szCs w:val="24"/>
                <w:highlight w:val="none"/>
              </w:rPr>
            </w:pPr>
            <w:r>
              <w:rPr>
                <w:rFonts w:hint="eastAsia" w:cs="宋体"/>
                <w:color w:val="auto"/>
                <w:sz w:val="24"/>
                <w:szCs w:val="24"/>
                <w:highlight w:val="none"/>
              </w:rPr>
              <w:t>身份证背面</w:t>
            </w:r>
          </w:p>
        </w:tc>
      </w:tr>
    </w:tbl>
    <w:p w14:paraId="63F8C4E1">
      <w:pPr>
        <w:pStyle w:val="12"/>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s="宋体"/>
          <w:color w:val="auto"/>
          <w:sz w:val="24"/>
          <w:highlight w:val="none"/>
        </w:rPr>
      </w:pPr>
    </w:p>
    <w:p w14:paraId="12318D0F">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r>
        <w:rPr>
          <w:rFonts w:hint="eastAsia" w:cs="宋体"/>
          <w:color w:val="auto"/>
          <w:sz w:val="24"/>
          <w:szCs w:val="24"/>
          <w:highlight w:val="none"/>
          <w:lang w:eastAsia="zh-CN"/>
        </w:rPr>
        <w:t>供应商</w:t>
      </w:r>
      <w:r>
        <w:rPr>
          <w:rFonts w:hint="eastAsia" w:cs="宋体"/>
          <w:color w:val="auto"/>
          <w:sz w:val="24"/>
          <w:szCs w:val="24"/>
          <w:highlight w:val="none"/>
        </w:rPr>
        <w:t>：（</w:t>
      </w:r>
      <w:r>
        <w:rPr>
          <w:rFonts w:hint="eastAsia" w:ascii="宋体" w:hAnsi="宋体" w:eastAsia="宋体" w:cs="宋体"/>
          <w:b w:val="0"/>
          <w:bCs w:val="0"/>
          <w:color w:val="auto"/>
          <w:kern w:val="0"/>
          <w:sz w:val="24"/>
          <w:szCs w:val="24"/>
          <w:highlight w:val="none"/>
          <w:lang w:val="en-US" w:eastAsia="zh-CN"/>
        </w:rPr>
        <w:t>盖</w:t>
      </w:r>
      <w:r>
        <w:rPr>
          <w:rFonts w:hint="eastAsia" w:ascii="宋体" w:hAnsi="宋体" w:eastAsia="宋体" w:cs="宋体"/>
          <w:b w:val="0"/>
          <w:bCs w:val="0"/>
          <w:color w:val="auto"/>
          <w:kern w:val="0"/>
          <w:sz w:val="24"/>
          <w:szCs w:val="24"/>
          <w:highlight w:val="none"/>
          <w:lang w:eastAsia="zh-CN"/>
        </w:rPr>
        <w:t>公章</w:t>
      </w:r>
      <w:r>
        <w:rPr>
          <w:rFonts w:hint="eastAsia" w:cs="宋体"/>
          <w:color w:val="auto"/>
          <w:sz w:val="24"/>
          <w:szCs w:val="24"/>
          <w:highlight w:val="none"/>
        </w:rPr>
        <w:t>）                       法定代表人：（</w:t>
      </w:r>
      <w:r>
        <w:rPr>
          <w:rFonts w:hint="eastAsia" w:ascii="宋体" w:hAnsi="宋体" w:eastAsia="宋体" w:cs="宋体"/>
          <w:b w:val="0"/>
          <w:bCs w:val="0"/>
          <w:color w:val="auto"/>
          <w:kern w:val="0"/>
          <w:sz w:val="24"/>
          <w:szCs w:val="24"/>
          <w:highlight w:val="none"/>
          <w:lang w:val="en-US" w:eastAsia="zh-CN"/>
        </w:rPr>
        <w:t>签字</w:t>
      </w:r>
      <w:r>
        <w:rPr>
          <w:rFonts w:hint="eastAsia" w:ascii="宋体" w:hAnsi="宋体" w:eastAsia="宋体" w:cs="宋体"/>
          <w:b w:val="0"/>
          <w:bCs w:val="0"/>
          <w:color w:val="auto"/>
          <w:kern w:val="0"/>
          <w:sz w:val="24"/>
          <w:szCs w:val="24"/>
          <w:highlight w:val="none"/>
          <w:lang w:eastAsia="zh-CN"/>
        </w:rPr>
        <w:t>或盖章</w:t>
      </w:r>
      <w:r>
        <w:rPr>
          <w:rFonts w:hint="eastAsia" w:cs="宋体"/>
          <w:color w:val="auto"/>
          <w:sz w:val="24"/>
          <w:szCs w:val="24"/>
          <w:highlight w:val="none"/>
        </w:rPr>
        <w:t>）</w:t>
      </w:r>
    </w:p>
    <w:p w14:paraId="1653A0B4">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r>
        <w:rPr>
          <w:rFonts w:hint="eastAsia" w:cs="宋体"/>
          <w:color w:val="auto"/>
          <w:sz w:val="24"/>
          <w:szCs w:val="24"/>
          <w:highlight w:val="none"/>
        </w:rPr>
        <w:t xml:space="preserve">                                     </w:t>
      </w:r>
    </w:p>
    <w:p w14:paraId="0FBEDED2">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r>
        <w:rPr>
          <w:rFonts w:hint="eastAsia" w:cs="宋体"/>
          <w:color w:val="auto"/>
          <w:sz w:val="24"/>
          <w:szCs w:val="24"/>
          <w:highlight w:val="none"/>
        </w:rPr>
        <w:t>日期：      年    月    日</w:t>
      </w:r>
    </w:p>
    <w:p w14:paraId="05BCEEF8">
      <w:pPr>
        <w:pStyle w:val="1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auto"/>
          <w:highlight w:val="none"/>
        </w:rPr>
      </w:pPr>
    </w:p>
    <w:p w14:paraId="05CCF7F9">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r>
        <w:rPr>
          <w:rFonts w:hint="eastAsia" w:cs="宋体"/>
          <w:color w:val="auto"/>
          <w:sz w:val="24"/>
          <w:szCs w:val="24"/>
          <w:highlight w:val="none"/>
        </w:rPr>
        <w:t>注：1.法定代表人本人作为公司代理人前来参与投标的，不提供此项证明文件。</w:t>
      </w:r>
    </w:p>
    <w:p w14:paraId="679C18D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cs="宋体"/>
          <w:color w:val="auto"/>
          <w:sz w:val="24"/>
          <w:szCs w:val="24"/>
          <w:highlight w:val="none"/>
        </w:rPr>
      </w:pPr>
      <w:r>
        <w:rPr>
          <w:rFonts w:hint="eastAsia" w:cs="宋体"/>
          <w:color w:val="auto"/>
          <w:sz w:val="24"/>
          <w:szCs w:val="24"/>
          <w:highlight w:val="none"/>
        </w:rPr>
        <w:t>2.授权书上应当附有授权人和被授权人的居民身份证</w:t>
      </w:r>
      <w:r>
        <w:rPr>
          <w:rFonts w:hint="eastAsia" w:ascii="宋体" w:hAnsi="宋体" w:cs="宋体"/>
          <w:color w:val="auto"/>
          <w:sz w:val="24"/>
          <w:highlight w:val="none"/>
        </w:rPr>
        <w:t>扫描件</w:t>
      </w:r>
      <w:r>
        <w:rPr>
          <w:rFonts w:hint="eastAsia" w:cs="宋体"/>
          <w:color w:val="auto"/>
          <w:sz w:val="24"/>
          <w:szCs w:val="24"/>
          <w:highlight w:val="none"/>
        </w:rPr>
        <w:t>。</w:t>
      </w:r>
      <w:bookmarkStart w:id="150" w:name="_Toc3891644"/>
    </w:p>
    <w:p w14:paraId="1BF19D42">
      <w:pPr>
        <w:pStyle w:val="35"/>
        <w:rPr>
          <w:rFonts w:hint="eastAsia"/>
          <w:color w:val="auto"/>
          <w:highlight w:val="none"/>
        </w:rPr>
      </w:pPr>
    </w:p>
    <w:bookmarkEnd w:id="150"/>
    <w:p w14:paraId="73EA788F">
      <w:pPr>
        <w:pStyle w:val="5"/>
        <w:keepNext w:val="0"/>
        <w:keepLines w:val="0"/>
        <w:pageBreakBefore w:val="0"/>
        <w:widowControl w:val="0"/>
        <w:tabs>
          <w:tab w:val="left" w:pos="540"/>
        </w:tabs>
        <w:kinsoku/>
        <w:wordWrap/>
        <w:overflowPunct/>
        <w:topLinePunct w:val="0"/>
        <w:autoSpaceDE/>
        <w:autoSpaceDN/>
        <w:bidi w:val="0"/>
        <w:adjustRightInd w:val="0"/>
        <w:snapToGrid w:val="0"/>
        <w:spacing w:before="0" w:after="0" w:line="360" w:lineRule="auto"/>
        <w:jc w:val="center"/>
        <w:textAlignment w:val="auto"/>
        <w:rPr>
          <w:rFonts w:hint="eastAsia" w:cs="宋体"/>
          <w:color w:val="auto"/>
          <w:sz w:val="24"/>
          <w:szCs w:val="24"/>
          <w:highlight w:val="none"/>
        </w:rPr>
      </w:pPr>
      <w:bookmarkStart w:id="151" w:name="_Toc7141"/>
      <w:bookmarkStart w:id="152" w:name="_Toc23226"/>
      <w:bookmarkStart w:id="153" w:name="_Toc3686"/>
      <w:bookmarkStart w:id="154" w:name="_Toc11400"/>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具有独立承担民事责任的能力</w:t>
      </w:r>
      <w:bookmarkEnd w:id="137"/>
      <w:bookmarkEnd w:id="147"/>
      <w:bookmarkEnd w:id="148"/>
      <w:bookmarkEnd w:id="149"/>
      <w:bookmarkEnd w:id="151"/>
      <w:bookmarkEnd w:id="152"/>
      <w:bookmarkEnd w:id="153"/>
      <w:bookmarkEnd w:id="154"/>
    </w:p>
    <w:p w14:paraId="45ABBA60">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eastAsia="zh-CN"/>
        </w:rPr>
        <w:t>提供</w:t>
      </w:r>
      <w:r>
        <w:rPr>
          <w:rFonts w:hint="eastAsia" w:cs="宋体"/>
          <w:color w:val="auto"/>
          <w:sz w:val="24"/>
          <w:szCs w:val="24"/>
          <w:highlight w:val="none"/>
        </w:rPr>
        <w:t>有效的《营业执照》或《事业单位法人证书》或《企业法人营业执照》或者其他组织的扫描件加盖供应商公章）</w:t>
      </w:r>
    </w:p>
    <w:p w14:paraId="5094A9BC">
      <w:pPr>
        <w:pStyle w:val="5"/>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bookmarkStart w:id="155" w:name="_Toc5131"/>
      <w:bookmarkStart w:id="156" w:name="_Toc24193"/>
      <w:bookmarkStart w:id="157" w:name="_Toc27873"/>
      <w:bookmarkStart w:id="158" w:name="_Toc29194"/>
      <w:bookmarkStart w:id="159" w:name="_Toc27995"/>
      <w:bookmarkStart w:id="160" w:name="_Toc12687"/>
      <w:bookmarkStart w:id="161" w:name="_Toc16067"/>
      <w:r>
        <w:rPr>
          <w:rFonts w:hint="eastAsia" w:ascii="宋体" w:hAnsi="宋体" w:eastAsia="宋体" w:cs="宋体"/>
          <w:color w:val="auto"/>
          <w:sz w:val="24"/>
          <w:szCs w:val="24"/>
          <w:highlight w:val="none"/>
          <w:lang w:val="en-US" w:eastAsia="zh-CN"/>
        </w:rPr>
        <w:br w:type="page"/>
      </w:r>
      <w:bookmarkStart w:id="162" w:name="_Toc15163"/>
      <w:r>
        <w:rPr>
          <w:rFonts w:hint="eastAsia" w:ascii="宋体" w:hAnsi="宋体" w:eastAsia="宋体" w:cs="宋体"/>
          <w:color w:val="auto"/>
          <w:sz w:val="24"/>
          <w:szCs w:val="24"/>
          <w:highlight w:val="none"/>
          <w:lang w:val="en-US" w:eastAsia="zh-CN"/>
        </w:rPr>
        <w:t>4.具有良好的商业信誉和健全的财务会计制度</w:t>
      </w:r>
      <w:bookmarkEnd w:id="155"/>
      <w:bookmarkEnd w:id="156"/>
      <w:bookmarkEnd w:id="157"/>
      <w:bookmarkEnd w:id="158"/>
      <w:bookmarkEnd w:id="159"/>
      <w:bookmarkEnd w:id="162"/>
    </w:p>
    <w:p w14:paraId="7BC497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b w:val="0"/>
          <w:bCs/>
          <w:color w:val="auto"/>
          <w:kern w:val="0"/>
          <w:sz w:val="24"/>
          <w:szCs w:val="24"/>
          <w:highlight w:val="none"/>
          <w:vertAlign w:val="baseline"/>
          <w:lang w:eastAsia="zh-CN"/>
        </w:rPr>
        <w:t>须提供本单位</w:t>
      </w:r>
      <w:r>
        <w:rPr>
          <w:rFonts w:hint="eastAsia" w:ascii="宋体" w:hAnsi="宋体" w:eastAsia="宋体" w:cs="宋体"/>
          <w:b w:val="0"/>
          <w:bCs/>
          <w:color w:val="auto"/>
          <w:kern w:val="0"/>
          <w:sz w:val="24"/>
          <w:szCs w:val="24"/>
          <w:highlight w:val="none"/>
          <w:vertAlign w:val="baseline"/>
          <w:lang w:val="en-US" w:eastAsia="zh-CN"/>
        </w:rPr>
        <w:t>2024</w:t>
      </w:r>
      <w:r>
        <w:rPr>
          <w:rFonts w:hint="eastAsia" w:ascii="宋体" w:hAnsi="宋体" w:eastAsia="宋体" w:cs="宋体"/>
          <w:b w:val="0"/>
          <w:bCs/>
          <w:color w:val="auto"/>
          <w:kern w:val="0"/>
          <w:sz w:val="24"/>
          <w:szCs w:val="24"/>
          <w:highlight w:val="none"/>
          <w:vertAlign w:val="baseline"/>
          <w:lang w:eastAsia="zh-CN"/>
        </w:rPr>
        <w:t>年度由会计师事务所出具的财务审计报告，审计报告须包括资产负债表、利润表、现金流量表、所有者权益变动（如有）及其附注（复印件并加盖本单位公章）。如投标供应商无法提供年度审计报告，则需提供开标日前三个月内银行出具的资信证明复印件加盖公章</w:t>
      </w:r>
      <w:r>
        <w:rPr>
          <w:rFonts w:hint="eastAsia" w:ascii="宋体" w:hAnsi="宋体" w:eastAsia="宋体" w:cs="宋体"/>
          <w:b w:val="0"/>
          <w:bCs/>
          <w:color w:val="auto"/>
          <w:kern w:val="0"/>
          <w:sz w:val="24"/>
          <w:szCs w:val="24"/>
          <w:highlight w:val="none"/>
          <w:vertAlign w:val="baseline"/>
          <w:lang w:val="en-US" w:eastAsia="zh-CN"/>
        </w:rPr>
        <w:t>或</w:t>
      </w:r>
      <w:r>
        <w:rPr>
          <w:rFonts w:hint="eastAsia" w:ascii="宋体" w:hAnsi="宋体" w:eastAsia="宋体" w:cs="宋体"/>
          <w:color w:val="auto"/>
          <w:sz w:val="24"/>
          <w:szCs w:val="24"/>
          <w:highlight w:val="none"/>
          <w:lang w:val="zh-CN" w:eastAsia="zh-CN"/>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年度财务报表（报表中须包括资产负债表、利润表、现金流量表等）</w:t>
      </w:r>
      <w:r>
        <w:rPr>
          <w:rFonts w:hint="eastAsia" w:ascii="宋体" w:hAnsi="宋体" w:eastAsia="宋体" w:cs="宋体"/>
          <w:b w:val="0"/>
          <w:bCs/>
          <w:color w:val="auto"/>
          <w:kern w:val="0"/>
          <w:sz w:val="24"/>
          <w:szCs w:val="24"/>
          <w:highlight w:val="none"/>
          <w:vertAlign w:val="baseline"/>
          <w:lang w:eastAsia="zh-CN"/>
        </w:rPr>
        <w:t>。如投标供应商今年新注册成立的则提供承诺书（自拟）。</w:t>
      </w:r>
    </w:p>
    <w:p w14:paraId="32D8909F">
      <w:pPr>
        <w:pStyle w:val="5"/>
        <w:keepNext w:val="0"/>
        <w:keepLines w:val="0"/>
        <w:pageBreakBefore w:val="0"/>
        <w:widowControl w:val="0"/>
        <w:tabs>
          <w:tab w:val="left" w:pos="540"/>
        </w:tabs>
        <w:kinsoku/>
        <w:wordWrap/>
        <w:overflowPunct/>
        <w:topLinePunct w:val="0"/>
        <w:autoSpaceDE/>
        <w:autoSpaceDN/>
        <w:bidi w:val="0"/>
        <w:spacing w:line="360" w:lineRule="auto"/>
        <w:jc w:val="center"/>
        <w:textAlignment w:val="auto"/>
        <w:rPr>
          <w:rFonts w:hint="eastAsia" w:hAnsi="宋体" w:eastAsia="宋体" w:cs="宋体"/>
          <w:b/>
          <w:color w:val="auto"/>
          <w:sz w:val="24"/>
          <w:szCs w:val="24"/>
          <w:highlight w:val="none"/>
          <w:lang w:val="en-US" w:eastAsia="zh-CN"/>
        </w:rPr>
      </w:pPr>
      <w:bookmarkStart w:id="163" w:name="_Toc8510"/>
      <w:bookmarkStart w:id="164" w:name="_Toc17764"/>
      <w:bookmarkStart w:id="165" w:name="_Toc2254"/>
      <w:bookmarkStart w:id="166" w:name="_Toc24729"/>
      <w:bookmarkStart w:id="167" w:name="_Toc13131"/>
      <w:r>
        <w:rPr>
          <w:rFonts w:hint="eastAsia" w:hAnsi="宋体" w:eastAsia="宋体" w:cs="宋体"/>
          <w:b/>
          <w:color w:val="auto"/>
          <w:sz w:val="24"/>
          <w:szCs w:val="24"/>
          <w:highlight w:val="none"/>
          <w:lang w:val="en-US" w:eastAsia="zh-CN"/>
        </w:rPr>
        <w:br w:type="page"/>
      </w:r>
      <w:bookmarkStart w:id="168" w:name="_Toc25058"/>
      <w:r>
        <w:rPr>
          <w:rFonts w:hint="eastAsia" w:hAnsi="宋体" w:eastAsia="宋体" w:cs="宋体"/>
          <w:b/>
          <w:color w:val="auto"/>
          <w:sz w:val="24"/>
          <w:szCs w:val="24"/>
          <w:highlight w:val="none"/>
          <w:lang w:val="en-US" w:eastAsia="zh-CN"/>
        </w:rPr>
        <w:t>5.</w:t>
      </w:r>
      <w:r>
        <w:rPr>
          <w:rFonts w:hint="eastAsia" w:ascii="宋体" w:hAnsi="宋体" w:eastAsia="宋体" w:cs="宋体"/>
          <w:color w:val="auto"/>
          <w:sz w:val="24"/>
          <w:szCs w:val="24"/>
          <w:highlight w:val="none"/>
        </w:rPr>
        <w:t>具有</w:t>
      </w:r>
      <w:r>
        <w:rPr>
          <w:rFonts w:hint="eastAsia" w:hAnsi="宋体" w:eastAsia="宋体" w:cs="宋体"/>
          <w:b/>
          <w:color w:val="auto"/>
          <w:sz w:val="24"/>
          <w:szCs w:val="24"/>
          <w:highlight w:val="none"/>
          <w:lang w:val="en-US" w:eastAsia="zh-CN"/>
        </w:rPr>
        <w:t>履行合同所必需的设备和专业技术能力</w:t>
      </w:r>
      <w:bookmarkEnd w:id="163"/>
      <w:bookmarkEnd w:id="164"/>
      <w:bookmarkEnd w:id="165"/>
      <w:bookmarkEnd w:id="168"/>
    </w:p>
    <w:p w14:paraId="19F33375">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具有履行合同所必需的设备和专业技术能力声明函</w:t>
      </w:r>
    </w:p>
    <w:p w14:paraId="5022A29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highlight w:val="none"/>
        </w:rPr>
      </w:pPr>
    </w:p>
    <w:p w14:paraId="22AD732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w:t>
      </w:r>
      <w:r>
        <w:rPr>
          <w:rFonts w:hint="default" w:ascii="宋体" w:hAnsi="宋体" w:cs="宋体"/>
          <w:color w:val="auto"/>
          <w:sz w:val="24"/>
          <w:highlight w:val="none"/>
          <w:u w:val="single"/>
          <w:lang w:val="en-US" w:eastAsia="zh-CN"/>
        </w:rPr>
        <w:t>新疆华展鑫荣项目管理咨询有限公司</w:t>
      </w:r>
      <w:r>
        <w:rPr>
          <w:rFonts w:hint="eastAsia" w:ascii="宋体" w:hAnsi="宋体" w:cs="宋体"/>
          <w:color w:val="auto"/>
          <w:sz w:val="24"/>
          <w:highlight w:val="none"/>
          <w:u w:val="single"/>
          <w:lang w:val="en-US" w:eastAsia="zh-CN"/>
        </w:rPr>
        <w:t xml:space="preserve">  </w:t>
      </w:r>
    </w:p>
    <w:p w14:paraId="5165312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我方参加贵</w:t>
      </w:r>
      <w:r>
        <w:rPr>
          <w:rFonts w:hint="eastAsia" w:ascii="宋体" w:hAnsi="宋体" w:cs="宋体"/>
          <w:color w:val="auto"/>
          <w:sz w:val="24"/>
          <w:szCs w:val="24"/>
          <w:highlight w:val="none"/>
          <w:lang w:eastAsia="zh-CN"/>
        </w:rPr>
        <w:t>单位</w:t>
      </w:r>
      <w:r>
        <w:rPr>
          <w:rFonts w:hint="eastAsia" w:ascii="宋体" w:hAnsi="宋体" w:cs="宋体"/>
          <w:color w:val="auto"/>
          <w:sz w:val="24"/>
          <w:szCs w:val="24"/>
          <w:highlight w:val="none"/>
        </w:rPr>
        <w:t>组织的</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项目编号）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采购活动，在此郑重声明：我公司</w:t>
      </w:r>
      <w:r>
        <w:rPr>
          <w:rFonts w:hint="eastAsia" w:ascii="宋体" w:hAnsi="宋体" w:cs="宋体"/>
          <w:color w:val="auto"/>
          <w:sz w:val="24"/>
          <w:szCs w:val="24"/>
          <w:highlight w:val="none"/>
          <w:lang w:val="en-US" w:eastAsia="zh-CN"/>
        </w:rPr>
        <w:t>具有履行合同所必需的设备和专业技术能力。</w:t>
      </w:r>
      <w:r>
        <w:rPr>
          <w:rFonts w:hint="eastAsia" w:ascii="宋体" w:hAnsi="宋体" w:eastAsia="宋体" w:cs="宋体"/>
          <w:color w:val="auto"/>
          <w:sz w:val="24"/>
          <w:szCs w:val="24"/>
          <w:highlight w:val="none"/>
        </w:rPr>
        <w:t>如果我方违反上述声明内容，愿意承担由此导致的一切不利后果和法律责任。</w:t>
      </w:r>
    </w:p>
    <w:p w14:paraId="50E45A6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631E331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F7356B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33B3BF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78E2740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p>
    <w:p w14:paraId="11B9FF6E">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供应商名称（</w:t>
      </w:r>
      <w:r>
        <w:rPr>
          <w:rFonts w:hint="eastAsia" w:ascii="宋体" w:hAnsi="宋体" w:eastAsia="宋体" w:cs="宋体"/>
          <w:b w:val="0"/>
          <w:bCs w:val="0"/>
          <w:color w:val="auto"/>
          <w:kern w:val="0"/>
          <w:sz w:val="24"/>
          <w:szCs w:val="24"/>
          <w:highlight w:val="none"/>
          <w:lang w:val="en-US" w:eastAsia="zh-CN"/>
        </w:rPr>
        <w:t>盖</w:t>
      </w:r>
      <w:r>
        <w:rPr>
          <w:rFonts w:hint="eastAsia" w:ascii="宋体" w:hAnsi="宋体" w:eastAsia="宋体" w:cs="宋体"/>
          <w:b w:val="0"/>
          <w:bCs w:val="0"/>
          <w:color w:val="auto"/>
          <w:kern w:val="0"/>
          <w:sz w:val="24"/>
          <w:szCs w:val="24"/>
          <w:highlight w:val="none"/>
          <w:lang w:eastAsia="zh-CN"/>
        </w:rPr>
        <w:t>公章</w:t>
      </w: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u w:val="single"/>
          <w:lang w:val="en-US" w:eastAsia="zh-CN"/>
        </w:rPr>
        <w:t xml:space="preserve">                     </w:t>
      </w:r>
    </w:p>
    <w:p w14:paraId="42BD1682">
      <w:pPr>
        <w:pStyle w:val="35"/>
        <w:rPr>
          <w:rFonts w:hint="default"/>
          <w:color w:val="auto"/>
          <w:highlight w:val="none"/>
          <w:lang w:val="en-US" w:eastAsia="zh-CN"/>
        </w:rPr>
      </w:pPr>
    </w:p>
    <w:p w14:paraId="6BCB5E45">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w:t>
      </w:r>
      <w:r>
        <w:rPr>
          <w:rFonts w:hint="eastAsia" w:ascii="宋体" w:hAnsi="宋体" w:eastAsia="宋体" w:cs="宋体"/>
          <w:b w:val="0"/>
          <w:bCs w:val="0"/>
          <w:color w:val="auto"/>
          <w:kern w:val="0"/>
          <w:sz w:val="24"/>
          <w:szCs w:val="24"/>
          <w:highlight w:val="none"/>
          <w:lang w:val="en-US" w:eastAsia="zh-CN"/>
        </w:rPr>
        <w:t>签字</w:t>
      </w:r>
      <w:r>
        <w:rPr>
          <w:rFonts w:hint="eastAsia" w:ascii="宋体" w:hAnsi="宋体" w:eastAsia="宋体" w:cs="宋体"/>
          <w:b w:val="0"/>
          <w:bCs w:val="0"/>
          <w:color w:val="auto"/>
          <w:kern w:val="0"/>
          <w:sz w:val="24"/>
          <w:szCs w:val="24"/>
          <w:highlight w:val="none"/>
          <w:lang w:eastAsia="zh-CN"/>
        </w:rPr>
        <w:t>或盖章</w:t>
      </w: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u w:val="single"/>
          <w:lang w:val="en-US" w:eastAsia="zh-CN"/>
        </w:rPr>
        <w:t xml:space="preserve">                   </w:t>
      </w:r>
    </w:p>
    <w:p w14:paraId="58F1F77B">
      <w:pPr>
        <w:pStyle w:val="35"/>
        <w:rPr>
          <w:rFonts w:hint="eastAsia"/>
          <w:color w:val="auto"/>
          <w:highlight w:val="none"/>
          <w:lang w:val="en-US" w:eastAsia="zh-CN"/>
        </w:rPr>
      </w:pPr>
    </w:p>
    <w:p w14:paraId="4480EB14">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4E72AE2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p>
    <w:p w14:paraId="4437C91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p>
    <w:p w14:paraId="021DF1E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p>
    <w:p w14:paraId="5977A16F">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备注：没有提供此项声明函的，视为未实质性响应招标文件要求，将按无效响应处理。</w:t>
      </w:r>
    </w:p>
    <w:p w14:paraId="380E3F3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p>
    <w:p w14:paraId="2D9A0EC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p>
    <w:p w14:paraId="71A4B9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7A01C14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451D9FB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4B0C64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7EFC84EA">
      <w:pPr>
        <w:pStyle w:val="35"/>
        <w:rPr>
          <w:rFonts w:hint="eastAsia"/>
          <w:color w:val="auto"/>
          <w:highlight w:val="none"/>
        </w:rPr>
      </w:pPr>
    </w:p>
    <w:p w14:paraId="3D4B7C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6FB1592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D3BD780">
      <w:pPr>
        <w:pStyle w:val="5"/>
        <w:keepNext w:val="0"/>
        <w:keepLines w:val="0"/>
        <w:pageBreakBefore w:val="0"/>
        <w:widowControl w:val="0"/>
        <w:tabs>
          <w:tab w:val="left" w:pos="540"/>
        </w:tabs>
        <w:kinsoku/>
        <w:wordWrap/>
        <w:overflowPunct/>
        <w:topLinePunct w:val="0"/>
        <w:autoSpaceDE/>
        <w:autoSpaceDN/>
        <w:bidi w:val="0"/>
        <w:adjustRightInd w:val="0"/>
        <w:snapToGrid w:val="0"/>
        <w:spacing w:line="360" w:lineRule="auto"/>
        <w:jc w:val="center"/>
        <w:textAlignment w:val="auto"/>
        <w:rPr>
          <w:rFonts w:hint="eastAsia" w:hAnsi="宋体" w:eastAsia="宋体" w:cs="宋体"/>
          <w:b/>
          <w:color w:val="auto"/>
          <w:sz w:val="24"/>
          <w:szCs w:val="24"/>
          <w:highlight w:val="none"/>
          <w:lang w:val="en-US" w:eastAsia="zh-CN"/>
        </w:rPr>
      </w:pPr>
      <w:bookmarkStart w:id="169" w:name="_Toc10340"/>
      <w:bookmarkStart w:id="170" w:name="_Toc18647"/>
      <w:bookmarkStart w:id="171" w:name="_Toc29033"/>
      <w:bookmarkStart w:id="172" w:name="_Toc48"/>
      <w:r>
        <w:rPr>
          <w:rFonts w:hint="eastAsia" w:ascii="宋体" w:hAnsi="宋体" w:eastAsia="宋体" w:cs="宋体"/>
          <w:color w:val="auto"/>
          <w:sz w:val="24"/>
          <w:szCs w:val="24"/>
          <w:highlight w:val="none"/>
          <w:lang w:val="en-US" w:eastAsia="zh-CN"/>
        </w:rPr>
        <w:t>6</w:t>
      </w:r>
      <w:r>
        <w:rPr>
          <w:rFonts w:hint="eastAsia" w:hAnsi="宋体" w:eastAsia="宋体" w:cs="宋体"/>
          <w:b/>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有</w:t>
      </w:r>
      <w:r>
        <w:rPr>
          <w:rFonts w:hint="eastAsia" w:hAnsi="宋体" w:eastAsia="宋体" w:cs="宋体"/>
          <w:b/>
          <w:color w:val="auto"/>
          <w:sz w:val="24"/>
          <w:szCs w:val="24"/>
          <w:highlight w:val="none"/>
          <w:lang w:val="en-US" w:eastAsia="zh-CN"/>
        </w:rPr>
        <w:t>依法缴纳税收和社会保障资金的良好记录</w:t>
      </w:r>
      <w:bookmarkEnd w:id="166"/>
      <w:bookmarkEnd w:id="167"/>
      <w:bookmarkEnd w:id="169"/>
      <w:bookmarkEnd w:id="170"/>
      <w:bookmarkEnd w:id="171"/>
      <w:bookmarkEnd w:id="172"/>
    </w:p>
    <w:p w14:paraId="1EDF64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提供近6个月内至少1个月的依法缴纳税收的完税证明和社保缴纳证明加盖</w:t>
      </w:r>
      <w:r>
        <w:rPr>
          <w:rFonts w:hint="eastAsia" w:ascii="宋体" w:hAnsi="宋体" w:eastAsia="宋体" w:cs="宋体"/>
          <w:color w:val="auto"/>
          <w:sz w:val="24"/>
          <w:szCs w:val="24"/>
          <w:highlight w:val="none"/>
          <w:lang w:val="en-US" w:eastAsia="zh-CN"/>
        </w:rPr>
        <w:t>供应商公章</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供应商</w:t>
      </w:r>
      <w:r>
        <w:rPr>
          <w:rFonts w:hint="default" w:ascii="宋体" w:hAnsi="宋体" w:eastAsia="宋体" w:cs="宋体"/>
          <w:color w:val="auto"/>
          <w:sz w:val="24"/>
          <w:szCs w:val="24"/>
          <w:highlight w:val="none"/>
          <w:lang w:val="en-US" w:eastAsia="zh-CN"/>
        </w:rPr>
        <w:t>依法享受缓缴、免缴税收，免缴社会保障资金的提供证明材料加盖</w:t>
      </w:r>
      <w:r>
        <w:rPr>
          <w:rFonts w:hint="eastAsia" w:ascii="宋体" w:hAnsi="宋体" w:eastAsia="宋体" w:cs="宋体"/>
          <w:color w:val="auto"/>
          <w:sz w:val="24"/>
          <w:szCs w:val="24"/>
          <w:highlight w:val="none"/>
          <w:lang w:val="en-US" w:eastAsia="zh-CN"/>
        </w:rPr>
        <w:t>供应商公章）</w:t>
      </w:r>
    </w:p>
    <w:p w14:paraId="4D79F507">
      <w:pPr>
        <w:pStyle w:val="5"/>
        <w:keepNext w:val="0"/>
        <w:keepLines w:val="0"/>
        <w:pageBreakBefore w:val="0"/>
        <w:widowControl w:val="0"/>
        <w:tabs>
          <w:tab w:val="left" w:pos="540"/>
        </w:tabs>
        <w:kinsoku/>
        <w:wordWrap/>
        <w:overflowPunct/>
        <w:topLinePunct w:val="0"/>
        <w:autoSpaceDE/>
        <w:autoSpaceDN/>
        <w:bidi w:val="0"/>
        <w:adjustRightInd w:val="0"/>
        <w:snapToGrid w:val="0"/>
        <w:spacing w:before="0" w:after="0" w:line="360" w:lineRule="auto"/>
        <w:jc w:val="center"/>
        <w:textAlignment w:val="auto"/>
        <w:rPr>
          <w:rFonts w:hint="eastAsia" w:hAnsi="宋体" w:eastAsia="宋体" w:cs="宋体"/>
          <w:b/>
          <w:color w:val="auto"/>
          <w:sz w:val="24"/>
          <w:szCs w:val="24"/>
          <w:highlight w:val="none"/>
          <w:lang w:val="en-US" w:eastAsia="zh-CN"/>
        </w:rPr>
      </w:pPr>
      <w:bookmarkStart w:id="173" w:name="_Toc6771"/>
      <w:bookmarkStart w:id="174" w:name="_Toc19446"/>
      <w:bookmarkStart w:id="175" w:name="_Toc11643"/>
      <w:bookmarkStart w:id="176" w:name="_Toc30856"/>
      <w:bookmarkStart w:id="177" w:name="_Toc1547"/>
      <w:r>
        <w:rPr>
          <w:rFonts w:hint="eastAsia" w:hAnsi="宋体" w:eastAsia="宋体" w:cs="宋体"/>
          <w:b/>
          <w:color w:val="auto"/>
          <w:sz w:val="24"/>
          <w:szCs w:val="24"/>
          <w:highlight w:val="none"/>
          <w:lang w:val="en-US" w:eastAsia="zh-CN"/>
        </w:rPr>
        <w:br w:type="page"/>
      </w:r>
      <w:bookmarkStart w:id="178" w:name="_Toc22411"/>
      <w:r>
        <w:rPr>
          <w:rFonts w:hint="eastAsia" w:hAnsi="宋体" w:eastAsia="宋体" w:cs="宋体"/>
          <w:b/>
          <w:color w:val="auto"/>
          <w:sz w:val="24"/>
          <w:szCs w:val="24"/>
          <w:highlight w:val="none"/>
          <w:lang w:val="en-US" w:eastAsia="zh-CN"/>
        </w:rPr>
        <w:t>7.参加政府采购活动前三年内，在经营活动中没有重大违法记录</w:t>
      </w:r>
      <w:bookmarkEnd w:id="173"/>
      <w:bookmarkEnd w:id="174"/>
      <w:bookmarkEnd w:id="175"/>
      <w:bookmarkEnd w:id="176"/>
      <w:bookmarkEnd w:id="177"/>
      <w:bookmarkEnd w:id="178"/>
    </w:p>
    <w:bookmarkEnd w:id="160"/>
    <w:bookmarkEnd w:id="161"/>
    <w:p w14:paraId="1709002D">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前三年内在经营活动中没有重大违法记录声明函</w:t>
      </w:r>
    </w:p>
    <w:p w14:paraId="7CE15D9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highlight w:val="none"/>
        </w:rPr>
      </w:pPr>
    </w:p>
    <w:p w14:paraId="7F8A861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w:t>
      </w:r>
      <w:r>
        <w:rPr>
          <w:rFonts w:hint="default" w:ascii="宋体" w:hAnsi="宋体" w:cs="宋体"/>
          <w:color w:val="auto"/>
          <w:sz w:val="24"/>
          <w:highlight w:val="none"/>
          <w:u w:val="single"/>
          <w:lang w:val="en-US" w:eastAsia="zh-CN"/>
        </w:rPr>
        <w:t>新疆华展鑫荣项目管理咨询有限公司</w:t>
      </w:r>
      <w:r>
        <w:rPr>
          <w:rFonts w:hint="eastAsia" w:ascii="宋体" w:hAnsi="宋体" w:cs="宋体"/>
          <w:color w:val="auto"/>
          <w:sz w:val="24"/>
          <w:highlight w:val="none"/>
          <w:u w:val="single"/>
          <w:lang w:val="en-US" w:eastAsia="zh-CN"/>
        </w:rPr>
        <w:t xml:space="preserve">  </w:t>
      </w:r>
    </w:p>
    <w:p w14:paraId="3D7FA33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我方参加贵</w:t>
      </w:r>
      <w:r>
        <w:rPr>
          <w:rFonts w:hint="eastAsia" w:ascii="宋体" w:hAnsi="宋体" w:cs="宋体"/>
          <w:color w:val="auto"/>
          <w:sz w:val="24"/>
          <w:szCs w:val="24"/>
          <w:highlight w:val="none"/>
          <w:lang w:eastAsia="zh-CN"/>
        </w:rPr>
        <w:t>单位</w:t>
      </w:r>
      <w:r>
        <w:rPr>
          <w:rFonts w:hint="eastAsia" w:ascii="宋体" w:hAnsi="宋体" w:cs="宋体"/>
          <w:color w:val="auto"/>
          <w:sz w:val="24"/>
          <w:szCs w:val="24"/>
          <w:highlight w:val="none"/>
        </w:rPr>
        <w:t>组织的</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项目编号）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采购活动，在此郑重声明：我公司严格按照《中华人民共和国公司法》以及相关法律法规合法诚信经营至今，在参加本次采购活动前</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年内没有重大违法记录，没有隐瞒任何不良经营记录和违反商业道德的行为。</w:t>
      </w:r>
    </w:p>
    <w:p w14:paraId="2306D53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如果我方违反上述声明内容，愿意承担由此导致的一切不利后果和法律责任。</w:t>
      </w:r>
    </w:p>
    <w:p w14:paraId="3F234F1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21F08EA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807CCC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732BA2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5555AA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09C33D95">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供应商名称（</w:t>
      </w:r>
      <w:r>
        <w:rPr>
          <w:rFonts w:hint="eastAsia" w:ascii="宋体" w:hAnsi="宋体" w:eastAsia="宋体" w:cs="宋体"/>
          <w:b w:val="0"/>
          <w:bCs w:val="0"/>
          <w:color w:val="auto"/>
          <w:kern w:val="0"/>
          <w:sz w:val="24"/>
          <w:szCs w:val="24"/>
          <w:highlight w:val="none"/>
          <w:lang w:val="en-US" w:eastAsia="zh-CN"/>
        </w:rPr>
        <w:t>盖</w:t>
      </w:r>
      <w:r>
        <w:rPr>
          <w:rFonts w:hint="eastAsia" w:ascii="宋体" w:hAnsi="宋体" w:eastAsia="宋体" w:cs="宋体"/>
          <w:b w:val="0"/>
          <w:bCs w:val="0"/>
          <w:color w:val="auto"/>
          <w:kern w:val="0"/>
          <w:sz w:val="24"/>
          <w:szCs w:val="24"/>
          <w:highlight w:val="none"/>
          <w:lang w:eastAsia="zh-CN"/>
        </w:rPr>
        <w:t>公章</w:t>
      </w: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u w:val="single"/>
          <w:lang w:val="en-US" w:eastAsia="zh-CN"/>
        </w:rPr>
        <w:t xml:space="preserve">                     </w:t>
      </w:r>
    </w:p>
    <w:p w14:paraId="154BD4F3">
      <w:pPr>
        <w:pStyle w:val="35"/>
        <w:keepNext w:val="0"/>
        <w:keepLines w:val="0"/>
        <w:pageBreakBefore w:val="0"/>
        <w:widowControl w:val="0"/>
        <w:kinsoku/>
        <w:wordWrap/>
        <w:overflowPunct/>
        <w:topLinePunct w:val="0"/>
        <w:bidi w:val="0"/>
        <w:adjustRightInd w:val="0"/>
        <w:snapToGrid w:val="0"/>
        <w:spacing w:after="0" w:line="360" w:lineRule="auto"/>
        <w:textAlignment w:val="auto"/>
        <w:rPr>
          <w:rFonts w:hint="default"/>
          <w:color w:val="auto"/>
          <w:highlight w:val="none"/>
          <w:lang w:val="en-US" w:eastAsia="zh-CN"/>
        </w:rPr>
      </w:pPr>
    </w:p>
    <w:p w14:paraId="7E43D64F">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w:t>
      </w:r>
      <w:r>
        <w:rPr>
          <w:rFonts w:hint="eastAsia" w:ascii="宋体" w:hAnsi="宋体" w:eastAsia="宋体" w:cs="宋体"/>
          <w:b w:val="0"/>
          <w:bCs w:val="0"/>
          <w:color w:val="auto"/>
          <w:kern w:val="0"/>
          <w:sz w:val="24"/>
          <w:szCs w:val="24"/>
          <w:highlight w:val="none"/>
          <w:lang w:val="en-US" w:eastAsia="zh-CN"/>
        </w:rPr>
        <w:t>签字</w:t>
      </w:r>
      <w:r>
        <w:rPr>
          <w:rFonts w:hint="eastAsia" w:ascii="宋体" w:hAnsi="宋体" w:eastAsia="宋体" w:cs="宋体"/>
          <w:b w:val="0"/>
          <w:bCs w:val="0"/>
          <w:color w:val="auto"/>
          <w:kern w:val="0"/>
          <w:sz w:val="24"/>
          <w:szCs w:val="24"/>
          <w:highlight w:val="none"/>
          <w:lang w:eastAsia="zh-CN"/>
        </w:rPr>
        <w:t>或盖章</w:t>
      </w: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u w:val="single"/>
          <w:lang w:val="en-US" w:eastAsia="zh-CN"/>
        </w:rPr>
        <w:t xml:space="preserve">                   </w:t>
      </w:r>
    </w:p>
    <w:p w14:paraId="19C91459">
      <w:pPr>
        <w:pStyle w:val="35"/>
        <w:keepNext w:val="0"/>
        <w:keepLines w:val="0"/>
        <w:pageBreakBefore w:val="0"/>
        <w:widowControl w:val="0"/>
        <w:kinsoku/>
        <w:wordWrap/>
        <w:overflowPunct/>
        <w:topLinePunct w:val="0"/>
        <w:bidi w:val="0"/>
        <w:adjustRightInd w:val="0"/>
        <w:snapToGrid w:val="0"/>
        <w:spacing w:after="0" w:line="360" w:lineRule="auto"/>
        <w:textAlignment w:val="auto"/>
        <w:rPr>
          <w:rFonts w:hint="eastAsia"/>
          <w:color w:val="auto"/>
          <w:highlight w:val="none"/>
          <w:lang w:val="en-US" w:eastAsia="zh-CN"/>
        </w:rPr>
      </w:pPr>
    </w:p>
    <w:p w14:paraId="65AEF449">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6C7B5C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43C8E8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556164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7D7F441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备注：没有提供此项声明函的，视为未实质性响应招标文件要求，将按无效响应处理。</w:t>
      </w:r>
    </w:p>
    <w:p w14:paraId="375FE7C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236300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1EAC17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1436D7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62DA98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628A23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2C37155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1C7418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6E6827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10E6FB2C">
      <w:pPr>
        <w:pStyle w:val="5"/>
        <w:keepNext w:val="0"/>
        <w:keepLines w:val="0"/>
        <w:pageBreakBefore w:val="0"/>
        <w:widowControl w:val="0"/>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color w:val="auto"/>
          <w:sz w:val="24"/>
          <w:szCs w:val="24"/>
          <w:highlight w:val="none"/>
          <w:lang w:val="en-US" w:eastAsia="zh-CN"/>
        </w:rPr>
      </w:pPr>
      <w:bookmarkStart w:id="179" w:name="_Toc30952"/>
      <w:bookmarkStart w:id="180" w:name="_Toc18803"/>
      <w:r>
        <w:rPr>
          <w:rFonts w:hint="eastAsia" w:ascii="宋体" w:hAnsi="宋体" w:eastAsia="宋体" w:cs="宋体"/>
          <w:color w:val="auto"/>
          <w:sz w:val="24"/>
          <w:szCs w:val="24"/>
          <w:highlight w:val="none"/>
          <w:lang w:val="en-US" w:eastAsia="zh-CN"/>
        </w:rPr>
        <w:t>（二）落实政府采购政策需满足的资格要求</w:t>
      </w:r>
      <w:bookmarkEnd w:id="135"/>
      <w:bookmarkEnd w:id="179"/>
      <w:bookmarkEnd w:id="180"/>
    </w:p>
    <w:bookmarkEnd w:id="136"/>
    <w:p w14:paraId="27118A9A">
      <w:pPr>
        <w:jc w:val="center"/>
        <w:rPr>
          <w:rFonts w:hint="eastAsia"/>
          <w:b/>
          <w:bCs/>
          <w:color w:val="auto"/>
          <w:sz w:val="24"/>
          <w:szCs w:val="24"/>
          <w:highlight w:val="none"/>
        </w:rPr>
      </w:pPr>
      <w:r>
        <w:rPr>
          <w:rFonts w:hint="eastAsia"/>
          <w:b/>
          <w:bCs/>
          <w:color w:val="auto"/>
          <w:sz w:val="24"/>
          <w:szCs w:val="24"/>
          <w:highlight w:val="none"/>
        </w:rPr>
        <w:t>中小企业声明函（货物）</w:t>
      </w:r>
    </w:p>
    <w:p w14:paraId="383891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本公司（联合体）郑重声明，根据《政府采购促进中小企业发展管理办法》（财库﹝2020﹞46 号）的规定，本公司（联合体）参加</w:t>
      </w:r>
      <w:r>
        <w:rPr>
          <w:rFonts w:hint="eastAsia"/>
          <w:color w:val="auto"/>
          <w:sz w:val="24"/>
          <w:szCs w:val="24"/>
          <w:highlight w:val="none"/>
          <w:u w:val="single"/>
        </w:rPr>
        <w:t>（单位名称）</w:t>
      </w:r>
      <w:r>
        <w:rPr>
          <w:rFonts w:hint="eastAsia"/>
          <w:color w:val="auto"/>
          <w:sz w:val="24"/>
          <w:szCs w:val="24"/>
          <w:highlight w:val="none"/>
        </w:rPr>
        <w:t>的</w:t>
      </w:r>
      <w:r>
        <w:rPr>
          <w:rFonts w:hint="eastAsia"/>
          <w:color w:val="auto"/>
          <w:sz w:val="24"/>
          <w:szCs w:val="24"/>
          <w:highlight w:val="none"/>
          <w:u w:val="single"/>
        </w:rPr>
        <w:t>（项目名称）</w:t>
      </w:r>
      <w:r>
        <w:rPr>
          <w:rFonts w:hint="eastAsia"/>
          <w:color w:val="auto"/>
          <w:sz w:val="24"/>
          <w:szCs w:val="24"/>
          <w:highlight w:val="none"/>
        </w:rPr>
        <w:t>采购活动，提供的货物全部由符合政策要求的中小企业制造。相关企业（含联合体中的中小企业、签订分包意向协议的中小企业）的具体情况如下：</w:t>
      </w:r>
    </w:p>
    <w:p w14:paraId="6EC366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 xml:space="preserve">1. </w:t>
      </w:r>
      <w:r>
        <w:rPr>
          <w:rFonts w:hint="eastAsia"/>
          <w:color w:val="auto"/>
          <w:sz w:val="24"/>
          <w:szCs w:val="24"/>
          <w:highlight w:val="none"/>
          <w:u w:val="single"/>
        </w:rPr>
        <w:t>（多功能制暴器）</w:t>
      </w:r>
      <w:r>
        <w:rPr>
          <w:rFonts w:hint="eastAsia"/>
          <w:color w:val="auto"/>
          <w:sz w:val="24"/>
          <w:szCs w:val="24"/>
          <w:highlight w:val="none"/>
        </w:rPr>
        <w:t xml:space="preserve"> ，属于</w:t>
      </w:r>
      <w:r>
        <w:rPr>
          <w:rFonts w:hint="eastAsia"/>
          <w:color w:val="auto"/>
          <w:sz w:val="24"/>
          <w:szCs w:val="24"/>
          <w:highlight w:val="none"/>
          <w:u w:val="single"/>
        </w:rPr>
        <w:t>（</w:t>
      </w:r>
      <w:r>
        <w:rPr>
          <w:rFonts w:hint="eastAsia"/>
          <w:color w:val="auto"/>
          <w:sz w:val="24"/>
          <w:szCs w:val="24"/>
          <w:highlight w:val="none"/>
          <w:u w:val="single"/>
          <w:lang w:val="en-US" w:eastAsia="zh-CN"/>
        </w:rPr>
        <w:t>工业</w:t>
      </w:r>
      <w:r>
        <w:rPr>
          <w:rFonts w:hint="eastAsia"/>
          <w:color w:val="auto"/>
          <w:sz w:val="24"/>
          <w:szCs w:val="24"/>
          <w:highlight w:val="none"/>
          <w:u w:val="single"/>
        </w:rPr>
        <w:t>）</w:t>
      </w:r>
      <w:r>
        <w:rPr>
          <w:rFonts w:hint="eastAsia"/>
          <w:color w:val="auto"/>
          <w:sz w:val="24"/>
          <w:szCs w:val="24"/>
          <w:highlight w:val="none"/>
        </w:rPr>
        <w:t>行业；制造商为</w:t>
      </w:r>
      <w:r>
        <w:rPr>
          <w:rFonts w:hint="eastAsia"/>
          <w:color w:val="auto"/>
          <w:sz w:val="24"/>
          <w:szCs w:val="24"/>
          <w:highlight w:val="none"/>
          <w:u w:val="single"/>
        </w:rPr>
        <w:t>（企业名称）</w:t>
      </w:r>
      <w:r>
        <w:rPr>
          <w:rFonts w:hint="eastAsia"/>
          <w:color w:val="auto"/>
          <w:sz w:val="24"/>
          <w:szCs w:val="24"/>
          <w:highlight w:val="none"/>
        </w:rPr>
        <w:t>，从业人员</w:t>
      </w:r>
      <w:r>
        <w:rPr>
          <w:rFonts w:hint="eastAsia"/>
          <w:color w:val="auto"/>
          <w:sz w:val="24"/>
          <w:szCs w:val="24"/>
          <w:highlight w:val="none"/>
          <w:u w:val="single"/>
          <w:lang w:val="en-US" w:eastAsia="zh-CN"/>
        </w:rPr>
        <w:t xml:space="preserve">   </w:t>
      </w:r>
      <w:r>
        <w:rPr>
          <w:rFonts w:hint="eastAsia"/>
          <w:color w:val="auto"/>
          <w:sz w:val="24"/>
          <w:szCs w:val="24"/>
          <w:highlight w:val="none"/>
        </w:rPr>
        <w:t>人，营业收入为</w:t>
      </w:r>
      <w:r>
        <w:rPr>
          <w:rFonts w:hint="eastAsia"/>
          <w:color w:val="auto"/>
          <w:sz w:val="24"/>
          <w:szCs w:val="24"/>
          <w:highlight w:val="none"/>
          <w:u w:val="single"/>
          <w:lang w:val="en-US" w:eastAsia="zh-CN"/>
        </w:rPr>
        <w:t xml:space="preserve">    </w:t>
      </w:r>
      <w:r>
        <w:rPr>
          <w:rFonts w:hint="eastAsia"/>
          <w:color w:val="auto"/>
          <w:sz w:val="24"/>
          <w:szCs w:val="24"/>
          <w:highlight w:val="none"/>
        </w:rPr>
        <w:t>万元，资产总额为</w:t>
      </w:r>
      <w:r>
        <w:rPr>
          <w:rFonts w:hint="eastAsia"/>
          <w:color w:val="auto"/>
          <w:sz w:val="24"/>
          <w:szCs w:val="24"/>
          <w:highlight w:val="none"/>
          <w:u w:val="single"/>
          <w:lang w:val="en-US" w:eastAsia="zh-CN"/>
        </w:rPr>
        <w:t xml:space="preserve">    </w:t>
      </w:r>
      <w:r>
        <w:rPr>
          <w:rFonts w:hint="eastAsia"/>
          <w:color w:val="auto"/>
          <w:sz w:val="24"/>
          <w:szCs w:val="24"/>
          <w:highlight w:val="none"/>
        </w:rPr>
        <w:t>万元</w:t>
      </w:r>
      <w:r>
        <w:rPr>
          <w:rFonts w:hint="eastAsia"/>
          <w:color w:val="auto"/>
          <w:sz w:val="24"/>
          <w:szCs w:val="24"/>
          <w:highlight w:val="none"/>
          <w:lang w:eastAsia="zh-CN"/>
        </w:rPr>
        <w:t>。</w:t>
      </w:r>
      <w:r>
        <w:rPr>
          <w:rFonts w:hint="eastAsia"/>
          <w:color w:val="auto"/>
          <w:sz w:val="24"/>
          <w:szCs w:val="24"/>
          <w:highlight w:val="none"/>
        </w:rPr>
        <w:t>属于</w:t>
      </w:r>
      <w:r>
        <w:rPr>
          <w:rFonts w:hint="eastAsia"/>
          <w:color w:val="auto"/>
          <w:sz w:val="24"/>
          <w:szCs w:val="24"/>
          <w:highlight w:val="none"/>
          <w:u w:val="single"/>
        </w:rPr>
        <w:t>（中型企业、小型企业、微型企业）</w:t>
      </w:r>
      <w:r>
        <w:rPr>
          <w:rFonts w:hint="eastAsia"/>
          <w:color w:val="auto"/>
          <w:sz w:val="24"/>
          <w:szCs w:val="24"/>
          <w:highlight w:val="none"/>
        </w:rPr>
        <w:t>；</w:t>
      </w:r>
    </w:p>
    <w:p w14:paraId="7C689E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 xml:space="preserve">2.  </w:t>
      </w:r>
      <w:r>
        <w:rPr>
          <w:rFonts w:hint="eastAsia"/>
          <w:color w:val="auto"/>
          <w:sz w:val="24"/>
          <w:szCs w:val="24"/>
          <w:highlight w:val="none"/>
          <w:u w:val="single"/>
        </w:rPr>
        <w:t>（便携式声波驱散器）</w:t>
      </w:r>
      <w:r>
        <w:rPr>
          <w:rFonts w:hint="eastAsia"/>
          <w:color w:val="auto"/>
          <w:sz w:val="24"/>
          <w:szCs w:val="24"/>
          <w:highlight w:val="none"/>
        </w:rPr>
        <w:t xml:space="preserve"> ，属于</w:t>
      </w:r>
      <w:r>
        <w:rPr>
          <w:rFonts w:hint="eastAsia"/>
          <w:color w:val="auto"/>
          <w:sz w:val="24"/>
          <w:szCs w:val="24"/>
          <w:highlight w:val="none"/>
          <w:u w:val="single"/>
        </w:rPr>
        <w:t>（</w:t>
      </w:r>
      <w:r>
        <w:rPr>
          <w:rFonts w:hint="eastAsia"/>
          <w:color w:val="auto"/>
          <w:sz w:val="24"/>
          <w:szCs w:val="24"/>
          <w:highlight w:val="none"/>
          <w:u w:val="single"/>
          <w:lang w:val="en-US" w:eastAsia="zh-CN"/>
        </w:rPr>
        <w:t>工业</w:t>
      </w:r>
      <w:r>
        <w:rPr>
          <w:rFonts w:hint="eastAsia"/>
          <w:color w:val="auto"/>
          <w:sz w:val="24"/>
          <w:szCs w:val="24"/>
          <w:highlight w:val="none"/>
          <w:u w:val="single"/>
        </w:rPr>
        <w:t>）</w:t>
      </w:r>
      <w:r>
        <w:rPr>
          <w:rFonts w:hint="eastAsia"/>
          <w:color w:val="auto"/>
          <w:sz w:val="24"/>
          <w:szCs w:val="24"/>
          <w:highlight w:val="none"/>
        </w:rPr>
        <w:t>行业；制造商为</w:t>
      </w:r>
      <w:r>
        <w:rPr>
          <w:rFonts w:hint="eastAsia"/>
          <w:color w:val="auto"/>
          <w:sz w:val="24"/>
          <w:szCs w:val="24"/>
          <w:highlight w:val="none"/>
          <w:u w:val="single"/>
        </w:rPr>
        <w:t>（企业名称）</w:t>
      </w:r>
      <w:r>
        <w:rPr>
          <w:rFonts w:hint="eastAsia"/>
          <w:color w:val="auto"/>
          <w:sz w:val="24"/>
          <w:szCs w:val="24"/>
          <w:highlight w:val="none"/>
        </w:rPr>
        <w:t>，从业人员</w:t>
      </w:r>
      <w:r>
        <w:rPr>
          <w:rFonts w:hint="eastAsia"/>
          <w:color w:val="auto"/>
          <w:sz w:val="24"/>
          <w:szCs w:val="24"/>
          <w:highlight w:val="none"/>
          <w:u w:val="single"/>
          <w:lang w:val="en-US" w:eastAsia="zh-CN"/>
        </w:rPr>
        <w:t xml:space="preserve">   </w:t>
      </w:r>
      <w:r>
        <w:rPr>
          <w:rFonts w:hint="eastAsia"/>
          <w:color w:val="auto"/>
          <w:sz w:val="24"/>
          <w:szCs w:val="24"/>
          <w:highlight w:val="none"/>
        </w:rPr>
        <w:t>人，营业收入为</w:t>
      </w:r>
      <w:r>
        <w:rPr>
          <w:rFonts w:hint="eastAsia"/>
          <w:color w:val="auto"/>
          <w:sz w:val="24"/>
          <w:szCs w:val="24"/>
          <w:highlight w:val="none"/>
          <w:u w:val="single"/>
          <w:lang w:val="en-US" w:eastAsia="zh-CN"/>
        </w:rPr>
        <w:t xml:space="preserve">    </w:t>
      </w:r>
      <w:r>
        <w:rPr>
          <w:rFonts w:hint="eastAsia"/>
          <w:color w:val="auto"/>
          <w:sz w:val="24"/>
          <w:szCs w:val="24"/>
          <w:highlight w:val="none"/>
        </w:rPr>
        <w:t>万元，资产总额为</w:t>
      </w:r>
      <w:r>
        <w:rPr>
          <w:rFonts w:hint="eastAsia"/>
          <w:color w:val="auto"/>
          <w:sz w:val="24"/>
          <w:szCs w:val="24"/>
          <w:highlight w:val="none"/>
          <w:u w:val="single"/>
          <w:lang w:val="en-US" w:eastAsia="zh-CN"/>
        </w:rPr>
        <w:t xml:space="preserve">    </w:t>
      </w:r>
      <w:r>
        <w:rPr>
          <w:rFonts w:hint="eastAsia"/>
          <w:color w:val="auto"/>
          <w:sz w:val="24"/>
          <w:szCs w:val="24"/>
          <w:highlight w:val="none"/>
        </w:rPr>
        <w:t>万元</w:t>
      </w:r>
      <w:r>
        <w:rPr>
          <w:rFonts w:hint="eastAsia"/>
          <w:color w:val="auto"/>
          <w:sz w:val="24"/>
          <w:szCs w:val="24"/>
          <w:highlight w:val="none"/>
          <w:lang w:eastAsia="zh-CN"/>
        </w:rPr>
        <w:t>。</w:t>
      </w:r>
      <w:r>
        <w:rPr>
          <w:rFonts w:hint="eastAsia"/>
          <w:color w:val="auto"/>
          <w:sz w:val="24"/>
          <w:szCs w:val="24"/>
          <w:highlight w:val="none"/>
        </w:rPr>
        <w:t>属于</w:t>
      </w:r>
      <w:r>
        <w:rPr>
          <w:rFonts w:hint="eastAsia"/>
          <w:color w:val="auto"/>
          <w:sz w:val="24"/>
          <w:szCs w:val="24"/>
          <w:highlight w:val="none"/>
          <w:u w:val="single"/>
        </w:rPr>
        <w:t>（中型企业、小型企业、微型企业）</w:t>
      </w:r>
      <w:r>
        <w:rPr>
          <w:rFonts w:hint="eastAsia"/>
          <w:color w:val="auto"/>
          <w:sz w:val="24"/>
          <w:szCs w:val="24"/>
          <w:highlight w:val="none"/>
        </w:rPr>
        <w:t>；</w:t>
      </w:r>
    </w:p>
    <w:p w14:paraId="0290A7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lang w:val="en-US" w:eastAsia="zh-CN"/>
        </w:rPr>
        <w:t>3、</w:t>
      </w:r>
      <w:r>
        <w:rPr>
          <w:rFonts w:hint="eastAsia"/>
          <w:color w:val="auto"/>
          <w:sz w:val="24"/>
          <w:szCs w:val="24"/>
          <w:highlight w:val="none"/>
        </w:rPr>
        <w:t xml:space="preserve"> </w:t>
      </w:r>
      <w:r>
        <w:rPr>
          <w:rFonts w:hint="eastAsia"/>
          <w:color w:val="auto"/>
          <w:sz w:val="24"/>
          <w:szCs w:val="24"/>
          <w:highlight w:val="none"/>
          <w:u w:val="single"/>
        </w:rPr>
        <w:t>（高速催泪喷射器）</w:t>
      </w:r>
      <w:r>
        <w:rPr>
          <w:rFonts w:hint="eastAsia"/>
          <w:color w:val="auto"/>
          <w:sz w:val="24"/>
          <w:szCs w:val="24"/>
          <w:highlight w:val="none"/>
        </w:rPr>
        <w:t xml:space="preserve"> ，属于</w:t>
      </w:r>
      <w:r>
        <w:rPr>
          <w:rFonts w:hint="eastAsia"/>
          <w:color w:val="auto"/>
          <w:sz w:val="24"/>
          <w:szCs w:val="24"/>
          <w:highlight w:val="none"/>
          <w:u w:val="single"/>
        </w:rPr>
        <w:t>（</w:t>
      </w:r>
      <w:r>
        <w:rPr>
          <w:rFonts w:hint="eastAsia"/>
          <w:color w:val="auto"/>
          <w:sz w:val="24"/>
          <w:szCs w:val="24"/>
          <w:highlight w:val="none"/>
          <w:u w:val="single"/>
          <w:lang w:val="en-US" w:eastAsia="zh-CN"/>
        </w:rPr>
        <w:t>工业</w:t>
      </w:r>
      <w:r>
        <w:rPr>
          <w:rFonts w:hint="eastAsia"/>
          <w:color w:val="auto"/>
          <w:sz w:val="24"/>
          <w:szCs w:val="24"/>
          <w:highlight w:val="none"/>
          <w:u w:val="single"/>
        </w:rPr>
        <w:t>）</w:t>
      </w:r>
      <w:r>
        <w:rPr>
          <w:rFonts w:hint="eastAsia"/>
          <w:color w:val="auto"/>
          <w:sz w:val="24"/>
          <w:szCs w:val="24"/>
          <w:highlight w:val="none"/>
        </w:rPr>
        <w:t>行业；制造商为</w:t>
      </w:r>
      <w:r>
        <w:rPr>
          <w:rFonts w:hint="eastAsia"/>
          <w:color w:val="auto"/>
          <w:sz w:val="24"/>
          <w:szCs w:val="24"/>
          <w:highlight w:val="none"/>
          <w:u w:val="single"/>
        </w:rPr>
        <w:t>（企业名称）</w:t>
      </w:r>
      <w:r>
        <w:rPr>
          <w:rFonts w:hint="eastAsia"/>
          <w:color w:val="auto"/>
          <w:sz w:val="24"/>
          <w:szCs w:val="24"/>
          <w:highlight w:val="none"/>
        </w:rPr>
        <w:t>，从业人员</w:t>
      </w:r>
      <w:r>
        <w:rPr>
          <w:rFonts w:hint="eastAsia"/>
          <w:color w:val="auto"/>
          <w:sz w:val="24"/>
          <w:szCs w:val="24"/>
          <w:highlight w:val="none"/>
          <w:u w:val="single"/>
          <w:lang w:val="en-US" w:eastAsia="zh-CN"/>
        </w:rPr>
        <w:t xml:space="preserve">   </w:t>
      </w:r>
      <w:r>
        <w:rPr>
          <w:rFonts w:hint="eastAsia"/>
          <w:color w:val="auto"/>
          <w:sz w:val="24"/>
          <w:szCs w:val="24"/>
          <w:highlight w:val="none"/>
        </w:rPr>
        <w:t>人，营业收入为</w:t>
      </w:r>
      <w:r>
        <w:rPr>
          <w:rFonts w:hint="eastAsia"/>
          <w:color w:val="auto"/>
          <w:sz w:val="24"/>
          <w:szCs w:val="24"/>
          <w:highlight w:val="none"/>
          <w:u w:val="single"/>
          <w:lang w:val="en-US" w:eastAsia="zh-CN"/>
        </w:rPr>
        <w:t xml:space="preserve">    </w:t>
      </w:r>
      <w:r>
        <w:rPr>
          <w:rFonts w:hint="eastAsia"/>
          <w:color w:val="auto"/>
          <w:sz w:val="24"/>
          <w:szCs w:val="24"/>
          <w:highlight w:val="none"/>
        </w:rPr>
        <w:t>万元，资产总额为</w:t>
      </w:r>
      <w:r>
        <w:rPr>
          <w:rFonts w:hint="eastAsia"/>
          <w:color w:val="auto"/>
          <w:sz w:val="24"/>
          <w:szCs w:val="24"/>
          <w:highlight w:val="none"/>
          <w:u w:val="single"/>
          <w:lang w:val="en-US" w:eastAsia="zh-CN"/>
        </w:rPr>
        <w:t xml:space="preserve">    </w:t>
      </w:r>
      <w:r>
        <w:rPr>
          <w:rFonts w:hint="eastAsia"/>
          <w:color w:val="auto"/>
          <w:sz w:val="24"/>
          <w:szCs w:val="24"/>
          <w:highlight w:val="none"/>
        </w:rPr>
        <w:t>万元</w:t>
      </w:r>
      <w:r>
        <w:rPr>
          <w:rFonts w:hint="eastAsia"/>
          <w:color w:val="auto"/>
          <w:sz w:val="24"/>
          <w:szCs w:val="24"/>
          <w:highlight w:val="none"/>
          <w:lang w:eastAsia="zh-CN"/>
        </w:rPr>
        <w:t>。</w:t>
      </w:r>
      <w:r>
        <w:rPr>
          <w:rFonts w:hint="eastAsia"/>
          <w:color w:val="auto"/>
          <w:sz w:val="24"/>
          <w:szCs w:val="24"/>
          <w:highlight w:val="none"/>
        </w:rPr>
        <w:t>属于</w:t>
      </w:r>
      <w:r>
        <w:rPr>
          <w:rFonts w:hint="eastAsia"/>
          <w:color w:val="auto"/>
          <w:sz w:val="24"/>
          <w:szCs w:val="24"/>
          <w:highlight w:val="none"/>
          <w:u w:val="single"/>
        </w:rPr>
        <w:t>（中型企业、小型企业、微型企业）</w:t>
      </w:r>
      <w:r>
        <w:rPr>
          <w:rFonts w:hint="eastAsia"/>
          <w:color w:val="auto"/>
          <w:sz w:val="24"/>
          <w:szCs w:val="24"/>
          <w:highlight w:val="none"/>
        </w:rPr>
        <w:t>；</w:t>
      </w:r>
    </w:p>
    <w:p w14:paraId="2FF62B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color w:val="auto"/>
          <w:sz w:val="24"/>
          <w:szCs w:val="24"/>
          <w:highlight w:val="none"/>
          <w:lang w:val="en-US" w:eastAsia="zh-CN"/>
        </w:rPr>
      </w:pPr>
      <w:r>
        <w:rPr>
          <w:rFonts w:hint="eastAsia"/>
          <w:color w:val="auto"/>
          <w:sz w:val="24"/>
          <w:szCs w:val="24"/>
          <w:highlight w:val="none"/>
          <w:lang w:val="en-US" w:eastAsia="zh-CN"/>
        </w:rPr>
        <w:t>......</w:t>
      </w:r>
    </w:p>
    <w:p w14:paraId="3A81F7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以上企业，不属于大企业的分支机构，不存在控股股东为大企业的情形，也不存在与大企业的负责人为同一人的情形。</w:t>
      </w:r>
    </w:p>
    <w:p w14:paraId="0CAEEF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本企业对上述声明内容的真实性负责。如有虚假，将依法承担相应责任。</w:t>
      </w:r>
    </w:p>
    <w:p w14:paraId="3C3D00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p>
    <w:p w14:paraId="4794424C">
      <w:pPr>
        <w:keepNext w:val="0"/>
        <w:keepLines w:val="0"/>
        <w:pageBreakBefore w:val="0"/>
        <w:widowControl w:val="0"/>
        <w:kinsoku/>
        <w:wordWrap/>
        <w:overflowPunct/>
        <w:topLinePunct w:val="0"/>
        <w:autoSpaceDE/>
        <w:autoSpaceDN/>
        <w:bidi w:val="0"/>
        <w:adjustRightInd/>
        <w:snapToGrid/>
        <w:spacing w:line="360" w:lineRule="auto"/>
        <w:ind w:firstLine="4560" w:firstLineChars="1900"/>
        <w:textAlignment w:val="auto"/>
        <w:rPr>
          <w:rFonts w:hint="eastAsia"/>
          <w:color w:val="auto"/>
          <w:sz w:val="24"/>
          <w:szCs w:val="24"/>
          <w:highlight w:val="none"/>
        </w:rPr>
      </w:pPr>
      <w:r>
        <w:rPr>
          <w:rFonts w:hint="eastAsia"/>
          <w:color w:val="auto"/>
          <w:sz w:val="24"/>
          <w:szCs w:val="24"/>
          <w:highlight w:val="none"/>
        </w:rPr>
        <w:t>企业名称（盖章）：</w:t>
      </w:r>
    </w:p>
    <w:p w14:paraId="3B7CA75C">
      <w:pPr>
        <w:keepNext w:val="0"/>
        <w:keepLines w:val="0"/>
        <w:pageBreakBefore w:val="0"/>
        <w:widowControl w:val="0"/>
        <w:kinsoku/>
        <w:wordWrap/>
        <w:overflowPunct/>
        <w:topLinePunct w:val="0"/>
        <w:autoSpaceDE/>
        <w:autoSpaceDN/>
        <w:bidi w:val="0"/>
        <w:adjustRightInd/>
        <w:snapToGrid/>
        <w:spacing w:line="360" w:lineRule="auto"/>
        <w:ind w:firstLine="4560" w:firstLineChars="1900"/>
        <w:textAlignment w:val="auto"/>
        <w:rPr>
          <w:rFonts w:hint="eastAsia"/>
          <w:color w:val="auto"/>
          <w:sz w:val="24"/>
          <w:szCs w:val="24"/>
          <w:highlight w:val="none"/>
        </w:rPr>
      </w:pPr>
      <w:r>
        <w:rPr>
          <w:rFonts w:hint="eastAsia"/>
          <w:color w:val="auto"/>
          <w:sz w:val="24"/>
          <w:szCs w:val="24"/>
          <w:highlight w:val="none"/>
        </w:rPr>
        <w:t>日 期：</w:t>
      </w:r>
    </w:p>
    <w:p w14:paraId="16D97540">
      <w:pPr>
        <w:pStyle w:val="166"/>
        <w:widowControl/>
        <w:spacing w:line="360" w:lineRule="auto"/>
        <w:ind w:right="504"/>
        <w:rPr>
          <w:rFonts w:hint="eastAsia" w:ascii="宋体" w:hAnsi="宋体" w:cs="宋体"/>
          <w:bCs/>
          <w:color w:val="auto"/>
          <w:szCs w:val="21"/>
          <w:highlight w:val="none"/>
        </w:rPr>
      </w:pPr>
      <w:r>
        <w:rPr>
          <w:rFonts w:hint="eastAsia" w:ascii="宋体" w:hAnsi="宋体" w:cs="宋体"/>
          <w:bCs/>
          <w:color w:val="auto"/>
          <w:szCs w:val="21"/>
          <w:highlight w:val="none"/>
        </w:rPr>
        <w:t>注：从业人员、营业收入、资产总额填报上一年度数据，无上一年度数据的新成立企业可不填报。</w:t>
      </w:r>
    </w:p>
    <w:p w14:paraId="5A35DC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046C9D78">
      <w:pPr>
        <w:jc w:val="center"/>
        <w:rPr>
          <w:rFonts w:hint="eastAsia" w:ascii="Times New Roman" w:hAnsi="Times New Roman" w:eastAsia="宋体" w:cs="Times New Roman"/>
          <w:b/>
          <w:bCs/>
          <w:color w:val="auto"/>
          <w:sz w:val="24"/>
          <w:szCs w:val="24"/>
          <w:highlight w:val="none"/>
          <w:lang w:eastAsia="zh-CN"/>
        </w:rPr>
      </w:pPr>
      <w:bookmarkStart w:id="181" w:name="_Toc26247"/>
      <w:bookmarkStart w:id="182" w:name="_Toc15161"/>
      <w:bookmarkStart w:id="183" w:name="_Toc28323"/>
      <w:bookmarkStart w:id="184" w:name="_Toc10136"/>
      <w:bookmarkStart w:id="185" w:name="_Toc32475"/>
      <w:bookmarkStart w:id="186" w:name="_Toc17518"/>
      <w:r>
        <w:rPr>
          <w:rFonts w:hint="eastAsia" w:ascii="Times New Roman" w:hAnsi="Times New Roman" w:eastAsia="宋体" w:cs="Times New Roman"/>
          <w:b/>
          <w:bCs/>
          <w:color w:val="auto"/>
          <w:sz w:val="24"/>
          <w:szCs w:val="24"/>
          <w:highlight w:val="none"/>
          <w:lang w:eastAsia="zh-CN"/>
        </w:rPr>
        <w:br w:type="page"/>
      </w:r>
      <w:r>
        <w:rPr>
          <w:rFonts w:hint="eastAsia" w:ascii="Times New Roman" w:hAnsi="Times New Roman" w:eastAsia="宋体" w:cs="Times New Roman"/>
          <w:b/>
          <w:bCs/>
          <w:color w:val="auto"/>
          <w:sz w:val="24"/>
          <w:szCs w:val="24"/>
          <w:highlight w:val="none"/>
          <w:lang w:eastAsia="zh-CN"/>
        </w:rPr>
        <w:t>监狱企业声明函</w:t>
      </w:r>
      <w:bookmarkEnd w:id="181"/>
      <w:bookmarkEnd w:id="182"/>
      <w:bookmarkEnd w:id="183"/>
      <w:bookmarkEnd w:id="184"/>
      <w:bookmarkEnd w:id="185"/>
      <w:r>
        <w:rPr>
          <w:rFonts w:hint="eastAsia" w:ascii="Times New Roman" w:hAnsi="Times New Roman" w:eastAsia="宋体" w:cs="Times New Roman"/>
          <w:b/>
          <w:bCs/>
          <w:color w:val="auto"/>
          <w:sz w:val="24"/>
          <w:szCs w:val="24"/>
          <w:highlight w:val="none"/>
          <w:lang w:eastAsia="zh-CN"/>
        </w:rPr>
        <w:t>（</w:t>
      </w:r>
      <w:r>
        <w:rPr>
          <w:rFonts w:hint="eastAsia" w:ascii="Times New Roman" w:hAnsi="Times New Roman" w:eastAsia="宋体" w:cs="Times New Roman"/>
          <w:b/>
          <w:bCs/>
          <w:color w:val="auto"/>
          <w:sz w:val="24"/>
          <w:szCs w:val="24"/>
          <w:highlight w:val="none"/>
          <w:lang w:val="en-US" w:eastAsia="zh-CN"/>
        </w:rPr>
        <w:t>如有可提供</w:t>
      </w:r>
      <w:r>
        <w:rPr>
          <w:rFonts w:hint="eastAsia" w:ascii="Times New Roman" w:hAnsi="Times New Roman" w:eastAsia="宋体" w:cs="Times New Roman"/>
          <w:b/>
          <w:bCs/>
          <w:color w:val="auto"/>
          <w:sz w:val="24"/>
          <w:szCs w:val="24"/>
          <w:highlight w:val="none"/>
          <w:lang w:eastAsia="zh-CN"/>
        </w:rPr>
        <w:t>）</w:t>
      </w:r>
      <w:bookmarkEnd w:id="186"/>
    </w:p>
    <w:p w14:paraId="69CDB5CF">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（监狱企业适用）</w:t>
      </w:r>
    </w:p>
    <w:p w14:paraId="43EC0BBC">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本公司郑重声明，根据《关于政府采购支持监狱企业发展有关问题的通知》（财库[2014]68号）的规定</w:t>
      </w:r>
      <w:r>
        <w:rPr>
          <w:rFonts w:hint="eastAsia" w:ascii="宋体" w:hAnsi="宋体" w:eastAsia="宋体" w:cs="宋体"/>
          <w:color w:val="auto"/>
          <w:kern w:val="0"/>
          <w:sz w:val="24"/>
          <w:highlight w:val="none"/>
          <w:lang w:eastAsia="zh-CN"/>
        </w:rPr>
        <w:t>：</w:t>
      </w:r>
      <w:r>
        <w:rPr>
          <w:rFonts w:hint="eastAsia" w:ascii="宋体" w:hAnsi="宋体" w:eastAsia="宋体" w:cs="宋体"/>
          <w:b/>
          <w:bCs/>
          <w:color w:val="auto"/>
          <w:kern w:val="0"/>
          <w:sz w:val="24"/>
          <w:szCs w:val="24"/>
          <w:highlight w:val="none"/>
          <w:lang w:val="en-US" w:eastAsia="zh-CN" w:bidi="ar"/>
        </w:rPr>
        <w:t>（请进行勾选）</w:t>
      </w:r>
    </w:p>
    <w:p w14:paraId="45CF0FAF">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highlight w:val="none"/>
          <w:lang w:eastAsia="zh-CN"/>
        </w:rPr>
        <w:sym w:font="Wingdings" w:char="00A8"/>
      </w:r>
      <w:r>
        <w:rPr>
          <w:rFonts w:hint="eastAsia" w:ascii="宋体" w:hAnsi="宋体" w:eastAsia="宋体" w:cs="宋体"/>
          <w:color w:val="auto"/>
          <w:kern w:val="0"/>
          <w:sz w:val="24"/>
          <w:highlight w:val="none"/>
          <w:lang w:eastAsia="zh-CN"/>
        </w:rPr>
        <w:t>本公司是监狱企业，且</w:t>
      </w:r>
      <w:r>
        <w:rPr>
          <w:rFonts w:hint="eastAsia" w:ascii="宋体" w:hAnsi="宋体" w:eastAsia="宋体" w:cs="宋体"/>
          <w:color w:val="auto"/>
          <w:kern w:val="0"/>
          <w:sz w:val="24"/>
          <w:szCs w:val="24"/>
          <w:highlight w:val="none"/>
          <w:lang w:val="en-US" w:eastAsia="zh-CN" w:bidi="ar"/>
        </w:rPr>
        <w:t>本公司参加</w:t>
      </w:r>
      <w:r>
        <w:rPr>
          <w:rFonts w:hint="eastAsia" w:ascii="宋体" w:hAnsi="宋体" w:eastAsia="宋体" w:cs="宋体"/>
          <w:i/>
          <w:iCs/>
          <w:color w:val="auto"/>
          <w:sz w:val="24"/>
          <w:szCs w:val="24"/>
          <w:highlight w:val="none"/>
          <w:u w:val="single"/>
        </w:rPr>
        <w:t>（</w:t>
      </w:r>
      <w:r>
        <w:rPr>
          <w:rFonts w:hint="eastAsia" w:ascii="宋体" w:hAnsi="宋体" w:eastAsia="宋体" w:cs="宋体"/>
          <w:i/>
          <w:iCs/>
          <w:color w:val="auto"/>
          <w:sz w:val="24"/>
          <w:szCs w:val="24"/>
          <w:highlight w:val="none"/>
          <w:u w:val="single"/>
          <w:lang w:eastAsia="zh-CN"/>
        </w:rPr>
        <w:t>采购人</w:t>
      </w:r>
      <w:r>
        <w:rPr>
          <w:rFonts w:hint="eastAsia" w:ascii="宋体" w:hAnsi="宋体" w:eastAsia="宋体" w:cs="宋体"/>
          <w:i/>
          <w:iCs/>
          <w:color w:val="auto"/>
          <w:sz w:val="24"/>
          <w:szCs w:val="24"/>
          <w:highlight w:val="none"/>
          <w:u w:val="single"/>
        </w:rPr>
        <w:t>名称）</w:t>
      </w:r>
      <w:r>
        <w:rPr>
          <w:rFonts w:hint="eastAsia" w:ascii="宋体" w:hAnsi="宋体" w:eastAsia="宋体" w:cs="宋体"/>
          <w:color w:val="auto"/>
          <w:kern w:val="0"/>
          <w:sz w:val="24"/>
          <w:szCs w:val="24"/>
          <w:highlight w:val="none"/>
          <w:lang w:val="en-US" w:eastAsia="zh-CN" w:bidi="ar"/>
        </w:rPr>
        <w:t>的</w:t>
      </w:r>
      <w:r>
        <w:rPr>
          <w:rFonts w:hint="eastAsia" w:ascii="宋体" w:hAnsi="宋体" w:eastAsia="宋体" w:cs="宋体"/>
          <w:i/>
          <w:iCs/>
          <w:color w:val="auto"/>
          <w:sz w:val="24"/>
          <w:szCs w:val="24"/>
          <w:highlight w:val="none"/>
          <w:u w:val="single"/>
        </w:rPr>
        <w:t>（项目名称</w:t>
      </w:r>
      <w:r>
        <w:rPr>
          <w:rFonts w:hint="eastAsia" w:ascii="宋体" w:hAnsi="宋体" w:eastAsia="宋体" w:cs="宋体"/>
          <w:i/>
          <w:iCs/>
          <w:color w:val="auto"/>
          <w:sz w:val="24"/>
          <w:szCs w:val="24"/>
          <w:highlight w:val="none"/>
          <w:u w:val="single"/>
          <w:lang w:eastAsia="zh-CN"/>
        </w:rPr>
        <w:t>及</w:t>
      </w:r>
      <w:r>
        <w:rPr>
          <w:rFonts w:hint="eastAsia" w:ascii="宋体" w:hAnsi="宋体" w:eastAsia="宋体" w:cs="宋体"/>
          <w:i/>
          <w:iCs/>
          <w:color w:val="auto"/>
          <w:sz w:val="24"/>
          <w:szCs w:val="24"/>
          <w:highlight w:val="none"/>
          <w:u w:val="single"/>
        </w:rPr>
        <w:t>编号）</w:t>
      </w:r>
      <w:r>
        <w:rPr>
          <w:rFonts w:hint="eastAsia" w:ascii="宋体" w:hAnsi="宋体" w:eastAsia="宋体" w:cs="宋体"/>
          <w:color w:val="auto"/>
          <w:kern w:val="0"/>
          <w:sz w:val="24"/>
          <w:szCs w:val="24"/>
          <w:highlight w:val="none"/>
          <w:lang w:val="en-US" w:eastAsia="zh-CN" w:bidi="ar"/>
        </w:rPr>
        <w:t>采购活动提供本公司制造的货物（由本公司承担工程/提供服务）；</w:t>
      </w:r>
    </w:p>
    <w:p w14:paraId="107D6759">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eastAsia="zh-CN"/>
        </w:rPr>
        <w:sym w:font="Wingdings" w:char="00A8"/>
      </w:r>
      <w:r>
        <w:rPr>
          <w:rFonts w:hint="eastAsia" w:ascii="宋体" w:hAnsi="宋体" w:eastAsia="宋体" w:cs="宋体"/>
          <w:color w:val="auto"/>
          <w:kern w:val="0"/>
          <w:sz w:val="24"/>
          <w:highlight w:val="none"/>
          <w:lang w:eastAsia="zh-CN"/>
        </w:rPr>
        <w:t>本公司不是监狱企业，但本</w:t>
      </w:r>
      <w:r>
        <w:rPr>
          <w:rFonts w:hint="eastAsia" w:ascii="宋体" w:hAnsi="宋体" w:eastAsia="宋体" w:cs="宋体"/>
          <w:color w:val="auto"/>
          <w:kern w:val="0"/>
          <w:sz w:val="24"/>
          <w:szCs w:val="24"/>
          <w:highlight w:val="none"/>
          <w:lang w:val="en-US" w:eastAsia="zh-CN" w:bidi="ar"/>
        </w:rPr>
        <w:t>公司参加</w:t>
      </w:r>
      <w:r>
        <w:rPr>
          <w:rFonts w:hint="eastAsia" w:ascii="宋体" w:hAnsi="宋体" w:eastAsia="宋体" w:cs="宋体"/>
          <w:i/>
          <w:iCs/>
          <w:color w:val="auto"/>
          <w:sz w:val="24"/>
          <w:szCs w:val="24"/>
          <w:highlight w:val="none"/>
          <w:u w:val="single"/>
        </w:rPr>
        <w:t>（</w:t>
      </w:r>
      <w:r>
        <w:rPr>
          <w:rFonts w:hint="eastAsia" w:ascii="宋体" w:hAnsi="宋体" w:eastAsia="宋体" w:cs="宋体"/>
          <w:i/>
          <w:iCs/>
          <w:color w:val="auto"/>
          <w:sz w:val="24"/>
          <w:szCs w:val="24"/>
          <w:highlight w:val="none"/>
          <w:u w:val="single"/>
          <w:lang w:eastAsia="zh-CN"/>
        </w:rPr>
        <w:t>采购人</w:t>
      </w:r>
      <w:r>
        <w:rPr>
          <w:rFonts w:hint="eastAsia" w:ascii="宋体" w:hAnsi="宋体" w:eastAsia="宋体" w:cs="宋体"/>
          <w:i/>
          <w:iCs/>
          <w:color w:val="auto"/>
          <w:sz w:val="24"/>
          <w:szCs w:val="24"/>
          <w:highlight w:val="none"/>
          <w:u w:val="single"/>
        </w:rPr>
        <w:t>名称）</w:t>
      </w:r>
      <w:r>
        <w:rPr>
          <w:rFonts w:hint="eastAsia" w:ascii="宋体" w:hAnsi="宋体" w:eastAsia="宋体" w:cs="宋体"/>
          <w:color w:val="auto"/>
          <w:kern w:val="0"/>
          <w:sz w:val="24"/>
          <w:szCs w:val="24"/>
          <w:highlight w:val="none"/>
          <w:lang w:val="en-US" w:eastAsia="zh-CN" w:bidi="ar"/>
        </w:rPr>
        <w:t>的</w:t>
      </w:r>
      <w:r>
        <w:rPr>
          <w:rFonts w:hint="eastAsia" w:ascii="宋体" w:hAnsi="宋体" w:eastAsia="宋体" w:cs="宋体"/>
          <w:i/>
          <w:iCs/>
          <w:color w:val="auto"/>
          <w:sz w:val="24"/>
          <w:szCs w:val="24"/>
          <w:highlight w:val="none"/>
          <w:u w:val="single"/>
        </w:rPr>
        <w:t>（项目名称</w:t>
      </w:r>
      <w:r>
        <w:rPr>
          <w:rFonts w:hint="eastAsia" w:ascii="宋体" w:hAnsi="宋体" w:eastAsia="宋体" w:cs="宋体"/>
          <w:i/>
          <w:iCs/>
          <w:color w:val="auto"/>
          <w:sz w:val="24"/>
          <w:szCs w:val="24"/>
          <w:highlight w:val="none"/>
          <w:u w:val="single"/>
          <w:lang w:eastAsia="zh-CN"/>
        </w:rPr>
        <w:t>及</w:t>
      </w:r>
      <w:r>
        <w:rPr>
          <w:rFonts w:hint="eastAsia" w:ascii="宋体" w:hAnsi="宋体" w:eastAsia="宋体" w:cs="宋体"/>
          <w:i/>
          <w:iCs/>
          <w:color w:val="auto"/>
          <w:sz w:val="24"/>
          <w:szCs w:val="24"/>
          <w:highlight w:val="none"/>
          <w:u w:val="single"/>
        </w:rPr>
        <w:t>编号）</w:t>
      </w:r>
      <w:r>
        <w:rPr>
          <w:rFonts w:hint="eastAsia" w:ascii="宋体" w:hAnsi="宋体" w:eastAsia="宋体" w:cs="宋体"/>
          <w:color w:val="auto"/>
          <w:kern w:val="0"/>
          <w:sz w:val="24"/>
          <w:szCs w:val="24"/>
          <w:highlight w:val="none"/>
          <w:lang w:val="en-US" w:eastAsia="zh-CN" w:bidi="ar"/>
        </w:rPr>
        <w:t>采购活动提供的货物均为监狱企业制造（不包括使用监狱企业注册商标的货物）。</w:t>
      </w:r>
    </w:p>
    <w:p w14:paraId="7CB0946A">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highlight w:val="none"/>
        </w:rPr>
        <w:t>本公司对上述声明的真实性负责。如有虚假，将依法承担相应责任。</w:t>
      </w:r>
    </w:p>
    <w:p w14:paraId="066A473B">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10E5D22D">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0206F82F">
      <w:pPr>
        <w:keepNext w:val="0"/>
        <w:keepLines w:val="0"/>
        <w:pageBreakBefore w:val="0"/>
        <w:widowControl/>
        <w:kinsoku/>
        <w:wordWrap/>
        <w:overflowPunct/>
        <w:topLinePunct w:val="0"/>
        <w:autoSpaceDE/>
        <w:autoSpaceDN/>
        <w:bidi w:val="0"/>
        <w:adjustRightInd w:val="0"/>
        <w:snapToGrid w:val="0"/>
        <w:spacing w:line="360" w:lineRule="auto"/>
        <w:ind w:left="0" w:firstLine="5280" w:firstLineChars="2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企业名称（盖章）：</w:t>
      </w:r>
    </w:p>
    <w:p w14:paraId="069F718C">
      <w:pPr>
        <w:keepNext w:val="0"/>
        <w:keepLines w:val="0"/>
        <w:pageBreakBefore w:val="0"/>
        <w:widowControl/>
        <w:kinsoku/>
        <w:wordWrap/>
        <w:overflowPunct/>
        <w:topLinePunct w:val="0"/>
        <w:autoSpaceDE/>
        <w:autoSpaceDN/>
        <w:bidi w:val="0"/>
        <w:adjustRightInd w:val="0"/>
        <w:snapToGrid w:val="0"/>
        <w:spacing w:line="360" w:lineRule="auto"/>
        <w:ind w:left="0" w:firstLine="5280" w:firstLineChars="2200"/>
        <w:jc w:val="left"/>
        <w:textAlignment w:val="auto"/>
        <w:rPr>
          <w:rFonts w:hint="eastAsia" w:ascii="宋体" w:hAnsi="宋体" w:eastAsia="宋体" w:cs="宋体"/>
          <w:b/>
          <w:color w:val="auto"/>
          <w:kern w:val="0"/>
          <w:sz w:val="24"/>
          <w:szCs w:val="24"/>
          <w:highlight w:val="none"/>
          <w:lang w:bidi="ar"/>
        </w:rPr>
      </w:pPr>
      <w:r>
        <w:rPr>
          <w:rFonts w:hint="eastAsia" w:ascii="宋体" w:hAnsi="宋体" w:eastAsia="宋体" w:cs="宋体"/>
          <w:color w:val="auto"/>
          <w:kern w:val="0"/>
          <w:sz w:val="24"/>
          <w:szCs w:val="24"/>
          <w:highlight w:val="none"/>
          <w:lang w:bidi="ar"/>
        </w:rPr>
        <w:t>日 期：</w:t>
      </w:r>
    </w:p>
    <w:p w14:paraId="486907C3">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73548339">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2C7536D8">
      <w:pPr>
        <w:pageBreakBefore w:val="0"/>
        <w:tabs>
          <w:tab w:val="left" w:pos="2880"/>
        </w:tabs>
        <w:kinsoku/>
        <w:wordWrap/>
        <w:overflowPunct/>
        <w:topLinePunct w:val="0"/>
        <w:autoSpaceDE/>
        <w:autoSpaceDN/>
        <w:bidi w:val="0"/>
        <w:spacing w:line="360" w:lineRule="auto"/>
        <w:ind w:firstLine="569" w:firstLineChars="236"/>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备注</w:t>
      </w:r>
      <w:r>
        <w:rPr>
          <w:rFonts w:hint="eastAsia" w:ascii="宋体" w:hAnsi="宋体" w:eastAsia="宋体" w:cs="宋体"/>
          <w:b/>
          <w:bCs/>
          <w:color w:val="auto"/>
          <w:sz w:val="24"/>
          <w:highlight w:val="none"/>
        </w:rPr>
        <w:t>：不符合上述情形的</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无须提供上述声明函。</w:t>
      </w:r>
    </w:p>
    <w:p w14:paraId="08427258">
      <w:pPr>
        <w:pStyle w:val="5"/>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rPr>
          <w:rFonts w:hint="eastAsia" w:ascii="Times New Roman" w:hAnsi="Times New Roman" w:eastAsia="宋体" w:cs="Times New Roman"/>
          <w:b/>
          <w:bCs/>
          <w:color w:val="auto"/>
          <w:kern w:val="2"/>
          <w:sz w:val="24"/>
          <w:szCs w:val="24"/>
          <w:highlight w:val="none"/>
          <w:lang w:val="en-US" w:eastAsia="zh-CN" w:bidi="ar-SA"/>
        </w:rPr>
      </w:pPr>
      <w:bookmarkStart w:id="187" w:name="_Toc24927"/>
      <w:bookmarkStart w:id="188" w:name="_Toc13689"/>
      <w:bookmarkStart w:id="189" w:name="_Toc28887"/>
      <w:bookmarkStart w:id="190" w:name="_Toc16600"/>
      <w:bookmarkStart w:id="191" w:name="_Toc23744"/>
      <w:bookmarkStart w:id="192" w:name="_Toc15752"/>
      <w:r>
        <w:rPr>
          <w:rFonts w:hint="eastAsia" w:ascii="宋体" w:hAnsi="宋体" w:eastAsia="宋体" w:cs="宋体"/>
          <w:color w:val="auto"/>
          <w:sz w:val="24"/>
          <w:szCs w:val="24"/>
          <w:highlight w:val="none"/>
        </w:rPr>
        <w:br w:type="page"/>
      </w:r>
      <w:bookmarkStart w:id="193" w:name="_Toc8063"/>
      <w:r>
        <w:rPr>
          <w:rFonts w:hint="eastAsia" w:ascii="Times New Roman" w:hAnsi="Times New Roman" w:eastAsia="宋体" w:cs="Times New Roman"/>
          <w:b/>
          <w:bCs/>
          <w:color w:val="auto"/>
          <w:kern w:val="2"/>
          <w:sz w:val="24"/>
          <w:szCs w:val="24"/>
          <w:highlight w:val="none"/>
          <w:lang w:val="en-US" w:eastAsia="zh-CN" w:bidi="ar-SA"/>
        </w:rPr>
        <w:t>残疾人福利性单位声明函</w:t>
      </w:r>
      <w:bookmarkEnd w:id="187"/>
      <w:bookmarkEnd w:id="188"/>
      <w:bookmarkEnd w:id="189"/>
      <w:bookmarkEnd w:id="190"/>
      <w:bookmarkEnd w:id="191"/>
      <w:r>
        <w:rPr>
          <w:rFonts w:hint="eastAsia" w:ascii="Times New Roman" w:hAnsi="Times New Roman" w:eastAsia="宋体" w:cs="Times New Roman"/>
          <w:b/>
          <w:bCs/>
          <w:color w:val="auto"/>
          <w:kern w:val="2"/>
          <w:sz w:val="24"/>
          <w:szCs w:val="24"/>
          <w:highlight w:val="none"/>
          <w:lang w:val="en-US" w:eastAsia="zh-CN" w:bidi="ar-SA"/>
        </w:rPr>
        <w:t>（如有可提供）</w:t>
      </w:r>
      <w:bookmarkEnd w:id="192"/>
      <w:bookmarkEnd w:id="193"/>
    </w:p>
    <w:p w14:paraId="02E04717">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szCs w:val="24"/>
          <w:highlight w:val="none"/>
        </w:rPr>
        <w:t>残疾人福利性单位</w:t>
      </w:r>
      <w:r>
        <w:rPr>
          <w:rFonts w:hint="eastAsia" w:ascii="宋体" w:hAnsi="宋体" w:eastAsia="宋体" w:cs="宋体"/>
          <w:color w:val="auto"/>
          <w:kern w:val="0"/>
          <w:sz w:val="24"/>
          <w:highlight w:val="none"/>
        </w:rPr>
        <w:t>适用）</w:t>
      </w:r>
    </w:p>
    <w:p w14:paraId="5071449C">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本单位郑重声明，根据《财政部 民政部 中国残疾人联合会 关于促进残疾人就业政府采购政策的通知》（财库〔2017〕141号）的规定，本单位为符合条件的残疾人福利性单位，且本单位参加</w:t>
      </w:r>
      <w:r>
        <w:rPr>
          <w:rFonts w:hint="eastAsia" w:ascii="宋体" w:hAnsi="宋体" w:eastAsia="宋体" w:cs="宋体"/>
          <w:i/>
          <w:iCs/>
          <w:color w:val="auto"/>
          <w:sz w:val="24"/>
          <w:szCs w:val="24"/>
          <w:highlight w:val="none"/>
          <w:u w:val="single"/>
        </w:rPr>
        <w:t>（</w:t>
      </w:r>
      <w:r>
        <w:rPr>
          <w:rFonts w:hint="eastAsia" w:ascii="宋体" w:hAnsi="宋体" w:eastAsia="宋体" w:cs="宋体"/>
          <w:i/>
          <w:iCs/>
          <w:color w:val="auto"/>
          <w:sz w:val="24"/>
          <w:szCs w:val="24"/>
          <w:highlight w:val="none"/>
          <w:u w:val="single"/>
          <w:lang w:eastAsia="zh-CN"/>
        </w:rPr>
        <w:t>采购人</w:t>
      </w:r>
      <w:r>
        <w:rPr>
          <w:rFonts w:hint="eastAsia" w:ascii="宋体" w:hAnsi="宋体" w:eastAsia="宋体" w:cs="宋体"/>
          <w:i/>
          <w:iCs/>
          <w:color w:val="auto"/>
          <w:sz w:val="24"/>
          <w:szCs w:val="24"/>
          <w:highlight w:val="none"/>
          <w:u w:val="single"/>
        </w:rPr>
        <w:t>名称）</w:t>
      </w:r>
      <w:r>
        <w:rPr>
          <w:rFonts w:hint="eastAsia" w:ascii="宋体" w:hAnsi="宋体" w:eastAsia="宋体" w:cs="宋体"/>
          <w:color w:val="auto"/>
          <w:kern w:val="0"/>
          <w:sz w:val="24"/>
          <w:szCs w:val="24"/>
          <w:highlight w:val="none"/>
          <w:lang w:val="en-US" w:eastAsia="zh-CN" w:bidi="ar"/>
        </w:rPr>
        <w:t>的</w:t>
      </w:r>
      <w:r>
        <w:rPr>
          <w:rFonts w:hint="eastAsia" w:ascii="宋体" w:hAnsi="宋体" w:eastAsia="宋体" w:cs="宋体"/>
          <w:i/>
          <w:iCs/>
          <w:color w:val="auto"/>
          <w:sz w:val="24"/>
          <w:szCs w:val="24"/>
          <w:highlight w:val="none"/>
          <w:u w:val="single"/>
        </w:rPr>
        <w:t>（项目名称</w:t>
      </w:r>
      <w:r>
        <w:rPr>
          <w:rFonts w:hint="eastAsia" w:ascii="宋体" w:hAnsi="宋体" w:eastAsia="宋体" w:cs="宋体"/>
          <w:i/>
          <w:iCs/>
          <w:color w:val="auto"/>
          <w:sz w:val="24"/>
          <w:szCs w:val="24"/>
          <w:highlight w:val="none"/>
          <w:u w:val="single"/>
          <w:lang w:eastAsia="zh-CN"/>
        </w:rPr>
        <w:t>及</w:t>
      </w:r>
      <w:r>
        <w:rPr>
          <w:rFonts w:hint="eastAsia" w:ascii="宋体" w:hAnsi="宋体" w:eastAsia="宋体" w:cs="宋体"/>
          <w:i/>
          <w:iCs/>
          <w:color w:val="auto"/>
          <w:sz w:val="24"/>
          <w:szCs w:val="24"/>
          <w:highlight w:val="none"/>
          <w:u w:val="single"/>
        </w:rPr>
        <w:t>编号）</w:t>
      </w:r>
      <w:r>
        <w:rPr>
          <w:rFonts w:hint="eastAsia" w:ascii="宋体" w:hAnsi="宋体" w:eastAsia="宋体" w:cs="宋体"/>
          <w:color w:val="auto"/>
          <w:kern w:val="0"/>
          <w:sz w:val="24"/>
          <w:szCs w:val="24"/>
          <w:highlight w:val="none"/>
          <w:lang w:val="en-US" w:eastAsia="zh-CN" w:bidi="ar"/>
        </w:rPr>
        <w:t>采购活动提供本单位制造的货物（由本单位承担工程/提供服务），或者提供其他残疾人福利性单位制造的货物（不包括使用非残疾人福利性单位注册商标的货物）。</w:t>
      </w:r>
    </w:p>
    <w:p w14:paraId="3650B0B2">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本单位对上述声明的真实性负责。如有虚假，将依法承担相应责任。 </w:t>
      </w:r>
    </w:p>
    <w:p w14:paraId="1B09EE6B">
      <w:pPr>
        <w:keepNext w:val="0"/>
        <w:keepLines w:val="0"/>
        <w:pageBreakBefore w:val="0"/>
        <w:widowControl/>
        <w:kinsoku/>
        <w:wordWrap/>
        <w:overflowPunct/>
        <w:topLinePunct w:val="0"/>
        <w:autoSpaceDE/>
        <w:autoSpaceDN/>
        <w:bidi w:val="0"/>
        <w:adjustRightInd w:val="0"/>
        <w:snapToGrid w:val="0"/>
        <w:spacing w:line="360" w:lineRule="auto"/>
        <w:ind w:left="0" w:firstLine="5280" w:firstLineChars="2200"/>
        <w:jc w:val="left"/>
        <w:textAlignment w:val="auto"/>
        <w:rPr>
          <w:rFonts w:hint="eastAsia" w:ascii="宋体" w:hAnsi="宋体" w:eastAsia="宋体" w:cs="宋体"/>
          <w:color w:val="auto"/>
          <w:kern w:val="0"/>
          <w:sz w:val="24"/>
          <w:szCs w:val="24"/>
          <w:highlight w:val="none"/>
          <w:lang w:bidi="ar"/>
        </w:rPr>
      </w:pPr>
    </w:p>
    <w:p w14:paraId="46116837">
      <w:pPr>
        <w:pStyle w:val="35"/>
        <w:keepNext w:val="0"/>
        <w:keepLines w:val="0"/>
        <w:pageBreakBefore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highlight w:val="none"/>
        </w:rPr>
      </w:pPr>
    </w:p>
    <w:p w14:paraId="045A60DF">
      <w:pPr>
        <w:keepNext w:val="0"/>
        <w:keepLines w:val="0"/>
        <w:pageBreakBefore w:val="0"/>
        <w:widowControl/>
        <w:kinsoku/>
        <w:wordWrap/>
        <w:overflowPunct/>
        <w:topLinePunct w:val="0"/>
        <w:autoSpaceDE/>
        <w:autoSpaceDN/>
        <w:bidi w:val="0"/>
        <w:adjustRightInd w:val="0"/>
        <w:snapToGrid w:val="0"/>
        <w:spacing w:line="360" w:lineRule="auto"/>
        <w:ind w:left="0" w:firstLine="5280" w:firstLineChars="2200"/>
        <w:jc w:val="left"/>
        <w:textAlignment w:val="auto"/>
        <w:rPr>
          <w:rFonts w:hint="eastAsia" w:ascii="宋体" w:hAnsi="宋体" w:eastAsia="宋体" w:cs="宋体"/>
          <w:color w:val="auto"/>
          <w:kern w:val="0"/>
          <w:sz w:val="24"/>
          <w:szCs w:val="24"/>
          <w:highlight w:val="none"/>
          <w:lang w:bidi="ar"/>
        </w:rPr>
      </w:pPr>
    </w:p>
    <w:p w14:paraId="780E8D4F">
      <w:pPr>
        <w:keepNext w:val="0"/>
        <w:keepLines w:val="0"/>
        <w:pageBreakBefore w:val="0"/>
        <w:widowControl/>
        <w:kinsoku/>
        <w:wordWrap/>
        <w:overflowPunct/>
        <w:topLinePunct w:val="0"/>
        <w:autoSpaceDE/>
        <w:autoSpaceDN/>
        <w:bidi w:val="0"/>
        <w:adjustRightInd w:val="0"/>
        <w:snapToGrid w:val="0"/>
        <w:spacing w:line="360" w:lineRule="auto"/>
        <w:ind w:left="0" w:firstLine="5280" w:firstLineChars="2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bidi="ar"/>
        </w:rPr>
        <w:t>单位</w:t>
      </w:r>
      <w:r>
        <w:rPr>
          <w:rFonts w:hint="eastAsia" w:ascii="宋体" w:hAnsi="宋体" w:eastAsia="宋体" w:cs="宋体"/>
          <w:color w:val="auto"/>
          <w:kern w:val="0"/>
          <w:sz w:val="24"/>
          <w:szCs w:val="24"/>
          <w:highlight w:val="none"/>
          <w:lang w:bidi="ar"/>
        </w:rPr>
        <w:t>名称（盖章）：</w:t>
      </w:r>
    </w:p>
    <w:p w14:paraId="6D37D453">
      <w:pPr>
        <w:keepNext w:val="0"/>
        <w:keepLines w:val="0"/>
        <w:pageBreakBefore w:val="0"/>
        <w:widowControl/>
        <w:kinsoku/>
        <w:wordWrap/>
        <w:overflowPunct/>
        <w:topLinePunct w:val="0"/>
        <w:autoSpaceDE/>
        <w:autoSpaceDN/>
        <w:bidi w:val="0"/>
        <w:adjustRightInd w:val="0"/>
        <w:snapToGrid w:val="0"/>
        <w:spacing w:line="360" w:lineRule="auto"/>
        <w:ind w:left="0" w:firstLine="5280" w:firstLineChars="2200"/>
        <w:jc w:val="left"/>
        <w:textAlignment w:val="auto"/>
        <w:rPr>
          <w:rFonts w:hint="eastAsia" w:ascii="宋体" w:hAnsi="宋体" w:eastAsia="宋体" w:cs="宋体"/>
          <w:b/>
          <w:color w:val="auto"/>
          <w:kern w:val="0"/>
          <w:sz w:val="24"/>
          <w:szCs w:val="24"/>
          <w:highlight w:val="none"/>
          <w:lang w:bidi="ar"/>
        </w:rPr>
      </w:pPr>
      <w:r>
        <w:rPr>
          <w:rFonts w:hint="eastAsia" w:ascii="宋体" w:hAnsi="宋体" w:eastAsia="宋体" w:cs="宋体"/>
          <w:color w:val="auto"/>
          <w:kern w:val="0"/>
          <w:sz w:val="24"/>
          <w:szCs w:val="24"/>
          <w:highlight w:val="none"/>
          <w:lang w:bidi="ar"/>
        </w:rPr>
        <w:t>日 期：</w:t>
      </w:r>
    </w:p>
    <w:p w14:paraId="46A6F779">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30"/>
          <w:szCs w:val="30"/>
          <w:highlight w:val="none"/>
        </w:rPr>
      </w:pPr>
    </w:p>
    <w:p w14:paraId="4D66A1D3">
      <w:pPr>
        <w:pStyle w:val="35"/>
        <w:keepNext w:val="0"/>
        <w:keepLines w:val="0"/>
        <w:pageBreakBefore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highlight w:val="none"/>
        </w:rPr>
      </w:pPr>
    </w:p>
    <w:p w14:paraId="7BC0295D">
      <w:pPr>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备注</w:t>
      </w:r>
      <w:r>
        <w:rPr>
          <w:rFonts w:hint="eastAsia" w:ascii="宋体" w:hAnsi="宋体" w:eastAsia="宋体" w:cs="宋体"/>
          <w:b/>
          <w:bCs/>
          <w:color w:val="auto"/>
          <w:sz w:val="24"/>
          <w:highlight w:val="none"/>
        </w:rPr>
        <w:t>：不符合上述情形的</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无须提供上述声明函。</w:t>
      </w:r>
    </w:p>
    <w:p w14:paraId="7356AB97">
      <w:pPr>
        <w:pStyle w:val="5"/>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bookmarkStart w:id="194" w:name="_Toc31769"/>
      <w:bookmarkStart w:id="195" w:name="_Toc17528"/>
      <w:r>
        <w:rPr>
          <w:rFonts w:hint="eastAsia" w:ascii="宋体" w:hAnsi="宋体" w:eastAsia="宋体" w:cs="宋体"/>
          <w:color w:val="auto"/>
          <w:sz w:val="24"/>
          <w:szCs w:val="24"/>
          <w:highlight w:val="none"/>
        </w:rPr>
        <w:br w:type="page"/>
      </w:r>
      <w:bookmarkStart w:id="196" w:name="_Toc4094"/>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）投标保证金</w:t>
      </w:r>
      <w:bookmarkEnd w:id="194"/>
      <w:bookmarkEnd w:id="195"/>
      <w:bookmarkEnd w:id="196"/>
    </w:p>
    <w:p w14:paraId="008E291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（投标保证金缴纳凭证截图</w:t>
      </w:r>
      <w:r>
        <w:rPr>
          <w:rFonts w:hint="eastAsia" w:ascii="宋体" w:hAnsi="宋体" w:eastAsia="宋体" w:cs="宋体"/>
          <w:color w:val="auto"/>
          <w:sz w:val="24"/>
          <w:highlight w:val="none"/>
          <w:lang w:eastAsia="zh-CN"/>
        </w:rPr>
        <w:t>或回单</w:t>
      </w:r>
      <w:r>
        <w:rPr>
          <w:rFonts w:hint="eastAsia" w:ascii="宋体" w:hAnsi="宋体" w:eastAsia="宋体" w:cs="宋体"/>
          <w:color w:val="auto"/>
          <w:sz w:val="24"/>
          <w:highlight w:val="none"/>
        </w:rPr>
        <w:t>并加盖公章）</w:t>
      </w:r>
    </w:p>
    <w:p w14:paraId="359E2B68">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24"/>
          <w:szCs w:val="24"/>
          <w:highlight w:val="none"/>
          <w:lang w:eastAsia="zh-CN"/>
        </w:rPr>
      </w:pPr>
      <w:bookmarkStart w:id="197" w:name="_Toc18717"/>
      <w:r>
        <w:rPr>
          <w:rFonts w:hint="eastAsia" w:ascii="宋体" w:hAnsi="宋体" w:eastAsia="宋体" w:cs="宋体"/>
          <w:color w:val="auto"/>
          <w:sz w:val="24"/>
          <w:szCs w:val="24"/>
          <w:highlight w:val="none"/>
          <w:lang w:eastAsia="zh-CN"/>
        </w:rPr>
        <w:br w:type="page"/>
      </w:r>
      <w:bookmarkStart w:id="198" w:name="_Toc17613"/>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报价文件</w:t>
      </w:r>
      <w:bookmarkEnd w:id="126"/>
      <w:bookmarkEnd w:id="127"/>
      <w:bookmarkEnd w:id="197"/>
      <w:bookmarkEnd w:id="198"/>
    </w:p>
    <w:p w14:paraId="77FBF6EE">
      <w:pPr>
        <w:pStyle w:val="5"/>
        <w:jc w:val="center"/>
        <w:rPr>
          <w:rFonts w:hint="eastAsia" w:ascii="宋体" w:hAnsi="宋体" w:eastAsia="宋体" w:cs="宋体"/>
          <w:color w:val="auto"/>
          <w:sz w:val="24"/>
          <w:szCs w:val="24"/>
          <w:highlight w:val="none"/>
          <w:lang w:eastAsia="zh-CN"/>
        </w:rPr>
      </w:pPr>
      <w:bookmarkStart w:id="199" w:name="_Toc24128"/>
      <w:bookmarkStart w:id="200" w:name="_Toc14575"/>
      <w:r>
        <w:rPr>
          <w:rFonts w:hint="eastAsia" w:ascii="宋体" w:hAnsi="宋体" w:eastAsia="宋体" w:cs="宋体"/>
          <w:color w:val="auto"/>
          <w:sz w:val="24"/>
          <w:szCs w:val="24"/>
          <w:highlight w:val="none"/>
          <w:lang w:eastAsia="zh-CN"/>
        </w:rPr>
        <w:t>（一）开标一览表</w:t>
      </w:r>
      <w:bookmarkEnd w:id="199"/>
      <w:bookmarkEnd w:id="200"/>
    </w:p>
    <w:bookmarkEnd w:id="110"/>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7599"/>
      </w:tblGrid>
      <w:tr w14:paraId="5EADE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940" w:type="dxa"/>
            <w:noWrap w:val="0"/>
            <w:vAlign w:val="center"/>
          </w:tcPr>
          <w:p w14:paraId="70ACA010">
            <w:pPr>
              <w:keepNext w:val="0"/>
              <w:keepLines w:val="0"/>
              <w:pageBreakBefore w:val="0"/>
              <w:widowControl w:val="0"/>
              <w:tabs>
                <w:tab w:val="left" w:pos="9135"/>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项目名称</w:t>
            </w:r>
          </w:p>
        </w:tc>
        <w:tc>
          <w:tcPr>
            <w:tcW w:w="7599" w:type="dxa"/>
            <w:noWrap w:val="0"/>
            <w:vAlign w:val="center"/>
          </w:tcPr>
          <w:p w14:paraId="79F19966">
            <w:pPr>
              <w:keepNext w:val="0"/>
              <w:keepLines w:val="0"/>
              <w:pageBreakBefore w:val="0"/>
              <w:widowControl w:val="0"/>
              <w:tabs>
                <w:tab w:val="left" w:pos="9135"/>
              </w:tabs>
              <w:kinsoku/>
              <w:wordWrap/>
              <w:overflowPunct/>
              <w:topLinePunct w:val="0"/>
              <w:autoSpaceDE/>
              <w:autoSpaceDN/>
              <w:bidi w:val="0"/>
              <w:adjustRightInd w:val="0"/>
              <w:snapToGrid w:val="0"/>
              <w:spacing w:line="24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市属单位2025年防暴装备采购项目</w:t>
            </w:r>
          </w:p>
        </w:tc>
      </w:tr>
      <w:tr w14:paraId="292E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940" w:type="dxa"/>
            <w:noWrap w:val="0"/>
            <w:vAlign w:val="center"/>
          </w:tcPr>
          <w:p w14:paraId="5FAE865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c>
          <w:tcPr>
            <w:tcW w:w="7599" w:type="dxa"/>
            <w:noWrap w:val="0"/>
            <w:vAlign w:val="center"/>
          </w:tcPr>
          <w:p w14:paraId="558A8B2D">
            <w:pPr>
              <w:keepNext w:val="0"/>
              <w:keepLines w:val="0"/>
              <w:pageBreakBefore w:val="0"/>
              <w:widowControl w:val="0"/>
              <w:tabs>
                <w:tab w:val="left" w:pos="9135"/>
              </w:tabs>
              <w:kinsoku/>
              <w:wordWrap/>
              <w:overflowPunct/>
              <w:topLinePunct w:val="0"/>
              <w:autoSpaceDE/>
              <w:autoSpaceDN/>
              <w:bidi w:val="0"/>
              <w:adjustRightInd w:val="0"/>
              <w:snapToGrid w:val="0"/>
              <w:spacing w:line="24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NO.2025(HZXR)040</w:t>
            </w:r>
          </w:p>
        </w:tc>
      </w:tr>
      <w:tr w14:paraId="65D31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940" w:type="dxa"/>
            <w:noWrap w:val="0"/>
            <w:vAlign w:val="center"/>
          </w:tcPr>
          <w:p w14:paraId="357960D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rPr>
              <w:t>投标报价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p>
        </w:tc>
        <w:tc>
          <w:tcPr>
            <w:tcW w:w="7599" w:type="dxa"/>
            <w:noWrap w:val="0"/>
            <w:vAlign w:val="center"/>
          </w:tcPr>
          <w:p w14:paraId="3569C89B">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小写：     </w:t>
            </w:r>
          </w:p>
          <w:p w14:paraId="49464958">
            <w:pPr>
              <w:keepNext w:val="0"/>
              <w:keepLines w:val="0"/>
              <w:widowControl/>
              <w:suppressLineNumbers w:val="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大写：</w:t>
            </w:r>
          </w:p>
        </w:tc>
      </w:tr>
      <w:tr w14:paraId="0CC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940" w:type="dxa"/>
            <w:noWrap w:val="0"/>
            <w:vAlign w:val="center"/>
          </w:tcPr>
          <w:p w14:paraId="6624AAD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合同履行期限</w:t>
            </w:r>
          </w:p>
        </w:tc>
        <w:tc>
          <w:tcPr>
            <w:tcW w:w="7599" w:type="dxa"/>
            <w:noWrap w:val="0"/>
            <w:vAlign w:val="center"/>
          </w:tcPr>
          <w:p w14:paraId="4748B628">
            <w:pPr>
              <w:pStyle w:val="35"/>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21"/>
                <w:szCs w:val="22"/>
                <w:highlight w:val="none"/>
                <w:lang w:val="en-US" w:eastAsia="zh-CN"/>
              </w:rPr>
            </w:pPr>
          </w:p>
        </w:tc>
      </w:tr>
      <w:tr w14:paraId="44CB9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940" w:type="dxa"/>
            <w:noWrap w:val="0"/>
            <w:vAlign w:val="center"/>
          </w:tcPr>
          <w:p w14:paraId="64BFB3B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质保期</w:t>
            </w:r>
          </w:p>
        </w:tc>
        <w:tc>
          <w:tcPr>
            <w:tcW w:w="7599" w:type="dxa"/>
            <w:noWrap w:val="0"/>
            <w:vAlign w:val="center"/>
          </w:tcPr>
          <w:p w14:paraId="2CB404DD">
            <w:pPr>
              <w:pStyle w:val="35"/>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21"/>
                <w:szCs w:val="22"/>
                <w:highlight w:val="none"/>
                <w:lang w:val="en-US" w:eastAsia="zh-CN"/>
              </w:rPr>
            </w:pPr>
          </w:p>
        </w:tc>
      </w:tr>
      <w:tr w14:paraId="61CB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940" w:type="dxa"/>
            <w:noWrap w:val="0"/>
            <w:vAlign w:val="center"/>
          </w:tcPr>
          <w:p w14:paraId="5BDC4B2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备注</w:t>
            </w:r>
          </w:p>
        </w:tc>
        <w:tc>
          <w:tcPr>
            <w:tcW w:w="7599" w:type="dxa"/>
            <w:noWrap w:val="0"/>
            <w:vAlign w:val="center"/>
          </w:tcPr>
          <w:p w14:paraId="15D6CBD0">
            <w:pPr>
              <w:pStyle w:val="35"/>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textAlignment w:val="auto"/>
              <w:rPr>
                <w:rFonts w:hint="default"/>
                <w:color w:val="auto"/>
                <w:highlight w:val="none"/>
                <w:lang w:val="en-US" w:eastAsia="zh-CN"/>
              </w:rPr>
            </w:pPr>
          </w:p>
        </w:tc>
      </w:tr>
    </w:tbl>
    <w:p w14:paraId="2878F1E8">
      <w:pPr>
        <w:tabs>
          <w:tab w:val="left" w:pos="9135"/>
        </w:tabs>
        <w:spacing w:line="400" w:lineRule="atLeast"/>
        <w:rPr>
          <w:rFonts w:hint="eastAsia" w:ascii="宋体" w:hAnsi="宋体" w:eastAsia="宋体" w:cs="宋体"/>
          <w:color w:val="auto"/>
          <w:sz w:val="24"/>
          <w:highlight w:val="none"/>
        </w:rPr>
      </w:pPr>
    </w:p>
    <w:p w14:paraId="3E6E7888">
      <w:pPr>
        <w:tabs>
          <w:tab w:val="left" w:pos="9135"/>
        </w:tabs>
        <w:spacing w:line="400" w:lineRule="atLeast"/>
        <w:rPr>
          <w:rFonts w:hint="eastAsia" w:ascii="宋体" w:hAnsi="宋体" w:eastAsia="宋体" w:cs="宋体"/>
          <w:color w:val="auto"/>
          <w:sz w:val="24"/>
          <w:highlight w:val="none"/>
        </w:rPr>
      </w:pPr>
    </w:p>
    <w:p w14:paraId="4B88B8AC">
      <w:pPr>
        <w:tabs>
          <w:tab w:val="left" w:pos="9135"/>
        </w:tabs>
        <w:spacing w:line="400" w:lineRule="atLeast"/>
        <w:rPr>
          <w:rFonts w:hint="eastAsia" w:ascii="宋体" w:hAnsi="宋体" w:eastAsia="宋体" w:cs="宋体"/>
          <w:color w:val="auto"/>
          <w:sz w:val="24"/>
          <w:highlight w:val="none"/>
        </w:rPr>
      </w:pPr>
    </w:p>
    <w:p w14:paraId="662CA903">
      <w:pPr>
        <w:tabs>
          <w:tab w:val="left" w:pos="9135"/>
        </w:tabs>
        <w:spacing w:line="400" w:lineRule="atLeas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val="en-US" w:eastAsia="zh-CN"/>
        </w:rPr>
        <w:t>盖</w:t>
      </w:r>
      <w:r>
        <w:rPr>
          <w:rFonts w:hint="eastAsia" w:ascii="宋体" w:hAnsi="宋体" w:eastAsia="宋体" w:cs="宋体"/>
          <w:color w:val="auto"/>
          <w:sz w:val="24"/>
          <w:highlight w:val="none"/>
        </w:rPr>
        <w:t>公章）：</w:t>
      </w:r>
      <w:r>
        <w:rPr>
          <w:rFonts w:hint="eastAsia" w:ascii="宋体" w:hAnsi="宋体" w:eastAsia="宋体" w:cs="宋体"/>
          <w:color w:val="auto"/>
          <w:sz w:val="24"/>
          <w:highlight w:val="none"/>
          <w:u w:val="single"/>
        </w:rPr>
        <w:t>　　　　　　　　　　</w:t>
      </w:r>
    </w:p>
    <w:p w14:paraId="5299247A">
      <w:pPr>
        <w:pStyle w:val="35"/>
        <w:ind w:firstLine="240"/>
        <w:rPr>
          <w:rFonts w:hint="eastAsia" w:ascii="宋体" w:hAnsi="宋体" w:eastAsia="宋体" w:cs="宋体"/>
          <w:color w:val="auto"/>
          <w:highlight w:val="none"/>
        </w:rPr>
      </w:pPr>
    </w:p>
    <w:p w14:paraId="48BF1794">
      <w:pPr>
        <w:tabs>
          <w:tab w:val="left" w:pos="9135"/>
        </w:tabs>
        <w:spacing w:line="400" w:lineRule="atLeast"/>
        <w:rPr>
          <w:rFonts w:hint="eastAsia" w:ascii="宋体" w:hAnsi="宋体" w:eastAsia="宋体" w:cs="宋体"/>
          <w:color w:val="auto"/>
          <w:sz w:val="24"/>
          <w:highlight w:val="none"/>
          <w:u w:val="single"/>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签字或盖章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w:t>
      </w:r>
    </w:p>
    <w:p w14:paraId="6BF06C1E">
      <w:pPr>
        <w:pStyle w:val="35"/>
        <w:ind w:firstLine="240"/>
        <w:rPr>
          <w:rFonts w:hint="eastAsia" w:ascii="宋体" w:hAnsi="宋体" w:eastAsia="宋体" w:cs="宋体"/>
          <w:color w:val="auto"/>
          <w:highlight w:val="none"/>
        </w:rPr>
      </w:pPr>
    </w:p>
    <w:p w14:paraId="158AD8C8">
      <w:pPr>
        <w:pStyle w:val="35"/>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w:t>
      </w:r>
    </w:p>
    <w:p w14:paraId="40154C2F">
      <w:pPr>
        <w:tabs>
          <w:tab w:val="left" w:pos="9135"/>
        </w:tabs>
        <w:spacing w:line="400" w:lineRule="atLeast"/>
        <w:rPr>
          <w:rFonts w:hint="eastAsia" w:ascii="宋体" w:hAnsi="宋体" w:eastAsia="宋体" w:cs="宋体"/>
          <w:color w:val="auto"/>
          <w:sz w:val="24"/>
          <w:highlight w:val="none"/>
        </w:rPr>
      </w:pPr>
    </w:p>
    <w:p w14:paraId="311C5073">
      <w:pPr>
        <w:tabs>
          <w:tab w:val="left" w:pos="9135"/>
        </w:tabs>
        <w:spacing w:line="400" w:lineRule="atLeast"/>
        <w:rPr>
          <w:rFonts w:hint="eastAsia" w:ascii="宋体" w:hAnsi="宋体" w:eastAsia="宋体" w:cs="宋体"/>
          <w:b w:val="0"/>
          <w:bCs w:val="0"/>
          <w:color w:val="auto"/>
          <w:kern w:val="0"/>
          <w:sz w:val="24"/>
          <w:szCs w:val="24"/>
          <w:highlight w:val="none"/>
        </w:rPr>
      </w:pPr>
    </w:p>
    <w:p w14:paraId="30BB899D">
      <w:pPr>
        <w:tabs>
          <w:tab w:val="left" w:pos="9135"/>
        </w:tabs>
        <w:spacing w:line="400" w:lineRule="atLeast"/>
        <w:rPr>
          <w:rFonts w:hint="eastAsia" w:ascii="宋体" w:hAnsi="宋体" w:eastAsia="宋体" w:cs="宋体"/>
          <w:b w:val="0"/>
          <w:bCs w:val="0"/>
          <w:color w:val="auto"/>
          <w:kern w:val="0"/>
          <w:sz w:val="24"/>
          <w:szCs w:val="24"/>
          <w:highlight w:val="none"/>
        </w:rPr>
      </w:pPr>
    </w:p>
    <w:p w14:paraId="726B2477">
      <w:pPr>
        <w:pStyle w:val="5"/>
        <w:bidi w:val="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br w:type="page"/>
      </w:r>
      <w:bookmarkStart w:id="201" w:name="_Toc29831"/>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报价明细表</w:t>
      </w:r>
      <w:bookmarkEnd w:id="201"/>
    </w:p>
    <w:p w14:paraId="1F876405">
      <w:pPr>
        <w:pStyle w:val="162"/>
        <w:widowControl/>
        <w:spacing w:line="360" w:lineRule="auto"/>
        <w:ind w:left="0" w:leftChars="0" w:firstLine="0" w:firstLineChars="0"/>
        <w:rPr>
          <w:color w:val="auto"/>
          <w:highlight w:val="none"/>
        </w:rPr>
      </w:pPr>
      <w:r>
        <w:rPr>
          <w:rFonts w:hint="eastAsia" w:cs="宋体"/>
          <w:color w:val="auto"/>
          <w:highlight w:val="none"/>
        </w:rPr>
        <w:t>项目</w:t>
      </w:r>
      <w:r>
        <w:rPr>
          <w:rFonts w:hint="eastAsia" w:cs="宋体"/>
          <w:color w:val="auto"/>
          <w:highlight w:val="none"/>
          <w:lang w:val="en-US" w:eastAsia="zh-CN"/>
        </w:rPr>
        <w:t>名称</w:t>
      </w:r>
      <w:r>
        <w:rPr>
          <w:rFonts w:hint="eastAsia" w:cs="宋体"/>
          <w:color w:val="auto"/>
          <w:highlight w:val="none"/>
        </w:rPr>
        <w:t>：</w:t>
      </w:r>
      <w:r>
        <w:rPr>
          <w:color w:val="auto"/>
          <w:highlight w:val="none"/>
          <w:u w:val="single"/>
        </w:rPr>
        <w:t xml:space="preserve">                     </w:t>
      </w:r>
      <w:r>
        <w:rPr>
          <w:color w:val="auto"/>
          <w:highlight w:val="none"/>
        </w:rPr>
        <w:t xml:space="preserve">              </w:t>
      </w:r>
      <w:r>
        <w:rPr>
          <w:rFonts w:hint="eastAsia"/>
          <w:color w:val="auto"/>
          <w:highlight w:val="none"/>
          <w:lang w:val="en-US" w:eastAsia="zh-CN"/>
        </w:rPr>
        <w:t xml:space="preserve">      </w:t>
      </w:r>
      <w:r>
        <w:rPr>
          <w:color w:val="auto"/>
          <w:highlight w:val="none"/>
        </w:rPr>
        <w:t xml:space="preserve">    </w:t>
      </w:r>
      <w:r>
        <w:rPr>
          <w:rFonts w:hint="eastAsia" w:cs="宋体"/>
          <w:color w:val="auto"/>
          <w:highlight w:val="none"/>
        </w:rPr>
        <w:t>价格单位：元</w:t>
      </w:r>
    </w:p>
    <w:tbl>
      <w:tblPr>
        <w:tblStyle w:val="36"/>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441"/>
        <w:gridCol w:w="1709"/>
        <w:gridCol w:w="1709"/>
        <w:gridCol w:w="955"/>
        <w:gridCol w:w="955"/>
        <w:gridCol w:w="1146"/>
      </w:tblGrid>
      <w:tr w14:paraId="3FBC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noWrap w:val="0"/>
            <w:vAlign w:val="center"/>
          </w:tcPr>
          <w:p w14:paraId="0500BFFA">
            <w:pPr>
              <w:pStyle w:val="163"/>
              <w:widowControl/>
              <w:tabs>
                <w:tab w:val="left" w:pos="1337"/>
              </w:tabs>
              <w:spacing w:line="360" w:lineRule="auto"/>
              <w:ind w:left="-42" w:right="-42"/>
              <w:jc w:val="center"/>
              <w:rPr>
                <w:rFonts w:hint="eastAsia" w:ascii="宋体" w:hAnsi="宋体" w:cs="宋体"/>
                <w:color w:val="auto"/>
                <w:sz w:val="24"/>
                <w:highlight w:val="none"/>
              </w:rPr>
            </w:pPr>
            <w:r>
              <w:rPr>
                <w:rFonts w:hint="eastAsia" w:ascii="宋体" w:hAnsi="宋体" w:cs="宋体"/>
                <w:color w:val="auto"/>
                <w:sz w:val="24"/>
                <w:highlight w:val="none"/>
              </w:rPr>
              <w:t>序</w:t>
            </w:r>
          </w:p>
          <w:p w14:paraId="1910D440">
            <w:pPr>
              <w:pStyle w:val="163"/>
              <w:widowControl/>
              <w:tabs>
                <w:tab w:val="left" w:pos="1337"/>
              </w:tabs>
              <w:spacing w:line="360" w:lineRule="auto"/>
              <w:ind w:left="-42" w:right="-42"/>
              <w:jc w:val="center"/>
              <w:rPr>
                <w:rFonts w:hint="eastAsia" w:ascii="宋体" w:hAnsi="宋体" w:cs="宋体"/>
                <w:color w:val="auto"/>
                <w:sz w:val="24"/>
                <w:highlight w:val="none"/>
              </w:rPr>
            </w:pPr>
            <w:r>
              <w:rPr>
                <w:rFonts w:hint="eastAsia" w:ascii="宋体" w:hAnsi="宋体" w:cs="宋体"/>
                <w:color w:val="auto"/>
                <w:sz w:val="24"/>
                <w:highlight w:val="none"/>
              </w:rPr>
              <w:t>号</w:t>
            </w:r>
          </w:p>
        </w:tc>
        <w:tc>
          <w:tcPr>
            <w:tcW w:w="2441" w:type="dxa"/>
            <w:vMerge w:val="restart"/>
            <w:noWrap w:val="0"/>
            <w:vAlign w:val="center"/>
          </w:tcPr>
          <w:p w14:paraId="20130C1F">
            <w:pPr>
              <w:pStyle w:val="163"/>
              <w:widowControl/>
              <w:tabs>
                <w:tab w:val="left" w:pos="1337"/>
              </w:tabs>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标的名称</w:t>
            </w:r>
          </w:p>
        </w:tc>
        <w:tc>
          <w:tcPr>
            <w:tcW w:w="1709" w:type="dxa"/>
            <w:vMerge w:val="restart"/>
            <w:noWrap w:val="0"/>
            <w:vAlign w:val="center"/>
          </w:tcPr>
          <w:p w14:paraId="01735F4A">
            <w:pPr>
              <w:pStyle w:val="163"/>
              <w:widowControl/>
              <w:tabs>
                <w:tab w:val="left" w:pos="1337"/>
              </w:tabs>
              <w:spacing w:line="360" w:lineRule="auto"/>
              <w:ind w:left="-42" w:right="-42"/>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品牌</w:t>
            </w:r>
          </w:p>
        </w:tc>
        <w:tc>
          <w:tcPr>
            <w:tcW w:w="1709" w:type="dxa"/>
            <w:vMerge w:val="restart"/>
            <w:noWrap w:val="0"/>
            <w:vAlign w:val="center"/>
          </w:tcPr>
          <w:p w14:paraId="55070FC4">
            <w:pPr>
              <w:pStyle w:val="163"/>
              <w:widowControl/>
              <w:tabs>
                <w:tab w:val="left" w:pos="1337"/>
              </w:tabs>
              <w:spacing w:line="360" w:lineRule="auto"/>
              <w:ind w:left="-42" w:right="-42"/>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型号</w:t>
            </w:r>
          </w:p>
        </w:tc>
        <w:tc>
          <w:tcPr>
            <w:tcW w:w="3056" w:type="dxa"/>
            <w:gridSpan w:val="3"/>
            <w:noWrap w:val="0"/>
            <w:vAlign w:val="center"/>
          </w:tcPr>
          <w:p w14:paraId="561EBC14">
            <w:pPr>
              <w:pStyle w:val="163"/>
              <w:widowControl/>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价格</w:t>
            </w:r>
          </w:p>
        </w:tc>
      </w:tr>
      <w:tr w14:paraId="6CE3A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noWrap w:val="0"/>
            <w:vAlign w:val="center"/>
          </w:tcPr>
          <w:p w14:paraId="2D79D57E">
            <w:pPr>
              <w:rPr>
                <w:rFonts w:ascii="Times New Roman" w:hAnsi="Times New Roman"/>
                <w:color w:val="auto"/>
                <w:sz w:val="20"/>
                <w:szCs w:val="20"/>
                <w:highlight w:val="none"/>
              </w:rPr>
            </w:pPr>
          </w:p>
        </w:tc>
        <w:tc>
          <w:tcPr>
            <w:tcW w:w="2441" w:type="dxa"/>
            <w:vMerge w:val="continue"/>
            <w:noWrap w:val="0"/>
            <w:vAlign w:val="center"/>
          </w:tcPr>
          <w:p w14:paraId="63415C35">
            <w:pPr>
              <w:rPr>
                <w:rFonts w:ascii="Times New Roman" w:hAnsi="Times New Roman"/>
                <w:color w:val="auto"/>
                <w:sz w:val="20"/>
                <w:szCs w:val="20"/>
                <w:highlight w:val="none"/>
              </w:rPr>
            </w:pPr>
          </w:p>
        </w:tc>
        <w:tc>
          <w:tcPr>
            <w:tcW w:w="1709" w:type="dxa"/>
            <w:vMerge w:val="continue"/>
            <w:noWrap w:val="0"/>
            <w:vAlign w:val="center"/>
          </w:tcPr>
          <w:p w14:paraId="518ED3D9">
            <w:pPr>
              <w:rPr>
                <w:rFonts w:ascii="Times New Roman" w:hAnsi="Times New Roman"/>
                <w:color w:val="auto"/>
                <w:sz w:val="20"/>
                <w:szCs w:val="20"/>
                <w:highlight w:val="none"/>
              </w:rPr>
            </w:pPr>
          </w:p>
        </w:tc>
        <w:tc>
          <w:tcPr>
            <w:tcW w:w="1709" w:type="dxa"/>
            <w:vMerge w:val="continue"/>
            <w:noWrap w:val="0"/>
            <w:vAlign w:val="center"/>
          </w:tcPr>
          <w:p w14:paraId="39CB7288">
            <w:pPr>
              <w:rPr>
                <w:rFonts w:ascii="Times New Roman" w:hAnsi="Times New Roman"/>
                <w:color w:val="auto"/>
                <w:sz w:val="20"/>
                <w:szCs w:val="20"/>
                <w:highlight w:val="none"/>
              </w:rPr>
            </w:pPr>
          </w:p>
        </w:tc>
        <w:tc>
          <w:tcPr>
            <w:tcW w:w="955" w:type="dxa"/>
            <w:noWrap w:val="0"/>
            <w:vAlign w:val="center"/>
          </w:tcPr>
          <w:p w14:paraId="0313E879">
            <w:pPr>
              <w:pStyle w:val="163"/>
              <w:widowControl/>
              <w:tabs>
                <w:tab w:val="left" w:pos="1337"/>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单价</w:t>
            </w:r>
          </w:p>
        </w:tc>
        <w:tc>
          <w:tcPr>
            <w:tcW w:w="955" w:type="dxa"/>
            <w:noWrap w:val="0"/>
            <w:vAlign w:val="center"/>
          </w:tcPr>
          <w:p w14:paraId="7ABF3FD1">
            <w:pPr>
              <w:pStyle w:val="163"/>
              <w:widowControl/>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1146" w:type="dxa"/>
            <w:noWrap w:val="0"/>
            <w:vAlign w:val="center"/>
          </w:tcPr>
          <w:p w14:paraId="06BBEC1A">
            <w:pPr>
              <w:pStyle w:val="163"/>
              <w:widowControl/>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小计</w:t>
            </w:r>
          </w:p>
        </w:tc>
      </w:tr>
      <w:tr w14:paraId="25A36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noWrap w:val="0"/>
            <w:vAlign w:val="center"/>
          </w:tcPr>
          <w:p w14:paraId="387289AC">
            <w:pPr>
              <w:pStyle w:val="163"/>
              <w:widowControl/>
              <w:tabs>
                <w:tab w:val="left" w:pos="1337"/>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441" w:type="dxa"/>
            <w:noWrap w:val="0"/>
            <w:vAlign w:val="center"/>
          </w:tcPr>
          <w:p w14:paraId="57549BE0">
            <w:pPr>
              <w:pStyle w:val="163"/>
              <w:widowControl/>
              <w:tabs>
                <w:tab w:val="left" w:pos="1337"/>
              </w:tabs>
              <w:spacing w:line="360" w:lineRule="auto"/>
              <w:jc w:val="center"/>
              <w:rPr>
                <w:rFonts w:hint="eastAsia" w:ascii="宋体" w:hAnsi="宋体" w:cs="宋体"/>
                <w:color w:val="auto"/>
                <w:sz w:val="24"/>
                <w:highlight w:val="none"/>
              </w:rPr>
            </w:pPr>
          </w:p>
        </w:tc>
        <w:tc>
          <w:tcPr>
            <w:tcW w:w="1709" w:type="dxa"/>
            <w:noWrap w:val="0"/>
            <w:vAlign w:val="center"/>
          </w:tcPr>
          <w:p w14:paraId="17B6FD77">
            <w:pPr>
              <w:pStyle w:val="163"/>
              <w:widowControl/>
              <w:tabs>
                <w:tab w:val="left" w:pos="1337"/>
              </w:tabs>
              <w:spacing w:line="360" w:lineRule="auto"/>
              <w:jc w:val="center"/>
              <w:rPr>
                <w:rFonts w:hint="eastAsia" w:ascii="宋体" w:hAnsi="宋体" w:cs="宋体"/>
                <w:color w:val="auto"/>
                <w:sz w:val="24"/>
                <w:highlight w:val="none"/>
              </w:rPr>
            </w:pPr>
          </w:p>
        </w:tc>
        <w:tc>
          <w:tcPr>
            <w:tcW w:w="1709" w:type="dxa"/>
            <w:noWrap w:val="0"/>
            <w:vAlign w:val="center"/>
          </w:tcPr>
          <w:p w14:paraId="25205818">
            <w:pPr>
              <w:pStyle w:val="163"/>
              <w:widowControl/>
              <w:tabs>
                <w:tab w:val="left" w:pos="1337"/>
              </w:tabs>
              <w:spacing w:line="360" w:lineRule="auto"/>
              <w:jc w:val="center"/>
              <w:rPr>
                <w:rFonts w:hint="eastAsia" w:ascii="宋体" w:hAnsi="宋体" w:cs="宋体"/>
                <w:color w:val="auto"/>
                <w:sz w:val="24"/>
                <w:highlight w:val="none"/>
              </w:rPr>
            </w:pPr>
          </w:p>
        </w:tc>
        <w:tc>
          <w:tcPr>
            <w:tcW w:w="955" w:type="dxa"/>
            <w:noWrap w:val="0"/>
            <w:vAlign w:val="center"/>
          </w:tcPr>
          <w:p w14:paraId="02A0DDEC">
            <w:pPr>
              <w:pStyle w:val="163"/>
              <w:widowControl/>
              <w:tabs>
                <w:tab w:val="left" w:pos="1337"/>
              </w:tabs>
              <w:spacing w:line="360" w:lineRule="auto"/>
              <w:jc w:val="center"/>
              <w:rPr>
                <w:rFonts w:hint="eastAsia" w:ascii="宋体" w:hAnsi="宋体" w:cs="宋体"/>
                <w:color w:val="auto"/>
                <w:sz w:val="24"/>
                <w:highlight w:val="none"/>
              </w:rPr>
            </w:pPr>
          </w:p>
        </w:tc>
        <w:tc>
          <w:tcPr>
            <w:tcW w:w="955" w:type="dxa"/>
            <w:noWrap w:val="0"/>
            <w:vAlign w:val="center"/>
          </w:tcPr>
          <w:p w14:paraId="7F2EE065">
            <w:pPr>
              <w:pStyle w:val="163"/>
              <w:widowControl/>
              <w:tabs>
                <w:tab w:val="left" w:pos="1337"/>
              </w:tabs>
              <w:spacing w:line="360" w:lineRule="auto"/>
              <w:jc w:val="center"/>
              <w:rPr>
                <w:rFonts w:hint="eastAsia" w:ascii="宋体" w:hAnsi="宋体" w:cs="宋体"/>
                <w:color w:val="auto"/>
                <w:sz w:val="24"/>
                <w:highlight w:val="none"/>
              </w:rPr>
            </w:pPr>
          </w:p>
        </w:tc>
        <w:tc>
          <w:tcPr>
            <w:tcW w:w="1146" w:type="dxa"/>
            <w:noWrap w:val="0"/>
            <w:vAlign w:val="center"/>
          </w:tcPr>
          <w:p w14:paraId="624C4716">
            <w:pPr>
              <w:pStyle w:val="163"/>
              <w:widowControl/>
              <w:tabs>
                <w:tab w:val="left" w:pos="1337"/>
              </w:tabs>
              <w:spacing w:line="360" w:lineRule="auto"/>
              <w:jc w:val="center"/>
              <w:rPr>
                <w:rFonts w:hint="eastAsia" w:ascii="宋体" w:hAnsi="宋体" w:cs="宋体"/>
                <w:color w:val="auto"/>
                <w:sz w:val="24"/>
                <w:highlight w:val="none"/>
              </w:rPr>
            </w:pPr>
          </w:p>
        </w:tc>
      </w:tr>
      <w:tr w14:paraId="06751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noWrap w:val="0"/>
            <w:vAlign w:val="center"/>
          </w:tcPr>
          <w:p w14:paraId="503A0EA4">
            <w:pPr>
              <w:pStyle w:val="163"/>
              <w:widowControl/>
              <w:tabs>
                <w:tab w:val="left" w:pos="1337"/>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2441" w:type="dxa"/>
            <w:noWrap w:val="0"/>
            <w:vAlign w:val="center"/>
          </w:tcPr>
          <w:p w14:paraId="35D0402B">
            <w:pPr>
              <w:pStyle w:val="163"/>
              <w:widowControl/>
              <w:tabs>
                <w:tab w:val="left" w:pos="1337"/>
              </w:tabs>
              <w:spacing w:line="360" w:lineRule="auto"/>
              <w:jc w:val="center"/>
              <w:rPr>
                <w:rFonts w:hint="eastAsia" w:ascii="宋体" w:hAnsi="宋体" w:cs="宋体"/>
                <w:color w:val="auto"/>
                <w:sz w:val="24"/>
                <w:highlight w:val="none"/>
              </w:rPr>
            </w:pPr>
          </w:p>
        </w:tc>
        <w:tc>
          <w:tcPr>
            <w:tcW w:w="1709" w:type="dxa"/>
            <w:noWrap w:val="0"/>
            <w:vAlign w:val="top"/>
          </w:tcPr>
          <w:p w14:paraId="61B3A67C">
            <w:pPr>
              <w:pStyle w:val="163"/>
              <w:widowControl/>
              <w:tabs>
                <w:tab w:val="left" w:pos="1337"/>
              </w:tabs>
              <w:spacing w:line="360" w:lineRule="auto"/>
              <w:jc w:val="center"/>
              <w:rPr>
                <w:rFonts w:hint="eastAsia" w:ascii="宋体" w:hAnsi="宋体" w:cs="宋体"/>
                <w:color w:val="auto"/>
                <w:sz w:val="24"/>
                <w:highlight w:val="none"/>
              </w:rPr>
            </w:pPr>
          </w:p>
        </w:tc>
        <w:tc>
          <w:tcPr>
            <w:tcW w:w="1709" w:type="dxa"/>
            <w:noWrap w:val="0"/>
            <w:vAlign w:val="top"/>
          </w:tcPr>
          <w:p w14:paraId="78CFA530">
            <w:pPr>
              <w:pStyle w:val="163"/>
              <w:widowControl/>
              <w:tabs>
                <w:tab w:val="left" w:pos="1337"/>
              </w:tabs>
              <w:spacing w:line="360" w:lineRule="auto"/>
              <w:jc w:val="center"/>
              <w:rPr>
                <w:rFonts w:hint="eastAsia" w:ascii="宋体" w:hAnsi="宋体" w:cs="宋体"/>
                <w:color w:val="auto"/>
                <w:sz w:val="24"/>
                <w:highlight w:val="none"/>
              </w:rPr>
            </w:pPr>
          </w:p>
        </w:tc>
        <w:tc>
          <w:tcPr>
            <w:tcW w:w="955" w:type="dxa"/>
            <w:noWrap w:val="0"/>
            <w:vAlign w:val="top"/>
          </w:tcPr>
          <w:p w14:paraId="12BBCC4C">
            <w:pPr>
              <w:pStyle w:val="163"/>
              <w:widowControl/>
              <w:tabs>
                <w:tab w:val="left" w:pos="1337"/>
              </w:tabs>
              <w:spacing w:line="360" w:lineRule="auto"/>
              <w:jc w:val="center"/>
              <w:rPr>
                <w:rFonts w:hint="eastAsia" w:ascii="宋体" w:hAnsi="宋体" w:cs="宋体"/>
                <w:color w:val="auto"/>
                <w:sz w:val="24"/>
                <w:highlight w:val="none"/>
              </w:rPr>
            </w:pPr>
          </w:p>
        </w:tc>
        <w:tc>
          <w:tcPr>
            <w:tcW w:w="955" w:type="dxa"/>
            <w:noWrap w:val="0"/>
            <w:vAlign w:val="top"/>
          </w:tcPr>
          <w:p w14:paraId="60738E02">
            <w:pPr>
              <w:pStyle w:val="163"/>
              <w:widowControl/>
              <w:tabs>
                <w:tab w:val="left" w:pos="1337"/>
              </w:tabs>
              <w:spacing w:line="360" w:lineRule="auto"/>
              <w:jc w:val="center"/>
              <w:rPr>
                <w:rFonts w:hint="eastAsia" w:ascii="宋体" w:hAnsi="宋体" w:cs="宋体"/>
                <w:color w:val="auto"/>
                <w:sz w:val="24"/>
                <w:highlight w:val="none"/>
              </w:rPr>
            </w:pPr>
          </w:p>
        </w:tc>
        <w:tc>
          <w:tcPr>
            <w:tcW w:w="1146" w:type="dxa"/>
            <w:noWrap w:val="0"/>
            <w:vAlign w:val="center"/>
          </w:tcPr>
          <w:p w14:paraId="0B28C853">
            <w:pPr>
              <w:pStyle w:val="163"/>
              <w:widowControl/>
              <w:tabs>
                <w:tab w:val="left" w:pos="1337"/>
              </w:tabs>
              <w:spacing w:line="360" w:lineRule="auto"/>
              <w:jc w:val="center"/>
              <w:rPr>
                <w:rFonts w:hint="eastAsia" w:ascii="宋体" w:hAnsi="宋体" w:cs="宋体"/>
                <w:color w:val="auto"/>
                <w:sz w:val="24"/>
                <w:highlight w:val="none"/>
              </w:rPr>
            </w:pPr>
          </w:p>
        </w:tc>
      </w:tr>
      <w:tr w14:paraId="533E1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noWrap w:val="0"/>
            <w:vAlign w:val="center"/>
          </w:tcPr>
          <w:p w14:paraId="279FDEC0">
            <w:pPr>
              <w:pStyle w:val="163"/>
              <w:widowControl/>
              <w:tabs>
                <w:tab w:val="left" w:pos="1337"/>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2441" w:type="dxa"/>
            <w:noWrap w:val="0"/>
            <w:vAlign w:val="center"/>
          </w:tcPr>
          <w:p w14:paraId="76FBD8D3">
            <w:pPr>
              <w:pStyle w:val="163"/>
              <w:widowControl/>
              <w:tabs>
                <w:tab w:val="left" w:pos="1337"/>
              </w:tabs>
              <w:spacing w:line="360" w:lineRule="auto"/>
              <w:jc w:val="center"/>
              <w:rPr>
                <w:rFonts w:hint="eastAsia" w:ascii="宋体" w:hAnsi="宋体" w:cs="宋体"/>
                <w:color w:val="auto"/>
                <w:sz w:val="24"/>
                <w:highlight w:val="none"/>
              </w:rPr>
            </w:pPr>
          </w:p>
        </w:tc>
        <w:tc>
          <w:tcPr>
            <w:tcW w:w="1709" w:type="dxa"/>
            <w:noWrap w:val="0"/>
            <w:vAlign w:val="top"/>
          </w:tcPr>
          <w:p w14:paraId="6F129F8D">
            <w:pPr>
              <w:pStyle w:val="163"/>
              <w:widowControl/>
              <w:tabs>
                <w:tab w:val="left" w:pos="1337"/>
              </w:tabs>
              <w:spacing w:line="360" w:lineRule="auto"/>
              <w:jc w:val="center"/>
              <w:rPr>
                <w:rFonts w:hint="eastAsia" w:ascii="宋体" w:hAnsi="宋体" w:cs="宋体"/>
                <w:color w:val="auto"/>
                <w:sz w:val="24"/>
                <w:highlight w:val="none"/>
              </w:rPr>
            </w:pPr>
          </w:p>
        </w:tc>
        <w:tc>
          <w:tcPr>
            <w:tcW w:w="1709" w:type="dxa"/>
            <w:noWrap w:val="0"/>
            <w:vAlign w:val="top"/>
          </w:tcPr>
          <w:p w14:paraId="31A8FDF7">
            <w:pPr>
              <w:pStyle w:val="163"/>
              <w:widowControl/>
              <w:tabs>
                <w:tab w:val="left" w:pos="1337"/>
              </w:tabs>
              <w:spacing w:line="360" w:lineRule="auto"/>
              <w:jc w:val="center"/>
              <w:rPr>
                <w:rFonts w:hint="eastAsia" w:ascii="宋体" w:hAnsi="宋体" w:cs="宋体"/>
                <w:color w:val="auto"/>
                <w:sz w:val="24"/>
                <w:highlight w:val="none"/>
              </w:rPr>
            </w:pPr>
          </w:p>
        </w:tc>
        <w:tc>
          <w:tcPr>
            <w:tcW w:w="955" w:type="dxa"/>
            <w:noWrap w:val="0"/>
            <w:vAlign w:val="top"/>
          </w:tcPr>
          <w:p w14:paraId="453D018C">
            <w:pPr>
              <w:pStyle w:val="163"/>
              <w:widowControl/>
              <w:tabs>
                <w:tab w:val="left" w:pos="1337"/>
              </w:tabs>
              <w:spacing w:line="360" w:lineRule="auto"/>
              <w:jc w:val="center"/>
              <w:rPr>
                <w:rFonts w:hint="eastAsia" w:ascii="宋体" w:hAnsi="宋体" w:cs="宋体"/>
                <w:color w:val="auto"/>
                <w:sz w:val="24"/>
                <w:highlight w:val="none"/>
              </w:rPr>
            </w:pPr>
          </w:p>
        </w:tc>
        <w:tc>
          <w:tcPr>
            <w:tcW w:w="955" w:type="dxa"/>
            <w:noWrap w:val="0"/>
            <w:vAlign w:val="top"/>
          </w:tcPr>
          <w:p w14:paraId="1650CA74">
            <w:pPr>
              <w:pStyle w:val="163"/>
              <w:widowControl/>
              <w:tabs>
                <w:tab w:val="left" w:pos="1337"/>
              </w:tabs>
              <w:spacing w:line="360" w:lineRule="auto"/>
              <w:jc w:val="center"/>
              <w:rPr>
                <w:rFonts w:hint="eastAsia" w:ascii="宋体" w:hAnsi="宋体" w:cs="宋体"/>
                <w:color w:val="auto"/>
                <w:sz w:val="24"/>
                <w:highlight w:val="none"/>
              </w:rPr>
            </w:pPr>
          </w:p>
        </w:tc>
        <w:tc>
          <w:tcPr>
            <w:tcW w:w="1146" w:type="dxa"/>
            <w:noWrap w:val="0"/>
            <w:vAlign w:val="center"/>
          </w:tcPr>
          <w:p w14:paraId="29682330">
            <w:pPr>
              <w:pStyle w:val="163"/>
              <w:widowControl/>
              <w:tabs>
                <w:tab w:val="left" w:pos="1337"/>
              </w:tabs>
              <w:spacing w:line="360" w:lineRule="auto"/>
              <w:jc w:val="center"/>
              <w:rPr>
                <w:rFonts w:hint="eastAsia" w:ascii="宋体" w:hAnsi="宋体" w:cs="宋体"/>
                <w:color w:val="auto"/>
                <w:sz w:val="24"/>
                <w:highlight w:val="none"/>
              </w:rPr>
            </w:pPr>
          </w:p>
        </w:tc>
      </w:tr>
      <w:tr w14:paraId="5ED2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noWrap w:val="0"/>
            <w:vAlign w:val="center"/>
          </w:tcPr>
          <w:p w14:paraId="65C447F8">
            <w:pPr>
              <w:pStyle w:val="163"/>
              <w:widowControl/>
              <w:tabs>
                <w:tab w:val="left" w:pos="1337"/>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2441" w:type="dxa"/>
            <w:noWrap w:val="0"/>
            <w:vAlign w:val="center"/>
          </w:tcPr>
          <w:p w14:paraId="2A28A3D1">
            <w:pPr>
              <w:pStyle w:val="163"/>
              <w:widowControl/>
              <w:tabs>
                <w:tab w:val="left" w:pos="1337"/>
              </w:tabs>
              <w:spacing w:line="360" w:lineRule="auto"/>
              <w:jc w:val="center"/>
              <w:rPr>
                <w:rFonts w:hint="eastAsia" w:ascii="宋体" w:hAnsi="宋体" w:cs="宋体"/>
                <w:color w:val="auto"/>
                <w:sz w:val="24"/>
                <w:highlight w:val="none"/>
              </w:rPr>
            </w:pPr>
          </w:p>
        </w:tc>
        <w:tc>
          <w:tcPr>
            <w:tcW w:w="1709" w:type="dxa"/>
            <w:noWrap w:val="0"/>
            <w:vAlign w:val="top"/>
          </w:tcPr>
          <w:p w14:paraId="294B82FB">
            <w:pPr>
              <w:pStyle w:val="163"/>
              <w:widowControl/>
              <w:tabs>
                <w:tab w:val="left" w:pos="1337"/>
              </w:tabs>
              <w:spacing w:line="360" w:lineRule="auto"/>
              <w:jc w:val="center"/>
              <w:rPr>
                <w:rFonts w:hint="eastAsia" w:ascii="宋体" w:hAnsi="宋体" w:cs="宋体"/>
                <w:color w:val="auto"/>
                <w:sz w:val="24"/>
                <w:highlight w:val="none"/>
              </w:rPr>
            </w:pPr>
          </w:p>
        </w:tc>
        <w:tc>
          <w:tcPr>
            <w:tcW w:w="1709" w:type="dxa"/>
            <w:noWrap w:val="0"/>
            <w:vAlign w:val="top"/>
          </w:tcPr>
          <w:p w14:paraId="77D58DFC">
            <w:pPr>
              <w:pStyle w:val="163"/>
              <w:widowControl/>
              <w:tabs>
                <w:tab w:val="left" w:pos="1337"/>
              </w:tabs>
              <w:spacing w:line="360" w:lineRule="auto"/>
              <w:jc w:val="center"/>
              <w:rPr>
                <w:rFonts w:hint="eastAsia" w:ascii="宋体" w:hAnsi="宋体" w:cs="宋体"/>
                <w:color w:val="auto"/>
                <w:sz w:val="24"/>
                <w:highlight w:val="none"/>
              </w:rPr>
            </w:pPr>
          </w:p>
        </w:tc>
        <w:tc>
          <w:tcPr>
            <w:tcW w:w="955" w:type="dxa"/>
            <w:noWrap w:val="0"/>
            <w:vAlign w:val="top"/>
          </w:tcPr>
          <w:p w14:paraId="5570FBA4">
            <w:pPr>
              <w:pStyle w:val="163"/>
              <w:widowControl/>
              <w:tabs>
                <w:tab w:val="left" w:pos="1337"/>
              </w:tabs>
              <w:spacing w:line="360" w:lineRule="auto"/>
              <w:jc w:val="center"/>
              <w:rPr>
                <w:rFonts w:hint="eastAsia" w:ascii="宋体" w:hAnsi="宋体" w:cs="宋体"/>
                <w:color w:val="auto"/>
                <w:sz w:val="24"/>
                <w:highlight w:val="none"/>
              </w:rPr>
            </w:pPr>
          </w:p>
        </w:tc>
        <w:tc>
          <w:tcPr>
            <w:tcW w:w="955" w:type="dxa"/>
            <w:noWrap w:val="0"/>
            <w:vAlign w:val="top"/>
          </w:tcPr>
          <w:p w14:paraId="0F176451">
            <w:pPr>
              <w:pStyle w:val="163"/>
              <w:widowControl/>
              <w:tabs>
                <w:tab w:val="left" w:pos="1337"/>
              </w:tabs>
              <w:spacing w:line="360" w:lineRule="auto"/>
              <w:jc w:val="center"/>
              <w:rPr>
                <w:rFonts w:hint="eastAsia" w:ascii="宋体" w:hAnsi="宋体" w:cs="宋体"/>
                <w:color w:val="auto"/>
                <w:sz w:val="24"/>
                <w:highlight w:val="none"/>
              </w:rPr>
            </w:pPr>
          </w:p>
        </w:tc>
        <w:tc>
          <w:tcPr>
            <w:tcW w:w="1146" w:type="dxa"/>
            <w:noWrap w:val="0"/>
            <w:vAlign w:val="center"/>
          </w:tcPr>
          <w:p w14:paraId="51919E94">
            <w:pPr>
              <w:pStyle w:val="163"/>
              <w:widowControl/>
              <w:tabs>
                <w:tab w:val="left" w:pos="1337"/>
              </w:tabs>
              <w:spacing w:line="360" w:lineRule="auto"/>
              <w:jc w:val="center"/>
              <w:rPr>
                <w:rFonts w:hint="eastAsia" w:ascii="宋体" w:hAnsi="宋体" w:cs="宋体"/>
                <w:color w:val="auto"/>
                <w:sz w:val="24"/>
                <w:highlight w:val="none"/>
              </w:rPr>
            </w:pPr>
          </w:p>
        </w:tc>
      </w:tr>
      <w:tr w14:paraId="39FE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noWrap w:val="0"/>
            <w:vAlign w:val="center"/>
          </w:tcPr>
          <w:p w14:paraId="13126205">
            <w:pPr>
              <w:pStyle w:val="163"/>
              <w:widowControl/>
              <w:tabs>
                <w:tab w:val="left" w:pos="1337"/>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2441" w:type="dxa"/>
            <w:noWrap w:val="0"/>
            <w:vAlign w:val="center"/>
          </w:tcPr>
          <w:p w14:paraId="2594FE73">
            <w:pPr>
              <w:pStyle w:val="163"/>
              <w:widowControl/>
              <w:tabs>
                <w:tab w:val="left" w:pos="1337"/>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709" w:type="dxa"/>
            <w:noWrap w:val="0"/>
            <w:vAlign w:val="top"/>
          </w:tcPr>
          <w:p w14:paraId="407CA4B0">
            <w:pPr>
              <w:pStyle w:val="163"/>
              <w:widowControl/>
              <w:tabs>
                <w:tab w:val="left" w:pos="1337"/>
              </w:tabs>
              <w:spacing w:line="360" w:lineRule="auto"/>
              <w:jc w:val="center"/>
              <w:rPr>
                <w:rFonts w:hint="eastAsia" w:ascii="宋体" w:hAnsi="宋体" w:cs="宋体"/>
                <w:color w:val="auto"/>
                <w:sz w:val="24"/>
                <w:highlight w:val="none"/>
              </w:rPr>
            </w:pPr>
          </w:p>
        </w:tc>
        <w:tc>
          <w:tcPr>
            <w:tcW w:w="1709" w:type="dxa"/>
            <w:noWrap w:val="0"/>
            <w:vAlign w:val="top"/>
          </w:tcPr>
          <w:p w14:paraId="5DD317AE">
            <w:pPr>
              <w:pStyle w:val="163"/>
              <w:widowControl/>
              <w:tabs>
                <w:tab w:val="left" w:pos="1337"/>
              </w:tabs>
              <w:spacing w:line="360" w:lineRule="auto"/>
              <w:jc w:val="center"/>
              <w:rPr>
                <w:rFonts w:hint="eastAsia" w:ascii="宋体" w:hAnsi="宋体" w:cs="宋体"/>
                <w:color w:val="auto"/>
                <w:sz w:val="24"/>
                <w:highlight w:val="none"/>
              </w:rPr>
            </w:pPr>
          </w:p>
        </w:tc>
        <w:tc>
          <w:tcPr>
            <w:tcW w:w="955" w:type="dxa"/>
            <w:noWrap w:val="0"/>
            <w:vAlign w:val="top"/>
          </w:tcPr>
          <w:p w14:paraId="4758F62F">
            <w:pPr>
              <w:pStyle w:val="163"/>
              <w:widowControl/>
              <w:tabs>
                <w:tab w:val="left" w:pos="1337"/>
              </w:tabs>
              <w:spacing w:line="360" w:lineRule="auto"/>
              <w:jc w:val="center"/>
              <w:rPr>
                <w:rFonts w:hint="eastAsia" w:ascii="宋体" w:hAnsi="宋体" w:cs="宋体"/>
                <w:color w:val="auto"/>
                <w:sz w:val="24"/>
                <w:highlight w:val="none"/>
              </w:rPr>
            </w:pPr>
          </w:p>
        </w:tc>
        <w:tc>
          <w:tcPr>
            <w:tcW w:w="955" w:type="dxa"/>
            <w:noWrap w:val="0"/>
            <w:vAlign w:val="center"/>
          </w:tcPr>
          <w:p w14:paraId="0E4BD98B">
            <w:pPr>
              <w:pStyle w:val="163"/>
              <w:widowControl/>
              <w:tabs>
                <w:tab w:val="left" w:pos="1337"/>
              </w:tabs>
              <w:spacing w:line="360" w:lineRule="auto"/>
              <w:jc w:val="center"/>
              <w:rPr>
                <w:rFonts w:hint="eastAsia" w:ascii="宋体" w:hAnsi="宋体" w:cs="宋体"/>
                <w:color w:val="auto"/>
                <w:sz w:val="24"/>
                <w:highlight w:val="none"/>
              </w:rPr>
            </w:pPr>
          </w:p>
        </w:tc>
        <w:tc>
          <w:tcPr>
            <w:tcW w:w="1146" w:type="dxa"/>
            <w:noWrap w:val="0"/>
            <w:vAlign w:val="center"/>
          </w:tcPr>
          <w:p w14:paraId="4BDC97F6">
            <w:pPr>
              <w:pStyle w:val="163"/>
              <w:widowControl/>
              <w:tabs>
                <w:tab w:val="left" w:pos="1337"/>
              </w:tabs>
              <w:spacing w:line="360" w:lineRule="auto"/>
              <w:jc w:val="center"/>
              <w:rPr>
                <w:rFonts w:hint="eastAsia" w:ascii="宋体" w:hAnsi="宋体" w:cs="宋体"/>
                <w:color w:val="auto"/>
                <w:sz w:val="24"/>
                <w:highlight w:val="none"/>
              </w:rPr>
            </w:pPr>
          </w:p>
        </w:tc>
      </w:tr>
      <w:tr w14:paraId="45FC4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noWrap w:val="0"/>
            <w:vAlign w:val="center"/>
          </w:tcPr>
          <w:p w14:paraId="13BA1E73">
            <w:pPr>
              <w:pStyle w:val="163"/>
              <w:widowControl/>
              <w:tabs>
                <w:tab w:val="left" w:pos="1337"/>
              </w:tabs>
              <w:spacing w:line="360" w:lineRule="auto"/>
              <w:jc w:val="center"/>
              <w:rPr>
                <w:rFonts w:hint="eastAsia" w:ascii="宋体" w:hAnsi="宋体" w:cs="宋体"/>
                <w:color w:val="auto"/>
                <w:sz w:val="24"/>
                <w:highlight w:val="none"/>
              </w:rPr>
            </w:pPr>
          </w:p>
        </w:tc>
        <w:tc>
          <w:tcPr>
            <w:tcW w:w="2441" w:type="dxa"/>
            <w:noWrap w:val="0"/>
            <w:vAlign w:val="center"/>
          </w:tcPr>
          <w:p w14:paraId="1B79FF5D">
            <w:pPr>
              <w:pStyle w:val="163"/>
              <w:widowControl/>
              <w:tabs>
                <w:tab w:val="left" w:pos="1337"/>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合计</w:t>
            </w:r>
          </w:p>
        </w:tc>
        <w:tc>
          <w:tcPr>
            <w:tcW w:w="1709" w:type="dxa"/>
            <w:noWrap w:val="0"/>
            <w:vAlign w:val="top"/>
          </w:tcPr>
          <w:p w14:paraId="6960FACE">
            <w:pPr>
              <w:pStyle w:val="163"/>
              <w:widowControl/>
              <w:tabs>
                <w:tab w:val="left" w:pos="1337"/>
              </w:tabs>
              <w:spacing w:line="360" w:lineRule="auto"/>
              <w:jc w:val="center"/>
              <w:rPr>
                <w:rFonts w:hint="eastAsia" w:ascii="宋体" w:hAnsi="宋体" w:cs="宋体"/>
                <w:color w:val="auto"/>
                <w:sz w:val="24"/>
                <w:highlight w:val="none"/>
              </w:rPr>
            </w:pPr>
          </w:p>
        </w:tc>
        <w:tc>
          <w:tcPr>
            <w:tcW w:w="1709" w:type="dxa"/>
            <w:noWrap w:val="0"/>
            <w:vAlign w:val="top"/>
          </w:tcPr>
          <w:p w14:paraId="763E69E2">
            <w:pPr>
              <w:pStyle w:val="163"/>
              <w:widowControl/>
              <w:tabs>
                <w:tab w:val="left" w:pos="1337"/>
              </w:tabs>
              <w:spacing w:line="360" w:lineRule="auto"/>
              <w:jc w:val="center"/>
              <w:rPr>
                <w:rFonts w:hint="eastAsia" w:ascii="宋体" w:hAnsi="宋体" w:cs="宋体"/>
                <w:color w:val="auto"/>
                <w:sz w:val="24"/>
                <w:highlight w:val="none"/>
              </w:rPr>
            </w:pPr>
          </w:p>
        </w:tc>
        <w:tc>
          <w:tcPr>
            <w:tcW w:w="3056" w:type="dxa"/>
            <w:gridSpan w:val="3"/>
            <w:noWrap w:val="0"/>
            <w:vAlign w:val="top"/>
          </w:tcPr>
          <w:p w14:paraId="535DA7F4">
            <w:pPr>
              <w:pStyle w:val="163"/>
              <w:widowControl/>
              <w:tabs>
                <w:tab w:val="left" w:pos="1337"/>
              </w:tabs>
              <w:spacing w:line="360" w:lineRule="auto"/>
              <w:jc w:val="center"/>
              <w:rPr>
                <w:rFonts w:hint="eastAsia" w:ascii="宋体" w:hAnsi="宋体" w:cs="宋体"/>
                <w:color w:val="auto"/>
                <w:sz w:val="24"/>
                <w:highlight w:val="none"/>
              </w:rPr>
            </w:pPr>
          </w:p>
        </w:tc>
      </w:tr>
    </w:tbl>
    <w:p w14:paraId="7CD1F08E">
      <w:pPr>
        <w:pStyle w:val="163"/>
        <w:widowControl/>
        <w:spacing w:line="360" w:lineRule="auto"/>
        <w:rPr>
          <w:rFonts w:hint="eastAsia" w:ascii="宋体" w:hAnsi="宋体" w:eastAsia="宋体" w:cs="宋体"/>
          <w:color w:val="auto"/>
          <w:sz w:val="24"/>
          <w:highlight w:val="none"/>
          <w:u w:val="single"/>
          <w:lang w:val="en-US" w:eastAsia="zh-CN"/>
        </w:rPr>
      </w:pPr>
      <w:r>
        <w:rPr>
          <w:rFonts w:hint="eastAsia" w:ascii="宋体" w:hAnsi="宋体" w:cs="宋体"/>
          <w:color w:val="auto"/>
          <w:sz w:val="24"/>
          <w:highlight w:val="none"/>
        </w:rPr>
        <w:t>说明：</w:t>
      </w:r>
      <w:r>
        <w:rPr>
          <w:rFonts w:hint="eastAsia" w:ascii="宋体" w:hAnsi="宋体" w:cs="宋体"/>
          <w:color w:val="auto"/>
          <w:sz w:val="24"/>
          <w:highlight w:val="none"/>
          <w:u w:val="single"/>
        </w:rPr>
        <w:t>1.</w:t>
      </w:r>
      <w:r>
        <w:rPr>
          <w:rFonts w:hint="eastAsia" w:ascii="宋体" w:hAnsi="宋体" w:cs="宋体"/>
          <w:color w:val="auto"/>
          <w:sz w:val="24"/>
          <w:highlight w:val="none"/>
          <w:u w:val="single"/>
          <w:lang w:val="en-US" w:eastAsia="zh-CN"/>
        </w:rPr>
        <w:t>以上投标报价</w:t>
      </w:r>
      <w:r>
        <w:rPr>
          <w:rFonts w:hint="eastAsia" w:ascii="宋体" w:hAnsi="宋体" w:eastAsia="宋体" w:cs="宋体"/>
          <w:color w:val="auto"/>
          <w:sz w:val="24"/>
          <w:highlight w:val="none"/>
          <w:u w:val="single"/>
          <w:lang w:val="en-US" w:eastAsia="zh-CN"/>
        </w:rPr>
        <w:t>明细表格式为建议报价方式，供应商可根据自身情况进行调整，投标报价明细表必须填写，否则将导致投标被拒绝。</w:t>
      </w:r>
    </w:p>
    <w:p w14:paraId="323FF6D7">
      <w:pPr>
        <w:pStyle w:val="163"/>
        <w:widowControl/>
        <w:spacing w:line="360" w:lineRule="auto"/>
        <w:rPr>
          <w:color w:val="auto"/>
          <w:highlight w:val="none"/>
          <w:lang w:bidi="ar"/>
        </w:rPr>
      </w:pPr>
      <w:r>
        <w:rPr>
          <w:rFonts w:hint="eastAsia" w:ascii="宋体" w:hAnsi="宋体" w:eastAsia="宋体" w:cs="宋体"/>
          <w:color w:val="auto"/>
          <w:sz w:val="24"/>
          <w:highlight w:val="none"/>
          <w:lang w:val="en-US" w:eastAsia="zh-CN"/>
        </w:rPr>
        <w:t xml:space="preserve">    </w:t>
      </w:r>
      <w:bookmarkStart w:id="202" w:name="_Toc19023"/>
      <w:bookmarkStart w:id="203" w:name="_Toc8540"/>
      <w:r>
        <w:rPr>
          <w:rFonts w:hint="eastAsia" w:ascii="宋体" w:hAnsi="宋体" w:eastAsia="宋体" w:cs="宋体"/>
          <w:color w:val="auto"/>
          <w:sz w:val="24"/>
          <w:highlight w:val="none"/>
          <w:lang w:val="en-US" w:eastAsia="zh-CN"/>
        </w:rPr>
        <w:t>2.</w:t>
      </w:r>
      <w:bookmarkEnd w:id="202"/>
      <w:bookmarkEnd w:id="203"/>
      <w:r>
        <w:rPr>
          <w:rFonts w:hint="eastAsia" w:ascii="宋体" w:hAnsi="宋体" w:eastAsia="宋体" w:cs="宋体"/>
          <w:color w:val="auto"/>
          <w:sz w:val="24"/>
          <w:highlight w:val="none"/>
          <w:lang w:val="en-US" w:eastAsia="zh-CN"/>
        </w:rPr>
        <w:t>详细分项报价清单费用总计须与报价一览表中投标报价一致，若不一致，以报价一览表中投标报价为准</w:t>
      </w:r>
      <w:r>
        <w:rPr>
          <w:rFonts w:hint="eastAsia" w:ascii="宋体" w:hAnsi="宋体" w:cs="宋体"/>
          <w:color w:val="auto"/>
          <w:sz w:val="24"/>
          <w:highlight w:val="none"/>
          <w:lang w:val="en-US" w:eastAsia="zh-CN"/>
        </w:rPr>
        <w:t>。</w:t>
      </w:r>
    </w:p>
    <w:p w14:paraId="514E67C4">
      <w:pPr>
        <w:pStyle w:val="4"/>
        <w:jc w:val="center"/>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0"/>
          <w:sz w:val="24"/>
          <w:szCs w:val="24"/>
          <w:highlight w:val="none"/>
        </w:rPr>
        <w:br w:type="page"/>
      </w:r>
      <w:bookmarkStart w:id="204" w:name="_Toc29193"/>
      <w:bookmarkStart w:id="205" w:name="_Toc10067"/>
      <w:bookmarkStart w:id="206" w:name="_Toc19122"/>
      <w:bookmarkStart w:id="207" w:name="_Toc29772"/>
      <w:bookmarkStart w:id="208" w:name="_Toc25313"/>
      <w:bookmarkStart w:id="209" w:name="_Toc14960"/>
      <w:bookmarkStart w:id="210" w:name="_Toc23651"/>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商务技术文件</w:t>
      </w:r>
      <w:bookmarkEnd w:id="204"/>
      <w:bookmarkEnd w:id="205"/>
      <w:bookmarkEnd w:id="206"/>
      <w:bookmarkEnd w:id="207"/>
    </w:p>
    <w:p w14:paraId="24975ADB">
      <w:pPr>
        <w:pStyle w:val="5"/>
        <w:keepNext/>
        <w:keepLines/>
        <w:pageBreakBefore w:val="0"/>
        <w:widowControl w:val="0"/>
        <w:kinsoku/>
        <w:wordWrap/>
        <w:overflowPunct/>
        <w:topLinePunct w:val="0"/>
        <w:autoSpaceDE/>
        <w:autoSpaceDN/>
        <w:bidi w:val="0"/>
        <w:adjustRightInd w:val="0"/>
        <w:snapToGrid w:val="0"/>
        <w:spacing w:before="0" w:after="0" w:line="400" w:lineRule="exact"/>
        <w:jc w:val="center"/>
        <w:textAlignment w:val="auto"/>
        <w:rPr>
          <w:rFonts w:hint="eastAsia" w:ascii="宋体" w:hAnsi="宋体" w:eastAsia="宋体" w:cs="宋体"/>
          <w:color w:val="auto"/>
          <w:sz w:val="24"/>
          <w:szCs w:val="24"/>
          <w:highlight w:val="none"/>
        </w:rPr>
      </w:pPr>
      <w:bookmarkStart w:id="211" w:name="_Toc7569"/>
      <w:bookmarkStart w:id="212" w:name="_Toc31373"/>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投标函</w:t>
      </w:r>
      <w:bookmarkEnd w:id="211"/>
      <w:bookmarkEnd w:id="212"/>
    </w:p>
    <w:p w14:paraId="78416912">
      <w:pPr>
        <w:keepNext w:val="0"/>
        <w:keepLines w:val="0"/>
        <w:pageBreakBefore w:val="0"/>
        <w:kinsoku/>
        <w:wordWrap/>
        <w:overflowPunct/>
        <w:topLinePunct w:val="0"/>
        <w:autoSpaceDE/>
        <w:autoSpaceDN/>
        <w:bidi w:val="0"/>
        <w:adjustRightInd w:val="0"/>
        <w:snapToGrid w:val="0"/>
        <w:spacing w:line="400" w:lineRule="exact"/>
        <w:textAlignment w:val="auto"/>
        <w:rPr>
          <w:rFonts w:hint="default" w:ascii="宋体" w:hAnsi="宋体" w:eastAsia="宋体" w:cs="宋体"/>
          <w:color w:val="auto"/>
          <w:sz w:val="24"/>
          <w:highlight w:val="none"/>
          <w:u w:val="single"/>
          <w:lang w:val="en-US"/>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val="en-US" w:eastAsia="zh-CN"/>
        </w:rPr>
        <w:t>新疆华展鑫荣项目管理咨询有限公司</w:t>
      </w:r>
    </w:p>
    <w:p w14:paraId="72A258BD">
      <w:pPr>
        <w:pStyle w:val="23"/>
        <w:keepNext w:val="0"/>
        <w:keepLines w:val="0"/>
        <w:pageBreakBefore w:val="0"/>
        <w:widowControl/>
        <w:kinsoku/>
        <w:wordWrap/>
        <w:overflowPunct/>
        <w:topLinePunct w:val="0"/>
        <w:autoSpaceDE/>
        <w:autoSpaceDN/>
        <w:bidi w:val="0"/>
        <w:adjustRightInd w:val="0"/>
        <w:snapToGrid w:val="0"/>
        <w:spacing w:line="400" w:lineRule="exact"/>
        <w:ind w:left="0" w:lef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名称)授权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授权代理人姓名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职务、职称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为我方代表，参加贵方组织的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lang w:eastAsia="zh-CN"/>
        </w:rPr>
        <w:t>（</w:t>
      </w:r>
      <w:r>
        <w:rPr>
          <w:rFonts w:hint="eastAsia" w:ascii="宋体" w:hAnsi="宋体" w:eastAsia="宋体" w:cs="宋体"/>
          <w:i w:val="0"/>
          <w:iCs w:val="0"/>
          <w:color w:val="auto"/>
          <w:sz w:val="24"/>
          <w:highlight w:val="none"/>
          <w:u w:val="single"/>
        </w:rPr>
        <w:t>项目名称、项目编号</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rPr>
        <w:t>招标的有关活动，并对此项目进行投标。为此：</w:t>
      </w:r>
    </w:p>
    <w:p w14:paraId="461E8124">
      <w:pPr>
        <w:pStyle w:val="23"/>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1、我方同意在本项目招标文件中规定的投标有效期内遵守本投标文件中的承诺且在此期限期满之前均具有约束力。</w:t>
      </w:r>
    </w:p>
    <w:p w14:paraId="47ACF24A">
      <w:pPr>
        <w:pStyle w:val="23"/>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2、提供</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须知规定的全部投标文件。</w:t>
      </w:r>
    </w:p>
    <w:p w14:paraId="5349A510">
      <w:pPr>
        <w:pStyle w:val="23"/>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、按招标文件要求提供相关</w:t>
      </w:r>
      <w:r>
        <w:rPr>
          <w:rFonts w:hint="eastAsia" w:ascii="宋体" w:hAnsi="宋体" w:eastAsia="宋体" w:cs="宋体"/>
          <w:color w:val="auto"/>
          <w:sz w:val="24"/>
          <w:highlight w:val="none"/>
          <w:lang w:val="en-US" w:eastAsia="zh-CN"/>
        </w:rPr>
        <w:t>货物及</w:t>
      </w:r>
      <w:r>
        <w:rPr>
          <w:rFonts w:hint="eastAsia" w:ascii="宋体" w:hAnsi="宋体" w:eastAsia="宋体" w:cs="宋体"/>
          <w:color w:val="auto"/>
          <w:sz w:val="24"/>
          <w:highlight w:val="none"/>
        </w:rPr>
        <w:t>服务的投标报价详见开标一览表。</w:t>
      </w:r>
    </w:p>
    <w:p w14:paraId="055B3BC0">
      <w:pPr>
        <w:pStyle w:val="23"/>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、保证忠实地执行双方所签订的合同，并承担合同规定的责任和义务。</w:t>
      </w:r>
    </w:p>
    <w:p w14:paraId="669D88ED">
      <w:pPr>
        <w:pStyle w:val="23"/>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、我方承诺完全满足和响应招标文件中的各项技术和服务要求，若有偏差，已在投标文件偏离表中予以明确特别说明。</w:t>
      </w:r>
    </w:p>
    <w:p w14:paraId="6AAC60A6">
      <w:pPr>
        <w:pStyle w:val="23"/>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、我方承诺：完全理解投标报价若超过项目预算时，投标将被拒绝。</w:t>
      </w:r>
    </w:p>
    <w:p w14:paraId="30909AD2">
      <w:pPr>
        <w:pStyle w:val="23"/>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、我方承诺：与在本项目中编制技术规格的机构及其附属机构无任何直接隶属关系和利益关联。</w:t>
      </w:r>
    </w:p>
    <w:p w14:paraId="497BA497">
      <w:pPr>
        <w:pStyle w:val="23"/>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、我方承诺：</w:t>
      </w:r>
      <w:r>
        <w:rPr>
          <w:rFonts w:hint="eastAsia" w:ascii="宋体" w:hAnsi="宋体" w:eastAsia="宋体" w:cs="宋体"/>
          <w:color w:val="auto"/>
          <w:sz w:val="24"/>
          <w:highlight w:val="none"/>
          <w:lang w:eastAsia="zh-CN"/>
        </w:rPr>
        <w:t>投标有效期为</w:t>
      </w:r>
      <w:r>
        <w:rPr>
          <w:rFonts w:hint="eastAsia" w:ascii="宋体" w:hAnsi="宋体" w:eastAsia="宋体" w:cs="宋体"/>
          <w:color w:val="auto"/>
          <w:sz w:val="24"/>
          <w:highlight w:val="none"/>
          <w:u w:val="single"/>
          <w:lang w:val="en-US" w:eastAsia="zh-CN"/>
        </w:rPr>
        <w:t xml:space="preserve"> 90 </w:t>
      </w:r>
      <w:r>
        <w:rPr>
          <w:rFonts w:hint="eastAsia" w:ascii="宋体" w:hAnsi="宋体" w:eastAsia="宋体" w:cs="宋体"/>
          <w:color w:val="auto"/>
          <w:sz w:val="24"/>
          <w:highlight w:val="none"/>
          <w:lang w:val="en-US" w:eastAsia="zh-CN"/>
        </w:rPr>
        <w:t>天，</w:t>
      </w:r>
      <w:r>
        <w:rPr>
          <w:rFonts w:hint="eastAsia" w:ascii="宋体" w:hAnsi="宋体" w:eastAsia="宋体" w:cs="宋体"/>
          <w:color w:val="auto"/>
          <w:sz w:val="24"/>
          <w:highlight w:val="none"/>
        </w:rPr>
        <w:t>如果在开标后规定的投标有效期内撤回投标，我方的投标保证金可被贵方没收。</w:t>
      </w:r>
    </w:p>
    <w:p w14:paraId="19C7A845">
      <w:pPr>
        <w:pStyle w:val="23"/>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、我方完全理解贵方不一定接受最低价的投标或收到的任何投标。</w:t>
      </w:r>
    </w:p>
    <w:p w14:paraId="5BE7287F">
      <w:pPr>
        <w:pStyle w:val="23"/>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我方承诺：投标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6F0C3D3F">
      <w:pPr>
        <w:pStyle w:val="23"/>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、我方已详细审核全部投标文件，包括投标文件修改书（如有的话）、参考资料及有关附件，确认无误。</w:t>
      </w:r>
    </w:p>
    <w:p w14:paraId="2E655771">
      <w:pPr>
        <w:pStyle w:val="23"/>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、我方承诺：接受招标文件中的全部条款且无任何异议，保证遵守招标文件的规定。</w:t>
      </w:r>
    </w:p>
    <w:p w14:paraId="0A1A86F2">
      <w:pPr>
        <w:pStyle w:val="23"/>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BF51E9A">
      <w:pPr>
        <w:pStyle w:val="23"/>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1）提供虚假材料谋取中标、成交的；</w:t>
      </w:r>
    </w:p>
    <w:p w14:paraId="1111401E">
      <w:pPr>
        <w:pStyle w:val="23"/>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2）采取不正当手段诋毁、排挤其他供应商的；</w:t>
      </w:r>
    </w:p>
    <w:p w14:paraId="273279A8">
      <w:pPr>
        <w:pStyle w:val="23"/>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3）与采购人、其他供应商或者采购代理机构工作人员恶意串通的；</w:t>
      </w:r>
    </w:p>
    <w:p w14:paraId="0D4A2250">
      <w:pPr>
        <w:pStyle w:val="23"/>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4）向采购人、采购代理机构工作人员行贿或者提供其他不正当利益的；</w:t>
      </w:r>
    </w:p>
    <w:p w14:paraId="4C56FACB">
      <w:pPr>
        <w:pStyle w:val="23"/>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5）在采购过程中与采购人进行协商谈判的；</w:t>
      </w:r>
    </w:p>
    <w:p w14:paraId="21443655">
      <w:pPr>
        <w:pStyle w:val="23"/>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6）拒绝有关部门监督检查或提供虚假情况的。</w:t>
      </w:r>
    </w:p>
    <w:p w14:paraId="63F7DD4A">
      <w:pPr>
        <w:pStyle w:val="23"/>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A5D4D15">
      <w:pPr>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highlight w:val="none"/>
        </w:rPr>
      </w:pPr>
    </w:p>
    <w:p w14:paraId="359C1D63">
      <w:pPr>
        <w:pStyle w:val="23"/>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b w:val="0"/>
          <w:bCs w:val="0"/>
          <w:color w:val="auto"/>
          <w:sz w:val="24"/>
          <w:szCs w:val="24"/>
          <w:highlight w:val="none"/>
        </w:rPr>
      </w:pPr>
    </w:p>
    <w:p w14:paraId="04B33FAD">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rPr>
          <w:rFonts w:hint="eastAsia" w:ascii="宋体" w:hAnsi="宋体" w:eastAsia="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lang w:eastAsia="zh-CN"/>
        </w:rPr>
        <w:t>投标供应商</w:t>
      </w:r>
      <w:r>
        <w:rPr>
          <w:rFonts w:hint="eastAsia" w:ascii="宋体" w:hAnsi="宋体" w:eastAsia="宋体" w:cs="宋体"/>
          <w:b w:val="0"/>
          <w:bCs w:val="0"/>
          <w:color w:val="auto"/>
          <w:kern w:val="0"/>
          <w:sz w:val="24"/>
          <w:szCs w:val="24"/>
          <w:highlight w:val="none"/>
        </w:rPr>
        <w:t>名称（</w:t>
      </w:r>
      <w:r>
        <w:rPr>
          <w:rFonts w:hint="eastAsia" w:ascii="宋体" w:hAnsi="宋体" w:eastAsia="宋体" w:cs="宋体"/>
          <w:b w:val="0"/>
          <w:bCs w:val="0"/>
          <w:color w:val="auto"/>
          <w:kern w:val="0"/>
          <w:sz w:val="24"/>
          <w:szCs w:val="24"/>
          <w:highlight w:val="none"/>
          <w:lang w:val="en-US" w:eastAsia="zh-CN"/>
        </w:rPr>
        <w:t>盖</w:t>
      </w:r>
      <w:r>
        <w:rPr>
          <w:rFonts w:hint="eastAsia" w:ascii="宋体" w:hAnsi="宋体" w:eastAsia="宋体" w:cs="宋体"/>
          <w:b w:val="0"/>
          <w:bCs w:val="0"/>
          <w:color w:val="auto"/>
          <w:kern w:val="0"/>
          <w:sz w:val="24"/>
          <w:szCs w:val="24"/>
          <w:highlight w:val="none"/>
        </w:rPr>
        <w:t>公章）：</w:t>
      </w:r>
      <w:r>
        <w:rPr>
          <w:rFonts w:hint="eastAsia" w:ascii="宋体" w:hAnsi="宋体" w:eastAsia="宋体" w:cs="宋体"/>
          <w:b w:val="0"/>
          <w:bCs w:val="0"/>
          <w:color w:val="auto"/>
          <w:kern w:val="0"/>
          <w:sz w:val="24"/>
          <w:szCs w:val="24"/>
          <w:highlight w:val="none"/>
          <w:u w:val="single"/>
          <w:lang w:val="en-US" w:eastAsia="zh-CN"/>
        </w:rPr>
        <w:t xml:space="preserve">                     </w:t>
      </w:r>
    </w:p>
    <w:p w14:paraId="1A9DC249">
      <w:pPr>
        <w:pStyle w:val="35"/>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highlight w:val="none"/>
          <w:lang w:val="en-US" w:eastAsia="zh-CN"/>
        </w:rPr>
      </w:pPr>
    </w:p>
    <w:p w14:paraId="299286B1">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rPr>
          <w:rFonts w:hint="eastAsia" w:ascii="宋体" w:hAnsi="宋体" w:eastAsia="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签字或盖章</w:t>
      </w:r>
      <w:r>
        <w:rPr>
          <w:rFonts w:hint="eastAsia" w:ascii="宋体" w:hAnsi="宋体" w:eastAsia="宋体" w:cs="宋体"/>
          <w:color w:val="auto"/>
          <w:sz w:val="24"/>
          <w:highlight w:val="none"/>
        </w:rPr>
        <w:t>）</w:t>
      </w:r>
      <w:r>
        <w:rPr>
          <w:rFonts w:hint="eastAsia" w:ascii="宋体" w:hAnsi="宋体" w:eastAsia="宋体" w:cs="宋体"/>
          <w:b w:val="0"/>
          <w:bCs w:val="0"/>
          <w:color w:val="auto"/>
          <w:kern w:val="0"/>
          <w:sz w:val="24"/>
          <w:szCs w:val="24"/>
          <w:highlight w:val="none"/>
          <w:u w:val="single"/>
          <w:lang w:val="en-US" w:eastAsia="zh-CN"/>
        </w:rPr>
        <w:t xml:space="preserve">                   </w:t>
      </w:r>
    </w:p>
    <w:p w14:paraId="45BA1469">
      <w:pPr>
        <w:pStyle w:val="35"/>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highlight w:val="none"/>
        </w:rPr>
      </w:pPr>
    </w:p>
    <w:p w14:paraId="6BF40B95">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3A767427">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rPr>
          <w:rFonts w:hint="eastAsia" w:ascii="宋体" w:hAnsi="宋体" w:eastAsia="宋体" w:cs="宋体"/>
          <w:b w:val="0"/>
          <w:bCs w:val="0"/>
          <w:color w:val="auto"/>
          <w:kern w:val="0"/>
          <w:sz w:val="24"/>
          <w:szCs w:val="24"/>
          <w:highlight w:val="none"/>
        </w:rPr>
      </w:pPr>
    </w:p>
    <w:p w14:paraId="2A9D0502">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rPr>
          <w:rFonts w:hint="eastAsia" w:ascii="宋体" w:hAnsi="宋体" w:eastAsia="宋体" w:cs="宋体"/>
          <w:b w:val="0"/>
          <w:bCs w:val="0"/>
          <w:color w:val="auto"/>
          <w:kern w:val="0"/>
          <w:sz w:val="24"/>
          <w:szCs w:val="24"/>
          <w:highlight w:val="none"/>
        </w:rPr>
      </w:pPr>
    </w:p>
    <w:p w14:paraId="7D17EB41">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rPr>
          <w:rFonts w:hint="eastAsia" w:ascii="宋体" w:hAnsi="宋体" w:eastAsia="宋体" w:cs="宋体"/>
          <w:b w:val="0"/>
          <w:bCs w:val="0"/>
          <w:color w:val="auto"/>
          <w:kern w:val="0"/>
          <w:sz w:val="24"/>
          <w:szCs w:val="24"/>
          <w:highlight w:val="none"/>
        </w:rPr>
      </w:pPr>
    </w:p>
    <w:p w14:paraId="069E18B8">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rPr>
          <w:rFonts w:hint="eastAsia" w:ascii="宋体" w:hAnsi="宋体" w:eastAsia="宋体" w:cs="宋体"/>
          <w:b w:val="0"/>
          <w:bCs w:val="0"/>
          <w:color w:val="auto"/>
          <w:kern w:val="0"/>
          <w:sz w:val="24"/>
          <w:szCs w:val="24"/>
          <w:highlight w:val="none"/>
        </w:rPr>
      </w:pPr>
    </w:p>
    <w:p w14:paraId="090B6B5F">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rPr>
          <w:rFonts w:hint="eastAsia" w:ascii="宋体" w:hAnsi="宋体" w:eastAsia="宋体" w:cs="宋体"/>
          <w:b w:val="0"/>
          <w:bCs w:val="0"/>
          <w:color w:val="auto"/>
          <w:kern w:val="0"/>
          <w:sz w:val="24"/>
          <w:szCs w:val="24"/>
          <w:highlight w:val="none"/>
        </w:rPr>
      </w:pPr>
    </w:p>
    <w:p w14:paraId="73FE4B0E">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rPr>
          <w:rFonts w:hint="eastAsia" w:ascii="宋体" w:hAnsi="宋体" w:eastAsia="宋体" w:cs="宋体"/>
          <w:b w:val="0"/>
          <w:bCs w:val="0"/>
          <w:color w:val="auto"/>
          <w:kern w:val="0"/>
          <w:sz w:val="24"/>
          <w:szCs w:val="24"/>
          <w:highlight w:val="none"/>
        </w:rPr>
      </w:pPr>
    </w:p>
    <w:p w14:paraId="0A3D6656">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rPr>
          <w:rFonts w:hint="eastAsia" w:ascii="宋体" w:hAnsi="宋体" w:eastAsia="宋体" w:cs="宋体"/>
          <w:b w:val="0"/>
          <w:bCs w:val="0"/>
          <w:color w:val="auto"/>
          <w:kern w:val="0"/>
          <w:sz w:val="24"/>
          <w:szCs w:val="24"/>
          <w:highlight w:val="none"/>
        </w:rPr>
      </w:pPr>
    </w:p>
    <w:p w14:paraId="64571475">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rPr>
          <w:rFonts w:hint="eastAsia" w:ascii="宋体" w:hAnsi="宋体" w:eastAsia="宋体" w:cs="宋体"/>
          <w:b w:val="0"/>
          <w:bCs w:val="0"/>
          <w:color w:val="auto"/>
          <w:kern w:val="0"/>
          <w:sz w:val="24"/>
          <w:szCs w:val="24"/>
          <w:highlight w:val="none"/>
        </w:rPr>
      </w:pPr>
    </w:p>
    <w:p w14:paraId="3163F2D5">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rPr>
          <w:rFonts w:hint="eastAsia" w:ascii="宋体" w:hAnsi="宋体" w:eastAsia="宋体" w:cs="宋体"/>
          <w:b w:val="0"/>
          <w:bCs w:val="0"/>
          <w:color w:val="auto"/>
          <w:kern w:val="0"/>
          <w:sz w:val="24"/>
          <w:szCs w:val="24"/>
          <w:highlight w:val="none"/>
        </w:rPr>
      </w:pPr>
    </w:p>
    <w:p w14:paraId="22453101">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说明：除可填报项目外，对本投标函的任何修改将被视为非实质性响应投标，从而导致该投标被拒绝。</w:t>
      </w:r>
    </w:p>
    <w:p w14:paraId="7A1FA779">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24"/>
          <w:szCs w:val="24"/>
          <w:highlight w:val="none"/>
          <w:lang w:eastAsia="zh-CN"/>
        </w:rPr>
      </w:pPr>
      <w:bookmarkStart w:id="213" w:name="_Toc217446088"/>
      <w:bookmarkStart w:id="214" w:name="_Toc17831"/>
      <w:r>
        <w:rPr>
          <w:rFonts w:hint="eastAsia" w:ascii="宋体" w:hAnsi="宋体" w:eastAsia="宋体" w:cs="宋体"/>
          <w:color w:val="auto"/>
          <w:sz w:val="24"/>
          <w:szCs w:val="24"/>
          <w:highlight w:val="none"/>
          <w:lang w:eastAsia="zh-CN"/>
        </w:rPr>
        <w:br w:type="page"/>
      </w:r>
      <w:bookmarkStart w:id="215" w:name="_Toc11354"/>
      <w:r>
        <w:rPr>
          <w:rFonts w:hint="eastAsia" w:ascii="宋体" w:hAnsi="宋体" w:eastAsia="宋体" w:cs="宋体"/>
          <w:color w:val="auto"/>
          <w:sz w:val="24"/>
          <w:szCs w:val="24"/>
          <w:highlight w:val="none"/>
          <w:lang w:eastAsia="zh-CN"/>
        </w:rPr>
        <w:t>（二）供应商基本情况表</w:t>
      </w:r>
      <w:bookmarkEnd w:id="213"/>
      <w:bookmarkEnd w:id="214"/>
      <w:bookmarkEnd w:id="215"/>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1120"/>
        <w:gridCol w:w="1192"/>
        <w:gridCol w:w="1306"/>
        <w:gridCol w:w="1792"/>
        <w:gridCol w:w="1030"/>
        <w:gridCol w:w="1388"/>
      </w:tblGrid>
      <w:tr w14:paraId="309C4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830" w:type="dxa"/>
            <w:noWrap w:val="0"/>
            <w:vAlign w:val="center"/>
          </w:tcPr>
          <w:p w14:paraId="0C89B98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p>
        </w:tc>
        <w:tc>
          <w:tcPr>
            <w:tcW w:w="7828" w:type="dxa"/>
            <w:gridSpan w:val="6"/>
            <w:noWrap w:val="0"/>
            <w:vAlign w:val="center"/>
          </w:tcPr>
          <w:p w14:paraId="257A8900">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kern w:val="0"/>
                <w:sz w:val="24"/>
                <w:szCs w:val="24"/>
                <w:highlight w:val="none"/>
              </w:rPr>
            </w:pPr>
          </w:p>
        </w:tc>
      </w:tr>
      <w:tr w14:paraId="4BBF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830" w:type="dxa"/>
            <w:noWrap w:val="0"/>
            <w:vAlign w:val="center"/>
          </w:tcPr>
          <w:p w14:paraId="6D9B9F6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是否为联合体</w:t>
            </w:r>
          </w:p>
        </w:tc>
        <w:tc>
          <w:tcPr>
            <w:tcW w:w="7828" w:type="dxa"/>
            <w:gridSpan w:val="6"/>
            <w:noWrap w:val="0"/>
            <w:vAlign w:val="center"/>
          </w:tcPr>
          <w:p w14:paraId="3C469303">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是     </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否</w:t>
            </w:r>
          </w:p>
        </w:tc>
      </w:tr>
      <w:tr w14:paraId="6CF32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830" w:type="dxa"/>
            <w:noWrap w:val="0"/>
            <w:vAlign w:val="center"/>
          </w:tcPr>
          <w:p w14:paraId="5B33FF7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注册地址</w:t>
            </w:r>
          </w:p>
        </w:tc>
        <w:tc>
          <w:tcPr>
            <w:tcW w:w="3618" w:type="dxa"/>
            <w:gridSpan w:val="3"/>
            <w:noWrap w:val="0"/>
            <w:vAlign w:val="center"/>
          </w:tcPr>
          <w:p w14:paraId="5A227EE2">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kern w:val="0"/>
                <w:sz w:val="24"/>
                <w:szCs w:val="24"/>
                <w:highlight w:val="none"/>
              </w:rPr>
            </w:pPr>
          </w:p>
        </w:tc>
        <w:tc>
          <w:tcPr>
            <w:tcW w:w="1792" w:type="dxa"/>
            <w:noWrap w:val="0"/>
            <w:vAlign w:val="center"/>
          </w:tcPr>
          <w:p w14:paraId="0E1ADC2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邮政编码</w:t>
            </w:r>
          </w:p>
        </w:tc>
        <w:tc>
          <w:tcPr>
            <w:tcW w:w="2418" w:type="dxa"/>
            <w:gridSpan w:val="2"/>
            <w:noWrap w:val="0"/>
            <w:vAlign w:val="center"/>
          </w:tcPr>
          <w:p w14:paraId="41FF28B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 w:val="24"/>
                <w:szCs w:val="24"/>
                <w:highlight w:val="none"/>
              </w:rPr>
            </w:pPr>
          </w:p>
        </w:tc>
      </w:tr>
      <w:tr w14:paraId="0951F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830" w:type="dxa"/>
            <w:vMerge w:val="restart"/>
            <w:noWrap w:val="0"/>
            <w:vAlign w:val="center"/>
          </w:tcPr>
          <w:p w14:paraId="1C9D1C1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联系方式</w:t>
            </w:r>
          </w:p>
        </w:tc>
        <w:tc>
          <w:tcPr>
            <w:tcW w:w="1120" w:type="dxa"/>
            <w:noWrap w:val="0"/>
            <w:vAlign w:val="center"/>
          </w:tcPr>
          <w:p w14:paraId="050CD82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w:t>
            </w:r>
          </w:p>
        </w:tc>
        <w:tc>
          <w:tcPr>
            <w:tcW w:w="2498" w:type="dxa"/>
            <w:gridSpan w:val="2"/>
            <w:noWrap w:val="0"/>
            <w:vAlign w:val="center"/>
          </w:tcPr>
          <w:p w14:paraId="6D473D41">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 w:val="24"/>
                <w:szCs w:val="24"/>
                <w:highlight w:val="none"/>
              </w:rPr>
            </w:pPr>
          </w:p>
        </w:tc>
        <w:tc>
          <w:tcPr>
            <w:tcW w:w="1792" w:type="dxa"/>
            <w:noWrap w:val="0"/>
            <w:vAlign w:val="center"/>
          </w:tcPr>
          <w:p w14:paraId="71D3F90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p>
        </w:tc>
        <w:tc>
          <w:tcPr>
            <w:tcW w:w="2418" w:type="dxa"/>
            <w:gridSpan w:val="2"/>
            <w:noWrap w:val="0"/>
            <w:vAlign w:val="center"/>
          </w:tcPr>
          <w:p w14:paraId="124A6F0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 w:val="24"/>
                <w:szCs w:val="24"/>
                <w:highlight w:val="none"/>
              </w:rPr>
            </w:pPr>
          </w:p>
        </w:tc>
      </w:tr>
      <w:tr w14:paraId="09412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8" w:hRule="atLeast"/>
          <w:jc w:val="center"/>
        </w:trPr>
        <w:tc>
          <w:tcPr>
            <w:tcW w:w="1830" w:type="dxa"/>
            <w:vMerge w:val="continue"/>
            <w:noWrap w:val="0"/>
            <w:vAlign w:val="center"/>
          </w:tcPr>
          <w:p w14:paraId="14E68A6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 w:val="24"/>
                <w:szCs w:val="24"/>
                <w:highlight w:val="none"/>
              </w:rPr>
            </w:pPr>
          </w:p>
        </w:tc>
        <w:tc>
          <w:tcPr>
            <w:tcW w:w="1120" w:type="dxa"/>
            <w:noWrap w:val="0"/>
            <w:vAlign w:val="center"/>
          </w:tcPr>
          <w:p w14:paraId="2E3AE9B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传真</w:t>
            </w:r>
          </w:p>
        </w:tc>
        <w:tc>
          <w:tcPr>
            <w:tcW w:w="2498" w:type="dxa"/>
            <w:gridSpan w:val="2"/>
            <w:noWrap w:val="0"/>
            <w:vAlign w:val="center"/>
          </w:tcPr>
          <w:p w14:paraId="3E6E3531">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 w:val="24"/>
                <w:szCs w:val="24"/>
                <w:highlight w:val="none"/>
              </w:rPr>
            </w:pPr>
          </w:p>
        </w:tc>
        <w:tc>
          <w:tcPr>
            <w:tcW w:w="1792" w:type="dxa"/>
            <w:noWrap w:val="0"/>
            <w:vAlign w:val="center"/>
          </w:tcPr>
          <w:p w14:paraId="38E03FEC">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网址</w:t>
            </w:r>
          </w:p>
        </w:tc>
        <w:tc>
          <w:tcPr>
            <w:tcW w:w="2418" w:type="dxa"/>
            <w:gridSpan w:val="2"/>
            <w:noWrap w:val="0"/>
            <w:vAlign w:val="center"/>
          </w:tcPr>
          <w:p w14:paraId="52327A6A">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 w:val="24"/>
                <w:szCs w:val="24"/>
                <w:highlight w:val="none"/>
              </w:rPr>
            </w:pPr>
          </w:p>
        </w:tc>
      </w:tr>
      <w:tr w14:paraId="492AD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830" w:type="dxa"/>
            <w:noWrap w:val="0"/>
            <w:vAlign w:val="center"/>
          </w:tcPr>
          <w:p w14:paraId="2BB773D1">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组织结构</w:t>
            </w:r>
          </w:p>
        </w:tc>
        <w:tc>
          <w:tcPr>
            <w:tcW w:w="7828" w:type="dxa"/>
            <w:gridSpan w:val="6"/>
            <w:noWrap w:val="0"/>
            <w:vAlign w:val="center"/>
          </w:tcPr>
          <w:p w14:paraId="07A74E04">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kern w:val="0"/>
                <w:sz w:val="24"/>
                <w:szCs w:val="24"/>
                <w:highlight w:val="none"/>
              </w:rPr>
            </w:pPr>
          </w:p>
        </w:tc>
      </w:tr>
      <w:tr w14:paraId="15876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830" w:type="dxa"/>
            <w:noWrap w:val="0"/>
            <w:vAlign w:val="center"/>
          </w:tcPr>
          <w:p w14:paraId="47F249FA">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p>
        </w:tc>
        <w:tc>
          <w:tcPr>
            <w:tcW w:w="1120" w:type="dxa"/>
            <w:noWrap w:val="0"/>
            <w:vAlign w:val="center"/>
          </w:tcPr>
          <w:p w14:paraId="7127D19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p>
        </w:tc>
        <w:tc>
          <w:tcPr>
            <w:tcW w:w="1192" w:type="dxa"/>
            <w:noWrap w:val="0"/>
            <w:vAlign w:val="center"/>
          </w:tcPr>
          <w:p w14:paraId="6ACA55B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 w:val="24"/>
                <w:szCs w:val="24"/>
                <w:highlight w:val="none"/>
              </w:rPr>
            </w:pPr>
          </w:p>
        </w:tc>
        <w:tc>
          <w:tcPr>
            <w:tcW w:w="1306" w:type="dxa"/>
            <w:noWrap w:val="0"/>
            <w:vAlign w:val="center"/>
          </w:tcPr>
          <w:p w14:paraId="0AB71E2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技术职称</w:t>
            </w:r>
          </w:p>
        </w:tc>
        <w:tc>
          <w:tcPr>
            <w:tcW w:w="1792" w:type="dxa"/>
            <w:noWrap w:val="0"/>
            <w:vAlign w:val="center"/>
          </w:tcPr>
          <w:p w14:paraId="03BEA54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 w:val="24"/>
                <w:szCs w:val="24"/>
                <w:highlight w:val="none"/>
              </w:rPr>
            </w:pPr>
          </w:p>
        </w:tc>
        <w:tc>
          <w:tcPr>
            <w:tcW w:w="1030" w:type="dxa"/>
            <w:noWrap w:val="0"/>
            <w:vAlign w:val="center"/>
          </w:tcPr>
          <w:p w14:paraId="7280829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p>
        </w:tc>
        <w:tc>
          <w:tcPr>
            <w:tcW w:w="1388" w:type="dxa"/>
            <w:noWrap w:val="0"/>
            <w:vAlign w:val="center"/>
          </w:tcPr>
          <w:p w14:paraId="60E7FD4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color w:val="auto"/>
                <w:kern w:val="0"/>
                <w:sz w:val="24"/>
                <w:szCs w:val="24"/>
                <w:highlight w:val="none"/>
              </w:rPr>
            </w:pPr>
          </w:p>
        </w:tc>
      </w:tr>
      <w:tr w14:paraId="2E5ED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830" w:type="dxa"/>
            <w:noWrap w:val="0"/>
            <w:vAlign w:val="center"/>
          </w:tcPr>
          <w:p w14:paraId="04F1FC8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技术负责人</w:t>
            </w:r>
          </w:p>
        </w:tc>
        <w:tc>
          <w:tcPr>
            <w:tcW w:w="1120" w:type="dxa"/>
            <w:noWrap w:val="0"/>
            <w:vAlign w:val="center"/>
          </w:tcPr>
          <w:p w14:paraId="1718696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p>
        </w:tc>
        <w:tc>
          <w:tcPr>
            <w:tcW w:w="1192" w:type="dxa"/>
            <w:noWrap w:val="0"/>
            <w:vAlign w:val="center"/>
          </w:tcPr>
          <w:p w14:paraId="63DEC47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 w:val="24"/>
                <w:szCs w:val="24"/>
                <w:highlight w:val="none"/>
              </w:rPr>
            </w:pPr>
          </w:p>
        </w:tc>
        <w:tc>
          <w:tcPr>
            <w:tcW w:w="1306" w:type="dxa"/>
            <w:noWrap w:val="0"/>
            <w:vAlign w:val="center"/>
          </w:tcPr>
          <w:p w14:paraId="4EA4123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技术职称</w:t>
            </w:r>
          </w:p>
        </w:tc>
        <w:tc>
          <w:tcPr>
            <w:tcW w:w="1792" w:type="dxa"/>
            <w:noWrap w:val="0"/>
            <w:vAlign w:val="center"/>
          </w:tcPr>
          <w:p w14:paraId="40B058D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 w:val="24"/>
                <w:szCs w:val="24"/>
                <w:highlight w:val="none"/>
              </w:rPr>
            </w:pPr>
          </w:p>
        </w:tc>
        <w:tc>
          <w:tcPr>
            <w:tcW w:w="1030" w:type="dxa"/>
            <w:noWrap w:val="0"/>
            <w:vAlign w:val="center"/>
          </w:tcPr>
          <w:p w14:paraId="2FFF548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p>
        </w:tc>
        <w:tc>
          <w:tcPr>
            <w:tcW w:w="1388" w:type="dxa"/>
            <w:noWrap w:val="0"/>
            <w:vAlign w:val="center"/>
          </w:tcPr>
          <w:p w14:paraId="1091535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color w:val="auto"/>
                <w:kern w:val="0"/>
                <w:sz w:val="24"/>
                <w:szCs w:val="24"/>
                <w:highlight w:val="none"/>
              </w:rPr>
            </w:pPr>
          </w:p>
        </w:tc>
      </w:tr>
      <w:tr w14:paraId="58DBB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830" w:type="dxa"/>
            <w:noWrap w:val="0"/>
            <w:vAlign w:val="center"/>
          </w:tcPr>
          <w:p w14:paraId="1CE62D4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成立时间</w:t>
            </w:r>
          </w:p>
        </w:tc>
        <w:tc>
          <w:tcPr>
            <w:tcW w:w="2312" w:type="dxa"/>
            <w:gridSpan w:val="2"/>
            <w:noWrap w:val="0"/>
            <w:vAlign w:val="center"/>
          </w:tcPr>
          <w:p w14:paraId="50EC27B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 w:val="24"/>
                <w:szCs w:val="24"/>
                <w:highlight w:val="none"/>
              </w:rPr>
            </w:pPr>
          </w:p>
        </w:tc>
        <w:tc>
          <w:tcPr>
            <w:tcW w:w="5516" w:type="dxa"/>
            <w:gridSpan w:val="4"/>
            <w:noWrap w:val="0"/>
            <w:vAlign w:val="center"/>
          </w:tcPr>
          <w:p w14:paraId="4D4251AC">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员工总人数：</w:t>
            </w:r>
          </w:p>
        </w:tc>
      </w:tr>
      <w:tr w14:paraId="4BD75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830" w:type="dxa"/>
            <w:noWrap w:val="0"/>
            <w:vAlign w:val="center"/>
          </w:tcPr>
          <w:p w14:paraId="03E2D3D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企业资质等级</w:t>
            </w:r>
          </w:p>
        </w:tc>
        <w:tc>
          <w:tcPr>
            <w:tcW w:w="7828" w:type="dxa"/>
            <w:gridSpan w:val="6"/>
            <w:noWrap w:val="0"/>
            <w:vAlign w:val="center"/>
          </w:tcPr>
          <w:p w14:paraId="53E15FC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color w:val="auto"/>
                <w:kern w:val="0"/>
                <w:sz w:val="24"/>
                <w:szCs w:val="24"/>
                <w:highlight w:val="none"/>
              </w:rPr>
            </w:pPr>
          </w:p>
        </w:tc>
      </w:tr>
      <w:tr w14:paraId="63812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830" w:type="dxa"/>
            <w:noWrap w:val="0"/>
            <w:vAlign w:val="center"/>
          </w:tcPr>
          <w:p w14:paraId="528FAB9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营业执照号</w:t>
            </w:r>
          </w:p>
        </w:tc>
        <w:tc>
          <w:tcPr>
            <w:tcW w:w="7828" w:type="dxa"/>
            <w:gridSpan w:val="6"/>
            <w:noWrap w:val="0"/>
            <w:vAlign w:val="center"/>
          </w:tcPr>
          <w:p w14:paraId="75AC7C7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color w:val="auto"/>
                <w:kern w:val="0"/>
                <w:sz w:val="24"/>
                <w:szCs w:val="24"/>
                <w:highlight w:val="none"/>
              </w:rPr>
            </w:pPr>
          </w:p>
        </w:tc>
      </w:tr>
      <w:tr w14:paraId="14B73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830" w:type="dxa"/>
            <w:noWrap w:val="0"/>
            <w:vAlign w:val="center"/>
          </w:tcPr>
          <w:p w14:paraId="1A12F0D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注册资金</w:t>
            </w:r>
          </w:p>
        </w:tc>
        <w:tc>
          <w:tcPr>
            <w:tcW w:w="7828" w:type="dxa"/>
            <w:gridSpan w:val="6"/>
            <w:noWrap w:val="0"/>
            <w:vAlign w:val="center"/>
          </w:tcPr>
          <w:p w14:paraId="55837C81">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color w:val="auto"/>
                <w:kern w:val="0"/>
                <w:sz w:val="24"/>
                <w:szCs w:val="24"/>
                <w:highlight w:val="none"/>
              </w:rPr>
            </w:pPr>
          </w:p>
        </w:tc>
      </w:tr>
      <w:tr w14:paraId="378E0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830" w:type="dxa"/>
            <w:noWrap w:val="0"/>
            <w:vAlign w:val="center"/>
          </w:tcPr>
          <w:p w14:paraId="0B902C9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开户银行</w:t>
            </w:r>
          </w:p>
        </w:tc>
        <w:tc>
          <w:tcPr>
            <w:tcW w:w="7828" w:type="dxa"/>
            <w:gridSpan w:val="6"/>
            <w:noWrap w:val="0"/>
            <w:vAlign w:val="center"/>
          </w:tcPr>
          <w:p w14:paraId="24702B7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color w:val="auto"/>
                <w:kern w:val="0"/>
                <w:sz w:val="24"/>
                <w:szCs w:val="24"/>
                <w:highlight w:val="none"/>
              </w:rPr>
            </w:pPr>
          </w:p>
        </w:tc>
      </w:tr>
      <w:tr w14:paraId="13AD3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830" w:type="dxa"/>
            <w:noWrap w:val="0"/>
            <w:vAlign w:val="center"/>
          </w:tcPr>
          <w:p w14:paraId="4CC3F5B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账号</w:t>
            </w:r>
          </w:p>
        </w:tc>
        <w:tc>
          <w:tcPr>
            <w:tcW w:w="7828" w:type="dxa"/>
            <w:gridSpan w:val="6"/>
            <w:noWrap w:val="0"/>
            <w:vAlign w:val="center"/>
          </w:tcPr>
          <w:p w14:paraId="6CDFEBF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color w:val="auto"/>
                <w:kern w:val="0"/>
                <w:sz w:val="24"/>
                <w:szCs w:val="24"/>
                <w:highlight w:val="none"/>
              </w:rPr>
            </w:pPr>
          </w:p>
        </w:tc>
      </w:tr>
      <w:tr w14:paraId="26C27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atLeast"/>
          <w:jc w:val="center"/>
        </w:trPr>
        <w:tc>
          <w:tcPr>
            <w:tcW w:w="1830" w:type="dxa"/>
            <w:noWrap w:val="0"/>
            <w:vAlign w:val="center"/>
          </w:tcPr>
          <w:p w14:paraId="6305BCB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经营范围</w:t>
            </w:r>
          </w:p>
        </w:tc>
        <w:tc>
          <w:tcPr>
            <w:tcW w:w="7828" w:type="dxa"/>
            <w:gridSpan w:val="6"/>
            <w:noWrap w:val="0"/>
            <w:vAlign w:val="center"/>
          </w:tcPr>
          <w:p w14:paraId="7044D098">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b/>
                <w:bCs/>
                <w:color w:val="auto"/>
                <w:kern w:val="0"/>
                <w:sz w:val="24"/>
                <w:szCs w:val="24"/>
                <w:highlight w:val="none"/>
              </w:rPr>
            </w:pPr>
          </w:p>
        </w:tc>
      </w:tr>
      <w:tr w14:paraId="0160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1830" w:type="dxa"/>
            <w:noWrap w:val="0"/>
            <w:vAlign w:val="center"/>
          </w:tcPr>
          <w:p w14:paraId="6BE683E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c>
          <w:tcPr>
            <w:tcW w:w="7828" w:type="dxa"/>
            <w:gridSpan w:val="6"/>
            <w:noWrap w:val="0"/>
            <w:vAlign w:val="center"/>
          </w:tcPr>
          <w:p w14:paraId="39762308">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kern w:val="0"/>
                <w:sz w:val="24"/>
                <w:szCs w:val="24"/>
                <w:highlight w:val="none"/>
              </w:rPr>
            </w:pPr>
          </w:p>
        </w:tc>
      </w:tr>
    </w:tbl>
    <w:p w14:paraId="1C632DD0">
      <w:pPr>
        <w:pStyle w:val="35"/>
        <w:keepNext w:val="0"/>
        <w:keepLines w:val="0"/>
        <w:pageBreakBefore w:val="0"/>
        <w:widowControl w:val="0"/>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color w:val="auto"/>
          <w:sz w:val="24"/>
          <w:szCs w:val="24"/>
          <w:highlight w:val="none"/>
        </w:rPr>
      </w:pPr>
    </w:p>
    <w:p w14:paraId="7E0BACA1">
      <w:pPr>
        <w:pStyle w:val="35"/>
        <w:keepNext w:val="0"/>
        <w:keepLines w:val="0"/>
        <w:pageBreakBefore w:val="0"/>
        <w:widowControl w:val="0"/>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color w:val="auto"/>
          <w:sz w:val="24"/>
          <w:szCs w:val="24"/>
          <w:highlight w:val="none"/>
        </w:rPr>
      </w:pPr>
    </w:p>
    <w:p w14:paraId="74E23257">
      <w:pPr>
        <w:pStyle w:val="35"/>
        <w:keepNext w:val="0"/>
        <w:keepLines w:val="0"/>
        <w:pageBreakBefore w:val="0"/>
        <w:widowControl w:val="0"/>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color w:val="auto"/>
          <w:sz w:val="24"/>
          <w:szCs w:val="24"/>
          <w:highlight w:val="none"/>
        </w:rPr>
      </w:pPr>
    </w:p>
    <w:p w14:paraId="75D670C0">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rPr>
          <w:rFonts w:hint="eastAsia" w:ascii="宋体" w:hAnsi="宋体" w:eastAsia="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lang w:eastAsia="zh-CN"/>
        </w:rPr>
        <w:t>投标供应商</w:t>
      </w:r>
      <w:r>
        <w:rPr>
          <w:rFonts w:hint="eastAsia" w:ascii="宋体" w:hAnsi="宋体" w:eastAsia="宋体" w:cs="宋体"/>
          <w:b w:val="0"/>
          <w:bCs w:val="0"/>
          <w:color w:val="auto"/>
          <w:kern w:val="0"/>
          <w:sz w:val="24"/>
          <w:szCs w:val="24"/>
          <w:highlight w:val="none"/>
        </w:rPr>
        <w:t>名称（</w:t>
      </w:r>
      <w:r>
        <w:rPr>
          <w:rFonts w:hint="eastAsia" w:ascii="宋体" w:hAnsi="宋体" w:eastAsia="宋体" w:cs="宋体"/>
          <w:b w:val="0"/>
          <w:bCs w:val="0"/>
          <w:color w:val="auto"/>
          <w:kern w:val="0"/>
          <w:sz w:val="24"/>
          <w:szCs w:val="24"/>
          <w:highlight w:val="none"/>
          <w:lang w:val="en-US" w:eastAsia="zh-CN"/>
        </w:rPr>
        <w:t>盖</w:t>
      </w:r>
      <w:r>
        <w:rPr>
          <w:rFonts w:hint="eastAsia" w:ascii="宋体" w:hAnsi="宋体" w:eastAsia="宋体" w:cs="宋体"/>
          <w:b w:val="0"/>
          <w:bCs w:val="0"/>
          <w:color w:val="auto"/>
          <w:kern w:val="0"/>
          <w:sz w:val="24"/>
          <w:szCs w:val="24"/>
          <w:highlight w:val="none"/>
        </w:rPr>
        <w:t>公章）：</w:t>
      </w:r>
      <w:r>
        <w:rPr>
          <w:rFonts w:hint="eastAsia" w:ascii="宋体" w:hAnsi="宋体" w:eastAsia="宋体" w:cs="宋体"/>
          <w:b w:val="0"/>
          <w:bCs w:val="0"/>
          <w:color w:val="auto"/>
          <w:kern w:val="0"/>
          <w:sz w:val="24"/>
          <w:szCs w:val="24"/>
          <w:highlight w:val="none"/>
          <w:u w:val="single"/>
          <w:lang w:val="en-US" w:eastAsia="zh-CN"/>
        </w:rPr>
        <w:t xml:space="preserve">                     </w:t>
      </w:r>
    </w:p>
    <w:p w14:paraId="00141215">
      <w:pPr>
        <w:pStyle w:val="35"/>
        <w:keepNext w:val="0"/>
        <w:keepLines w:val="0"/>
        <w:pageBreakBefore w:val="0"/>
        <w:widowControl w:val="0"/>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color w:val="auto"/>
          <w:sz w:val="24"/>
          <w:szCs w:val="24"/>
          <w:highlight w:val="none"/>
          <w:lang w:val="en-US" w:eastAsia="zh-CN"/>
        </w:rPr>
      </w:pPr>
    </w:p>
    <w:p w14:paraId="75CE9651">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rPr>
          <w:rFonts w:hint="eastAsia" w:ascii="宋体" w:hAnsi="宋体" w:eastAsia="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w:t>
      </w:r>
      <w:r>
        <w:rPr>
          <w:rFonts w:hint="eastAsia" w:ascii="宋体" w:hAnsi="宋体" w:eastAsia="宋体" w:cs="宋体"/>
          <w:b w:val="0"/>
          <w:bCs w:val="0"/>
          <w:color w:val="auto"/>
          <w:kern w:val="0"/>
          <w:sz w:val="24"/>
          <w:szCs w:val="24"/>
          <w:highlight w:val="none"/>
          <w:lang w:val="en-US" w:eastAsia="zh-CN"/>
        </w:rPr>
        <w:t>签字或盖章</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u w:val="single"/>
          <w:lang w:val="en-US" w:eastAsia="zh-CN"/>
        </w:rPr>
        <w:t xml:space="preserve">                   </w:t>
      </w:r>
    </w:p>
    <w:p w14:paraId="0A9A6B75">
      <w:pPr>
        <w:pStyle w:val="35"/>
        <w:keepNext w:val="0"/>
        <w:keepLines w:val="0"/>
        <w:pageBreakBefore w:val="0"/>
        <w:widowControl w:val="0"/>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color w:val="auto"/>
          <w:sz w:val="24"/>
          <w:szCs w:val="24"/>
          <w:highlight w:val="none"/>
        </w:rPr>
      </w:pPr>
    </w:p>
    <w:p w14:paraId="4D4E0AA9">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5230BEE3">
      <w:pPr>
        <w:pStyle w:val="35"/>
        <w:keepNext w:val="0"/>
        <w:keepLines w:val="0"/>
        <w:pageBreakBefore w:val="0"/>
        <w:widowControl w:val="0"/>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color w:val="auto"/>
          <w:sz w:val="24"/>
          <w:szCs w:val="24"/>
          <w:highlight w:val="none"/>
        </w:rPr>
      </w:pPr>
    </w:p>
    <w:p w14:paraId="467CA97F">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24"/>
          <w:szCs w:val="24"/>
          <w:highlight w:val="none"/>
          <w:lang w:eastAsia="zh-CN"/>
        </w:rPr>
      </w:pPr>
      <w:bookmarkStart w:id="216" w:name="_Toc2441"/>
      <w:bookmarkStart w:id="217" w:name="_Toc28523"/>
      <w:r>
        <w:rPr>
          <w:rFonts w:hint="eastAsia" w:ascii="宋体" w:hAnsi="宋体" w:eastAsia="宋体" w:cs="宋体"/>
          <w:color w:val="auto"/>
          <w:sz w:val="24"/>
          <w:szCs w:val="24"/>
          <w:highlight w:val="none"/>
          <w:lang w:eastAsia="zh-CN"/>
        </w:rPr>
        <w:t>（三）商务、</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lang w:eastAsia="zh-CN"/>
        </w:rPr>
        <w:t>条款偏离表</w:t>
      </w:r>
      <w:bookmarkEnd w:id="216"/>
      <w:bookmarkEnd w:id="217"/>
    </w:p>
    <w:p w14:paraId="4D8B122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lang w:eastAsia="zh-CN"/>
        </w:rPr>
        <w:t>项目名称</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u w:val="single"/>
          <w:lang w:val="en-US" w:eastAsia="zh-CN"/>
        </w:rPr>
        <w:t xml:space="preserve">                             </w:t>
      </w:r>
    </w:p>
    <w:p w14:paraId="5502FA9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项目编号：</w:t>
      </w:r>
      <w:r>
        <w:rPr>
          <w:rFonts w:hint="eastAsia" w:ascii="宋体" w:hAnsi="宋体" w:eastAsia="宋体" w:cs="宋体"/>
          <w:color w:val="auto"/>
          <w:sz w:val="24"/>
          <w:szCs w:val="24"/>
          <w:highlight w:val="none"/>
          <w:u w:val="single"/>
          <w:lang w:val="en-US" w:eastAsia="zh-CN"/>
        </w:rPr>
        <w:t xml:space="preserve">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140"/>
        <w:gridCol w:w="2495"/>
        <w:gridCol w:w="2741"/>
        <w:gridCol w:w="1444"/>
      </w:tblGrid>
      <w:tr w14:paraId="105AC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22" w:type="dxa"/>
            <w:noWrap w:val="0"/>
            <w:vAlign w:val="center"/>
          </w:tcPr>
          <w:p w14:paraId="415A2C94">
            <w:pPr>
              <w:spacing w:line="40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140" w:type="dxa"/>
            <w:noWrap w:val="0"/>
            <w:vAlign w:val="center"/>
          </w:tcPr>
          <w:p w14:paraId="2F1016D7">
            <w:pPr>
              <w:spacing w:line="40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招标文件条目号</w:t>
            </w:r>
          </w:p>
        </w:tc>
        <w:tc>
          <w:tcPr>
            <w:tcW w:w="2495" w:type="dxa"/>
            <w:noWrap w:val="0"/>
            <w:vAlign w:val="center"/>
          </w:tcPr>
          <w:p w14:paraId="02EC5E6B">
            <w:pPr>
              <w:spacing w:line="40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招标文件的商务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技术</w:t>
            </w:r>
            <w:r>
              <w:rPr>
                <w:rFonts w:hint="eastAsia" w:ascii="宋体" w:hAnsi="宋体" w:eastAsia="宋体" w:cs="宋体"/>
                <w:color w:val="auto"/>
                <w:sz w:val="24"/>
                <w:highlight w:val="none"/>
              </w:rPr>
              <w:t>条款</w:t>
            </w:r>
          </w:p>
        </w:tc>
        <w:tc>
          <w:tcPr>
            <w:tcW w:w="2741" w:type="dxa"/>
            <w:noWrap w:val="0"/>
            <w:vAlign w:val="center"/>
          </w:tcPr>
          <w:p w14:paraId="61A1F515">
            <w:pPr>
              <w:spacing w:line="40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投标文件的商务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技术</w:t>
            </w:r>
          </w:p>
          <w:p w14:paraId="11D5CE46">
            <w:pPr>
              <w:spacing w:line="40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条款</w:t>
            </w:r>
          </w:p>
        </w:tc>
        <w:tc>
          <w:tcPr>
            <w:tcW w:w="1444" w:type="dxa"/>
            <w:noWrap w:val="0"/>
            <w:vAlign w:val="center"/>
          </w:tcPr>
          <w:p w14:paraId="03390774">
            <w:pPr>
              <w:spacing w:line="400" w:lineRule="atLeas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偏离情况</w:t>
            </w:r>
          </w:p>
        </w:tc>
      </w:tr>
      <w:tr w14:paraId="2E481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noWrap w:val="0"/>
            <w:vAlign w:val="top"/>
          </w:tcPr>
          <w:p w14:paraId="1B2C1283">
            <w:pPr>
              <w:spacing w:line="400" w:lineRule="atLeast"/>
              <w:jc w:val="center"/>
              <w:rPr>
                <w:rFonts w:hint="eastAsia" w:ascii="宋体" w:hAnsi="宋体" w:eastAsia="宋体" w:cs="宋体"/>
                <w:color w:val="auto"/>
                <w:sz w:val="24"/>
                <w:highlight w:val="none"/>
              </w:rPr>
            </w:pPr>
          </w:p>
        </w:tc>
        <w:tc>
          <w:tcPr>
            <w:tcW w:w="2140" w:type="dxa"/>
            <w:noWrap w:val="0"/>
            <w:vAlign w:val="top"/>
          </w:tcPr>
          <w:p w14:paraId="1EDEE26E">
            <w:pPr>
              <w:spacing w:line="400" w:lineRule="atLeast"/>
              <w:jc w:val="center"/>
              <w:rPr>
                <w:rFonts w:hint="eastAsia" w:ascii="宋体" w:hAnsi="宋体" w:eastAsia="宋体" w:cs="宋体"/>
                <w:color w:val="auto"/>
                <w:sz w:val="24"/>
                <w:highlight w:val="none"/>
              </w:rPr>
            </w:pPr>
          </w:p>
        </w:tc>
        <w:tc>
          <w:tcPr>
            <w:tcW w:w="2495" w:type="dxa"/>
            <w:noWrap w:val="0"/>
            <w:vAlign w:val="top"/>
          </w:tcPr>
          <w:p w14:paraId="438F64FD">
            <w:pPr>
              <w:spacing w:line="400" w:lineRule="atLeast"/>
              <w:jc w:val="center"/>
              <w:rPr>
                <w:rFonts w:hint="eastAsia" w:ascii="宋体" w:hAnsi="宋体" w:eastAsia="宋体" w:cs="宋体"/>
                <w:color w:val="auto"/>
                <w:sz w:val="24"/>
                <w:highlight w:val="none"/>
              </w:rPr>
            </w:pPr>
          </w:p>
        </w:tc>
        <w:tc>
          <w:tcPr>
            <w:tcW w:w="2741" w:type="dxa"/>
            <w:noWrap w:val="0"/>
            <w:vAlign w:val="top"/>
          </w:tcPr>
          <w:p w14:paraId="00187D9A">
            <w:pPr>
              <w:spacing w:line="400" w:lineRule="atLeast"/>
              <w:jc w:val="center"/>
              <w:rPr>
                <w:rFonts w:hint="eastAsia" w:ascii="宋体" w:hAnsi="宋体" w:eastAsia="宋体" w:cs="宋体"/>
                <w:color w:val="auto"/>
                <w:sz w:val="24"/>
                <w:highlight w:val="none"/>
              </w:rPr>
            </w:pPr>
          </w:p>
        </w:tc>
        <w:tc>
          <w:tcPr>
            <w:tcW w:w="1444" w:type="dxa"/>
            <w:noWrap w:val="0"/>
            <w:vAlign w:val="top"/>
          </w:tcPr>
          <w:p w14:paraId="6DAF29BB">
            <w:pPr>
              <w:spacing w:line="400" w:lineRule="atLeast"/>
              <w:jc w:val="center"/>
              <w:rPr>
                <w:rFonts w:hint="eastAsia" w:ascii="宋体" w:hAnsi="宋体" w:eastAsia="宋体" w:cs="宋体"/>
                <w:color w:val="auto"/>
                <w:sz w:val="24"/>
                <w:highlight w:val="none"/>
              </w:rPr>
            </w:pPr>
          </w:p>
        </w:tc>
      </w:tr>
      <w:tr w14:paraId="57B33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noWrap w:val="0"/>
            <w:vAlign w:val="top"/>
          </w:tcPr>
          <w:p w14:paraId="16DE0A85">
            <w:pPr>
              <w:spacing w:line="400" w:lineRule="atLeast"/>
              <w:jc w:val="center"/>
              <w:rPr>
                <w:rFonts w:hint="eastAsia" w:ascii="宋体" w:hAnsi="宋体" w:eastAsia="宋体" w:cs="宋体"/>
                <w:color w:val="auto"/>
                <w:sz w:val="24"/>
                <w:highlight w:val="none"/>
              </w:rPr>
            </w:pPr>
          </w:p>
        </w:tc>
        <w:tc>
          <w:tcPr>
            <w:tcW w:w="2140" w:type="dxa"/>
            <w:noWrap w:val="0"/>
            <w:vAlign w:val="top"/>
          </w:tcPr>
          <w:p w14:paraId="075D4D59">
            <w:pPr>
              <w:spacing w:line="400" w:lineRule="atLeast"/>
              <w:jc w:val="center"/>
              <w:rPr>
                <w:rFonts w:hint="eastAsia" w:ascii="宋体" w:hAnsi="宋体" w:eastAsia="宋体" w:cs="宋体"/>
                <w:color w:val="auto"/>
                <w:sz w:val="24"/>
                <w:highlight w:val="none"/>
              </w:rPr>
            </w:pPr>
          </w:p>
        </w:tc>
        <w:tc>
          <w:tcPr>
            <w:tcW w:w="2495" w:type="dxa"/>
            <w:noWrap w:val="0"/>
            <w:vAlign w:val="top"/>
          </w:tcPr>
          <w:p w14:paraId="0CB42B45">
            <w:pPr>
              <w:spacing w:line="400" w:lineRule="atLeast"/>
              <w:jc w:val="center"/>
              <w:rPr>
                <w:rFonts w:hint="eastAsia" w:ascii="宋体" w:hAnsi="宋体" w:eastAsia="宋体" w:cs="宋体"/>
                <w:color w:val="auto"/>
                <w:sz w:val="24"/>
                <w:highlight w:val="none"/>
              </w:rPr>
            </w:pPr>
          </w:p>
        </w:tc>
        <w:tc>
          <w:tcPr>
            <w:tcW w:w="2741" w:type="dxa"/>
            <w:noWrap w:val="0"/>
            <w:vAlign w:val="top"/>
          </w:tcPr>
          <w:p w14:paraId="187B3263">
            <w:pPr>
              <w:spacing w:line="400" w:lineRule="atLeast"/>
              <w:jc w:val="center"/>
              <w:rPr>
                <w:rFonts w:hint="eastAsia" w:ascii="宋体" w:hAnsi="宋体" w:eastAsia="宋体" w:cs="宋体"/>
                <w:color w:val="auto"/>
                <w:sz w:val="24"/>
                <w:highlight w:val="none"/>
              </w:rPr>
            </w:pPr>
          </w:p>
        </w:tc>
        <w:tc>
          <w:tcPr>
            <w:tcW w:w="1444" w:type="dxa"/>
            <w:noWrap w:val="0"/>
            <w:vAlign w:val="top"/>
          </w:tcPr>
          <w:p w14:paraId="202B9CDE">
            <w:pPr>
              <w:spacing w:line="400" w:lineRule="atLeast"/>
              <w:jc w:val="center"/>
              <w:rPr>
                <w:rFonts w:hint="eastAsia" w:ascii="宋体" w:hAnsi="宋体" w:eastAsia="宋体" w:cs="宋体"/>
                <w:color w:val="auto"/>
                <w:sz w:val="24"/>
                <w:highlight w:val="none"/>
              </w:rPr>
            </w:pPr>
          </w:p>
        </w:tc>
      </w:tr>
      <w:tr w14:paraId="551E9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noWrap w:val="0"/>
            <w:vAlign w:val="top"/>
          </w:tcPr>
          <w:p w14:paraId="744BF0A9">
            <w:pPr>
              <w:spacing w:line="400" w:lineRule="atLeast"/>
              <w:jc w:val="center"/>
              <w:rPr>
                <w:rFonts w:hint="eastAsia" w:ascii="宋体" w:hAnsi="宋体" w:eastAsia="宋体" w:cs="宋体"/>
                <w:color w:val="auto"/>
                <w:sz w:val="24"/>
                <w:highlight w:val="none"/>
              </w:rPr>
            </w:pPr>
          </w:p>
        </w:tc>
        <w:tc>
          <w:tcPr>
            <w:tcW w:w="2140" w:type="dxa"/>
            <w:noWrap w:val="0"/>
            <w:vAlign w:val="top"/>
          </w:tcPr>
          <w:p w14:paraId="27E34B2C">
            <w:pPr>
              <w:spacing w:line="400" w:lineRule="atLeast"/>
              <w:jc w:val="center"/>
              <w:rPr>
                <w:rFonts w:hint="eastAsia" w:ascii="宋体" w:hAnsi="宋体" w:eastAsia="宋体" w:cs="宋体"/>
                <w:color w:val="auto"/>
                <w:sz w:val="24"/>
                <w:highlight w:val="none"/>
              </w:rPr>
            </w:pPr>
          </w:p>
        </w:tc>
        <w:tc>
          <w:tcPr>
            <w:tcW w:w="2495" w:type="dxa"/>
            <w:noWrap w:val="0"/>
            <w:vAlign w:val="top"/>
          </w:tcPr>
          <w:p w14:paraId="05D521A7">
            <w:pPr>
              <w:spacing w:line="400" w:lineRule="atLeast"/>
              <w:jc w:val="center"/>
              <w:rPr>
                <w:rFonts w:hint="eastAsia" w:ascii="宋体" w:hAnsi="宋体" w:eastAsia="宋体" w:cs="宋体"/>
                <w:color w:val="auto"/>
                <w:sz w:val="24"/>
                <w:highlight w:val="none"/>
              </w:rPr>
            </w:pPr>
          </w:p>
        </w:tc>
        <w:tc>
          <w:tcPr>
            <w:tcW w:w="2741" w:type="dxa"/>
            <w:noWrap w:val="0"/>
            <w:vAlign w:val="top"/>
          </w:tcPr>
          <w:p w14:paraId="62CE30C9">
            <w:pPr>
              <w:spacing w:line="400" w:lineRule="atLeast"/>
              <w:jc w:val="center"/>
              <w:rPr>
                <w:rFonts w:hint="eastAsia" w:ascii="宋体" w:hAnsi="宋体" w:eastAsia="宋体" w:cs="宋体"/>
                <w:color w:val="auto"/>
                <w:sz w:val="24"/>
                <w:highlight w:val="none"/>
              </w:rPr>
            </w:pPr>
          </w:p>
        </w:tc>
        <w:tc>
          <w:tcPr>
            <w:tcW w:w="1444" w:type="dxa"/>
            <w:noWrap w:val="0"/>
            <w:vAlign w:val="top"/>
          </w:tcPr>
          <w:p w14:paraId="27F5D9A6">
            <w:pPr>
              <w:spacing w:line="400" w:lineRule="atLeast"/>
              <w:jc w:val="center"/>
              <w:rPr>
                <w:rFonts w:hint="eastAsia" w:ascii="宋体" w:hAnsi="宋体" w:eastAsia="宋体" w:cs="宋体"/>
                <w:color w:val="auto"/>
                <w:sz w:val="24"/>
                <w:highlight w:val="none"/>
              </w:rPr>
            </w:pPr>
          </w:p>
        </w:tc>
      </w:tr>
      <w:tr w14:paraId="675D2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noWrap w:val="0"/>
            <w:vAlign w:val="top"/>
          </w:tcPr>
          <w:p w14:paraId="00958FAE">
            <w:pPr>
              <w:spacing w:line="400" w:lineRule="atLeast"/>
              <w:jc w:val="center"/>
              <w:rPr>
                <w:rFonts w:hint="eastAsia" w:ascii="宋体" w:hAnsi="宋体" w:eastAsia="宋体" w:cs="宋体"/>
                <w:color w:val="auto"/>
                <w:sz w:val="24"/>
                <w:highlight w:val="none"/>
              </w:rPr>
            </w:pPr>
          </w:p>
        </w:tc>
        <w:tc>
          <w:tcPr>
            <w:tcW w:w="2140" w:type="dxa"/>
            <w:noWrap w:val="0"/>
            <w:vAlign w:val="top"/>
          </w:tcPr>
          <w:p w14:paraId="1B252CF8">
            <w:pPr>
              <w:spacing w:line="400" w:lineRule="atLeast"/>
              <w:jc w:val="center"/>
              <w:rPr>
                <w:rFonts w:hint="eastAsia" w:ascii="宋体" w:hAnsi="宋体" w:eastAsia="宋体" w:cs="宋体"/>
                <w:color w:val="auto"/>
                <w:sz w:val="24"/>
                <w:highlight w:val="none"/>
              </w:rPr>
            </w:pPr>
          </w:p>
        </w:tc>
        <w:tc>
          <w:tcPr>
            <w:tcW w:w="2495" w:type="dxa"/>
            <w:noWrap w:val="0"/>
            <w:vAlign w:val="top"/>
          </w:tcPr>
          <w:p w14:paraId="66BB60FB">
            <w:pPr>
              <w:spacing w:line="400" w:lineRule="atLeast"/>
              <w:jc w:val="center"/>
              <w:rPr>
                <w:rFonts w:hint="eastAsia" w:ascii="宋体" w:hAnsi="宋体" w:eastAsia="宋体" w:cs="宋体"/>
                <w:color w:val="auto"/>
                <w:sz w:val="24"/>
                <w:highlight w:val="none"/>
              </w:rPr>
            </w:pPr>
          </w:p>
        </w:tc>
        <w:tc>
          <w:tcPr>
            <w:tcW w:w="2741" w:type="dxa"/>
            <w:noWrap w:val="0"/>
            <w:vAlign w:val="top"/>
          </w:tcPr>
          <w:p w14:paraId="04B155E2">
            <w:pPr>
              <w:spacing w:line="400" w:lineRule="atLeast"/>
              <w:jc w:val="center"/>
              <w:rPr>
                <w:rFonts w:hint="eastAsia" w:ascii="宋体" w:hAnsi="宋体" w:eastAsia="宋体" w:cs="宋体"/>
                <w:color w:val="auto"/>
                <w:sz w:val="24"/>
                <w:highlight w:val="none"/>
              </w:rPr>
            </w:pPr>
          </w:p>
        </w:tc>
        <w:tc>
          <w:tcPr>
            <w:tcW w:w="1444" w:type="dxa"/>
            <w:noWrap w:val="0"/>
            <w:vAlign w:val="top"/>
          </w:tcPr>
          <w:p w14:paraId="2ED8EF79">
            <w:pPr>
              <w:spacing w:line="400" w:lineRule="atLeast"/>
              <w:jc w:val="center"/>
              <w:rPr>
                <w:rFonts w:hint="eastAsia" w:ascii="宋体" w:hAnsi="宋体" w:eastAsia="宋体" w:cs="宋体"/>
                <w:color w:val="auto"/>
                <w:sz w:val="24"/>
                <w:highlight w:val="none"/>
              </w:rPr>
            </w:pPr>
          </w:p>
        </w:tc>
      </w:tr>
      <w:tr w14:paraId="2CF0D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noWrap w:val="0"/>
            <w:vAlign w:val="top"/>
          </w:tcPr>
          <w:p w14:paraId="6EBE7426">
            <w:pPr>
              <w:spacing w:line="400" w:lineRule="atLeast"/>
              <w:jc w:val="center"/>
              <w:rPr>
                <w:rFonts w:hint="eastAsia" w:ascii="宋体" w:hAnsi="宋体" w:eastAsia="宋体" w:cs="宋体"/>
                <w:color w:val="auto"/>
                <w:sz w:val="24"/>
                <w:highlight w:val="none"/>
              </w:rPr>
            </w:pPr>
          </w:p>
        </w:tc>
        <w:tc>
          <w:tcPr>
            <w:tcW w:w="2140" w:type="dxa"/>
            <w:noWrap w:val="0"/>
            <w:vAlign w:val="top"/>
          </w:tcPr>
          <w:p w14:paraId="1F301873">
            <w:pPr>
              <w:spacing w:line="400" w:lineRule="atLeast"/>
              <w:jc w:val="center"/>
              <w:rPr>
                <w:rFonts w:hint="eastAsia" w:ascii="宋体" w:hAnsi="宋体" w:eastAsia="宋体" w:cs="宋体"/>
                <w:color w:val="auto"/>
                <w:sz w:val="24"/>
                <w:highlight w:val="none"/>
              </w:rPr>
            </w:pPr>
          </w:p>
        </w:tc>
        <w:tc>
          <w:tcPr>
            <w:tcW w:w="2495" w:type="dxa"/>
            <w:noWrap w:val="0"/>
            <w:vAlign w:val="top"/>
          </w:tcPr>
          <w:p w14:paraId="0389C9E9">
            <w:pPr>
              <w:spacing w:line="400" w:lineRule="atLeast"/>
              <w:jc w:val="center"/>
              <w:rPr>
                <w:rFonts w:hint="eastAsia" w:ascii="宋体" w:hAnsi="宋体" w:eastAsia="宋体" w:cs="宋体"/>
                <w:color w:val="auto"/>
                <w:sz w:val="24"/>
                <w:highlight w:val="none"/>
              </w:rPr>
            </w:pPr>
          </w:p>
        </w:tc>
        <w:tc>
          <w:tcPr>
            <w:tcW w:w="2741" w:type="dxa"/>
            <w:noWrap w:val="0"/>
            <w:vAlign w:val="top"/>
          </w:tcPr>
          <w:p w14:paraId="037D3E81">
            <w:pPr>
              <w:spacing w:line="400" w:lineRule="atLeast"/>
              <w:jc w:val="center"/>
              <w:rPr>
                <w:rFonts w:hint="eastAsia" w:ascii="宋体" w:hAnsi="宋体" w:eastAsia="宋体" w:cs="宋体"/>
                <w:color w:val="auto"/>
                <w:sz w:val="24"/>
                <w:highlight w:val="none"/>
              </w:rPr>
            </w:pPr>
          </w:p>
        </w:tc>
        <w:tc>
          <w:tcPr>
            <w:tcW w:w="1444" w:type="dxa"/>
            <w:noWrap w:val="0"/>
            <w:vAlign w:val="top"/>
          </w:tcPr>
          <w:p w14:paraId="7CD5C648">
            <w:pPr>
              <w:spacing w:line="400" w:lineRule="atLeast"/>
              <w:jc w:val="center"/>
              <w:rPr>
                <w:rFonts w:hint="eastAsia" w:ascii="宋体" w:hAnsi="宋体" w:eastAsia="宋体" w:cs="宋体"/>
                <w:color w:val="auto"/>
                <w:sz w:val="24"/>
                <w:highlight w:val="none"/>
              </w:rPr>
            </w:pPr>
          </w:p>
        </w:tc>
      </w:tr>
      <w:tr w14:paraId="44F6B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noWrap w:val="0"/>
            <w:vAlign w:val="top"/>
          </w:tcPr>
          <w:p w14:paraId="23FD18B4">
            <w:pPr>
              <w:spacing w:line="400" w:lineRule="atLeast"/>
              <w:jc w:val="center"/>
              <w:rPr>
                <w:rFonts w:hint="eastAsia" w:ascii="宋体" w:hAnsi="宋体" w:eastAsia="宋体" w:cs="宋体"/>
                <w:color w:val="auto"/>
                <w:sz w:val="24"/>
                <w:highlight w:val="none"/>
              </w:rPr>
            </w:pPr>
          </w:p>
        </w:tc>
        <w:tc>
          <w:tcPr>
            <w:tcW w:w="2140" w:type="dxa"/>
            <w:noWrap w:val="0"/>
            <w:vAlign w:val="top"/>
          </w:tcPr>
          <w:p w14:paraId="4EFB49FD">
            <w:pPr>
              <w:spacing w:line="400" w:lineRule="atLeast"/>
              <w:jc w:val="center"/>
              <w:rPr>
                <w:rFonts w:hint="eastAsia" w:ascii="宋体" w:hAnsi="宋体" w:eastAsia="宋体" w:cs="宋体"/>
                <w:color w:val="auto"/>
                <w:sz w:val="24"/>
                <w:highlight w:val="none"/>
              </w:rPr>
            </w:pPr>
          </w:p>
        </w:tc>
        <w:tc>
          <w:tcPr>
            <w:tcW w:w="2495" w:type="dxa"/>
            <w:noWrap w:val="0"/>
            <w:vAlign w:val="top"/>
          </w:tcPr>
          <w:p w14:paraId="3F74F5EC">
            <w:pPr>
              <w:spacing w:line="400" w:lineRule="atLeast"/>
              <w:jc w:val="center"/>
              <w:rPr>
                <w:rFonts w:hint="eastAsia" w:ascii="宋体" w:hAnsi="宋体" w:eastAsia="宋体" w:cs="宋体"/>
                <w:color w:val="auto"/>
                <w:sz w:val="24"/>
                <w:highlight w:val="none"/>
              </w:rPr>
            </w:pPr>
          </w:p>
        </w:tc>
        <w:tc>
          <w:tcPr>
            <w:tcW w:w="2741" w:type="dxa"/>
            <w:noWrap w:val="0"/>
            <w:vAlign w:val="top"/>
          </w:tcPr>
          <w:p w14:paraId="3AE20C01">
            <w:pPr>
              <w:spacing w:line="400" w:lineRule="atLeast"/>
              <w:jc w:val="center"/>
              <w:rPr>
                <w:rFonts w:hint="eastAsia" w:ascii="宋体" w:hAnsi="宋体" w:eastAsia="宋体" w:cs="宋体"/>
                <w:color w:val="auto"/>
                <w:sz w:val="24"/>
                <w:highlight w:val="none"/>
              </w:rPr>
            </w:pPr>
          </w:p>
        </w:tc>
        <w:tc>
          <w:tcPr>
            <w:tcW w:w="1444" w:type="dxa"/>
            <w:noWrap w:val="0"/>
            <w:vAlign w:val="top"/>
          </w:tcPr>
          <w:p w14:paraId="42B672B9">
            <w:pPr>
              <w:spacing w:line="400" w:lineRule="atLeast"/>
              <w:jc w:val="center"/>
              <w:rPr>
                <w:rFonts w:hint="eastAsia" w:ascii="宋体" w:hAnsi="宋体" w:eastAsia="宋体" w:cs="宋体"/>
                <w:color w:val="auto"/>
                <w:sz w:val="24"/>
                <w:highlight w:val="none"/>
              </w:rPr>
            </w:pPr>
          </w:p>
        </w:tc>
      </w:tr>
      <w:tr w14:paraId="2CC68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noWrap w:val="0"/>
            <w:vAlign w:val="top"/>
          </w:tcPr>
          <w:p w14:paraId="4E3953C3">
            <w:pPr>
              <w:spacing w:line="400" w:lineRule="atLeast"/>
              <w:jc w:val="center"/>
              <w:rPr>
                <w:rFonts w:hint="eastAsia" w:ascii="宋体" w:hAnsi="宋体" w:eastAsia="宋体" w:cs="宋体"/>
                <w:color w:val="auto"/>
                <w:sz w:val="24"/>
                <w:highlight w:val="none"/>
              </w:rPr>
            </w:pPr>
          </w:p>
        </w:tc>
        <w:tc>
          <w:tcPr>
            <w:tcW w:w="2140" w:type="dxa"/>
            <w:noWrap w:val="0"/>
            <w:vAlign w:val="top"/>
          </w:tcPr>
          <w:p w14:paraId="577C6E7E">
            <w:pPr>
              <w:spacing w:line="400" w:lineRule="atLeast"/>
              <w:jc w:val="center"/>
              <w:rPr>
                <w:rFonts w:hint="eastAsia" w:ascii="宋体" w:hAnsi="宋体" w:eastAsia="宋体" w:cs="宋体"/>
                <w:color w:val="auto"/>
                <w:sz w:val="24"/>
                <w:highlight w:val="none"/>
              </w:rPr>
            </w:pPr>
          </w:p>
        </w:tc>
        <w:tc>
          <w:tcPr>
            <w:tcW w:w="2495" w:type="dxa"/>
            <w:noWrap w:val="0"/>
            <w:vAlign w:val="top"/>
          </w:tcPr>
          <w:p w14:paraId="6FEFE35B">
            <w:pPr>
              <w:spacing w:line="400" w:lineRule="atLeast"/>
              <w:jc w:val="center"/>
              <w:rPr>
                <w:rFonts w:hint="eastAsia" w:ascii="宋体" w:hAnsi="宋体" w:eastAsia="宋体" w:cs="宋体"/>
                <w:color w:val="auto"/>
                <w:sz w:val="24"/>
                <w:highlight w:val="none"/>
              </w:rPr>
            </w:pPr>
          </w:p>
        </w:tc>
        <w:tc>
          <w:tcPr>
            <w:tcW w:w="2741" w:type="dxa"/>
            <w:noWrap w:val="0"/>
            <w:vAlign w:val="top"/>
          </w:tcPr>
          <w:p w14:paraId="3512C55B">
            <w:pPr>
              <w:spacing w:line="400" w:lineRule="atLeast"/>
              <w:jc w:val="center"/>
              <w:rPr>
                <w:rFonts w:hint="eastAsia" w:ascii="宋体" w:hAnsi="宋体" w:eastAsia="宋体" w:cs="宋体"/>
                <w:color w:val="auto"/>
                <w:sz w:val="24"/>
                <w:highlight w:val="none"/>
              </w:rPr>
            </w:pPr>
          </w:p>
        </w:tc>
        <w:tc>
          <w:tcPr>
            <w:tcW w:w="1444" w:type="dxa"/>
            <w:noWrap w:val="0"/>
            <w:vAlign w:val="top"/>
          </w:tcPr>
          <w:p w14:paraId="76A8DBF0">
            <w:pPr>
              <w:spacing w:line="400" w:lineRule="atLeast"/>
              <w:jc w:val="center"/>
              <w:rPr>
                <w:rFonts w:hint="eastAsia" w:ascii="宋体" w:hAnsi="宋体" w:eastAsia="宋体" w:cs="宋体"/>
                <w:color w:val="auto"/>
                <w:sz w:val="24"/>
                <w:highlight w:val="none"/>
              </w:rPr>
            </w:pPr>
          </w:p>
        </w:tc>
      </w:tr>
      <w:tr w14:paraId="6EA28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noWrap w:val="0"/>
            <w:vAlign w:val="top"/>
          </w:tcPr>
          <w:p w14:paraId="1035F830">
            <w:pPr>
              <w:spacing w:line="400" w:lineRule="atLeast"/>
              <w:jc w:val="center"/>
              <w:rPr>
                <w:rFonts w:hint="eastAsia" w:ascii="宋体" w:hAnsi="宋体" w:eastAsia="宋体" w:cs="宋体"/>
                <w:color w:val="auto"/>
                <w:sz w:val="24"/>
                <w:highlight w:val="none"/>
              </w:rPr>
            </w:pPr>
          </w:p>
        </w:tc>
        <w:tc>
          <w:tcPr>
            <w:tcW w:w="2140" w:type="dxa"/>
            <w:noWrap w:val="0"/>
            <w:vAlign w:val="top"/>
          </w:tcPr>
          <w:p w14:paraId="31F828D1">
            <w:pPr>
              <w:spacing w:line="400" w:lineRule="atLeast"/>
              <w:jc w:val="center"/>
              <w:rPr>
                <w:rFonts w:hint="eastAsia" w:ascii="宋体" w:hAnsi="宋体" w:eastAsia="宋体" w:cs="宋体"/>
                <w:color w:val="auto"/>
                <w:sz w:val="24"/>
                <w:highlight w:val="none"/>
              </w:rPr>
            </w:pPr>
          </w:p>
        </w:tc>
        <w:tc>
          <w:tcPr>
            <w:tcW w:w="2495" w:type="dxa"/>
            <w:noWrap w:val="0"/>
            <w:vAlign w:val="top"/>
          </w:tcPr>
          <w:p w14:paraId="107C2323">
            <w:pPr>
              <w:spacing w:line="400" w:lineRule="atLeast"/>
              <w:jc w:val="center"/>
              <w:rPr>
                <w:rFonts w:hint="eastAsia" w:ascii="宋体" w:hAnsi="宋体" w:eastAsia="宋体" w:cs="宋体"/>
                <w:color w:val="auto"/>
                <w:sz w:val="24"/>
                <w:highlight w:val="none"/>
              </w:rPr>
            </w:pPr>
          </w:p>
        </w:tc>
        <w:tc>
          <w:tcPr>
            <w:tcW w:w="2741" w:type="dxa"/>
            <w:noWrap w:val="0"/>
            <w:vAlign w:val="top"/>
          </w:tcPr>
          <w:p w14:paraId="7CC712ED">
            <w:pPr>
              <w:spacing w:line="400" w:lineRule="atLeast"/>
              <w:jc w:val="center"/>
              <w:rPr>
                <w:rFonts w:hint="eastAsia" w:ascii="宋体" w:hAnsi="宋体" w:eastAsia="宋体" w:cs="宋体"/>
                <w:color w:val="auto"/>
                <w:sz w:val="24"/>
                <w:highlight w:val="none"/>
              </w:rPr>
            </w:pPr>
          </w:p>
        </w:tc>
        <w:tc>
          <w:tcPr>
            <w:tcW w:w="1444" w:type="dxa"/>
            <w:noWrap w:val="0"/>
            <w:vAlign w:val="top"/>
          </w:tcPr>
          <w:p w14:paraId="436C7891">
            <w:pPr>
              <w:spacing w:line="400" w:lineRule="atLeast"/>
              <w:jc w:val="center"/>
              <w:rPr>
                <w:rFonts w:hint="eastAsia" w:ascii="宋体" w:hAnsi="宋体" w:eastAsia="宋体" w:cs="宋体"/>
                <w:color w:val="auto"/>
                <w:sz w:val="24"/>
                <w:highlight w:val="none"/>
              </w:rPr>
            </w:pPr>
          </w:p>
        </w:tc>
      </w:tr>
      <w:tr w14:paraId="3278E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noWrap w:val="0"/>
            <w:vAlign w:val="top"/>
          </w:tcPr>
          <w:p w14:paraId="75B5426D">
            <w:pPr>
              <w:spacing w:line="400" w:lineRule="atLeast"/>
              <w:jc w:val="center"/>
              <w:rPr>
                <w:rFonts w:hint="eastAsia" w:ascii="宋体" w:hAnsi="宋体" w:eastAsia="宋体" w:cs="宋体"/>
                <w:color w:val="auto"/>
                <w:sz w:val="24"/>
                <w:highlight w:val="none"/>
              </w:rPr>
            </w:pPr>
          </w:p>
        </w:tc>
        <w:tc>
          <w:tcPr>
            <w:tcW w:w="2140" w:type="dxa"/>
            <w:noWrap w:val="0"/>
            <w:vAlign w:val="top"/>
          </w:tcPr>
          <w:p w14:paraId="667ACD30">
            <w:pPr>
              <w:spacing w:line="400" w:lineRule="atLeast"/>
              <w:jc w:val="center"/>
              <w:rPr>
                <w:rFonts w:hint="eastAsia" w:ascii="宋体" w:hAnsi="宋体" w:eastAsia="宋体" w:cs="宋体"/>
                <w:color w:val="auto"/>
                <w:sz w:val="24"/>
                <w:highlight w:val="none"/>
              </w:rPr>
            </w:pPr>
          </w:p>
        </w:tc>
        <w:tc>
          <w:tcPr>
            <w:tcW w:w="2495" w:type="dxa"/>
            <w:noWrap w:val="0"/>
            <w:vAlign w:val="top"/>
          </w:tcPr>
          <w:p w14:paraId="6ED01514">
            <w:pPr>
              <w:spacing w:line="400" w:lineRule="atLeast"/>
              <w:jc w:val="center"/>
              <w:rPr>
                <w:rFonts w:hint="eastAsia" w:ascii="宋体" w:hAnsi="宋体" w:eastAsia="宋体" w:cs="宋体"/>
                <w:color w:val="auto"/>
                <w:sz w:val="24"/>
                <w:highlight w:val="none"/>
              </w:rPr>
            </w:pPr>
          </w:p>
        </w:tc>
        <w:tc>
          <w:tcPr>
            <w:tcW w:w="2741" w:type="dxa"/>
            <w:noWrap w:val="0"/>
            <w:vAlign w:val="top"/>
          </w:tcPr>
          <w:p w14:paraId="08BCBE73">
            <w:pPr>
              <w:spacing w:line="400" w:lineRule="atLeast"/>
              <w:jc w:val="center"/>
              <w:rPr>
                <w:rFonts w:hint="eastAsia" w:ascii="宋体" w:hAnsi="宋体" w:eastAsia="宋体" w:cs="宋体"/>
                <w:color w:val="auto"/>
                <w:sz w:val="24"/>
                <w:highlight w:val="none"/>
              </w:rPr>
            </w:pPr>
          </w:p>
        </w:tc>
        <w:tc>
          <w:tcPr>
            <w:tcW w:w="1444" w:type="dxa"/>
            <w:noWrap w:val="0"/>
            <w:vAlign w:val="top"/>
          </w:tcPr>
          <w:p w14:paraId="4CF553CE">
            <w:pPr>
              <w:spacing w:line="400" w:lineRule="atLeast"/>
              <w:jc w:val="center"/>
              <w:rPr>
                <w:rFonts w:hint="eastAsia" w:ascii="宋体" w:hAnsi="宋体" w:eastAsia="宋体" w:cs="宋体"/>
                <w:color w:val="auto"/>
                <w:sz w:val="24"/>
                <w:highlight w:val="none"/>
              </w:rPr>
            </w:pPr>
          </w:p>
        </w:tc>
      </w:tr>
      <w:tr w14:paraId="5AF37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noWrap w:val="0"/>
            <w:vAlign w:val="top"/>
          </w:tcPr>
          <w:p w14:paraId="46448281">
            <w:pPr>
              <w:spacing w:line="400" w:lineRule="atLeast"/>
              <w:jc w:val="center"/>
              <w:rPr>
                <w:rFonts w:hint="eastAsia" w:ascii="宋体" w:hAnsi="宋体" w:eastAsia="宋体" w:cs="宋体"/>
                <w:color w:val="auto"/>
                <w:sz w:val="24"/>
                <w:highlight w:val="none"/>
              </w:rPr>
            </w:pPr>
          </w:p>
        </w:tc>
        <w:tc>
          <w:tcPr>
            <w:tcW w:w="2140" w:type="dxa"/>
            <w:noWrap w:val="0"/>
            <w:vAlign w:val="top"/>
          </w:tcPr>
          <w:p w14:paraId="1EC02628">
            <w:pPr>
              <w:spacing w:line="400" w:lineRule="atLeast"/>
              <w:jc w:val="center"/>
              <w:rPr>
                <w:rFonts w:hint="eastAsia" w:ascii="宋体" w:hAnsi="宋体" w:eastAsia="宋体" w:cs="宋体"/>
                <w:color w:val="auto"/>
                <w:sz w:val="24"/>
                <w:highlight w:val="none"/>
              </w:rPr>
            </w:pPr>
          </w:p>
        </w:tc>
        <w:tc>
          <w:tcPr>
            <w:tcW w:w="2495" w:type="dxa"/>
            <w:noWrap w:val="0"/>
            <w:vAlign w:val="top"/>
          </w:tcPr>
          <w:p w14:paraId="2D005FC0">
            <w:pPr>
              <w:spacing w:line="400" w:lineRule="atLeast"/>
              <w:jc w:val="center"/>
              <w:rPr>
                <w:rFonts w:hint="eastAsia" w:ascii="宋体" w:hAnsi="宋体" w:eastAsia="宋体" w:cs="宋体"/>
                <w:color w:val="auto"/>
                <w:sz w:val="24"/>
                <w:highlight w:val="none"/>
              </w:rPr>
            </w:pPr>
          </w:p>
        </w:tc>
        <w:tc>
          <w:tcPr>
            <w:tcW w:w="2741" w:type="dxa"/>
            <w:noWrap w:val="0"/>
            <w:vAlign w:val="top"/>
          </w:tcPr>
          <w:p w14:paraId="5EEB29CE">
            <w:pPr>
              <w:spacing w:line="400" w:lineRule="atLeast"/>
              <w:jc w:val="center"/>
              <w:rPr>
                <w:rFonts w:hint="eastAsia" w:ascii="宋体" w:hAnsi="宋体" w:eastAsia="宋体" w:cs="宋体"/>
                <w:color w:val="auto"/>
                <w:sz w:val="24"/>
                <w:highlight w:val="none"/>
              </w:rPr>
            </w:pPr>
          </w:p>
        </w:tc>
        <w:tc>
          <w:tcPr>
            <w:tcW w:w="1444" w:type="dxa"/>
            <w:noWrap w:val="0"/>
            <w:vAlign w:val="top"/>
          </w:tcPr>
          <w:p w14:paraId="5772762E">
            <w:pPr>
              <w:spacing w:line="400" w:lineRule="atLeast"/>
              <w:jc w:val="center"/>
              <w:rPr>
                <w:rFonts w:hint="eastAsia" w:ascii="宋体" w:hAnsi="宋体" w:eastAsia="宋体" w:cs="宋体"/>
                <w:color w:val="auto"/>
                <w:sz w:val="24"/>
                <w:highlight w:val="none"/>
              </w:rPr>
            </w:pPr>
          </w:p>
        </w:tc>
      </w:tr>
      <w:tr w14:paraId="28C15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noWrap w:val="0"/>
            <w:vAlign w:val="top"/>
          </w:tcPr>
          <w:p w14:paraId="577F8018">
            <w:pPr>
              <w:spacing w:line="400" w:lineRule="atLeast"/>
              <w:jc w:val="center"/>
              <w:rPr>
                <w:rFonts w:hint="eastAsia" w:ascii="宋体" w:hAnsi="宋体" w:eastAsia="宋体" w:cs="宋体"/>
                <w:color w:val="auto"/>
                <w:sz w:val="24"/>
                <w:highlight w:val="none"/>
              </w:rPr>
            </w:pPr>
          </w:p>
        </w:tc>
        <w:tc>
          <w:tcPr>
            <w:tcW w:w="2140" w:type="dxa"/>
            <w:noWrap w:val="0"/>
            <w:vAlign w:val="top"/>
          </w:tcPr>
          <w:p w14:paraId="211DAF7B">
            <w:pPr>
              <w:spacing w:line="400" w:lineRule="atLeast"/>
              <w:jc w:val="center"/>
              <w:rPr>
                <w:rFonts w:hint="eastAsia" w:ascii="宋体" w:hAnsi="宋体" w:eastAsia="宋体" w:cs="宋体"/>
                <w:color w:val="auto"/>
                <w:sz w:val="24"/>
                <w:highlight w:val="none"/>
              </w:rPr>
            </w:pPr>
          </w:p>
        </w:tc>
        <w:tc>
          <w:tcPr>
            <w:tcW w:w="2495" w:type="dxa"/>
            <w:noWrap w:val="0"/>
            <w:vAlign w:val="top"/>
          </w:tcPr>
          <w:p w14:paraId="09781904">
            <w:pPr>
              <w:spacing w:line="400" w:lineRule="atLeast"/>
              <w:jc w:val="center"/>
              <w:rPr>
                <w:rFonts w:hint="eastAsia" w:ascii="宋体" w:hAnsi="宋体" w:eastAsia="宋体" w:cs="宋体"/>
                <w:color w:val="auto"/>
                <w:sz w:val="24"/>
                <w:highlight w:val="none"/>
              </w:rPr>
            </w:pPr>
          </w:p>
        </w:tc>
        <w:tc>
          <w:tcPr>
            <w:tcW w:w="2741" w:type="dxa"/>
            <w:noWrap w:val="0"/>
            <w:vAlign w:val="top"/>
          </w:tcPr>
          <w:p w14:paraId="282F4324">
            <w:pPr>
              <w:spacing w:line="400" w:lineRule="atLeast"/>
              <w:jc w:val="center"/>
              <w:rPr>
                <w:rFonts w:hint="eastAsia" w:ascii="宋体" w:hAnsi="宋体" w:eastAsia="宋体" w:cs="宋体"/>
                <w:color w:val="auto"/>
                <w:sz w:val="24"/>
                <w:highlight w:val="none"/>
              </w:rPr>
            </w:pPr>
          </w:p>
        </w:tc>
        <w:tc>
          <w:tcPr>
            <w:tcW w:w="1444" w:type="dxa"/>
            <w:noWrap w:val="0"/>
            <w:vAlign w:val="top"/>
          </w:tcPr>
          <w:p w14:paraId="5FA2B21E">
            <w:pPr>
              <w:spacing w:line="400" w:lineRule="atLeast"/>
              <w:jc w:val="center"/>
              <w:rPr>
                <w:rFonts w:hint="eastAsia" w:ascii="宋体" w:hAnsi="宋体" w:eastAsia="宋体" w:cs="宋体"/>
                <w:color w:val="auto"/>
                <w:sz w:val="24"/>
                <w:highlight w:val="none"/>
              </w:rPr>
            </w:pPr>
          </w:p>
        </w:tc>
      </w:tr>
      <w:tr w14:paraId="78D8A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noWrap w:val="0"/>
            <w:vAlign w:val="top"/>
          </w:tcPr>
          <w:p w14:paraId="7406440F">
            <w:pPr>
              <w:spacing w:line="400" w:lineRule="atLeast"/>
              <w:jc w:val="center"/>
              <w:rPr>
                <w:rFonts w:hint="eastAsia" w:ascii="宋体" w:hAnsi="宋体" w:eastAsia="宋体" w:cs="宋体"/>
                <w:color w:val="auto"/>
                <w:sz w:val="24"/>
                <w:highlight w:val="none"/>
              </w:rPr>
            </w:pPr>
          </w:p>
        </w:tc>
        <w:tc>
          <w:tcPr>
            <w:tcW w:w="2140" w:type="dxa"/>
            <w:noWrap w:val="0"/>
            <w:vAlign w:val="top"/>
          </w:tcPr>
          <w:p w14:paraId="6E51DAD8">
            <w:pPr>
              <w:spacing w:line="400" w:lineRule="atLeast"/>
              <w:jc w:val="center"/>
              <w:rPr>
                <w:rFonts w:hint="eastAsia" w:ascii="宋体" w:hAnsi="宋体" w:eastAsia="宋体" w:cs="宋体"/>
                <w:color w:val="auto"/>
                <w:sz w:val="24"/>
                <w:highlight w:val="none"/>
              </w:rPr>
            </w:pPr>
          </w:p>
        </w:tc>
        <w:tc>
          <w:tcPr>
            <w:tcW w:w="2495" w:type="dxa"/>
            <w:noWrap w:val="0"/>
            <w:vAlign w:val="top"/>
          </w:tcPr>
          <w:p w14:paraId="05DF13DD">
            <w:pPr>
              <w:spacing w:line="400" w:lineRule="atLeast"/>
              <w:jc w:val="center"/>
              <w:rPr>
                <w:rFonts w:hint="eastAsia" w:ascii="宋体" w:hAnsi="宋体" w:eastAsia="宋体" w:cs="宋体"/>
                <w:color w:val="auto"/>
                <w:sz w:val="24"/>
                <w:highlight w:val="none"/>
              </w:rPr>
            </w:pPr>
          </w:p>
        </w:tc>
        <w:tc>
          <w:tcPr>
            <w:tcW w:w="2741" w:type="dxa"/>
            <w:noWrap w:val="0"/>
            <w:vAlign w:val="top"/>
          </w:tcPr>
          <w:p w14:paraId="5E99B166">
            <w:pPr>
              <w:spacing w:line="400" w:lineRule="atLeast"/>
              <w:jc w:val="center"/>
              <w:rPr>
                <w:rFonts w:hint="eastAsia" w:ascii="宋体" w:hAnsi="宋体" w:eastAsia="宋体" w:cs="宋体"/>
                <w:color w:val="auto"/>
                <w:sz w:val="24"/>
                <w:highlight w:val="none"/>
              </w:rPr>
            </w:pPr>
          </w:p>
        </w:tc>
        <w:tc>
          <w:tcPr>
            <w:tcW w:w="1444" w:type="dxa"/>
            <w:noWrap w:val="0"/>
            <w:vAlign w:val="top"/>
          </w:tcPr>
          <w:p w14:paraId="13206C52">
            <w:pPr>
              <w:spacing w:line="400" w:lineRule="atLeast"/>
              <w:jc w:val="center"/>
              <w:rPr>
                <w:rFonts w:hint="eastAsia" w:ascii="宋体" w:hAnsi="宋体" w:eastAsia="宋体" w:cs="宋体"/>
                <w:color w:val="auto"/>
                <w:sz w:val="24"/>
                <w:highlight w:val="none"/>
              </w:rPr>
            </w:pPr>
          </w:p>
        </w:tc>
      </w:tr>
      <w:tr w14:paraId="4261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noWrap w:val="0"/>
            <w:vAlign w:val="top"/>
          </w:tcPr>
          <w:p w14:paraId="2459B1E6">
            <w:pPr>
              <w:spacing w:line="400" w:lineRule="atLeast"/>
              <w:jc w:val="center"/>
              <w:rPr>
                <w:rFonts w:hint="eastAsia" w:ascii="宋体" w:hAnsi="宋体" w:eastAsia="宋体" w:cs="宋体"/>
                <w:color w:val="auto"/>
                <w:sz w:val="24"/>
                <w:highlight w:val="none"/>
              </w:rPr>
            </w:pPr>
          </w:p>
        </w:tc>
        <w:tc>
          <w:tcPr>
            <w:tcW w:w="2140" w:type="dxa"/>
            <w:noWrap w:val="0"/>
            <w:vAlign w:val="top"/>
          </w:tcPr>
          <w:p w14:paraId="05E46141">
            <w:pPr>
              <w:spacing w:line="400" w:lineRule="atLeast"/>
              <w:jc w:val="center"/>
              <w:rPr>
                <w:rFonts w:hint="eastAsia" w:ascii="宋体" w:hAnsi="宋体" w:eastAsia="宋体" w:cs="宋体"/>
                <w:color w:val="auto"/>
                <w:sz w:val="24"/>
                <w:highlight w:val="none"/>
              </w:rPr>
            </w:pPr>
          </w:p>
        </w:tc>
        <w:tc>
          <w:tcPr>
            <w:tcW w:w="2495" w:type="dxa"/>
            <w:noWrap w:val="0"/>
            <w:vAlign w:val="top"/>
          </w:tcPr>
          <w:p w14:paraId="372A284D">
            <w:pPr>
              <w:spacing w:line="400" w:lineRule="atLeast"/>
              <w:jc w:val="center"/>
              <w:rPr>
                <w:rFonts w:hint="eastAsia" w:ascii="宋体" w:hAnsi="宋体" w:eastAsia="宋体" w:cs="宋体"/>
                <w:color w:val="auto"/>
                <w:sz w:val="24"/>
                <w:highlight w:val="none"/>
              </w:rPr>
            </w:pPr>
          </w:p>
        </w:tc>
        <w:tc>
          <w:tcPr>
            <w:tcW w:w="2741" w:type="dxa"/>
            <w:noWrap w:val="0"/>
            <w:vAlign w:val="top"/>
          </w:tcPr>
          <w:p w14:paraId="2AAFA292">
            <w:pPr>
              <w:spacing w:line="400" w:lineRule="atLeast"/>
              <w:jc w:val="center"/>
              <w:rPr>
                <w:rFonts w:hint="eastAsia" w:ascii="宋体" w:hAnsi="宋体" w:eastAsia="宋体" w:cs="宋体"/>
                <w:color w:val="auto"/>
                <w:sz w:val="24"/>
                <w:highlight w:val="none"/>
              </w:rPr>
            </w:pPr>
          </w:p>
        </w:tc>
        <w:tc>
          <w:tcPr>
            <w:tcW w:w="1444" w:type="dxa"/>
            <w:noWrap w:val="0"/>
            <w:vAlign w:val="top"/>
          </w:tcPr>
          <w:p w14:paraId="5D3541A6">
            <w:pPr>
              <w:spacing w:line="400" w:lineRule="atLeast"/>
              <w:jc w:val="center"/>
              <w:rPr>
                <w:rFonts w:hint="eastAsia" w:ascii="宋体" w:hAnsi="宋体" w:eastAsia="宋体" w:cs="宋体"/>
                <w:color w:val="auto"/>
                <w:sz w:val="24"/>
                <w:highlight w:val="none"/>
              </w:rPr>
            </w:pPr>
          </w:p>
        </w:tc>
      </w:tr>
    </w:tbl>
    <w:p w14:paraId="4E3C41AD">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480" w:firstLineChars="200"/>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注：凡</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中商务条款（包括</w:t>
      </w:r>
      <w:r>
        <w:rPr>
          <w:rFonts w:hint="eastAsia" w:ascii="宋体" w:hAnsi="宋体" w:cs="宋体"/>
          <w:color w:val="auto"/>
          <w:sz w:val="24"/>
          <w:szCs w:val="24"/>
          <w:highlight w:val="none"/>
          <w:lang w:val="en-US" w:eastAsia="zh-CN"/>
        </w:rPr>
        <w:t>合同履约期限</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质保期、采购需求、</w:t>
      </w:r>
      <w:r>
        <w:rPr>
          <w:rFonts w:hint="eastAsia" w:ascii="宋体" w:hAnsi="宋体" w:cs="宋体"/>
          <w:color w:val="auto"/>
          <w:sz w:val="24"/>
          <w:szCs w:val="24"/>
          <w:highlight w:val="none"/>
        </w:rPr>
        <w:t>付款、合同条款以及其它所有商务</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技术</w:t>
      </w:r>
      <w:r>
        <w:rPr>
          <w:rFonts w:hint="eastAsia" w:ascii="宋体" w:hAnsi="宋体" w:cs="宋体"/>
          <w:color w:val="auto"/>
          <w:sz w:val="24"/>
          <w:szCs w:val="24"/>
          <w:highlight w:val="none"/>
        </w:rPr>
        <w:t>内容）与</w:t>
      </w:r>
      <w:r>
        <w:rPr>
          <w:rFonts w:hint="eastAsia" w:ascii="宋体" w:hAnsi="宋体" w:cs="宋体"/>
          <w:color w:val="auto"/>
          <w:sz w:val="24"/>
          <w:szCs w:val="24"/>
          <w:highlight w:val="none"/>
          <w:lang w:eastAsia="zh-CN"/>
        </w:rPr>
        <w:t>招标文件</w:t>
      </w:r>
      <w:r>
        <w:rPr>
          <w:rFonts w:hint="eastAsia" w:ascii="宋体" w:hAnsi="宋体" w:cs="宋体"/>
          <w:color w:val="auto"/>
          <w:sz w:val="24"/>
          <w:szCs w:val="24"/>
          <w:highlight w:val="none"/>
        </w:rPr>
        <w:t>有偏差的，均应在此表中列出（内容较多的可以标注见</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第几页，偏差包括正偏差和负偏差），未在此表中列出</w:t>
      </w:r>
      <w:r>
        <w:rPr>
          <w:rFonts w:hint="eastAsia" w:ascii="宋体" w:hAnsi="宋体" w:eastAsia="宋体" w:cs="宋体"/>
          <w:color w:val="auto"/>
          <w:sz w:val="24"/>
          <w:szCs w:val="24"/>
          <w:highlight w:val="none"/>
          <w:lang w:val="en-US" w:eastAsia="zh-CN"/>
        </w:rPr>
        <w:t>或未填写此表</w:t>
      </w:r>
      <w:r>
        <w:rPr>
          <w:rFonts w:hint="eastAsia" w:ascii="宋体" w:hAnsi="宋体" w:cs="宋体"/>
          <w:color w:val="auto"/>
          <w:sz w:val="24"/>
          <w:szCs w:val="24"/>
          <w:highlight w:val="none"/>
        </w:rPr>
        <w:t>的视同完全满足</w:t>
      </w:r>
      <w:r>
        <w:rPr>
          <w:rFonts w:hint="eastAsia" w:ascii="宋体" w:hAnsi="宋体" w:cs="宋体"/>
          <w:color w:val="auto"/>
          <w:sz w:val="24"/>
          <w:szCs w:val="24"/>
          <w:highlight w:val="none"/>
          <w:lang w:eastAsia="zh-CN"/>
        </w:rPr>
        <w:t>招标文件</w:t>
      </w:r>
      <w:r>
        <w:rPr>
          <w:rFonts w:hint="eastAsia" w:ascii="宋体" w:hAnsi="宋体" w:cs="宋体"/>
          <w:color w:val="auto"/>
          <w:sz w:val="24"/>
          <w:szCs w:val="24"/>
          <w:highlight w:val="none"/>
        </w:rPr>
        <w:t>要求。</w:t>
      </w:r>
    </w:p>
    <w:p w14:paraId="0DEE29EC">
      <w:pPr>
        <w:pStyle w:val="35"/>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0" w:firstLineChars="0"/>
        <w:textAlignment w:val="auto"/>
        <w:rPr>
          <w:rFonts w:hint="eastAsia" w:ascii="宋体" w:hAnsi="宋体" w:eastAsia="宋体" w:cs="宋体"/>
          <w:color w:val="auto"/>
          <w:sz w:val="24"/>
          <w:szCs w:val="24"/>
          <w:highlight w:val="none"/>
        </w:rPr>
      </w:pPr>
    </w:p>
    <w:p w14:paraId="1FFB5D1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2AA34C51">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rPr>
          <w:rFonts w:hint="eastAsia" w:ascii="宋体" w:hAnsi="宋体" w:eastAsia="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lang w:eastAsia="zh-CN"/>
        </w:rPr>
        <w:t>投标供应商</w:t>
      </w:r>
      <w:r>
        <w:rPr>
          <w:rFonts w:hint="eastAsia" w:ascii="宋体" w:hAnsi="宋体" w:eastAsia="宋体" w:cs="宋体"/>
          <w:b w:val="0"/>
          <w:bCs w:val="0"/>
          <w:color w:val="auto"/>
          <w:kern w:val="0"/>
          <w:sz w:val="24"/>
          <w:szCs w:val="24"/>
          <w:highlight w:val="none"/>
        </w:rPr>
        <w:t>名称（</w:t>
      </w:r>
      <w:r>
        <w:rPr>
          <w:rFonts w:hint="eastAsia" w:ascii="宋体" w:hAnsi="宋体" w:eastAsia="宋体" w:cs="宋体"/>
          <w:b w:val="0"/>
          <w:bCs w:val="0"/>
          <w:color w:val="auto"/>
          <w:kern w:val="0"/>
          <w:sz w:val="24"/>
          <w:szCs w:val="24"/>
          <w:highlight w:val="none"/>
          <w:lang w:val="en-US" w:eastAsia="zh-CN"/>
        </w:rPr>
        <w:t>盖</w:t>
      </w:r>
      <w:r>
        <w:rPr>
          <w:rFonts w:hint="eastAsia" w:ascii="宋体" w:hAnsi="宋体" w:eastAsia="宋体" w:cs="宋体"/>
          <w:b w:val="0"/>
          <w:bCs w:val="0"/>
          <w:color w:val="auto"/>
          <w:kern w:val="0"/>
          <w:sz w:val="24"/>
          <w:szCs w:val="24"/>
          <w:highlight w:val="none"/>
        </w:rPr>
        <w:t>公章）：</w:t>
      </w:r>
      <w:r>
        <w:rPr>
          <w:rFonts w:hint="eastAsia" w:ascii="宋体" w:hAnsi="宋体" w:eastAsia="宋体" w:cs="宋体"/>
          <w:b w:val="0"/>
          <w:bCs w:val="0"/>
          <w:color w:val="auto"/>
          <w:kern w:val="0"/>
          <w:sz w:val="24"/>
          <w:szCs w:val="24"/>
          <w:highlight w:val="none"/>
          <w:u w:val="single"/>
          <w:lang w:val="en-US" w:eastAsia="zh-CN"/>
        </w:rPr>
        <w:t xml:space="preserve">                     </w:t>
      </w:r>
    </w:p>
    <w:p w14:paraId="327DDDB8">
      <w:pPr>
        <w:pStyle w:val="35"/>
        <w:keepNext w:val="0"/>
        <w:keepLines w:val="0"/>
        <w:pageBreakBefore w:val="0"/>
        <w:widowControl w:val="0"/>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color w:val="auto"/>
          <w:sz w:val="24"/>
          <w:szCs w:val="24"/>
          <w:highlight w:val="none"/>
          <w:lang w:val="en-US" w:eastAsia="zh-CN"/>
        </w:rPr>
      </w:pPr>
    </w:p>
    <w:p w14:paraId="44A4EC9C">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rPr>
          <w:rFonts w:hint="eastAsia" w:ascii="宋体" w:hAnsi="宋体" w:eastAsia="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w:t>
      </w:r>
      <w:r>
        <w:rPr>
          <w:rFonts w:hint="eastAsia" w:ascii="宋体" w:hAnsi="宋体" w:eastAsia="宋体" w:cs="宋体"/>
          <w:b w:val="0"/>
          <w:bCs w:val="0"/>
          <w:color w:val="auto"/>
          <w:kern w:val="0"/>
          <w:sz w:val="24"/>
          <w:szCs w:val="24"/>
          <w:highlight w:val="none"/>
          <w:lang w:val="en-US" w:eastAsia="zh-CN"/>
        </w:rPr>
        <w:t>签字或盖章</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u w:val="single"/>
          <w:lang w:val="en-US" w:eastAsia="zh-CN"/>
        </w:rPr>
        <w:t xml:space="preserve">                   </w:t>
      </w:r>
    </w:p>
    <w:p w14:paraId="0308F318">
      <w:pPr>
        <w:pStyle w:val="35"/>
        <w:keepNext w:val="0"/>
        <w:keepLines w:val="0"/>
        <w:pageBreakBefore w:val="0"/>
        <w:widowControl w:val="0"/>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color w:val="auto"/>
          <w:sz w:val="24"/>
          <w:szCs w:val="24"/>
          <w:highlight w:val="none"/>
        </w:rPr>
      </w:pPr>
    </w:p>
    <w:p w14:paraId="3D71F444">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6536BA1E">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color w:val="auto"/>
          <w:sz w:val="24"/>
          <w:szCs w:val="24"/>
          <w:highlight w:val="none"/>
          <w:lang w:eastAsia="zh-CN"/>
        </w:rPr>
      </w:pPr>
      <w:bookmarkStart w:id="218" w:name="_Toc1211"/>
      <w:bookmarkStart w:id="219" w:name="_Toc24888"/>
      <w:bookmarkStart w:id="220" w:name="_Toc13864"/>
      <w:r>
        <w:rPr>
          <w:rFonts w:hint="eastAsia" w:ascii="Times New Roman" w:hAnsi="Times New Roman" w:eastAsia="宋体" w:cs="Times New Roman"/>
          <w:color w:val="auto"/>
          <w:sz w:val="24"/>
          <w:szCs w:val="24"/>
          <w:highlight w:val="none"/>
          <w:lang w:eastAsia="zh-CN"/>
        </w:rPr>
        <w:t>（四）投标供应商近三年类似业绩</w:t>
      </w:r>
      <w:bookmarkEnd w:id="218"/>
      <w:bookmarkEnd w:id="219"/>
      <w:bookmarkEnd w:id="220"/>
    </w:p>
    <w:p w14:paraId="5835FDE7">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rPr>
        <w:t>（附采购合同或中标通知书）</w:t>
      </w:r>
    </w:p>
    <w:tbl>
      <w:tblPr>
        <w:tblStyle w:val="36"/>
        <w:tblW w:w="4902"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54" w:type="dxa"/>
          <w:bottom w:w="0" w:type="dxa"/>
          <w:right w:w="54" w:type="dxa"/>
        </w:tblCellMar>
      </w:tblPr>
      <w:tblGrid>
        <w:gridCol w:w="856"/>
        <w:gridCol w:w="4034"/>
        <w:gridCol w:w="1537"/>
        <w:gridCol w:w="1860"/>
        <w:gridCol w:w="1268"/>
      </w:tblGrid>
      <w:tr w14:paraId="1CA890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48" w:type="pct"/>
            <w:tcBorders>
              <w:top w:val="single" w:color="auto" w:sz="4" w:space="0"/>
            </w:tcBorders>
            <w:noWrap w:val="0"/>
            <w:vAlign w:val="center"/>
          </w:tcPr>
          <w:p w14:paraId="2C2CFCF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110" w:type="pct"/>
            <w:noWrap w:val="0"/>
            <w:vAlign w:val="center"/>
          </w:tcPr>
          <w:p w14:paraId="71908EA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c>
        <w:tc>
          <w:tcPr>
            <w:tcW w:w="804" w:type="pct"/>
            <w:noWrap w:val="0"/>
            <w:vAlign w:val="center"/>
          </w:tcPr>
          <w:p w14:paraId="350EFE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olor w:val="auto"/>
                <w:highlight w:val="none"/>
                <w:lang w:val="en-US" w:eastAsia="zh-CN"/>
              </w:rPr>
            </w:pPr>
            <w:r>
              <w:rPr>
                <w:rFonts w:hint="eastAsia" w:ascii="宋体" w:hAnsi="宋体" w:eastAsia="宋体" w:cs="宋体"/>
                <w:b/>
                <w:color w:val="auto"/>
                <w:sz w:val="24"/>
                <w:szCs w:val="24"/>
                <w:highlight w:val="none"/>
                <w:lang w:eastAsia="zh-CN"/>
              </w:rPr>
              <w:t>中标（合同）日期</w:t>
            </w:r>
          </w:p>
        </w:tc>
        <w:tc>
          <w:tcPr>
            <w:tcW w:w="973" w:type="pct"/>
            <w:noWrap w:val="0"/>
            <w:vAlign w:val="center"/>
          </w:tcPr>
          <w:p w14:paraId="4115098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eastAsia="zh-CN"/>
              </w:rPr>
              <w:t>中标</w:t>
            </w:r>
            <w:r>
              <w:rPr>
                <w:rFonts w:hint="eastAsia" w:ascii="宋体" w:hAnsi="宋体" w:eastAsia="宋体" w:cs="宋体"/>
                <w:b/>
                <w:color w:val="auto"/>
                <w:sz w:val="24"/>
                <w:szCs w:val="24"/>
                <w:highlight w:val="none"/>
              </w:rPr>
              <w:t>金额</w:t>
            </w:r>
          </w:p>
        </w:tc>
        <w:tc>
          <w:tcPr>
            <w:tcW w:w="663" w:type="pct"/>
            <w:tcBorders>
              <w:right w:val="single" w:color="auto" w:sz="4" w:space="0"/>
            </w:tcBorders>
            <w:noWrap w:val="0"/>
            <w:vAlign w:val="center"/>
          </w:tcPr>
          <w:p w14:paraId="6B10B75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投标文件</w:t>
            </w:r>
          </w:p>
          <w:p w14:paraId="61FDE93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页码</w:t>
            </w:r>
          </w:p>
        </w:tc>
      </w:tr>
      <w:tr w14:paraId="61E0FE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48" w:type="pct"/>
            <w:noWrap w:val="0"/>
            <w:vAlign w:val="center"/>
          </w:tcPr>
          <w:p w14:paraId="2CD15E4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2110" w:type="pct"/>
            <w:noWrap w:val="0"/>
            <w:vAlign w:val="center"/>
          </w:tcPr>
          <w:p w14:paraId="57B8EC5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804" w:type="pct"/>
            <w:noWrap w:val="0"/>
            <w:vAlign w:val="center"/>
          </w:tcPr>
          <w:p w14:paraId="1FB8A8D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lang w:eastAsia="zh-CN"/>
              </w:rPr>
            </w:pPr>
            <w:r>
              <w:rPr>
                <w:rFonts w:hint="eastAsia" w:ascii="宋体" w:hAnsi="宋体" w:eastAsia="宋体" w:cs="宋体"/>
                <w:i/>
                <w:iCs/>
                <w:color w:val="auto"/>
                <w:highlight w:val="none"/>
                <w:lang w:eastAsia="zh-CN"/>
              </w:rPr>
              <w:t>（年月日）</w:t>
            </w:r>
          </w:p>
        </w:tc>
        <w:tc>
          <w:tcPr>
            <w:tcW w:w="973" w:type="pct"/>
            <w:noWrap w:val="0"/>
            <w:vAlign w:val="center"/>
          </w:tcPr>
          <w:p w14:paraId="3E32DC6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663" w:type="pct"/>
            <w:tcBorders>
              <w:right w:val="single" w:color="auto" w:sz="4" w:space="0"/>
            </w:tcBorders>
            <w:noWrap w:val="0"/>
            <w:vAlign w:val="center"/>
          </w:tcPr>
          <w:p w14:paraId="6528A4FC">
            <w:pPr>
              <w:pStyle w:val="15"/>
              <w:jc w:val="center"/>
              <w:rPr>
                <w:rFonts w:hint="eastAsia"/>
                <w:color w:val="auto"/>
                <w:highlight w:val="none"/>
                <w:lang w:eastAsia="zh-CN"/>
              </w:rPr>
            </w:pPr>
          </w:p>
        </w:tc>
      </w:tr>
      <w:tr w14:paraId="0466EA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48" w:type="pct"/>
            <w:noWrap w:val="0"/>
            <w:vAlign w:val="center"/>
          </w:tcPr>
          <w:p w14:paraId="196EF60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2110" w:type="pct"/>
            <w:noWrap w:val="0"/>
            <w:vAlign w:val="center"/>
          </w:tcPr>
          <w:p w14:paraId="2803567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804" w:type="pct"/>
            <w:noWrap w:val="0"/>
            <w:vAlign w:val="center"/>
          </w:tcPr>
          <w:p w14:paraId="080560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973" w:type="pct"/>
            <w:noWrap w:val="0"/>
            <w:vAlign w:val="center"/>
          </w:tcPr>
          <w:p w14:paraId="46F4E84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663" w:type="pct"/>
            <w:tcBorders>
              <w:right w:val="single" w:color="auto" w:sz="4" w:space="0"/>
            </w:tcBorders>
            <w:noWrap w:val="0"/>
            <w:vAlign w:val="center"/>
          </w:tcPr>
          <w:p w14:paraId="07671D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r>
      <w:tr w14:paraId="4973C4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48" w:type="pct"/>
            <w:noWrap w:val="0"/>
            <w:vAlign w:val="center"/>
          </w:tcPr>
          <w:p w14:paraId="2C64DDC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p>
        </w:tc>
        <w:tc>
          <w:tcPr>
            <w:tcW w:w="2110" w:type="pct"/>
            <w:noWrap w:val="0"/>
            <w:vAlign w:val="center"/>
          </w:tcPr>
          <w:p w14:paraId="1F6D10A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804" w:type="pct"/>
            <w:noWrap w:val="0"/>
            <w:vAlign w:val="center"/>
          </w:tcPr>
          <w:p w14:paraId="1B52EA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973" w:type="pct"/>
            <w:noWrap w:val="0"/>
            <w:vAlign w:val="center"/>
          </w:tcPr>
          <w:p w14:paraId="7727C2C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663" w:type="pct"/>
            <w:tcBorders>
              <w:right w:val="single" w:color="auto" w:sz="4" w:space="0"/>
            </w:tcBorders>
            <w:noWrap w:val="0"/>
            <w:vAlign w:val="center"/>
          </w:tcPr>
          <w:p w14:paraId="1C3BA44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r>
      <w:tr w14:paraId="2FA98F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48" w:type="pct"/>
            <w:noWrap w:val="0"/>
            <w:vAlign w:val="center"/>
          </w:tcPr>
          <w:p w14:paraId="37C5F67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2110" w:type="pct"/>
            <w:tcBorders>
              <w:right w:val="single" w:color="auto" w:sz="4" w:space="0"/>
            </w:tcBorders>
            <w:noWrap w:val="0"/>
            <w:vAlign w:val="center"/>
          </w:tcPr>
          <w:p w14:paraId="2EB3D4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804" w:type="pct"/>
            <w:tcBorders>
              <w:left w:val="single" w:color="auto" w:sz="4" w:space="0"/>
            </w:tcBorders>
            <w:noWrap w:val="0"/>
            <w:vAlign w:val="center"/>
          </w:tcPr>
          <w:p w14:paraId="2338B9A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973" w:type="pct"/>
            <w:noWrap w:val="0"/>
            <w:vAlign w:val="center"/>
          </w:tcPr>
          <w:p w14:paraId="6F09236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663" w:type="pct"/>
            <w:tcBorders>
              <w:right w:val="single" w:color="auto" w:sz="4" w:space="0"/>
            </w:tcBorders>
            <w:noWrap w:val="0"/>
            <w:vAlign w:val="center"/>
          </w:tcPr>
          <w:p w14:paraId="6E1C74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r>
      <w:tr w14:paraId="79EC43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48" w:type="pct"/>
            <w:tcBorders>
              <w:right w:val="single" w:color="auto" w:sz="4" w:space="0"/>
            </w:tcBorders>
            <w:noWrap w:val="0"/>
            <w:vAlign w:val="center"/>
          </w:tcPr>
          <w:p w14:paraId="5224CE0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2110" w:type="pct"/>
            <w:tcBorders>
              <w:left w:val="single" w:color="auto" w:sz="4" w:space="0"/>
              <w:right w:val="single" w:color="auto" w:sz="4" w:space="0"/>
            </w:tcBorders>
            <w:noWrap w:val="0"/>
            <w:vAlign w:val="center"/>
          </w:tcPr>
          <w:p w14:paraId="35173E3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804" w:type="pct"/>
            <w:tcBorders>
              <w:left w:val="single" w:color="auto" w:sz="4" w:space="0"/>
              <w:right w:val="single" w:color="auto" w:sz="4" w:space="0"/>
            </w:tcBorders>
            <w:noWrap w:val="0"/>
            <w:vAlign w:val="center"/>
          </w:tcPr>
          <w:p w14:paraId="5880E57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973" w:type="pct"/>
            <w:tcBorders>
              <w:left w:val="single" w:color="auto" w:sz="4" w:space="0"/>
              <w:right w:val="single" w:color="auto" w:sz="4" w:space="0"/>
            </w:tcBorders>
            <w:noWrap w:val="0"/>
            <w:vAlign w:val="center"/>
          </w:tcPr>
          <w:p w14:paraId="4D54932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663" w:type="pct"/>
            <w:tcBorders>
              <w:left w:val="single" w:color="auto" w:sz="4" w:space="0"/>
              <w:right w:val="single" w:color="auto" w:sz="4" w:space="0"/>
            </w:tcBorders>
            <w:noWrap w:val="0"/>
            <w:vAlign w:val="center"/>
          </w:tcPr>
          <w:p w14:paraId="798822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r>
      <w:tr w14:paraId="7D04D0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48" w:type="pct"/>
            <w:noWrap w:val="0"/>
            <w:vAlign w:val="center"/>
          </w:tcPr>
          <w:p w14:paraId="76D9DC1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2110" w:type="pct"/>
            <w:noWrap w:val="0"/>
            <w:vAlign w:val="center"/>
          </w:tcPr>
          <w:p w14:paraId="65754EF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804" w:type="pct"/>
            <w:noWrap w:val="0"/>
            <w:vAlign w:val="center"/>
          </w:tcPr>
          <w:p w14:paraId="15389E8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973" w:type="pct"/>
            <w:noWrap w:val="0"/>
            <w:vAlign w:val="center"/>
          </w:tcPr>
          <w:p w14:paraId="680A6FC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663" w:type="pct"/>
            <w:tcBorders>
              <w:left w:val="single" w:color="auto" w:sz="4" w:space="0"/>
              <w:right w:val="single" w:color="auto" w:sz="4" w:space="0"/>
            </w:tcBorders>
            <w:noWrap w:val="0"/>
            <w:vAlign w:val="center"/>
          </w:tcPr>
          <w:p w14:paraId="5FC3778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r>
      <w:tr w14:paraId="70CC4F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48" w:type="pct"/>
            <w:noWrap w:val="0"/>
            <w:vAlign w:val="center"/>
          </w:tcPr>
          <w:p w14:paraId="59700B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2110" w:type="pct"/>
            <w:noWrap w:val="0"/>
            <w:vAlign w:val="center"/>
          </w:tcPr>
          <w:p w14:paraId="11DAD55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804" w:type="pct"/>
            <w:noWrap w:val="0"/>
            <w:vAlign w:val="center"/>
          </w:tcPr>
          <w:p w14:paraId="0B1D0FA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973" w:type="pct"/>
            <w:noWrap w:val="0"/>
            <w:vAlign w:val="center"/>
          </w:tcPr>
          <w:p w14:paraId="32DA216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663" w:type="pct"/>
            <w:tcBorders>
              <w:left w:val="single" w:color="auto" w:sz="4" w:space="0"/>
              <w:right w:val="single" w:color="auto" w:sz="4" w:space="0"/>
            </w:tcBorders>
            <w:noWrap w:val="0"/>
            <w:vAlign w:val="center"/>
          </w:tcPr>
          <w:p w14:paraId="7F52C99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r>
      <w:tr w14:paraId="143B33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48" w:type="pct"/>
            <w:noWrap w:val="0"/>
            <w:vAlign w:val="center"/>
          </w:tcPr>
          <w:p w14:paraId="51AEAD0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2110" w:type="pct"/>
            <w:noWrap w:val="0"/>
            <w:vAlign w:val="center"/>
          </w:tcPr>
          <w:p w14:paraId="2F267C2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804" w:type="pct"/>
            <w:noWrap w:val="0"/>
            <w:vAlign w:val="center"/>
          </w:tcPr>
          <w:p w14:paraId="7480018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973" w:type="pct"/>
            <w:noWrap w:val="0"/>
            <w:vAlign w:val="center"/>
          </w:tcPr>
          <w:p w14:paraId="67F0F91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663" w:type="pct"/>
            <w:tcBorders>
              <w:left w:val="single" w:color="auto" w:sz="4" w:space="0"/>
              <w:right w:val="single" w:color="auto" w:sz="4" w:space="0"/>
            </w:tcBorders>
            <w:noWrap w:val="0"/>
            <w:vAlign w:val="center"/>
          </w:tcPr>
          <w:p w14:paraId="0D1107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r>
    </w:tbl>
    <w:p w14:paraId="5F502CA4">
      <w:pPr>
        <w:spacing w:line="400" w:lineRule="atLeast"/>
        <w:rPr>
          <w:rFonts w:hint="eastAsia" w:ascii="宋体" w:hAnsi="宋体" w:eastAsia="宋体" w:cs="宋体"/>
          <w:color w:val="auto"/>
          <w:sz w:val="24"/>
          <w:highlight w:val="none"/>
        </w:rPr>
      </w:pPr>
    </w:p>
    <w:p w14:paraId="2793C634">
      <w:pPr>
        <w:rPr>
          <w:rFonts w:hint="eastAsia" w:ascii="宋体" w:hAnsi="宋体" w:eastAsia="宋体" w:cs="宋体"/>
          <w:color w:val="auto"/>
          <w:szCs w:val="21"/>
          <w:highlight w:val="none"/>
          <w:lang w:eastAsia="zh-CN"/>
        </w:rPr>
      </w:pPr>
      <w:r>
        <w:rPr>
          <w:rFonts w:hint="eastAsia" w:ascii="宋体" w:hAnsi="宋体" w:eastAsia="宋体" w:cs="宋体"/>
          <w:b/>
          <w:bCs w:val="0"/>
          <w:color w:val="auto"/>
          <w:szCs w:val="21"/>
          <w:highlight w:val="none"/>
        </w:rPr>
        <w:t>注：</w:t>
      </w:r>
      <w:r>
        <w:rPr>
          <w:rFonts w:hint="eastAsia" w:ascii="宋体" w:hAnsi="宋体" w:eastAsia="宋体" w:cs="宋体"/>
          <w:b/>
          <w:bCs w:val="0"/>
          <w:color w:val="auto"/>
          <w:szCs w:val="21"/>
          <w:highlight w:val="none"/>
          <w:lang w:val="en-US" w:eastAsia="zh-CN"/>
        </w:rPr>
        <w:t>提供</w:t>
      </w:r>
      <w:r>
        <w:rPr>
          <w:rFonts w:hint="eastAsia" w:ascii="宋体" w:hAnsi="宋体" w:eastAsia="宋体" w:cs="宋体"/>
          <w:b/>
          <w:bCs w:val="0"/>
          <w:color w:val="auto"/>
          <w:szCs w:val="21"/>
          <w:highlight w:val="none"/>
        </w:rPr>
        <w:t>202</w:t>
      </w:r>
      <w:r>
        <w:rPr>
          <w:rFonts w:hint="eastAsia" w:ascii="宋体" w:hAnsi="宋体" w:eastAsia="宋体" w:cs="宋体"/>
          <w:b/>
          <w:bCs w:val="0"/>
          <w:color w:val="auto"/>
          <w:szCs w:val="21"/>
          <w:highlight w:val="none"/>
          <w:lang w:val="en-US" w:eastAsia="zh-CN"/>
        </w:rPr>
        <w:t>2</w:t>
      </w:r>
      <w:r>
        <w:rPr>
          <w:rFonts w:hint="eastAsia" w:ascii="宋体" w:hAnsi="宋体" w:eastAsia="宋体" w:cs="宋体"/>
          <w:b/>
          <w:bCs w:val="0"/>
          <w:color w:val="auto"/>
          <w:szCs w:val="21"/>
          <w:highlight w:val="none"/>
        </w:rPr>
        <w:t>年1月1日至今</w:t>
      </w:r>
      <w:r>
        <w:rPr>
          <w:rFonts w:hint="eastAsia" w:ascii="宋体" w:hAnsi="宋体" w:eastAsia="宋体" w:cs="宋体"/>
          <w:b/>
          <w:bCs w:val="0"/>
          <w:color w:val="auto"/>
          <w:szCs w:val="21"/>
          <w:highlight w:val="none"/>
          <w:lang w:val="en-US" w:eastAsia="zh-CN"/>
        </w:rPr>
        <w:t>类似业绩，（需提供中标通知书或合同扫描件加盖公章（合同需提供关键页（包含内容、金额及双方签署页），内容提供不全的不得分）</w:t>
      </w:r>
    </w:p>
    <w:p w14:paraId="66A7D60E">
      <w:pPr>
        <w:pStyle w:val="35"/>
        <w:keepNext w:val="0"/>
        <w:keepLines w:val="0"/>
        <w:pageBreakBefore w:val="0"/>
        <w:widowControl w:val="0"/>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color w:val="auto"/>
          <w:sz w:val="24"/>
          <w:szCs w:val="24"/>
          <w:highlight w:val="none"/>
        </w:rPr>
      </w:pPr>
      <w:bookmarkStart w:id="221" w:name="_Toc361398097"/>
      <w:bookmarkStart w:id="222" w:name="_Toc7097287"/>
    </w:p>
    <w:p w14:paraId="17972B12">
      <w:pPr>
        <w:pStyle w:val="35"/>
        <w:keepNext w:val="0"/>
        <w:keepLines w:val="0"/>
        <w:pageBreakBefore w:val="0"/>
        <w:widowControl w:val="0"/>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color w:val="auto"/>
          <w:sz w:val="24"/>
          <w:szCs w:val="24"/>
          <w:highlight w:val="none"/>
        </w:rPr>
      </w:pPr>
    </w:p>
    <w:p w14:paraId="7D0DDAC3">
      <w:pPr>
        <w:pStyle w:val="35"/>
        <w:keepNext w:val="0"/>
        <w:keepLines w:val="0"/>
        <w:pageBreakBefore w:val="0"/>
        <w:widowControl w:val="0"/>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color w:val="auto"/>
          <w:sz w:val="24"/>
          <w:szCs w:val="24"/>
          <w:highlight w:val="none"/>
        </w:rPr>
      </w:pPr>
    </w:p>
    <w:p w14:paraId="39182AAB">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rPr>
          <w:rFonts w:hint="eastAsia" w:ascii="宋体" w:hAnsi="宋体" w:eastAsia="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lang w:eastAsia="zh-CN"/>
        </w:rPr>
        <w:t>投标供应商</w:t>
      </w:r>
      <w:r>
        <w:rPr>
          <w:rFonts w:hint="eastAsia" w:ascii="宋体" w:hAnsi="宋体" w:eastAsia="宋体" w:cs="宋体"/>
          <w:b w:val="0"/>
          <w:bCs w:val="0"/>
          <w:color w:val="auto"/>
          <w:kern w:val="0"/>
          <w:sz w:val="24"/>
          <w:szCs w:val="24"/>
          <w:highlight w:val="none"/>
        </w:rPr>
        <w:t>名称（</w:t>
      </w:r>
      <w:r>
        <w:rPr>
          <w:rFonts w:hint="eastAsia" w:ascii="宋体" w:hAnsi="宋体" w:eastAsia="宋体" w:cs="宋体"/>
          <w:b w:val="0"/>
          <w:bCs w:val="0"/>
          <w:color w:val="auto"/>
          <w:kern w:val="0"/>
          <w:sz w:val="24"/>
          <w:szCs w:val="24"/>
          <w:highlight w:val="none"/>
          <w:lang w:val="en-US" w:eastAsia="zh-CN"/>
        </w:rPr>
        <w:t>盖</w:t>
      </w:r>
      <w:r>
        <w:rPr>
          <w:rFonts w:hint="eastAsia" w:ascii="宋体" w:hAnsi="宋体" w:eastAsia="宋体" w:cs="宋体"/>
          <w:b w:val="0"/>
          <w:bCs w:val="0"/>
          <w:color w:val="auto"/>
          <w:kern w:val="0"/>
          <w:sz w:val="24"/>
          <w:szCs w:val="24"/>
          <w:highlight w:val="none"/>
        </w:rPr>
        <w:t>公章）：</w:t>
      </w:r>
      <w:r>
        <w:rPr>
          <w:rFonts w:hint="eastAsia" w:ascii="宋体" w:hAnsi="宋体" w:eastAsia="宋体" w:cs="宋体"/>
          <w:b w:val="0"/>
          <w:bCs w:val="0"/>
          <w:color w:val="auto"/>
          <w:kern w:val="0"/>
          <w:sz w:val="24"/>
          <w:szCs w:val="24"/>
          <w:highlight w:val="none"/>
          <w:u w:val="single"/>
          <w:lang w:val="en-US" w:eastAsia="zh-CN"/>
        </w:rPr>
        <w:t xml:space="preserve">                     </w:t>
      </w:r>
    </w:p>
    <w:p w14:paraId="685AB70F">
      <w:pPr>
        <w:pStyle w:val="35"/>
        <w:keepNext w:val="0"/>
        <w:keepLines w:val="0"/>
        <w:pageBreakBefore w:val="0"/>
        <w:widowControl w:val="0"/>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color w:val="auto"/>
          <w:sz w:val="24"/>
          <w:szCs w:val="24"/>
          <w:highlight w:val="none"/>
          <w:lang w:val="en-US" w:eastAsia="zh-CN"/>
        </w:rPr>
      </w:pPr>
    </w:p>
    <w:p w14:paraId="1C121CBC">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rPr>
          <w:rFonts w:hint="eastAsia" w:ascii="宋体" w:hAnsi="宋体" w:eastAsia="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w:t>
      </w:r>
      <w:r>
        <w:rPr>
          <w:rFonts w:hint="eastAsia" w:ascii="宋体" w:hAnsi="宋体" w:eastAsia="宋体" w:cs="宋体"/>
          <w:b w:val="0"/>
          <w:bCs w:val="0"/>
          <w:color w:val="auto"/>
          <w:kern w:val="0"/>
          <w:sz w:val="24"/>
          <w:szCs w:val="24"/>
          <w:highlight w:val="none"/>
          <w:lang w:val="en-US" w:eastAsia="zh-CN"/>
        </w:rPr>
        <w:t>签字或盖章</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u w:val="single"/>
          <w:lang w:val="en-US" w:eastAsia="zh-CN"/>
        </w:rPr>
        <w:t xml:space="preserve">                   </w:t>
      </w:r>
    </w:p>
    <w:p w14:paraId="0F78A063">
      <w:pPr>
        <w:pStyle w:val="35"/>
        <w:keepNext w:val="0"/>
        <w:keepLines w:val="0"/>
        <w:pageBreakBefore w:val="0"/>
        <w:widowControl w:val="0"/>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color w:val="auto"/>
          <w:sz w:val="24"/>
          <w:szCs w:val="24"/>
          <w:highlight w:val="none"/>
        </w:rPr>
      </w:pPr>
    </w:p>
    <w:p w14:paraId="7C8519B9">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0A4A11B5">
      <w:pPr>
        <w:pStyle w:val="35"/>
        <w:keepNext w:val="0"/>
        <w:keepLines w:val="0"/>
        <w:pageBreakBefore w:val="0"/>
        <w:widowControl w:val="0"/>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color w:val="auto"/>
          <w:sz w:val="24"/>
          <w:szCs w:val="24"/>
          <w:highlight w:val="none"/>
        </w:rPr>
      </w:pPr>
    </w:p>
    <w:p w14:paraId="0DD7399F">
      <w:pPr>
        <w:pStyle w:val="35"/>
        <w:keepNext w:val="0"/>
        <w:keepLines w:val="0"/>
        <w:pageBreakBefore w:val="0"/>
        <w:widowControl w:val="0"/>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color w:val="auto"/>
          <w:sz w:val="24"/>
          <w:szCs w:val="24"/>
          <w:highlight w:val="none"/>
        </w:rPr>
      </w:pPr>
    </w:p>
    <w:p w14:paraId="34A0DA77">
      <w:pPr>
        <w:pStyle w:val="35"/>
        <w:keepNext w:val="0"/>
        <w:keepLines w:val="0"/>
        <w:pageBreakBefore w:val="0"/>
        <w:widowControl w:val="0"/>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color w:val="auto"/>
          <w:sz w:val="24"/>
          <w:szCs w:val="24"/>
          <w:highlight w:val="none"/>
        </w:rPr>
      </w:pPr>
    </w:p>
    <w:p w14:paraId="21568DE8">
      <w:pPr>
        <w:pStyle w:val="35"/>
        <w:keepNext w:val="0"/>
        <w:keepLines w:val="0"/>
        <w:pageBreakBefore w:val="0"/>
        <w:widowControl w:val="0"/>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color w:val="auto"/>
          <w:sz w:val="24"/>
          <w:szCs w:val="24"/>
          <w:highlight w:val="none"/>
        </w:rPr>
      </w:pPr>
    </w:p>
    <w:p w14:paraId="484897BB">
      <w:pPr>
        <w:pStyle w:val="35"/>
        <w:keepNext w:val="0"/>
        <w:keepLines w:val="0"/>
        <w:pageBreakBefore w:val="0"/>
        <w:widowControl w:val="0"/>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color w:val="auto"/>
          <w:sz w:val="24"/>
          <w:szCs w:val="24"/>
          <w:highlight w:val="none"/>
        </w:rPr>
      </w:pPr>
    </w:p>
    <w:p w14:paraId="4D67EDFD">
      <w:pPr>
        <w:pStyle w:val="35"/>
        <w:keepNext w:val="0"/>
        <w:keepLines w:val="0"/>
        <w:pageBreakBefore w:val="0"/>
        <w:widowControl w:val="0"/>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color w:val="auto"/>
          <w:sz w:val="24"/>
          <w:szCs w:val="24"/>
          <w:highlight w:val="none"/>
        </w:rPr>
      </w:pPr>
    </w:p>
    <w:bookmarkEnd w:id="221"/>
    <w:bookmarkEnd w:id="222"/>
    <w:p w14:paraId="766516B7">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default" w:ascii="Times New Roman" w:hAnsi="Times New Roman" w:eastAsia="宋体" w:cs="Times New Roman"/>
          <w:color w:val="auto"/>
          <w:sz w:val="24"/>
          <w:szCs w:val="24"/>
          <w:highlight w:val="none"/>
          <w:lang w:val="en-US" w:eastAsia="zh-CN"/>
        </w:rPr>
      </w:pPr>
      <w:bookmarkStart w:id="223" w:name="_Toc1811"/>
      <w:bookmarkStart w:id="224" w:name="_Toc25316"/>
      <w:r>
        <w:rPr>
          <w:rFonts w:hint="eastAsia" w:ascii="Times New Roman" w:hAnsi="Times New Roman" w:eastAsia="宋体" w:cs="Times New Roman"/>
          <w:color w:val="auto"/>
          <w:sz w:val="24"/>
          <w:szCs w:val="24"/>
          <w:highlight w:val="none"/>
          <w:lang w:eastAsia="zh-CN"/>
        </w:rPr>
        <w:br w:type="page"/>
      </w:r>
      <w:bookmarkEnd w:id="223"/>
      <w:bookmarkEnd w:id="224"/>
      <w:bookmarkStart w:id="225" w:name="_Toc20469"/>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五</w:t>
      </w:r>
      <w:r>
        <w:rPr>
          <w:rFonts w:hint="eastAsia" w:ascii="Times New Roman" w:hAnsi="Times New Roman" w:eastAsia="宋体" w:cs="Times New Roman"/>
          <w:color w:val="auto"/>
          <w:sz w:val="24"/>
          <w:szCs w:val="24"/>
          <w:highlight w:val="none"/>
          <w:lang w:eastAsia="zh-CN"/>
        </w:rPr>
        <w:t>）</w:t>
      </w:r>
      <w:bookmarkStart w:id="226" w:name="_Toc16135"/>
      <w:r>
        <w:rPr>
          <w:rFonts w:hint="eastAsia" w:ascii="Times New Roman" w:hAnsi="Times New Roman" w:eastAsia="宋体" w:cs="Times New Roman"/>
          <w:color w:val="auto"/>
          <w:sz w:val="24"/>
          <w:szCs w:val="24"/>
          <w:highlight w:val="none"/>
          <w:lang w:val="en-US" w:eastAsia="zh-CN"/>
        </w:rPr>
        <w:t>供货方案</w:t>
      </w:r>
      <w:bookmarkEnd w:id="225"/>
    </w:p>
    <w:p w14:paraId="1A9F8FCF">
      <w:pPr>
        <w:jc w:val="center"/>
        <w:rPr>
          <w:rFonts w:hint="eastAsia"/>
          <w:color w:val="auto"/>
          <w:highlight w:val="none"/>
        </w:rPr>
      </w:pPr>
      <w:r>
        <w:rPr>
          <w:rFonts w:hint="eastAsia"/>
          <w:color w:val="auto"/>
          <w:highlight w:val="none"/>
        </w:rPr>
        <w:t>（</w:t>
      </w:r>
      <w:r>
        <w:rPr>
          <w:rFonts w:hint="eastAsia"/>
          <w:color w:val="auto"/>
          <w:highlight w:val="none"/>
          <w:lang w:eastAsia="zh-CN"/>
        </w:rPr>
        <w:t>格式自拟</w:t>
      </w:r>
      <w:r>
        <w:rPr>
          <w:rFonts w:hint="eastAsia"/>
          <w:color w:val="auto"/>
          <w:highlight w:val="none"/>
        </w:rPr>
        <w:t>）</w:t>
      </w:r>
      <w:bookmarkEnd w:id="226"/>
    </w:p>
    <w:p w14:paraId="2669CECE">
      <w:pPr>
        <w:pStyle w:val="15"/>
        <w:keepNext w:val="0"/>
        <w:keepLines w:val="0"/>
        <w:pageBreakBefore w:val="0"/>
        <w:widowControl w:val="0"/>
        <w:kinsoku/>
        <w:wordWrap/>
        <w:overflowPunct/>
        <w:topLinePunct w:val="0"/>
        <w:bidi w:val="0"/>
        <w:snapToGrid/>
        <w:ind w:firstLine="480" w:firstLineChars="200"/>
        <w:textAlignment w:val="auto"/>
        <w:rPr>
          <w:rFonts w:hint="eastAsia"/>
          <w:color w:val="auto"/>
          <w:highlight w:val="none"/>
          <w:lang w:val="en-US" w:eastAsia="zh-CN"/>
        </w:rPr>
      </w:pPr>
      <w:r>
        <w:rPr>
          <w:rFonts w:hint="eastAsia"/>
          <w:color w:val="auto"/>
          <w:highlight w:val="none"/>
          <w:lang w:val="en-US" w:eastAsia="zh-CN"/>
        </w:rPr>
        <w:t>1、供货方案</w:t>
      </w:r>
    </w:p>
    <w:p w14:paraId="07E1F5C0">
      <w:pPr>
        <w:pStyle w:val="15"/>
        <w:keepNext w:val="0"/>
        <w:keepLines w:val="0"/>
        <w:pageBreakBefore w:val="0"/>
        <w:widowControl w:val="0"/>
        <w:kinsoku/>
        <w:wordWrap/>
        <w:overflowPunct/>
        <w:topLinePunct w:val="0"/>
        <w:bidi w:val="0"/>
        <w:snapToGrid/>
        <w:ind w:firstLine="480" w:firstLineChars="200"/>
        <w:textAlignment w:val="auto"/>
        <w:rPr>
          <w:rFonts w:hint="eastAsia"/>
          <w:color w:val="auto"/>
          <w:highlight w:val="none"/>
          <w:lang w:val="en-US" w:eastAsia="zh-CN"/>
        </w:rPr>
      </w:pPr>
      <w:r>
        <w:rPr>
          <w:rFonts w:hint="eastAsia"/>
          <w:color w:val="auto"/>
          <w:highlight w:val="none"/>
          <w:lang w:val="en-US" w:eastAsia="zh-CN"/>
        </w:rPr>
        <w:t>2、质量保证措施</w:t>
      </w:r>
    </w:p>
    <w:p w14:paraId="26CB609D">
      <w:pPr>
        <w:pStyle w:val="15"/>
        <w:keepNext w:val="0"/>
        <w:keepLines w:val="0"/>
        <w:pageBreakBefore w:val="0"/>
        <w:widowControl w:val="0"/>
        <w:kinsoku/>
        <w:wordWrap/>
        <w:overflowPunct/>
        <w:topLinePunct w:val="0"/>
        <w:bidi w:val="0"/>
        <w:snapToGrid/>
        <w:ind w:firstLine="480" w:firstLineChars="200"/>
        <w:textAlignment w:val="auto"/>
        <w:rPr>
          <w:rFonts w:hint="default"/>
          <w:color w:val="auto"/>
          <w:highlight w:val="none"/>
          <w:lang w:val="en-US" w:eastAsia="zh-CN"/>
        </w:rPr>
      </w:pPr>
      <w:r>
        <w:rPr>
          <w:rFonts w:hint="eastAsia"/>
          <w:color w:val="auto"/>
          <w:highlight w:val="none"/>
          <w:lang w:val="en-US" w:eastAsia="zh-CN"/>
        </w:rPr>
        <w:t>3、培训方案</w:t>
      </w:r>
    </w:p>
    <w:p w14:paraId="5443B2CB">
      <w:pPr>
        <w:pStyle w:val="15"/>
        <w:keepNext w:val="0"/>
        <w:keepLines w:val="0"/>
        <w:pageBreakBefore w:val="0"/>
        <w:widowControl w:val="0"/>
        <w:kinsoku/>
        <w:wordWrap/>
        <w:overflowPunct/>
        <w:topLinePunct w:val="0"/>
        <w:bidi w:val="0"/>
        <w:snapToGrid/>
        <w:ind w:firstLine="480" w:firstLineChars="200"/>
        <w:textAlignment w:val="auto"/>
        <w:rPr>
          <w:rFonts w:hint="eastAsia"/>
          <w:color w:val="auto"/>
          <w:highlight w:val="none"/>
          <w:lang w:val="en-US" w:eastAsia="zh-CN"/>
        </w:rPr>
      </w:pPr>
      <w:r>
        <w:rPr>
          <w:rFonts w:hint="eastAsia"/>
          <w:color w:val="auto"/>
          <w:highlight w:val="none"/>
          <w:lang w:val="en-US" w:eastAsia="zh-CN"/>
        </w:rPr>
        <w:t>4、售后服务</w:t>
      </w:r>
    </w:p>
    <w:p w14:paraId="2FF19FB1">
      <w:pPr>
        <w:pStyle w:val="15"/>
        <w:keepNext w:val="0"/>
        <w:keepLines w:val="0"/>
        <w:pageBreakBefore w:val="0"/>
        <w:widowControl w:val="0"/>
        <w:kinsoku/>
        <w:wordWrap/>
        <w:overflowPunct/>
        <w:topLinePunct w:val="0"/>
        <w:bidi w:val="0"/>
        <w:snapToGrid/>
        <w:ind w:firstLine="480" w:firstLineChars="200"/>
        <w:textAlignment w:val="auto"/>
        <w:rPr>
          <w:rFonts w:hint="eastAsia" w:ascii="Arial" w:hAnsi="Arial" w:eastAsia="宋体" w:cs="Times New Roman"/>
          <w:color w:val="auto"/>
          <w:highlight w:val="none"/>
          <w:lang w:val="en-US" w:eastAsia="zh-CN"/>
        </w:rPr>
      </w:pPr>
      <w:r>
        <w:rPr>
          <w:rFonts w:hint="eastAsia" w:ascii="Arial" w:hAnsi="Arial" w:eastAsia="宋体" w:cs="Times New Roman"/>
          <w:color w:val="auto"/>
          <w:highlight w:val="none"/>
          <w:lang w:val="en-US" w:eastAsia="zh-CN"/>
        </w:rPr>
        <w:t>5、保密措施</w:t>
      </w:r>
    </w:p>
    <w:p w14:paraId="6B6C75DF">
      <w:pPr>
        <w:pStyle w:val="15"/>
        <w:keepNext w:val="0"/>
        <w:keepLines w:val="0"/>
        <w:pageBreakBefore w:val="0"/>
        <w:widowControl w:val="0"/>
        <w:kinsoku/>
        <w:wordWrap/>
        <w:overflowPunct/>
        <w:topLinePunct w:val="0"/>
        <w:bidi w:val="0"/>
        <w:snapToGrid/>
        <w:ind w:firstLine="480" w:firstLineChars="200"/>
        <w:textAlignment w:val="auto"/>
        <w:rPr>
          <w:rFonts w:hint="default" w:ascii="Arial" w:hAnsi="Arial" w:eastAsia="宋体" w:cs="Times New Roman"/>
          <w:color w:val="auto"/>
          <w:highlight w:val="none"/>
          <w:lang w:val="en-US" w:eastAsia="zh-CN"/>
        </w:rPr>
      </w:pPr>
      <w:r>
        <w:rPr>
          <w:rFonts w:hint="eastAsia" w:ascii="Arial" w:hAnsi="Arial" w:eastAsia="宋体" w:cs="Times New Roman"/>
          <w:color w:val="auto"/>
          <w:highlight w:val="none"/>
          <w:lang w:val="en-US" w:eastAsia="zh-CN"/>
        </w:rPr>
        <w:t>6、供应商认为需要提供的其他资料</w:t>
      </w:r>
    </w:p>
    <w:p w14:paraId="615B09AE">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color w:val="auto"/>
          <w:sz w:val="24"/>
          <w:szCs w:val="24"/>
          <w:highlight w:val="none"/>
          <w:lang w:eastAsia="zh-CN"/>
        </w:rPr>
      </w:pPr>
      <w:bookmarkStart w:id="227" w:name="_Toc6472"/>
      <w:bookmarkStart w:id="228" w:name="_Toc24493"/>
      <w:r>
        <w:rPr>
          <w:rFonts w:hint="eastAsia" w:ascii="Times New Roman" w:hAnsi="Times New Roman" w:eastAsia="宋体" w:cs="Times New Roman"/>
          <w:color w:val="auto"/>
          <w:sz w:val="24"/>
          <w:szCs w:val="24"/>
          <w:highlight w:val="none"/>
          <w:lang w:eastAsia="zh-CN"/>
        </w:rPr>
        <w:br w:type="page"/>
      </w:r>
      <w:bookmarkStart w:id="229" w:name="_Toc7940"/>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六</w:t>
      </w:r>
      <w:r>
        <w:rPr>
          <w:rFonts w:hint="eastAsia" w:ascii="Times New Roman" w:hAnsi="Times New Roman" w:eastAsia="宋体" w:cs="Times New Roman"/>
          <w:color w:val="auto"/>
          <w:sz w:val="24"/>
          <w:szCs w:val="24"/>
          <w:highlight w:val="none"/>
          <w:lang w:eastAsia="zh-CN"/>
        </w:rPr>
        <w:t>）保密承诺书</w:t>
      </w:r>
      <w:bookmarkEnd w:id="227"/>
      <w:bookmarkEnd w:id="228"/>
      <w:bookmarkEnd w:id="229"/>
    </w:p>
    <w:p w14:paraId="45101DFE">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highlight w:val="none"/>
        </w:rPr>
      </w:pPr>
    </w:p>
    <w:p w14:paraId="287DCA52">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u w:val="single"/>
        </w:rPr>
        <w:t>（采购机构名称）</w:t>
      </w:r>
      <w:r>
        <w:rPr>
          <w:rFonts w:hint="eastAsia" w:ascii="宋体" w:hAnsi="宋体" w:eastAsia="宋体" w:cs="宋体"/>
          <w:snapToGrid w:val="0"/>
          <w:color w:val="auto"/>
          <w:sz w:val="24"/>
          <w:szCs w:val="24"/>
          <w:highlight w:val="none"/>
        </w:rPr>
        <w:t>：</w:t>
      </w:r>
    </w:p>
    <w:p w14:paraId="1ADF02E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我方参加贵公司组织的</w:t>
      </w:r>
      <w:r>
        <w:rPr>
          <w:rFonts w:hint="eastAsia" w:ascii="宋体" w:hAnsi="宋体" w:eastAsia="宋体" w:cs="宋体"/>
          <w:color w:val="auto"/>
          <w:sz w:val="24"/>
          <w:szCs w:val="24"/>
          <w:highlight w:val="none"/>
          <w:u w:val="single"/>
        </w:rPr>
        <w:t>（</w:t>
      </w:r>
      <w:r>
        <w:rPr>
          <w:rFonts w:hint="eastAsia" w:ascii="宋体" w:hAnsi="宋体" w:eastAsia="宋体" w:cs="宋体"/>
          <w:i w:val="0"/>
          <w:iCs w:val="0"/>
          <w:color w:val="auto"/>
          <w:sz w:val="24"/>
          <w:highlight w:val="none"/>
          <w:u w:val="single"/>
        </w:rPr>
        <w:t>项目名称、项目编号</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lang w:val="zh-CN"/>
        </w:rPr>
        <w:t>采购活动，根据有关保密法规制度，知悉应当承担的保密义务和法律责任，承诺如下：</w:t>
      </w:r>
    </w:p>
    <w:p w14:paraId="5CBDD7B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一、严格遵守国家的保密法律法规和规章制度，履行保密义务。</w:t>
      </w:r>
    </w:p>
    <w:p w14:paraId="2347683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二、不以任何方式泄露或传播本次采购项目相关信息。</w:t>
      </w:r>
    </w:p>
    <w:p w14:paraId="4D2B40A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三、不违规记录、存储、复制本次采购项目相关信息。</w:t>
      </w:r>
    </w:p>
    <w:p w14:paraId="48320FB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四、招标文件以及相关技术文件专室放置、专盘存储、专人管理。</w:t>
      </w:r>
    </w:p>
    <w:p w14:paraId="479F02C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五、未经采购机构审查批准，不得擅自在互联网、通讯媒体等发表涉及此次采购项目相关内容或资讯。</w:t>
      </w:r>
    </w:p>
    <w:p w14:paraId="14C4EFC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违反上述承诺，愿承担一切法律责任，接受采购管理部门和采购机构按国家规定作出的相关处罚。</w:t>
      </w:r>
    </w:p>
    <w:p w14:paraId="549DE78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18C17A4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5CB3908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7A6E6B4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投标供应商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val="en-US" w:eastAsia="zh-CN"/>
        </w:rPr>
        <w:t>盖</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u w:val="single"/>
        </w:rPr>
        <w:t>　　　　　　　　　　</w:t>
      </w:r>
    </w:p>
    <w:p w14:paraId="74746473">
      <w:pPr>
        <w:pStyle w:val="35"/>
        <w:keepNext w:val="0"/>
        <w:keepLines w:val="0"/>
        <w:pageBreakBefore w:val="0"/>
        <w:widowControl w:val="0"/>
        <w:kinsoku/>
        <w:wordWrap/>
        <w:overflowPunct/>
        <w:topLinePunct w:val="0"/>
        <w:autoSpaceDE/>
        <w:autoSpaceDN/>
        <w:bidi w:val="0"/>
        <w:adjustRightInd w:val="0"/>
        <w:snapToGrid w:val="0"/>
        <w:spacing w:after="0" w:afterLines="0" w:line="360" w:lineRule="auto"/>
        <w:ind w:firstLine="480" w:firstLineChars="200"/>
        <w:textAlignment w:val="auto"/>
        <w:rPr>
          <w:rFonts w:hint="eastAsia" w:ascii="宋体" w:hAnsi="宋体" w:eastAsia="宋体" w:cs="宋体"/>
          <w:color w:val="auto"/>
          <w:sz w:val="24"/>
          <w:szCs w:val="24"/>
          <w:highlight w:val="none"/>
        </w:rPr>
      </w:pPr>
    </w:p>
    <w:p w14:paraId="0705E83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p>
    <w:p w14:paraId="7ECD7F6E">
      <w:pPr>
        <w:pStyle w:val="35"/>
        <w:keepNext w:val="0"/>
        <w:keepLines w:val="0"/>
        <w:pageBreakBefore w:val="0"/>
        <w:widowControl w:val="0"/>
        <w:kinsoku/>
        <w:wordWrap/>
        <w:overflowPunct/>
        <w:topLinePunct w:val="0"/>
        <w:autoSpaceDE/>
        <w:autoSpaceDN/>
        <w:bidi w:val="0"/>
        <w:adjustRightInd w:val="0"/>
        <w:snapToGrid w:val="0"/>
        <w:spacing w:after="0" w:afterLines="0" w:line="360" w:lineRule="auto"/>
        <w:ind w:firstLine="480" w:firstLineChars="200"/>
        <w:textAlignment w:val="auto"/>
        <w:rPr>
          <w:rFonts w:hint="eastAsia" w:ascii="宋体" w:hAnsi="宋体" w:eastAsia="宋体" w:cs="宋体"/>
          <w:color w:val="auto"/>
          <w:sz w:val="24"/>
          <w:szCs w:val="24"/>
          <w:highlight w:val="none"/>
        </w:rPr>
      </w:pPr>
    </w:p>
    <w:p w14:paraId="087567DD">
      <w:pPr>
        <w:pStyle w:val="35"/>
        <w:keepNext w:val="0"/>
        <w:keepLines w:val="0"/>
        <w:pageBreakBefore w:val="0"/>
        <w:widowControl w:val="0"/>
        <w:kinsoku/>
        <w:wordWrap/>
        <w:overflowPunct/>
        <w:topLinePunct w:val="0"/>
        <w:autoSpaceDE/>
        <w:autoSpaceDN/>
        <w:bidi w:val="0"/>
        <w:adjustRightInd w:val="0"/>
        <w:snapToGrid w:val="0"/>
        <w:spacing w:after="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w:t>
      </w:r>
    </w:p>
    <w:p w14:paraId="1956B51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710AC07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0D6F4BC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71ADC10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48413BB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3F6AB97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028DD9A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7C0B860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620056AE">
      <w:pPr>
        <w:pStyle w:val="16"/>
        <w:rPr>
          <w:rFonts w:hint="eastAsia"/>
          <w:color w:val="auto"/>
          <w:highlight w:val="none"/>
        </w:rPr>
      </w:pPr>
    </w:p>
    <w:p w14:paraId="3C90D50E">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color w:val="auto"/>
          <w:sz w:val="24"/>
          <w:szCs w:val="24"/>
          <w:highlight w:val="none"/>
          <w:lang w:eastAsia="zh-CN"/>
        </w:rPr>
      </w:pPr>
      <w:bookmarkStart w:id="230" w:name="_Toc29910"/>
      <w:bookmarkStart w:id="231" w:name="_Toc10784"/>
      <w:bookmarkStart w:id="232" w:name="_Toc9877"/>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七</w:t>
      </w:r>
      <w:r>
        <w:rPr>
          <w:rFonts w:hint="eastAsia" w:ascii="Times New Roman" w:hAnsi="Times New Roman" w:eastAsia="宋体" w:cs="Times New Roman"/>
          <w:color w:val="auto"/>
          <w:sz w:val="24"/>
          <w:szCs w:val="24"/>
          <w:highlight w:val="none"/>
          <w:lang w:eastAsia="zh-CN"/>
        </w:rPr>
        <w:t>）其他有利于投标的资料及证明文件等</w:t>
      </w:r>
      <w:bookmarkEnd w:id="230"/>
      <w:bookmarkEnd w:id="231"/>
      <w:bookmarkEnd w:id="232"/>
    </w:p>
    <w:p w14:paraId="6C73871E">
      <w:pPr>
        <w:jc w:val="center"/>
        <w:rPr>
          <w:rFonts w:hint="eastAsia"/>
          <w:color w:val="auto"/>
          <w:highlight w:val="none"/>
        </w:rPr>
      </w:pPr>
      <w:r>
        <w:rPr>
          <w:rFonts w:hint="eastAsia"/>
          <w:color w:val="auto"/>
          <w:highlight w:val="none"/>
        </w:rPr>
        <w:t>（如有）</w:t>
      </w:r>
    </w:p>
    <w:p w14:paraId="36842439">
      <w:pPr>
        <w:pStyle w:val="3"/>
        <w:keepNext/>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bookmarkStart w:id="233" w:name="_Toc30434"/>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eastAsia="zh-CN"/>
        </w:rPr>
        <w:t>七</w:t>
      </w:r>
      <w:r>
        <w:rPr>
          <w:rFonts w:hint="eastAsia" w:ascii="宋体" w:hAnsi="宋体" w:eastAsia="宋体" w:cs="宋体"/>
          <w:color w:val="auto"/>
          <w:sz w:val="32"/>
          <w:szCs w:val="32"/>
          <w:highlight w:val="none"/>
        </w:rPr>
        <w:t>部分 附件</w:t>
      </w:r>
      <w:bookmarkEnd w:id="208"/>
      <w:bookmarkEnd w:id="209"/>
      <w:bookmarkEnd w:id="210"/>
      <w:bookmarkEnd w:id="233"/>
    </w:p>
    <w:p w14:paraId="0A1F7E80">
      <w:pPr>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附件</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w:t>
      </w:r>
    </w:p>
    <w:p w14:paraId="7C16950C">
      <w:pPr>
        <w:rPr>
          <w:rStyle w:val="39"/>
          <w:rFonts w:hint="eastAsia" w:ascii="宋体" w:hAnsi="宋体" w:eastAsia="宋体" w:cs="宋体"/>
          <w:color w:val="auto"/>
          <w:sz w:val="24"/>
          <w:szCs w:val="24"/>
          <w:highlight w:val="none"/>
        </w:rPr>
      </w:pP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color w:val="auto"/>
          <w:sz w:val="24"/>
          <w:szCs w:val="24"/>
          <w:highlight w:val="none"/>
        </w:rPr>
        <w:t xml:space="preserve"> </w:t>
      </w:r>
      <w:r>
        <w:rPr>
          <w:rStyle w:val="39"/>
          <w:rFonts w:hint="eastAsia" w:ascii="宋体" w:hAnsi="宋体" w:eastAsia="宋体" w:cs="宋体"/>
          <w:color w:val="auto"/>
          <w:sz w:val="24"/>
          <w:szCs w:val="24"/>
          <w:highlight w:val="none"/>
        </w:rPr>
        <w:t>关于印发中小企业划型标准规定的通知</w:t>
      </w:r>
    </w:p>
    <w:p w14:paraId="3ED4767B">
      <w:pPr>
        <w:pStyle w:val="34"/>
        <w:spacing w:before="0" w:beforeAutospacing="0" w:after="0" w:afterAutospacing="0"/>
        <w:ind w:firstLine="6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工信部联企业〔2011〕300号</w:t>
      </w:r>
    </w:p>
    <w:p w14:paraId="1C1F3B8C">
      <w:pPr>
        <w:pStyle w:val="34"/>
        <w:spacing w:before="0" w:beforeAutospacing="0" w:after="0" w:afterAutospacing="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各省、自治区、直辖市人民政府，国务院各部委、各直属机构及有关单位：</w:t>
      </w:r>
    </w:p>
    <w:p w14:paraId="5F98FD92">
      <w:pPr>
        <w:pStyle w:val="34"/>
        <w:spacing w:before="0" w:beforeAutospacing="0" w:after="0" w:afterAutospacing="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A4A61E9">
      <w:pPr>
        <w:pStyle w:val="34"/>
        <w:spacing w:before="0" w:beforeAutospacing="0" w:after="0" w:afterAutospacing="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工业和信息化部　国家统计局</w:t>
      </w:r>
    </w:p>
    <w:p w14:paraId="514D8F10">
      <w:pPr>
        <w:pStyle w:val="34"/>
        <w:spacing w:before="0" w:beforeAutospacing="0" w:after="0" w:afterAutospacing="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国家发展和改革委员会　财政部</w:t>
      </w:r>
    </w:p>
    <w:p w14:paraId="6AC4D301">
      <w:pPr>
        <w:pStyle w:val="34"/>
        <w:spacing w:before="0" w:beforeAutospacing="0" w:after="0" w:afterAutospacing="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二○一一年六月十八日</w:t>
      </w:r>
    </w:p>
    <w:p w14:paraId="0A464491">
      <w:pPr>
        <w:pStyle w:val="34"/>
        <w:spacing w:before="0" w:beforeAutospacing="0" w:after="0" w:afterAutospacing="0"/>
        <w:jc w:val="center"/>
        <w:rPr>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rPr>
        <w:t>中小企业划型标准规定</w:t>
      </w:r>
    </w:p>
    <w:p w14:paraId="49BC3D2E">
      <w:pPr>
        <w:pStyle w:val="34"/>
        <w:spacing w:before="0" w:beforeAutospacing="0" w:after="0" w:afterAutospacing="0"/>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一、根据《中华人民共和国中小企业促进法》和《国务院关于进一步促进中小企业发展的若干意见》(国发〔2009〕36号)，制定本规定。</w:t>
      </w:r>
    </w:p>
    <w:p w14:paraId="15C012CF">
      <w:pPr>
        <w:pStyle w:val="34"/>
        <w:spacing w:before="0" w:beforeAutospacing="0" w:after="0" w:afterAutospacing="0"/>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二、中小企业划分为中型、小型、微型三种类型，具体标准根据企业从业人员、营业收入、资产总额等指标，结合行业特点制定。</w:t>
      </w:r>
    </w:p>
    <w:p w14:paraId="40013CB1">
      <w:pPr>
        <w:pStyle w:val="34"/>
        <w:spacing w:before="0" w:beforeAutospacing="0" w:after="0" w:afterAutospacing="0"/>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DD2C29F">
      <w:pPr>
        <w:pStyle w:val="34"/>
        <w:spacing w:before="0" w:beforeAutospacing="0" w:after="0" w:afterAutospacing="0"/>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四、各行业划型标准为：</w:t>
      </w:r>
    </w:p>
    <w:p w14:paraId="54FAFDDC">
      <w:pPr>
        <w:pStyle w:val="34"/>
        <w:spacing w:before="0" w:beforeAutospacing="0" w:after="0" w:afterAutospacing="0"/>
        <w:ind w:firstLine="420" w:firstLineChars="175"/>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2FD75E97">
      <w:pPr>
        <w:pStyle w:val="34"/>
        <w:spacing w:before="0" w:beforeAutospacing="0" w:after="0" w:afterAutospacing="0"/>
        <w:ind w:firstLine="422" w:firstLineChars="175"/>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E85F66F">
      <w:pPr>
        <w:pStyle w:val="34"/>
        <w:spacing w:before="0" w:beforeAutospacing="0" w:after="0" w:afterAutospacing="0"/>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C899AD2">
      <w:pPr>
        <w:pStyle w:val="34"/>
        <w:spacing w:before="0" w:beforeAutospacing="0" w:after="0" w:afterAutospacing="0"/>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72774BE">
      <w:pPr>
        <w:pStyle w:val="34"/>
        <w:spacing w:before="0" w:beforeAutospacing="0" w:after="0" w:afterAutospacing="0"/>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63EE36D">
      <w:pPr>
        <w:pStyle w:val="34"/>
        <w:spacing w:before="0" w:beforeAutospacing="0" w:after="0" w:afterAutospacing="0"/>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B39C6DB">
      <w:pPr>
        <w:pStyle w:val="34"/>
        <w:spacing w:before="0" w:beforeAutospacing="0" w:after="0" w:afterAutospacing="0"/>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CE2B7C3">
      <w:pPr>
        <w:pStyle w:val="34"/>
        <w:spacing w:before="0" w:beforeAutospacing="0" w:after="0" w:afterAutospacing="0"/>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7D89B1C">
      <w:pPr>
        <w:pStyle w:val="34"/>
        <w:spacing w:before="0" w:beforeAutospacing="0" w:after="0" w:afterAutospacing="0"/>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8D74C0B">
      <w:pPr>
        <w:pStyle w:val="34"/>
        <w:spacing w:before="0" w:beforeAutospacing="0" w:after="0" w:afterAutospacing="0"/>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7512AD0">
      <w:pPr>
        <w:pStyle w:val="34"/>
        <w:spacing w:before="0" w:beforeAutospacing="0" w:after="0" w:afterAutospacing="0"/>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70170A3">
      <w:pPr>
        <w:pStyle w:val="34"/>
        <w:spacing w:before="0" w:beforeAutospacing="0" w:after="0" w:afterAutospacing="0"/>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0C56647">
      <w:pPr>
        <w:pStyle w:val="34"/>
        <w:spacing w:before="0" w:beforeAutospacing="0" w:after="0" w:afterAutospacing="0"/>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DA08EA9">
      <w:pPr>
        <w:pStyle w:val="34"/>
        <w:spacing w:before="0" w:beforeAutospacing="0" w:after="0" w:afterAutospacing="0"/>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445103E">
      <w:pPr>
        <w:pStyle w:val="34"/>
        <w:spacing w:before="0" w:beforeAutospacing="0" w:after="0" w:afterAutospacing="0"/>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6729FE3">
      <w:pPr>
        <w:pStyle w:val="34"/>
        <w:spacing w:before="0" w:beforeAutospacing="0" w:after="0" w:afterAutospacing="0"/>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648331B3">
      <w:pPr>
        <w:pStyle w:val="34"/>
        <w:spacing w:before="0" w:beforeAutospacing="0" w:after="0" w:afterAutospacing="0"/>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五、企业类型的划分以统计部门的统计数据为依据。</w:t>
      </w:r>
    </w:p>
    <w:p w14:paraId="0BA482B4">
      <w:pPr>
        <w:pStyle w:val="34"/>
        <w:spacing w:before="0" w:beforeAutospacing="0" w:after="0" w:afterAutospacing="0"/>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六、本规定适用于在中华人民共和国境内依法设立的各类所有制和各种组织形式的企业。个体工商户和本规定以外的行业，参照本规定进行划型。</w:t>
      </w:r>
    </w:p>
    <w:p w14:paraId="035A9B62">
      <w:pPr>
        <w:pStyle w:val="34"/>
        <w:spacing w:before="0" w:beforeAutospacing="0" w:after="0" w:afterAutospacing="0"/>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0224E2A">
      <w:pPr>
        <w:pStyle w:val="34"/>
        <w:spacing w:before="0" w:beforeAutospacing="0" w:after="0" w:afterAutospacing="0"/>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八、本规定由工业和信息化部、国家统计局会同有关部门根据《国民经济行业分类》修订情况和企业发展变化情况适时修订。</w:t>
      </w:r>
    </w:p>
    <w:p w14:paraId="63363261">
      <w:pPr>
        <w:pStyle w:val="34"/>
        <w:spacing w:before="0" w:beforeAutospacing="0" w:after="0" w:afterAutospacing="0"/>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九、本规定由工业和信息化部、国家统计局会同有关部门负责解释。</w:t>
      </w:r>
    </w:p>
    <w:p w14:paraId="76CE4A1F">
      <w:pPr>
        <w:pStyle w:val="34"/>
        <w:spacing w:before="0" w:beforeAutospacing="0" w:after="0" w:afterAutospacing="0"/>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十、本规定自发布之日起执行，原国家经贸委、原国家计委、财政部和国家统计局2003年颁布的《中小企业标准暂行规定》同时废止。</w:t>
      </w:r>
    </w:p>
    <w:p w14:paraId="77FC4D4A">
      <w:pPr>
        <w:tabs>
          <w:tab w:val="left" w:pos="3975"/>
        </w:tabs>
        <w:spacing w:line="440" w:lineRule="exact"/>
        <w:ind w:right="480"/>
        <w:rPr>
          <w:rFonts w:hint="eastAsia" w:ascii="宋体" w:hAnsi="宋体" w:eastAsia="宋体" w:cs="宋体"/>
          <w:color w:val="auto"/>
          <w:sz w:val="24"/>
          <w:szCs w:val="24"/>
          <w:highlight w:val="none"/>
        </w:rPr>
      </w:pPr>
    </w:p>
    <w:p w14:paraId="537502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sectPr>
      <w:headerReference r:id="rId7" w:type="default"/>
      <w:footerReference r:id="rId8" w:type="default"/>
      <w:type w:val="continuous"/>
      <w:pgSz w:w="11906" w:h="16838"/>
      <w:pgMar w:top="1134" w:right="1134" w:bottom="1134" w:left="1134" w:header="850" w:footer="992" w:gutter="0"/>
      <w:pgNumType w:fmt="decimal"/>
      <w:cols w:space="720" w:num="1"/>
      <w:rtlGutter w:val="0"/>
      <w:docGrid w:type="lines" w:linePitch="4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32619">
    <w:pPr>
      <w:pStyle w:val="26"/>
      <w:jc w:val="center"/>
    </w:pPr>
  </w:p>
  <w:p w14:paraId="1BD9F9D1">
    <w:pPr>
      <w:pStyle w:val="26"/>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6E8CB">
    <w:pPr>
      <w:pStyle w:val="26"/>
      <w:pBdr>
        <w:top w:val="single" w:color="auto" w:sz="4" w:space="0"/>
      </w:pBdr>
      <w:jc w:val="both"/>
    </w:pPr>
    <w:r>
      <w:rPr>
        <w:rFonts w:hint="eastAsia"/>
        <w:lang w:eastAsia="zh-CN"/>
      </w:rPr>
      <w:t>新疆华展鑫荣项目管理咨询有限公司</w:t>
    </w:r>
    <w:r>
      <w:rPr>
        <w:rFonts w:hint="eastAsia"/>
        <w:lang w:val="en-US" w:eastAsia="zh-CN"/>
      </w:rPr>
      <w:t xml:space="preserve">                                    0991-4182952、18164907517@163.com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4A1A2">
    <w:pPr>
      <w:pStyle w:val="26"/>
      <w:pBdr>
        <w:top w:val="single" w:color="auto" w:sz="4" w:space="0"/>
      </w:pBdr>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D12683">
                          <w:pPr>
                            <w:pStyle w:val="2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3BD12683">
                    <w:pPr>
                      <w:pStyle w:val="2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eastAsia="zh-CN"/>
      </w:rPr>
      <w:t>新疆华展鑫荣项目管理咨询有限公司</w:t>
    </w:r>
    <w:r>
      <w:rPr>
        <w:rFonts w:hint="eastAsia"/>
        <w:lang w:val="en-US" w:eastAsia="zh-CN"/>
      </w:rPr>
      <w:t xml:space="preserve">                                    0991-4182952、18164907517@163.com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E4953">
    <w:pPr>
      <w:pStyle w:val="26"/>
      <w:pBdr>
        <w:top w:val="single" w:color="auto" w:sz="4" w:space="0"/>
      </w:pBdr>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2E0C22">
                          <w:pPr>
                            <w:pStyle w:val="26"/>
                          </w:pPr>
                          <w:r>
                            <w:fldChar w:fldCharType="begin"/>
                          </w:r>
                          <w:r>
                            <w:instrText xml:space="preserve"> PAGE  \* MERGEFORMAT </w:instrText>
                          </w:r>
                          <w:r>
                            <w:fldChar w:fldCharType="separate"/>
                          </w:r>
                          <w:r>
                            <w:t>50</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592E0C22">
                    <w:pPr>
                      <w:pStyle w:val="26"/>
                    </w:pPr>
                    <w:r>
                      <w:fldChar w:fldCharType="begin"/>
                    </w:r>
                    <w:r>
                      <w:instrText xml:space="preserve"> PAGE  \* MERGEFORMAT </w:instrText>
                    </w:r>
                    <w:r>
                      <w:fldChar w:fldCharType="separate"/>
                    </w:r>
                    <w:r>
                      <w:t>50</w:t>
                    </w:r>
                    <w:r>
                      <w:fldChar w:fldCharType="end"/>
                    </w:r>
                  </w:p>
                </w:txbxContent>
              </v:textbox>
            </v:shape>
          </w:pict>
        </mc:Fallback>
      </mc:AlternateContent>
    </w:r>
    <w:r>
      <w:rPr>
        <w:rFonts w:hint="eastAsia"/>
        <w:lang w:eastAsia="zh-CN"/>
      </w:rPr>
      <w:t>新疆华展鑫荣项目管理咨询有限公司</w:t>
    </w:r>
    <w:r>
      <w:rPr>
        <w:rFonts w:hint="eastAsia"/>
        <w:lang w:val="en-US" w:eastAsia="zh-CN"/>
      </w:rPr>
      <w:t xml:space="preserve">                                    0991-4182952、18164907517@163.com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0B9B3">
    <w:pPr>
      <w:pStyle w:val="27"/>
      <w:pBdr>
        <w:top w:val="none" w:color="auto" w:sz="0" w:space="1"/>
        <w:left w:val="none" w:color="auto" w:sz="0" w:space="4"/>
        <w:bottom w:val="none" w:color="auto" w:sz="0" w:space="1"/>
        <w:right w:val="none" w:color="auto" w:sz="0" w:space="4"/>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6A302">
    <w:pPr>
      <w:pStyle w:val="27"/>
      <w:pBdr>
        <w:bottom w:val="none" w:color="auto" w:sz="0" w:space="1"/>
      </w:pBdr>
      <w:rPr>
        <w:b/>
        <w:bCs/>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77521"/>
    <w:multiLevelType w:val="singleLevel"/>
    <w:tmpl w:val="90177521"/>
    <w:lvl w:ilvl="0" w:tentative="0">
      <w:start w:val="1"/>
      <w:numFmt w:val="decimal"/>
      <w:suff w:val="nothing"/>
      <w:lvlText w:val="（%1）"/>
      <w:lvlJc w:val="left"/>
    </w:lvl>
  </w:abstractNum>
  <w:abstractNum w:abstractNumId="1">
    <w:nsid w:val="9425ED73"/>
    <w:multiLevelType w:val="singleLevel"/>
    <w:tmpl w:val="9425ED73"/>
    <w:lvl w:ilvl="0" w:tentative="0">
      <w:start w:val="8"/>
      <w:numFmt w:val="decimal"/>
      <w:suff w:val="nothing"/>
      <w:lvlText w:val="（%1）"/>
      <w:lvlJc w:val="left"/>
    </w:lvl>
  </w:abstractNum>
  <w:abstractNum w:abstractNumId="2">
    <w:nsid w:val="B0AF698C"/>
    <w:multiLevelType w:val="singleLevel"/>
    <w:tmpl w:val="B0AF698C"/>
    <w:lvl w:ilvl="0" w:tentative="0">
      <w:start w:val="1"/>
      <w:numFmt w:val="decimal"/>
      <w:suff w:val="nothing"/>
      <w:lvlText w:val="%1、"/>
      <w:lvlJc w:val="left"/>
    </w:lvl>
  </w:abstractNum>
  <w:abstractNum w:abstractNumId="3">
    <w:nsid w:val="D159FA52"/>
    <w:multiLevelType w:val="singleLevel"/>
    <w:tmpl w:val="D159FA52"/>
    <w:lvl w:ilvl="0" w:tentative="0">
      <w:start w:val="1"/>
      <w:numFmt w:val="decimal"/>
      <w:lvlText w:val="%1."/>
      <w:lvlJc w:val="left"/>
      <w:pPr>
        <w:tabs>
          <w:tab w:val="left" w:pos="312"/>
        </w:tabs>
      </w:pPr>
    </w:lvl>
  </w:abstractNum>
  <w:abstractNum w:abstractNumId="4">
    <w:nsid w:val="15812A10"/>
    <w:multiLevelType w:val="multilevel"/>
    <w:tmpl w:val="15812A10"/>
    <w:lvl w:ilvl="0" w:tentative="0">
      <w:start w:val="1"/>
      <w:numFmt w:val="upperLetter"/>
      <w:pStyle w:val="3"/>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6BB6F4C8"/>
    <w:multiLevelType w:val="singleLevel"/>
    <w:tmpl w:val="6BB6F4C8"/>
    <w:lvl w:ilvl="0" w:tentative="0">
      <w:start w:val="2"/>
      <w:numFmt w:val="chineseCounting"/>
      <w:suff w:val="nothing"/>
      <w:lvlText w:val="%1、"/>
      <w:lvlJc w:val="left"/>
      <w:rPr>
        <w:rFonts w:hint="eastAsia"/>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208"/>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4OTAwMmQ4OWY0ZTMzZDU3NDBhOTIxNzUyZGVlMzEifQ=="/>
  </w:docVars>
  <w:rsids>
    <w:rsidRoot w:val="00172A27"/>
    <w:rsid w:val="00070C9A"/>
    <w:rsid w:val="00311A5F"/>
    <w:rsid w:val="00372762"/>
    <w:rsid w:val="00375912"/>
    <w:rsid w:val="003A3B8D"/>
    <w:rsid w:val="003D1318"/>
    <w:rsid w:val="003D64C6"/>
    <w:rsid w:val="0044587C"/>
    <w:rsid w:val="0049300C"/>
    <w:rsid w:val="00550768"/>
    <w:rsid w:val="00564D94"/>
    <w:rsid w:val="0059742D"/>
    <w:rsid w:val="005F37BB"/>
    <w:rsid w:val="00655ACF"/>
    <w:rsid w:val="006634B6"/>
    <w:rsid w:val="0081553F"/>
    <w:rsid w:val="00880D6E"/>
    <w:rsid w:val="008930FE"/>
    <w:rsid w:val="008B6379"/>
    <w:rsid w:val="008C1CB9"/>
    <w:rsid w:val="008C6C96"/>
    <w:rsid w:val="00A64976"/>
    <w:rsid w:val="00AB652D"/>
    <w:rsid w:val="00B30A5B"/>
    <w:rsid w:val="00CF4A2D"/>
    <w:rsid w:val="00D456F3"/>
    <w:rsid w:val="00DE0E12"/>
    <w:rsid w:val="00DF07E1"/>
    <w:rsid w:val="00FB6A78"/>
    <w:rsid w:val="01441350"/>
    <w:rsid w:val="01516055"/>
    <w:rsid w:val="018722F8"/>
    <w:rsid w:val="01905CB7"/>
    <w:rsid w:val="019404F8"/>
    <w:rsid w:val="01956EB1"/>
    <w:rsid w:val="019F2B3A"/>
    <w:rsid w:val="01B67A7D"/>
    <w:rsid w:val="01BF4BBF"/>
    <w:rsid w:val="01DB7ED5"/>
    <w:rsid w:val="01EE065D"/>
    <w:rsid w:val="01EF37B4"/>
    <w:rsid w:val="0232464D"/>
    <w:rsid w:val="0244122B"/>
    <w:rsid w:val="02452A4D"/>
    <w:rsid w:val="02470CCC"/>
    <w:rsid w:val="024C374E"/>
    <w:rsid w:val="025916FC"/>
    <w:rsid w:val="025A7A16"/>
    <w:rsid w:val="02737565"/>
    <w:rsid w:val="0282586F"/>
    <w:rsid w:val="028E3814"/>
    <w:rsid w:val="029A5256"/>
    <w:rsid w:val="029C1CD6"/>
    <w:rsid w:val="02A50EBE"/>
    <w:rsid w:val="02BE47EC"/>
    <w:rsid w:val="02E00FC0"/>
    <w:rsid w:val="02E4212A"/>
    <w:rsid w:val="02F879D0"/>
    <w:rsid w:val="030160F0"/>
    <w:rsid w:val="03035935"/>
    <w:rsid w:val="03045209"/>
    <w:rsid w:val="030834F7"/>
    <w:rsid w:val="03174F3D"/>
    <w:rsid w:val="031C2927"/>
    <w:rsid w:val="032D650E"/>
    <w:rsid w:val="032E14A4"/>
    <w:rsid w:val="033700FD"/>
    <w:rsid w:val="03764359"/>
    <w:rsid w:val="038727F6"/>
    <w:rsid w:val="0397592C"/>
    <w:rsid w:val="03E9348B"/>
    <w:rsid w:val="041D4256"/>
    <w:rsid w:val="045158CF"/>
    <w:rsid w:val="0458421C"/>
    <w:rsid w:val="045B5DD4"/>
    <w:rsid w:val="0463595F"/>
    <w:rsid w:val="046C361A"/>
    <w:rsid w:val="047A5986"/>
    <w:rsid w:val="047A616D"/>
    <w:rsid w:val="048077BB"/>
    <w:rsid w:val="048A1193"/>
    <w:rsid w:val="048A4261"/>
    <w:rsid w:val="04912ACD"/>
    <w:rsid w:val="049701B6"/>
    <w:rsid w:val="04992E63"/>
    <w:rsid w:val="04C9670A"/>
    <w:rsid w:val="04CB7818"/>
    <w:rsid w:val="04D07A99"/>
    <w:rsid w:val="04E90B5B"/>
    <w:rsid w:val="04EF0559"/>
    <w:rsid w:val="05191990"/>
    <w:rsid w:val="051E5B03"/>
    <w:rsid w:val="05280493"/>
    <w:rsid w:val="052A7EFB"/>
    <w:rsid w:val="054162A1"/>
    <w:rsid w:val="05466333"/>
    <w:rsid w:val="05684659"/>
    <w:rsid w:val="056F4375"/>
    <w:rsid w:val="058058AC"/>
    <w:rsid w:val="0583745E"/>
    <w:rsid w:val="058C5071"/>
    <w:rsid w:val="05A679C7"/>
    <w:rsid w:val="05A71A95"/>
    <w:rsid w:val="05C426B9"/>
    <w:rsid w:val="05C73B1A"/>
    <w:rsid w:val="05D443DF"/>
    <w:rsid w:val="05F7737D"/>
    <w:rsid w:val="061E3339"/>
    <w:rsid w:val="063324E8"/>
    <w:rsid w:val="06450013"/>
    <w:rsid w:val="06832C2F"/>
    <w:rsid w:val="068837C4"/>
    <w:rsid w:val="069C62F3"/>
    <w:rsid w:val="06A4690C"/>
    <w:rsid w:val="06A917A9"/>
    <w:rsid w:val="06E4311A"/>
    <w:rsid w:val="06E743BD"/>
    <w:rsid w:val="06FE7850"/>
    <w:rsid w:val="07055B02"/>
    <w:rsid w:val="07200622"/>
    <w:rsid w:val="072E2BDA"/>
    <w:rsid w:val="073410EE"/>
    <w:rsid w:val="07375BAD"/>
    <w:rsid w:val="073A25C9"/>
    <w:rsid w:val="074443FC"/>
    <w:rsid w:val="07666BB9"/>
    <w:rsid w:val="078208CA"/>
    <w:rsid w:val="07842398"/>
    <w:rsid w:val="078F42A9"/>
    <w:rsid w:val="079B55D5"/>
    <w:rsid w:val="079C2F47"/>
    <w:rsid w:val="079C3C62"/>
    <w:rsid w:val="07B76CEE"/>
    <w:rsid w:val="07E51AAD"/>
    <w:rsid w:val="081E6D6D"/>
    <w:rsid w:val="083F7CE8"/>
    <w:rsid w:val="08431A06"/>
    <w:rsid w:val="085F4CBA"/>
    <w:rsid w:val="0879522B"/>
    <w:rsid w:val="08A26026"/>
    <w:rsid w:val="08A2799E"/>
    <w:rsid w:val="08A35177"/>
    <w:rsid w:val="08A74D92"/>
    <w:rsid w:val="08B2363B"/>
    <w:rsid w:val="08C23B9D"/>
    <w:rsid w:val="08D77648"/>
    <w:rsid w:val="08E43160"/>
    <w:rsid w:val="08E6788B"/>
    <w:rsid w:val="08ED43F5"/>
    <w:rsid w:val="08F20D38"/>
    <w:rsid w:val="08FC0E5C"/>
    <w:rsid w:val="09037AD8"/>
    <w:rsid w:val="09087992"/>
    <w:rsid w:val="091B2D32"/>
    <w:rsid w:val="09291595"/>
    <w:rsid w:val="09561F72"/>
    <w:rsid w:val="097843D3"/>
    <w:rsid w:val="097D2346"/>
    <w:rsid w:val="09885D9B"/>
    <w:rsid w:val="099C43EE"/>
    <w:rsid w:val="09BB1C1D"/>
    <w:rsid w:val="09D96B91"/>
    <w:rsid w:val="0A1309FC"/>
    <w:rsid w:val="0A283ED3"/>
    <w:rsid w:val="0A3449EF"/>
    <w:rsid w:val="0A3757B8"/>
    <w:rsid w:val="0A92725D"/>
    <w:rsid w:val="0A9F4E7B"/>
    <w:rsid w:val="0AC054F0"/>
    <w:rsid w:val="0AC22443"/>
    <w:rsid w:val="0AC97A2B"/>
    <w:rsid w:val="0AD57BB7"/>
    <w:rsid w:val="0AD71C9D"/>
    <w:rsid w:val="0AD71ECB"/>
    <w:rsid w:val="0AD91265"/>
    <w:rsid w:val="0AE43636"/>
    <w:rsid w:val="0AF05CC3"/>
    <w:rsid w:val="0AF16211"/>
    <w:rsid w:val="0AFD0EBC"/>
    <w:rsid w:val="0B1A5DFD"/>
    <w:rsid w:val="0B760061"/>
    <w:rsid w:val="0B792C38"/>
    <w:rsid w:val="0B7C0033"/>
    <w:rsid w:val="0B82348B"/>
    <w:rsid w:val="0B9F55F2"/>
    <w:rsid w:val="0BA53A2D"/>
    <w:rsid w:val="0BA77581"/>
    <w:rsid w:val="0BA927BE"/>
    <w:rsid w:val="0BB6346A"/>
    <w:rsid w:val="0BD66878"/>
    <w:rsid w:val="0BD926C2"/>
    <w:rsid w:val="0BF24799"/>
    <w:rsid w:val="0C0319FE"/>
    <w:rsid w:val="0C204A8E"/>
    <w:rsid w:val="0C28640C"/>
    <w:rsid w:val="0C33219C"/>
    <w:rsid w:val="0C3B3AD8"/>
    <w:rsid w:val="0C4B588B"/>
    <w:rsid w:val="0C62191E"/>
    <w:rsid w:val="0C6272E4"/>
    <w:rsid w:val="0C6D2071"/>
    <w:rsid w:val="0C7209BF"/>
    <w:rsid w:val="0C740124"/>
    <w:rsid w:val="0C7B4D47"/>
    <w:rsid w:val="0C9431DA"/>
    <w:rsid w:val="0C9870EE"/>
    <w:rsid w:val="0CA53436"/>
    <w:rsid w:val="0CAE505C"/>
    <w:rsid w:val="0CB531DB"/>
    <w:rsid w:val="0CB626E8"/>
    <w:rsid w:val="0CD81BE1"/>
    <w:rsid w:val="0CE01A37"/>
    <w:rsid w:val="0CE92AC3"/>
    <w:rsid w:val="0CEB671D"/>
    <w:rsid w:val="0D0765FA"/>
    <w:rsid w:val="0D0B1DAE"/>
    <w:rsid w:val="0D147A2B"/>
    <w:rsid w:val="0D2E7A52"/>
    <w:rsid w:val="0D410109"/>
    <w:rsid w:val="0D565429"/>
    <w:rsid w:val="0D57004B"/>
    <w:rsid w:val="0D841421"/>
    <w:rsid w:val="0D872355"/>
    <w:rsid w:val="0D9652D2"/>
    <w:rsid w:val="0D9B4506"/>
    <w:rsid w:val="0DA03F2B"/>
    <w:rsid w:val="0DF35649"/>
    <w:rsid w:val="0E113A26"/>
    <w:rsid w:val="0E1F006C"/>
    <w:rsid w:val="0E296EAC"/>
    <w:rsid w:val="0E3E5E77"/>
    <w:rsid w:val="0E43752E"/>
    <w:rsid w:val="0E572FD9"/>
    <w:rsid w:val="0E713F8B"/>
    <w:rsid w:val="0E7E359A"/>
    <w:rsid w:val="0E9C279A"/>
    <w:rsid w:val="0E9D6C3E"/>
    <w:rsid w:val="0EB5462F"/>
    <w:rsid w:val="0EB77150"/>
    <w:rsid w:val="0ED36852"/>
    <w:rsid w:val="0EEF3DE0"/>
    <w:rsid w:val="0EFD1328"/>
    <w:rsid w:val="0F1B72CD"/>
    <w:rsid w:val="0F285D0A"/>
    <w:rsid w:val="0F325853"/>
    <w:rsid w:val="0F34137B"/>
    <w:rsid w:val="0F3B55DE"/>
    <w:rsid w:val="0F410A6C"/>
    <w:rsid w:val="0F450BDC"/>
    <w:rsid w:val="0F503516"/>
    <w:rsid w:val="0F6100E7"/>
    <w:rsid w:val="0F7D4D51"/>
    <w:rsid w:val="0F855C71"/>
    <w:rsid w:val="0F986611"/>
    <w:rsid w:val="0F9B4836"/>
    <w:rsid w:val="0FCB1150"/>
    <w:rsid w:val="0FD77F2D"/>
    <w:rsid w:val="0FD83CA6"/>
    <w:rsid w:val="0FEE6F54"/>
    <w:rsid w:val="0FF60A41"/>
    <w:rsid w:val="0FF80688"/>
    <w:rsid w:val="10196798"/>
    <w:rsid w:val="102F20C9"/>
    <w:rsid w:val="102F2FB7"/>
    <w:rsid w:val="103425BC"/>
    <w:rsid w:val="10615A49"/>
    <w:rsid w:val="106531E4"/>
    <w:rsid w:val="106B4B1A"/>
    <w:rsid w:val="107C5767"/>
    <w:rsid w:val="1087314D"/>
    <w:rsid w:val="108C51BC"/>
    <w:rsid w:val="108D54EB"/>
    <w:rsid w:val="10A73DA4"/>
    <w:rsid w:val="10B262A5"/>
    <w:rsid w:val="10C250EC"/>
    <w:rsid w:val="10D42FEE"/>
    <w:rsid w:val="10DB3A4D"/>
    <w:rsid w:val="10DF0024"/>
    <w:rsid w:val="1126243E"/>
    <w:rsid w:val="112D2C32"/>
    <w:rsid w:val="113B0990"/>
    <w:rsid w:val="113E2750"/>
    <w:rsid w:val="115438B3"/>
    <w:rsid w:val="11660E72"/>
    <w:rsid w:val="11722D65"/>
    <w:rsid w:val="118E7C9A"/>
    <w:rsid w:val="11AF371E"/>
    <w:rsid w:val="11B81FE1"/>
    <w:rsid w:val="11BE371C"/>
    <w:rsid w:val="11E22BBA"/>
    <w:rsid w:val="11E64EC6"/>
    <w:rsid w:val="11F94920"/>
    <w:rsid w:val="120945EA"/>
    <w:rsid w:val="122076CB"/>
    <w:rsid w:val="12216F0B"/>
    <w:rsid w:val="122C141F"/>
    <w:rsid w:val="122F6F1D"/>
    <w:rsid w:val="123563C8"/>
    <w:rsid w:val="123622F2"/>
    <w:rsid w:val="12687563"/>
    <w:rsid w:val="12694E30"/>
    <w:rsid w:val="127B38E1"/>
    <w:rsid w:val="127D0657"/>
    <w:rsid w:val="12A425D6"/>
    <w:rsid w:val="12AE7AA1"/>
    <w:rsid w:val="12BC340B"/>
    <w:rsid w:val="12CB564B"/>
    <w:rsid w:val="12D61B20"/>
    <w:rsid w:val="12D93FBD"/>
    <w:rsid w:val="12DF4EF6"/>
    <w:rsid w:val="12F806C8"/>
    <w:rsid w:val="12FB03D7"/>
    <w:rsid w:val="12FB6EB0"/>
    <w:rsid w:val="1301229B"/>
    <w:rsid w:val="131C7F9B"/>
    <w:rsid w:val="135263DA"/>
    <w:rsid w:val="135875D7"/>
    <w:rsid w:val="135A0C34"/>
    <w:rsid w:val="13685FEC"/>
    <w:rsid w:val="1371171F"/>
    <w:rsid w:val="137A57A0"/>
    <w:rsid w:val="139B2D92"/>
    <w:rsid w:val="13A22CE8"/>
    <w:rsid w:val="13A5113C"/>
    <w:rsid w:val="13AE5449"/>
    <w:rsid w:val="13B63B68"/>
    <w:rsid w:val="13BA68E2"/>
    <w:rsid w:val="13DA67BB"/>
    <w:rsid w:val="13E7462D"/>
    <w:rsid w:val="13E93C38"/>
    <w:rsid w:val="13F5732B"/>
    <w:rsid w:val="13FD056E"/>
    <w:rsid w:val="14151024"/>
    <w:rsid w:val="143A0EF1"/>
    <w:rsid w:val="146B5AD1"/>
    <w:rsid w:val="14754401"/>
    <w:rsid w:val="14866E4C"/>
    <w:rsid w:val="14903006"/>
    <w:rsid w:val="149B0031"/>
    <w:rsid w:val="14A322C1"/>
    <w:rsid w:val="14B60A59"/>
    <w:rsid w:val="14D47A52"/>
    <w:rsid w:val="14D94748"/>
    <w:rsid w:val="14F15014"/>
    <w:rsid w:val="14F9337C"/>
    <w:rsid w:val="14FC0436"/>
    <w:rsid w:val="1504469A"/>
    <w:rsid w:val="151D3723"/>
    <w:rsid w:val="15304E1A"/>
    <w:rsid w:val="1534372C"/>
    <w:rsid w:val="1543362F"/>
    <w:rsid w:val="154F4A0A"/>
    <w:rsid w:val="155211A5"/>
    <w:rsid w:val="157D7DFD"/>
    <w:rsid w:val="15966195"/>
    <w:rsid w:val="15A3007C"/>
    <w:rsid w:val="15A43DFF"/>
    <w:rsid w:val="15B552F2"/>
    <w:rsid w:val="15B66837"/>
    <w:rsid w:val="15B85F67"/>
    <w:rsid w:val="15E6711C"/>
    <w:rsid w:val="15F959C4"/>
    <w:rsid w:val="16086561"/>
    <w:rsid w:val="160D2BC9"/>
    <w:rsid w:val="160F7CF5"/>
    <w:rsid w:val="164D6A8F"/>
    <w:rsid w:val="16650027"/>
    <w:rsid w:val="166B1206"/>
    <w:rsid w:val="167F317C"/>
    <w:rsid w:val="168A689F"/>
    <w:rsid w:val="168F464C"/>
    <w:rsid w:val="169F376F"/>
    <w:rsid w:val="16B04BCB"/>
    <w:rsid w:val="16B55893"/>
    <w:rsid w:val="16B87371"/>
    <w:rsid w:val="16C44F84"/>
    <w:rsid w:val="16F06772"/>
    <w:rsid w:val="16FE70BD"/>
    <w:rsid w:val="1706655B"/>
    <w:rsid w:val="17141A67"/>
    <w:rsid w:val="1716691C"/>
    <w:rsid w:val="171A5397"/>
    <w:rsid w:val="176743AA"/>
    <w:rsid w:val="17683CA8"/>
    <w:rsid w:val="178D1819"/>
    <w:rsid w:val="17A20A2C"/>
    <w:rsid w:val="17B466A2"/>
    <w:rsid w:val="17C90AA4"/>
    <w:rsid w:val="17D04058"/>
    <w:rsid w:val="17D43A37"/>
    <w:rsid w:val="17E94879"/>
    <w:rsid w:val="18091E48"/>
    <w:rsid w:val="18095344"/>
    <w:rsid w:val="181810E3"/>
    <w:rsid w:val="18187335"/>
    <w:rsid w:val="182E277A"/>
    <w:rsid w:val="18500B72"/>
    <w:rsid w:val="18505546"/>
    <w:rsid w:val="18961297"/>
    <w:rsid w:val="18A4080D"/>
    <w:rsid w:val="18AB340D"/>
    <w:rsid w:val="18B2778A"/>
    <w:rsid w:val="18BE6AD2"/>
    <w:rsid w:val="18C07889"/>
    <w:rsid w:val="18C3152C"/>
    <w:rsid w:val="18C707FF"/>
    <w:rsid w:val="18EF1596"/>
    <w:rsid w:val="18F822B9"/>
    <w:rsid w:val="190B38A2"/>
    <w:rsid w:val="191223CD"/>
    <w:rsid w:val="191532B1"/>
    <w:rsid w:val="193463F1"/>
    <w:rsid w:val="1935744B"/>
    <w:rsid w:val="19537B31"/>
    <w:rsid w:val="1984168A"/>
    <w:rsid w:val="19856C4C"/>
    <w:rsid w:val="19A53E13"/>
    <w:rsid w:val="1A0314E0"/>
    <w:rsid w:val="1A1224C1"/>
    <w:rsid w:val="1A2B4A5D"/>
    <w:rsid w:val="1A345F7C"/>
    <w:rsid w:val="1A463793"/>
    <w:rsid w:val="1A475EB2"/>
    <w:rsid w:val="1A4B1C25"/>
    <w:rsid w:val="1A7138BC"/>
    <w:rsid w:val="1A720603"/>
    <w:rsid w:val="1A8213DE"/>
    <w:rsid w:val="1A8A4E6B"/>
    <w:rsid w:val="1A8C7B66"/>
    <w:rsid w:val="1A8E7D82"/>
    <w:rsid w:val="1A963E62"/>
    <w:rsid w:val="1AAE5CA7"/>
    <w:rsid w:val="1ABA54F5"/>
    <w:rsid w:val="1AD1664E"/>
    <w:rsid w:val="1ADD03C2"/>
    <w:rsid w:val="1AE3240B"/>
    <w:rsid w:val="1AF93E52"/>
    <w:rsid w:val="1B18480A"/>
    <w:rsid w:val="1B191A64"/>
    <w:rsid w:val="1B3A5AA4"/>
    <w:rsid w:val="1B472FA4"/>
    <w:rsid w:val="1B55264E"/>
    <w:rsid w:val="1B7176ED"/>
    <w:rsid w:val="1B734C50"/>
    <w:rsid w:val="1B9232C1"/>
    <w:rsid w:val="1B984402"/>
    <w:rsid w:val="1BA248F6"/>
    <w:rsid w:val="1BB878EB"/>
    <w:rsid w:val="1BDF2529"/>
    <w:rsid w:val="1BF268FD"/>
    <w:rsid w:val="1BF94053"/>
    <w:rsid w:val="1BFC0741"/>
    <w:rsid w:val="1C314E69"/>
    <w:rsid w:val="1C485D0F"/>
    <w:rsid w:val="1C5E5533"/>
    <w:rsid w:val="1C631C0C"/>
    <w:rsid w:val="1C6B2D2D"/>
    <w:rsid w:val="1C726B7C"/>
    <w:rsid w:val="1C7600BF"/>
    <w:rsid w:val="1C812471"/>
    <w:rsid w:val="1C986C96"/>
    <w:rsid w:val="1C993E5B"/>
    <w:rsid w:val="1C9A625E"/>
    <w:rsid w:val="1CBC78B8"/>
    <w:rsid w:val="1CBF68DF"/>
    <w:rsid w:val="1CC623AA"/>
    <w:rsid w:val="1CCD7C31"/>
    <w:rsid w:val="1CE825F6"/>
    <w:rsid w:val="1CEC6B5E"/>
    <w:rsid w:val="1CEE4694"/>
    <w:rsid w:val="1D0C4F8F"/>
    <w:rsid w:val="1D0E464A"/>
    <w:rsid w:val="1D183990"/>
    <w:rsid w:val="1D240B1D"/>
    <w:rsid w:val="1D3516EA"/>
    <w:rsid w:val="1D3A09A3"/>
    <w:rsid w:val="1D5331B8"/>
    <w:rsid w:val="1D621A43"/>
    <w:rsid w:val="1D677893"/>
    <w:rsid w:val="1D6909C9"/>
    <w:rsid w:val="1D7C237A"/>
    <w:rsid w:val="1D801048"/>
    <w:rsid w:val="1D8670E1"/>
    <w:rsid w:val="1DB0484E"/>
    <w:rsid w:val="1DB60283"/>
    <w:rsid w:val="1DC632C4"/>
    <w:rsid w:val="1DEE4157"/>
    <w:rsid w:val="1DFF4D80"/>
    <w:rsid w:val="1E0125C1"/>
    <w:rsid w:val="1E1C2DF3"/>
    <w:rsid w:val="1E44704D"/>
    <w:rsid w:val="1E6A43BA"/>
    <w:rsid w:val="1E715012"/>
    <w:rsid w:val="1E784E61"/>
    <w:rsid w:val="1EA01E32"/>
    <w:rsid w:val="1EA851F6"/>
    <w:rsid w:val="1EC2431C"/>
    <w:rsid w:val="1EDA11E1"/>
    <w:rsid w:val="1EDB2E6A"/>
    <w:rsid w:val="1EFC4C0E"/>
    <w:rsid w:val="1F14175E"/>
    <w:rsid w:val="1F187C4C"/>
    <w:rsid w:val="1F2B5944"/>
    <w:rsid w:val="1F3709E9"/>
    <w:rsid w:val="1F3D3B25"/>
    <w:rsid w:val="1F414859"/>
    <w:rsid w:val="1F4545FE"/>
    <w:rsid w:val="1F5F7EE2"/>
    <w:rsid w:val="1F6570B4"/>
    <w:rsid w:val="1FA60C2C"/>
    <w:rsid w:val="1FA801E8"/>
    <w:rsid w:val="1FAD4807"/>
    <w:rsid w:val="1FB05EDC"/>
    <w:rsid w:val="1FB574C8"/>
    <w:rsid w:val="1FC009D6"/>
    <w:rsid w:val="1FC758EE"/>
    <w:rsid w:val="1FD04999"/>
    <w:rsid w:val="1FD33C4C"/>
    <w:rsid w:val="1FDC333E"/>
    <w:rsid w:val="1FF10140"/>
    <w:rsid w:val="1FFC34B3"/>
    <w:rsid w:val="1FFC753C"/>
    <w:rsid w:val="201C6C99"/>
    <w:rsid w:val="20234AC9"/>
    <w:rsid w:val="203340C0"/>
    <w:rsid w:val="204F55D9"/>
    <w:rsid w:val="20582645"/>
    <w:rsid w:val="20605D1D"/>
    <w:rsid w:val="206A6068"/>
    <w:rsid w:val="206E4F1C"/>
    <w:rsid w:val="2076313B"/>
    <w:rsid w:val="208B0B2F"/>
    <w:rsid w:val="20905CA5"/>
    <w:rsid w:val="20A75793"/>
    <w:rsid w:val="20BA4585"/>
    <w:rsid w:val="20F70FD5"/>
    <w:rsid w:val="20FA1CCE"/>
    <w:rsid w:val="21025123"/>
    <w:rsid w:val="210B77DC"/>
    <w:rsid w:val="21132D32"/>
    <w:rsid w:val="211F4BB3"/>
    <w:rsid w:val="214964AC"/>
    <w:rsid w:val="21513061"/>
    <w:rsid w:val="218705A7"/>
    <w:rsid w:val="21C03271"/>
    <w:rsid w:val="21DC2D3F"/>
    <w:rsid w:val="21FA3C68"/>
    <w:rsid w:val="224156DA"/>
    <w:rsid w:val="226C794E"/>
    <w:rsid w:val="22752B92"/>
    <w:rsid w:val="2279289A"/>
    <w:rsid w:val="2279484D"/>
    <w:rsid w:val="227979C9"/>
    <w:rsid w:val="22A85315"/>
    <w:rsid w:val="22AA17FF"/>
    <w:rsid w:val="22B370B6"/>
    <w:rsid w:val="22BA5A19"/>
    <w:rsid w:val="22C344FF"/>
    <w:rsid w:val="22D16A5E"/>
    <w:rsid w:val="23060E7F"/>
    <w:rsid w:val="230A782E"/>
    <w:rsid w:val="231B6B6E"/>
    <w:rsid w:val="231E77CA"/>
    <w:rsid w:val="23244DE0"/>
    <w:rsid w:val="232D6E8D"/>
    <w:rsid w:val="23405EA3"/>
    <w:rsid w:val="234436D4"/>
    <w:rsid w:val="234B4A63"/>
    <w:rsid w:val="236472EF"/>
    <w:rsid w:val="23650D54"/>
    <w:rsid w:val="236C05D2"/>
    <w:rsid w:val="237925D6"/>
    <w:rsid w:val="237C1D9B"/>
    <w:rsid w:val="238547C2"/>
    <w:rsid w:val="238720A4"/>
    <w:rsid w:val="238B3F7B"/>
    <w:rsid w:val="23AE001C"/>
    <w:rsid w:val="23BA6BB5"/>
    <w:rsid w:val="23BC326A"/>
    <w:rsid w:val="23C71F25"/>
    <w:rsid w:val="23CC6FFD"/>
    <w:rsid w:val="23D8503E"/>
    <w:rsid w:val="23DC1B5F"/>
    <w:rsid w:val="23E311D5"/>
    <w:rsid w:val="24010128"/>
    <w:rsid w:val="24015B4E"/>
    <w:rsid w:val="24054FF8"/>
    <w:rsid w:val="2424465B"/>
    <w:rsid w:val="24386823"/>
    <w:rsid w:val="243B1370"/>
    <w:rsid w:val="244F430E"/>
    <w:rsid w:val="245277EF"/>
    <w:rsid w:val="24661428"/>
    <w:rsid w:val="246D27B7"/>
    <w:rsid w:val="24883A94"/>
    <w:rsid w:val="24C119E7"/>
    <w:rsid w:val="24C602A0"/>
    <w:rsid w:val="24CF0D54"/>
    <w:rsid w:val="24E0567E"/>
    <w:rsid w:val="24E65264"/>
    <w:rsid w:val="24FA5C63"/>
    <w:rsid w:val="25052271"/>
    <w:rsid w:val="251336D7"/>
    <w:rsid w:val="251E715D"/>
    <w:rsid w:val="25203CCD"/>
    <w:rsid w:val="25257EF9"/>
    <w:rsid w:val="252C5ECC"/>
    <w:rsid w:val="253613B7"/>
    <w:rsid w:val="2537727E"/>
    <w:rsid w:val="25380D65"/>
    <w:rsid w:val="2544623B"/>
    <w:rsid w:val="25450700"/>
    <w:rsid w:val="254D6B2F"/>
    <w:rsid w:val="254F5386"/>
    <w:rsid w:val="25526A26"/>
    <w:rsid w:val="255312E6"/>
    <w:rsid w:val="2588726F"/>
    <w:rsid w:val="25937FCC"/>
    <w:rsid w:val="259A56C4"/>
    <w:rsid w:val="25C72DD0"/>
    <w:rsid w:val="25D229F4"/>
    <w:rsid w:val="25E371D4"/>
    <w:rsid w:val="25F3318F"/>
    <w:rsid w:val="25F75596"/>
    <w:rsid w:val="25FB2990"/>
    <w:rsid w:val="26527EB6"/>
    <w:rsid w:val="269E0235"/>
    <w:rsid w:val="26AC4BE0"/>
    <w:rsid w:val="26BE19EF"/>
    <w:rsid w:val="26E52AD8"/>
    <w:rsid w:val="26EF6B0A"/>
    <w:rsid w:val="26FD62E4"/>
    <w:rsid w:val="271F4035"/>
    <w:rsid w:val="274421F4"/>
    <w:rsid w:val="27445F0D"/>
    <w:rsid w:val="27534A28"/>
    <w:rsid w:val="276023CE"/>
    <w:rsid w:val="27873867"/>
    <w:rsid w:val="279544FE"/>
    <w:rsid w:val="27A46FAF"/>
    <w:rsid w:val="27B24A3C"/>
    <w:rsid w:val="27C3500E"/>
    <w:rsid w:val="27D65C6A"/>
    <w:rsid w:val="27D90B28"/>
    <w:rsid w:val="27FB55ED"/>
    <w:rsid w:val="28182978"/>
    <w:rsid w:val="2842328A"/>
    <w:rsid w:val="284F6DB5"/>
    <w:rsid w:val="2852116C"/>
    <w:rsid w:val="28773F6A"/>
    <w:rsid w:val="28816C46"/>
    <w:rsid w:val="28B035B3"/>
    <w:rsid w:val="28BC18B3"/>
    <w:rsid w:val="28C55650"/>
    <w:rsid w:val="28E828E7"/>
    <w:rsid w:val="28F60FCD"/>
    <w:rsid w:val="28F6721F"/>
    <w:rsid w:val="293A0F6B"/>
    <w:rsid w:val="2942789E"/>
    <w:rsid w:val="294A756A"/>
    <w:rsid w:val="295421FD"/>
    <w:rsid w:val="29670395"/>
    <w:rsid w:val="29842A7C"/>
    <w:rsid w:val="29E4441C"/>
    <w:rsid w:val="29E91861"/>
    <w:rsid w:val="29EF49E2"/>
    <w:rsid w:val="29FC02BC"/>
    <w:rsid w:val="2A027B49"/>
    <w:rsid w:val="2A09364C"/>
    <w:rsid w:val="2A342A03"/>
    <w:rsid w:val="2A382EBA"/>
    <w:rsid w:val="2A3B2F4F"/>
    <w:rsid w:val="2A467D32"/>
    <w:rsid w:val="2A4D4C2B"/>
    <w:rsid w:val="2A571C68"/>
    <w:rsid w:val="2A61691A"/>
    <w:rsid w:val="2A6A4A10"/>
    <w:rsid w:val="2A7A52D0"/>
    <w:rsid w:val="2A7C55A1"/>
    <w:rsid w:val="2A904270"/>
    <w:rsid w:val="2AA44EF8"/>
    <w:rsid w:val="2AA8672E"/>
    <w:rsid w:val="2AB32EED"/>
    <w:rsid w:val="2AB7478C"/>
    <w:rsid w:val="2AC05D36"/>
    <w:rsid w:val="2AC905A4"/>
    <w:rsid w:val="2ACA1805"/>
    <w:rsid w:val="2ACD757B"/>
    <w:rsid w:val="2ACE4221"/>
    <w:rsid w:val="2AD2618A"/>
    <w:rsid w:val="2ADF3CE2"/>
    <w:rsid w:val="2B034DF3"/>
    <w:rsid w:val="2B0D50FB"/>
    <w:rsid w:val="2B343C6F"/>
    <w:rsid w:val="2B5446D0"/>
    <w:rsid w:val="2B642897"/>
    <w:rsid w:val="2B6528FC"/>
    <w:rsid w:val="2B84661A"/>
    <w:rsid w:val="2B8E7BE2"/>
    <w:rsid w:val="2B8F74B6"/>
    <w:rsid w:val="2B976D6A"/>
    <w:rsid w:val="2B9B40AD"/>
    <w:rsid w:val="2BA45355"/>
    <w:rsid w:val="2BA454DE"/>
    <w:rsid w:val="2BB21E66"/>
    <w:rsid w:val="2BB42A96"/>
    <w:rsid w:val="2BD17ACF"/>
    <w:rsid w:val="2BD70DB6"/>
    <w:rsid w:val="2BD840D3"/>
    <w:rsid w:val="2BE67C11"/>
    <w:rsid w:val="2BEB56B4"/>
    <w:rsid w:val="2C0C4FAB"/>
    <w:rsid w:val="2C106849"/>
    <w:rsid w:val="2C4B4A54"/>
    <w:rsid w:val="2C4E4561"/>
    <w:rsid w:val="2C51018F"/>
    <w:rsid w:val="2C536595"/>
    <w:rsid w:val="2C576226"/>
    <w:rsid w:val="2C61616A"/>
    <w:rsid w:val="2C65483C"/>
    <w:rsid w:val="2C840586"/>
    <w:rsid w:val="2CB01CF4"/>
    <w:rsid w:val="2CDF7FCA"/>
    <w:rsid w:val="2CF51A3A"/>
    <w:rsid w:val="2D067FA2"/>
    <w:rsid w:val="2D1C2E4F"/>
    <w:rsid w:val="2D1D71A5"/>
    <w:rsid w:val="2D2D05C7"/>
    <w:rsid w:val="2D4029A2"/>
    <w:rsid w:val="2D435AA1"/>
    <w:rsid w:val="2D4F6EFD"/>
    <w:rsid w:val="2D617311"/>
    <w:rsid w:val="2D6D453A"/>
    <w:rsid w:val="2D75121F"/>
    <w:rsid w:val="2D893AC7"/>
    <w:rsid w:val="2D8A2289"/>
    <w:rsid w:val="2D9E1C33"/>
    <w:rsid w:val="2DAA41C0"/>
    <w:rsid w:val="2DBE0F5A"/>
    <w:rsid w:val="2DCC491E"/>
    <w:rsid w:val="2DDE7701"/>
    <w:rsid w:val="2E0F325C"/>
    <w:rsid w:val="2E103B34"/>
    <w:rsid w:val="2E1275F1"/>
    <w:rsid w:val="2E1472D4"/>
    <w:rsid w:val="2E183FB2"/>
    <w:rsid w:val="2E246097"/>
    <w:rsid w:val="2E460AAA"/>
    <w:rsid w:val="2E4B5350"/>
    <w:rsid w:val="2E525FE5"/>
    <w:rsid w:val="2E577696"/>
    <w:rsid w:val="2E840E29"/>
    <w:rsid w:val="2E925DBF"/>
    <w:rsid w:val="2E956AFF"/>
    <w:rsid w:val="2EC042E5"/>
    <w:rsid w:val="2ED362D4"/>
    <w:rsid w:val="2F08794B"/>
    <w:rsid w:val="2F0A7DE0"/>
    <w:rsid w:val="2F1C5505"/>
    <w:rsid w:val="2F276925"/>
    <w:rsid w:val="2F4B7212"/>
    <w:rsid w:val="2F5729E1"/>
    <w:rsid w:val="2F5C3B54"/>
    <w:rsid w:val="2F5D79A6"/>
    <w:rsid w:val="2F5F538F"/>
    <w:rsid w:val="2F6E39A3"/>
    <w:rsid w:val="2F70684D"/>
    <w:rsid w:val="2F77273B"/>
    <w:rsid w:val="2F7C07E6"/>
    <w:rsid w:val="2F8E13EB"/>
    <w:rsid w:val="2F982F65"/>
    <w:rsid w:val="2F9A1324"/>
    <w:rsid w:val="2F9D21CA"/>
    <w:rsid w:val="2F9F1551"/>
    <w:rsid w:val="2FAB69DE"/>
    <w:rsid w:val="2FBE1284"/>
    <w:rsid w:val="2FBE4BBB"/>
    <w:rsid w:val="2FBF7401"/>
    <w:rsid w:val="2FC22F28"/>
    <w:rsid w:val="2FCA6D0F"/>
    <w:rsid w:val="2FCB233F"/>
    <w:rsid w:val="2FD7142C"/>
    <w:rsid w:val="2FD85DE6"/>
    <w:rsid w:val="2FDD2EE6"/>
    <w:rsid w:val="2FF3395D"/>
    <w:rsid w:val="2FF67B04"/>
    <w:rsid w:val="300707AC"/>
    <w:rsid w:val="3018048E"/>
    <w:rsid w:val="301954F6"/>
    <w:rsid w:val="302762F3"/>
    <w:rsid w:val="302F675F"/>
    <w:rsid w:val="30396599"/>
    <w:rsid w:val="30411F7C"/>
    <w:rsid w:val="304A60A2"/>
    <w:rsid w:val="308568D1"/>
    <w:rsid w:val="30990E18"/>
    <w:rsid w:val="309C2994"/>
    <w:rsid w:val="30A21A3A"/>
    <w:rsid w:val="30A46CC6"/>
    <w:rsid w:val="30A729F3"/>
    <w:rsid w:val="30BC23AE"/>
    <w:rsid w:val="30BF39E6"/>
    <w:rsid w:val="30D209AA"/>
    <w:rsid w:val="30EA17A6"/>
    <w:rsid w:val="30ED712E"/>
    <w:rsid w:val="30EF2E37"/>
    <w:rsid w:val="30FC500D"/>
    <w:rsid w:val="31026FFF"/>
    <w:rsid w:val="312D77EB"/>
    <w:rsid w:val="313E1F02"/>
    <w:rsid w:val="31430F8A"/>
    <w:rsid w:val="31507E17"/>
    <w:rsid w:val="315928B0"/>
    <w:rsid w:val="317F1976"/>
    <w:rsid w:val="318C423B"/>
    <w:rsid w:val="319B6B3A"/>
    <w:rsid w:val="31B511BB"/>
    <w:rsid w:val="31C755B5"/>
    <w:rsid w:val="31CA5C5E"/>
    <w:rsid w:val="31ED6472"/>
    <w:rsid w:val="31F74F4F"/>
    <w:rsid w:val="31FA5F63"/>
    <w:rsid w:val="320A1DE3"/>
    <w:rsid w:val="32381187"/>
    <w:rsid w:val="324A40CE"/>
    <w:rsid w:val="324E37D9"/>
    <w:rsid w:val="3254376E"/>
    <w:rsid w:val="327214B2"/>
    <w:rsid w:val="327D1486"/>
    <w:rsid w:val="32820059"/>
    <w:rsid w:val="3289176D"/>
    <w:rsid w:val="328B38CB"/>
    <w:rsid w:val="32900BB9"/>
    <w:rsid w:val="329A742D"/>
    <w:rsid w:val="32A04859"/>
    <w:rsid w:val="32B02085"/>
    <w:rsid w:val="32F04CDF"/>
    <w:rsid w:val="32F71FD7"/>
    <w:rsid w:val="33002927"/>
    <w:rsid w:val="33154745"/>
    <w:rsid w:val="33197287"/>
    <w:rsid w:val="33340929"/>
    <w:rsid w:val="333F4925"/>
    <w:rsid w:val="33456DE6"/>
    <w:rsid w:val="335A2AA0"/>
    <w:rsid w:val="336B25B7"/>
    <w:rsid w:val="337B4384"/>
    <w:rsid w:val="337F2820"/>
    <w:rsid w:val="33B03948"/>
    <w:rsid w:val="33B43F5E"/>
    <w:rsid w:val="33C81C5D"/>
    <w:rsid w:val="33CD52B8"/>
    <w:rsid w:val="33CF7DBA"/>
    <w:rsid w:val="33DC5263"/>
    <w:rsid w:val="33E50B1A"/>
    <w:rsid w:val="33EC7B9C"/>
    <w:rsid w:val="33EF4D0A"/>
    <w:rsid w:val="34032411"/>
    <w:rsid w:val="340D4A2F"/>
    <w:rsid w:val="34265A2E"/>
    <w:rsid w:val="344001AE"/>
    <w:rsid w:val="346F64F3"/>
    <w:rsid w:val="34825E0A"/>
    <w:rsid w:val="34982A54"/>
    <w:rsid w:val="34B14942"/>
    <w:rsid w:val="34D0301A"/>
    <w:rsid w:val="34DF14AF"/>
    <w:rsid w:val="34DF21B5"/>
    <w:rsid w:val="34E32559"/>
    <w:rsid w:val="34ED312C"/>
    <w:rsid w:val="350D601C"/>
    <w:rsid w:val="351723C4"/>
    <w:rsid w:val="3522139B"/>
    <w:rsid w:val="35254D25"/>
    <w:rsid w:val="35325A82"/>
    <w:rsid w:val="35441312"/>
    <w:rsid w:val="35515E16"/>
    <w:rsid w:val="355763FB"/>
    <w:rsid w:val="355F451E"/>
    <w:rsid w:val="356F1DE6"/>
    <w:rsid w:val="35891F84"/>
    <w:rsid w:val="35BA1DCF"/>
    <w:rsid w:val="35BC359E"/>
    <w:rsid w:val="35C06AAE"/>
    <w:rsid w:val="35DC3C1A"/>
    <w:rsid w:val="35DD4DB4"/>
    <w:rsid w:val="35EF3EB5"/>
    <w:rsid w:val="35F772C9"/>
    <w:rsid w:val="36252EF1"/>
    <w:rsid w:val="364E6079"/>
    <w:rsid w:val="36696F9E"/>
    <w:rsid w:val="367100B3"/>
    <w:rsid w:val="368371E9"/>
    <w:rsid w:val="369167D9"/>
    <w:rsid w:val="36A43329"/>
    <w:rsid w:val="36CF10AF"/>
    <w:rsid w:val="36D87F64"/>
    <w:rsid w:val="36D96200"/>
    <w:rsid w:val="36E45642"/>
    <w:rsid w:val="36E67F1E"/>
    <w:rsid w:val="36EF52AD"/>
    <w:rsid w:val="36F93223"/>
    <w:rsid w:val="370451FC"/>
    <w:rsid w:val="370A06A0"/>
    <w:rsid w:val="370D0E17"/>
    <w:rsid w:val="371240AC"/>
    <w:rsid w:val="37136F3C"/>
    <w:rsid w:val="372E1665"/>
    <w:rsid w:val="37305E0B"/>
    <w:rsid w:val="373D5333"/>
    <w:rsid w:val="37465815"/>
    <w:rsid w:val="374709C4"/>
    <w:rsid w:val="3747458A"/>
    <w:rsid w:val="375B69BA"/>
    <w:rsid w:val="376B044A"/>
    <w:rsid w:val="3787451B"/>
    <w:rsid w:val="37936580"/>
    <w:rsid w:val="37C404E8"/>
    <w:rsid w:val="37F11A23"/>
    <w:rsid w:val="380A1621"/>
    <w:rsid w:val="382177C2"/>
    <w:rsid w:val="382402DC"/>
    <w:rsid w:val="38392A8D"/>
    <w:rsid w:val="384624A3"/>
    <w:rsid w:val="384A57DD"/>
    <w:rsid w:val="384C4026"/>
    <w:rsid w:val="388163D9"/>
    <w:rsid w:val="38B92EB1"/>
    <w:rsid w:val="38CC58A6"/>
    <w:rsid w:val="38DE5A9B"/>
    <w:rsid w:val="38F20621"/>
    <w:rsid w:val="39177242"/>
    <w:rsid w:val="39255A3C"/>
    <w:rsid w:val="393918F3"/>
    <w:rsid w:val="39401290"/>
    <w:rsid w:val="39523143"/>
    <w:rsid w:val="39842625"/>
    <w:rsid w:val="398D3369"/>
    <w:rsid w:val="39972160"/>
    <w:rsid w:val="39B221EB"/>
    <w:rsid w:val="39B34CB8"/>
    <w:rsid w:val="39C85F2C"/>
    <w:rsid w:val="39D6265A"/>
    <w:rsid w:val="39EE17A8"/>
    <w:rsid w:val="39F373ED"/>
    <w:rsid w:val="3A1A2A53"/>
    <w:rsid w:val="3A282FB0"/>
    <w:rsid w:val="3A2B2AA0"/>
    <w:rsid w:val="3A2D75CA"/>
    <w:rsid w:val="3A630BBF"/>
    <w:rsid w:val="3A6C5593"/>
    <w:rsid w:val="3A7206CF"/>
    <w:rsid w:val="3A8F5E4C"/>
    <w:rsid w:val="3A9F1100"/>
    <w:rsid w:val="3AD35612"/>
    <w:rsid w:val="3AEA630E"/>
    <w:rsid w:val="3AFA4B35"/>
    <w:rsid w:val="3B040569"/>
    <w:rsid w:val="3B0D3322"/>
    <w:rsid w:val="3B3755D1"/>
    <w:rsid w:val="3B3807D5"/>
    <w:rsid w:val="3B5D7801"/>
    <w:rsid w:val="3B7512B0"/>
    <w:rsid w:val="3B79002D"/>
    <w:rsid w:val="3B821274"/>
    <w:rsid w:val="3B9E6E1C"/>
    <w:rsid w:val="3BB20F3E"/>
    <w:rsid w:val="3BB7220C"/>
    <w:rsid w:val="3BB80364"/>
    <w:rsid w:val="3BB871F2"/>
    <w:rsid w:val="3BBA232E"/>
    <w:rsid w:val="3BC37889"/>
    <w:rsid w:val="3BE21CBF"/>
    <w:rsid w:val="3BEC6D4B"/>
    <w:rsid w:val="3BFB225A"/>
    <w:rsid w:val="3BFC5E11"/>
    <w:rsid w:val="3C1A4DAA"/>
    <w:rsid w:val="3C1F4887"/>
    <w:rsid w:val="3C203190"/>
    <w:rsid w:val="3C2247A9"/>
    <w:rsid w:val="3C441EDA"/>
    <w:rsid w:val="3C4B4D85"/>
    <w:rsid w:val="3C5B6BB4"/>
    <w:rsid w:val="3C77694D"/>
    <w:rsid w:val="3C860462"/>
    <w:rsid w:val="3C945797"/>
    <w:rsid w:val="3CBD4D7A"/>
    <w:rsid w:val="3CF0118C"/>
    <w:rsid w:val="3CF67395"/>
    <w:rsid w:val="3D2242C7"/>
    <w:rsid w:val="3D257463"/>
    <w:rsid w:val="3D371845"/>
    <w:rsid w:val="3D42409E"/>
    <w:rsid w:val="3D6B2005"/>
    <w:rsid w:val="3D6B305A"/>
    <w:rsid w:val="3D702789"/>
    <w:rsid w:val="3D705DD6"/>
    <w:rsid w:val="3D7B0837"/>
    <w:rsid w:val="3DA22BCB"/>
    <w:rsid w:val="3DBE12CE"/>
    <w:rsid w:val="3DE35F83"/>
    <w:rsid w:val="3DF21A9C"/>
    <w:rsid w:val="3E1A6C5D"/>
    <w:rsid w:val="3E256BCD"/>
    <w:rsid w:val="3E3116AA"/>
    <w:rsid w:val="3E365509"/>
    <w:rsid w:val="3E3839DE"/>
    <w:rsid w:val="3E51319D"/>
    <w:rsid w:val="3E5D531F"/>
    <w:rsid w:val="3E6B6D58"/>
    <w:rsid w:val="3E794BA4"/>
    <w:rsid w:val="3E7C1B1C"/>
    <w:rsid w:val="3EAA4BCC"/>
    <w:rsid w:val="3EAD5372"/>
    <w:rsid w:val="3EB43064"/>
    <w:rsid w:val="3EBC016B"/>
    <w:rsid w:val="3ED36D6B"/>
    <w:rsid w:val="3ED73ED9"/>
    <w:rsid w:val="3EDC25BB"/>
    <w:rsid w:val="3EE17BD1"/>
    <w:rsid w:val="3EF67EB8"/>
    <w:rsid w:val="3EF95E5F"/>
    <w:rsid w:val="3F171845"/>
    <w:rsid w:val="3F1A4E59"/>
    <w:rsid w:val="3F1C623C"/>
    <w:rsid w:val="3F260652"/>
    <w:rsid w:val="3F387866"/>
    <w:rsid w:val="3F3C12AC"/>
    <w:rsid w:val="3F410AB2"/>
    <w:rsid w:val="3F5831DD"/>
    <w:rsid w:val="3F776272"/>
    <w:rsid w:val="3F8032FD"/>
    <w:rsid w:val="3F871CB1"/>
    <w:rsid w:val="3F9D7DD4"/>
    <w:rsid w:val="3FCD0035"/>
    <w:rsid w:val="3FD17F36"/>
    <w:rsid w:val="3FD414E4"/>
    <w:rsid w:val="3FE518F1"/>
    <w:rsid w:val="40114C67"/>
    <w:rsid w:val="401569C3"/>
    <w:rsid w:val="404B5C4A"/>
    <w:rsid w:val="40510B52"/>
    <w:rsid w:val="405766A5"/>
    <w:rsid w:val="40942067"/>
    <w:rsid w:val="4097760C"/>
    <w:rsid w:val="40AD1E61"/>
    <w:rsid w:val="40B572FC"/>
    <w:rsid w:val="40C45E46"/>
    <w:rsid w:val="40CF452D"/>
    <w:rsid w:val="40D20119"/>
    <w:rsid w:val="40D36012"/>
    <w:rsid w:val="40D669C7"/>
    <w:rsid w:val="40D95004"/>
    <w:rsid w:val="40E439A9"/>
    <w:rsid w:val="40ED4F53"/>
    <w:rsid w:val="4106677A"/>
    <w:rsid w:val="410858E9"/>
    <w:rsid w:val="41090ACC"/>
    <w:rsid w:val="4110479E"/>
    <w:rsid w:val="41162375"/>
    <w:rsid w:val="414577AA"/>
    <w:rsid w:val="414F5A5F"/>
    <w:rsid w:val="4162149D"/>
    <w:rsid w:val="41652FF9"/>
    <w:rsid w:val="41790595"/>
    <w:rsid w:val="418331C2"/>
    <w:rsid w:val="41940E64"/>
    <w:rsid w:val="419A7311"/>
    <w:rsid w:val="41A06E9D"/>
    <w:rsid w:val="41B7415B"/>
    <w:rsid w:val="41BA4733"/>
    <w:rsid w:val="41DE0CC3"/>
    <w:rsid w:val="41DF5420"/>
    <w:rsid w:val="41E921F9"/>
    <w:rsid w:val="4206414E"/>
    <w:rsid w:val="4208029F"/>
    <w:rsid w:val="421F30A2"/>
    <w:rsid w:val="422A188F"/>
    <w:rsid w:val="42411284"/>
    <w:rsid w:val="42491C72"/>
    <w:rsid w:val="426B29F8"/>
    <w:rsid w:val="426D5C02"/>
    <w:rsid w:val="426E5A6F"/>
    <w:rsid w:val="42703746"/>
    <w:rsid w:val="42730000"/>
    <w:rsid w:val="42903DE8"/>
    <w:rsid w:val="42A476A0"/>
    <w:rsid w:val="42B2236F"/>
    <w:rsid w:val="42BD57B8"/>
    <w:rsid w:val="42C83582"/>
    <w:rsid w:val="42DB1FE5"/>
    <w:rsid w:val="42E76650"/>
    <w:rsid w:val="42F5314F"/>
    <w:rsid w:val="43023E54"/>
    <w:rsid w:val="430F7C30"/>
    <w:rsid w:val="4339622E"/>
    <w:rsid w:val="434C58D6"/>
    <w:rsid w:val="43566A75"/>
    <w:rsid w:val="437D70DF"/>
    <w:rsid w:val="43891805"/>
    <w:rsid w:val="43AD4425"/>
    <w:rsid w:val="43AD4526"/>
    <w:rsid w:val="43B12664"/>
    <w:rsid w:val="43B364D1"/>
    <w:rsid w:val="43B458B4"/>
    <w:rsid w:val="43E55E00"/>
    <w:rsid w:val="43F7497A"/>
    <w:rsid w:val="43FA5A0D"/>
    <w:rsid w:val="43FF2C2F"/>
    <w:rsid w:val="44173F66"/>
    <w:rsid w:val="441A2526"/>
    <w:rsid w:val="442D0EA5"/>
    <w:rsid w:val="44350418"/>
    <w:rsid w:val="44352E99"/>
    <w:rsid w:val="44402978"/>
    <w:rsid w:val="444E7AB7"/>
    <w:rsid w:val="44550A6E"/>
    <w:rsid w:val="44603BEE"/>
    <w:rsid w:val="44886064"/>
    <w:rsid w:val="44913E48"/>
    <w:rsid w:val="4493196E"/>
    <w:rsid w:val="44B5725A"/>
    <w:rsid w:val="44D22496"/>
    <w:rsid w:val="44EA0184"/>
    <w:rsid w:val="451938A0"/>
    <w:rsid w:val="451B1634"/>
    <w:rsid w:val="45521829"/>
    <w:rsid w:val="45527545"/>
    <w:rsid w:val="45600DF0"/>
    <w:rsid w:val="457F1905"/>
    <w:rsid w:val="45C03432"/>
    <w:rsid w:val="45EA398B"/>
    <w:rsid w:val="460A5589"/>
    <w:rsid w:val="461216D0"/>
    <w:rsid w:val="46310D47"/>
    <w:rsid w:val="46333F1D"/>
    <w:rsid w:val="4633585C"/>
    <w:rsid w:val="46364CA7"/>
    <w:rsid w:val="463D0473"/>
    <w:rsid w:val="46462CAA"/>
    <w:rsid w:val="465739F6"/>
    <w:rsid w:val="46711BF1"/>
    <w:rsid w:val="46731A57"/>
    <w:rsid w:val="4678549D"/>
    <w:rsid w:val="467C3F5E"/>
    <w:rsid w:val="46866572"/>
    <w:rsid w:val="46B04A59"/>
    <w:rsid w:val="46BE5C65"/>
    <w:rsid w:val="46DF2183"/>
    <w:rsid w:val="46DF4FAF"/>
    <w:rsid w:val="46E72156"/>
    <w:rsid w:val="46F877D3"/>
    <w:rsid w:val="46FF7347"/>
    <w:rsid w:val="470514AB"/>
    <w:rsid w:val="47097744"/>
    <w:rsid w:val="47564504"/>
    <w:rsid w:val="477749D5"/>
    <w:rsid w:val="47AE736E"/>
    <w:rsid w:val="47AF0A85"/>
    <w:rsid w:val="47C337F6"/>
    <w:rsid w:val="47CE41E5"/>
    <w:rsid w:val="47CF0282"/>
    <w:rsid w:val="47D77BC6"/>
    <w:rsid w:val="47E271E8"/>
    <w:rsid w:val="480617D0"/>
    <w:rsid w:val="48150129"/>
    <w:rsid w:val="481C18CE"/>
    <w:rsid w:val="48310F25"/>
    <w:rsid w:val="48313090"/>
    <w:rsid w:val="484216E1"/>
    <w:rsid w:val="48481C0E"/>
    <w:rsid w:val="484B0B57"/>
    <w:rsid w:val="484C255F"/>
    <w:rsid w:val="484F2050"/>
    <w:rsid w:val="485373A4"/>
    <w:rsid w:val="48595781"/>
    <w:rsid w:val="485C6E1D"/>
    <w:rsid w:val="486024AF"/>
    <w:rsid w:val="48710F10"/>
    <w:rsid w:val="487E5091"/>
    <w:rsid w:val="48920D0F"/>
    <w:rsid w:val="48B44D68"/>
    <w:rsid w:val="48F70B64"/>
    <w:rsid w:val="48FC3F85"/>
    <w:rsid w:val="49051DF8"/>
    <w:rsid w:val="49194C78"/>
    <w:rsid w:val="49284A09"/>
    <w:rsid w:val="49620B10"/>
    <w:rsid w:val="496F245B"/>
    <w:rsid w:val="49706721"/>
    <w:rsid w:val="49A87CE8"/>
    <w:rsid w:val="49CE7FF4"/>
    <w:rsid w:val="49F230EF"/>
    <w:rsid w:val="4A0D37BD"/>
    <w:rsid w:val="4A1672C9"/>
    <w:rsid w:val="4A2D69C4"/>
    <w:rsid w:val="4A2F0CF3"/>
    <w:rsid w:val="4A58408B"/>
    <w:rsid w:val="4A730D09"/>
    <w:rsid w:val="4A813CB6"/>
    <w:rsid w:val="4A84095B"/>
    <w:rsid w:val="4A871BDA"/>
    <w:rsid w:val="4A8858A7"/>
    <w:rsid w:val="4A887FBE"/>
    <w:rsid w:val="4A934F81"/>
    <w:rsid w:val="4AA30562"/>
    <w:rsid w:val="4AA461AF"/>
    <w:rsid w:val="4AB7656D"/>
    <w:rsid w:val="4ABD676B"/>
    <w:rsid w:val="4ACB17A7"/>
    <w:rsid w:val="4AD80B11"/>
    <w:rsid w:val="4ADE4635"/>
    <w:rsid w:val="4AE37191"/>
    <w:rsid w:val="4AF56EDE"/>
    <w:rsid w:val="4AF916D2"/>
    <w:rsid w:val="4B091777"/>
    <w:rsid w:val="4B144DCA"/>
    <w:rsid w:val="4B1D6435"/>
    <w:rsid w:val="4B1F496B"/>
    <w:rsid w:val="4B2477C4"/>
    <w:rsid w:val="4B27329F"/>
    <w:rsid w:val="4B3D7149"/>
    <w:rsid w:val="4B490FD8"/>
    <w:rsid w:val="4B4C6F48"/>
    <w:rsid w:val="4B581C62"/>
    <w:rsid w:val="4B664DEC"/>
    <w:rsid w:val="4B6909DF"/>
    <w:rsid w:val="4B7D17E3"/>
    <w:rsid w:val="4B8B671C"/>
    <w:rsid w:val="4BA26772"/>
    <w:rsid w:val="4BC24644"/>
    <w:rsid w:val="4BCF55A0"/>
    <w:rsid w:val="4BEB21B5"/>
    <w:rsid w:val="4BF87A61"/>
    <w:rsid w:val="4C1E4213"/>
    <w:rsid w:val="4C365CD6"/>
    <w:rsid w:val="4C4E7B91"/>
    <w:rsid w:val="4C592F59"/>
    <w:rsid w:val="4C5F6FC2"/>
    <w:rsid w:val="4C6F7AB6"/>
    <w:rsid w:val="4C7B1A82"/>
    <w:rsid w:val="4C903814"/>
    <w:rsid w:val="4C972A0D"/>
    <w:rsid w:val="4CA63312"/>
    <w:rsid w:val="4CBC202A"/>
    <w:rsid w:val="4CBF676E"/>
    <w:rsid w:val="4CF51418"/>
    <w:rsid w:val="4CFA7DEE"/>
    <w:rsid w:val="4D1C6851"/>
    <w:rsid w:val="4D201453"/>
    <w:rsid w:val="4D3161C8"/>
    <w:rsid w:val="4D317562"/>
    <w:rsid w:val="4D332DD7"/>
    <w:rsid w:val="4D4B7289"/>
    <w:rsid w:val="4D535B5D"/>
    <w:rsid w:val="4D5A571F"/>
    <w:rsid w:val="4D7473AF"/>
    <w:rsid w:val="4D7F6F33"/>
    <w:rsid w:val="4D8C33FE"/>
    <w:rsid w:val="4DA30385"/>
    <w:rsid w:val="4DA61AD0"/>
    <w:rsid w:val="4DAA3271"/>
    <w:rsid w:val="4DAB7D28"/>
    <w:rsid w:val="4DAF585E"/>
    <w:rsid w:val="4DBA6EB2"/>
    <w:rsid w:val="4DFB4A26"/>
    <w:rsid w:val="4DFF0074"/>
    <w:rsid w:val="4E104969"/>
    <w:rsid w:val="4E16405E"/>
    <w:rsid w:val="4E2667D5"/>
    <w:rsid w:val="4E28581D"/>
    <w:rsid w:val="4E2F6BAB"/>
    <w:rsid w:val="4E4361B3"/>
    <w:rsid w:val="4E4B7F08"/>
    <w:rsid w:val="4E5568B0"/>
    <w:rsid w:val="4E5873B3"/>
    <w:rsid w:val="4E727F13"/>
    <w:rsid w:val="4E7607F1"/>
    <w:rsid w:val="4E78611C"/>
    <w:rsid w:val="4E793F94"/>
    <w:rsid w:val="4E802F63"/>
    <w:rsid w:val="4E835CB0"/>
    <w:rsid w:val="4E8F13F8"/>
    <w:rsid w:val="4E97212A"/>
    <w:rsid w:val="4E986F7B"/>
    <w:rsid w:val="4E994080"/>
    <w:rsid w:val="4E9B184D"/>
    <w:rsid w:val="4EAF6F1E"/>
    <w:rsid w:val="4ECB42B9"/>
    <w:rsid w:val="4EDF0996"/>
    <w:rsid w:val="4EE6164B"/>
    <w:rsid w:val="4EF85FAB"/>
    <w:rsid w:val="4F1174D9"/>
    <w:rsid w:val="4F26120E"/>
    <w:rsid w:val="4F2F397A"/>
    <w:rsid w:val="4F473A81"/>
    <w:rsid w:val="4F544D36"/>
    <w:rsid w:val="4F5742F9"/>
    <w:rsid w:val="4F602DDA"/>
    <w:rsid w:val="4F66141F"/>
    <w:rsid w:val="4F6C1F0F"/>
    <w:rsid w:val="4F880431"/>
    <w:rsid w:val="4F8F785D"/>
    <w:rsid w:val="4F9E448C"/>
    <w:rsid w:val="4F9E636D"/>
    <w:rsid w:val="4FC44C76"/>
    <w:rsid w:val="4FE047F5"/>
    <w:rsid w:val="4FE350BD"/>
    <w:rsid w:val="5049382D"/>
    <w:rsid w:val="505446A7"/>
    <w:rsid w:val="50604AD5"/>
    <w:rsid w:val="50AC48B5"/>
    <w:rsid w:val="50B60E94"/>
    <w:rsid w:val="50CA074E"/>
    <w:rsid w:val="50CC56D2"/>
    <w:rsid w:val="50DB5C40"/>
    <w:rsid w:val="50FC089B"/>
    <w:rsid w:val="50FF5AB8"/>
    <w:rsid w:val="510065DD"/>
    <w:rsid w:val="51071719"/>
    <w:rsid w:val="510729D5"/>
    <w:rsid w:val="51081769"/>
    <w:rsid w:val="512818C9"/>
    <w:rsid w:val="512D5932"/>
    <w:rsid w:val="512E4EF8"/>
    <w:rsid w:val="51606BA1"/>
    <w:rsid w:val="516E5324"/>
    <w:rsid w:val="518B4ECC"/>
    <w:rsid w:val="51A50571"/>
    <w:rsid w:val="51BA1469"/>
    <w:rsid w:val="51C645BD"/>
    <w:rsid w:val="51CD6D00"/>
    <w:rsid w:val="51D10E8F"/>
    <w:rsid w:val="51DA5080"/>
    <w:rsid w:val="51DF2696"/>
    <w:rsid w:val="51EE4E19"/>
    <w:rsid w:val="51F3643F"/>
    <w:rsid w:val="5202458D"/>
    <w:rsid w:val="520774F7"/>
    <w:rsid w:val="52105452"/>
    <w:rsid w:val="52224F0E"/>
    <w:rsid w:val="5237409C"/>
    <w:rsid w:val="523C56D2"/>
    <w:rsid w:val="52566F79"/>
    <w:rsid w:val="525C0910"/>
    <w:rsid w:val="525C73BC"/>
    <w:rsid w:val="525D3936"/>
    <w:rsid w:val="526728DD"/>
    <w:rsid w:val="52AF2069"/>
    <w:rsid w:val="52B458D1"/>
    <w:rsid w:val="52B7716F"/>
    <w:rsid w:val="52B92D58"/>
    <w:rsid w:val="52BE22B2"/>
    <w:rsid w:val="52FA414D"/>
    <w:rsid w:val="530B27D5"/>
    <w:rsid w:val="53397B84"/>
    <w:rsid w:val="533E519B"/>
    <w:rsid w:val="53471F12"/>
    <w:rsid w:val="5364772A"/>
    <w:rsid w:val="536B70CD"/>
    <w:rsid w:val="53893971"/>
    <w:rsid w:val="53A30901"/>
    <w:rsid w:val="53C466A7"/>
    <w:rsid w:val="53C658BC"/>
    <w:rsid w:val="53CB7133"/>
    <w:rsid w:val="53DE4248"/>
    <w:rsid w:val="53DF24DA"/>
    <w:rsid w:val="53F57F4F"/>
    <w:rsid w:val="54097AF0"/>
    <w:rsid w:val="540A5A6E"/>
    <w:rsid w:val="54172BAA"/>
    <w:rsid w:val="542677FB"/>
    <w:rsid w:val="542A370B"/>
    <w:rsid w:val="5435341A"/>
    <w:rsid w:val="54424E4C"/>
    <w:rsid w:val="54646210"/>
    <w:rsid w:val="548337AD"/>
    <w:rsid w:val="548865A1"/>
    <w:rsid w:val="54AF44FB"/>
    <w:rsid w:val="54B5428C"/>
    <w:rsid w:val="54C165F9"/>
    <w:rsid w:val="54CF07A0"/>
    <w:rsid w:val="54D521A7"/>
    <w:rsid w:val="54DE09E3"/>
    <w:rsid w:val="55361B2A"/>
    <w:rsid w:val="55497EBA"/>
    <w:rsid w:val="554A7E27"/>
    <w:rsid w:val="55514626"/>
    <w:rsid w:val="555C7B5A"/>
    <w:rsid w:val="556167CF"/>
    <w:rsid w:val="5562770E"/>
    <w:rsid w:val="55705593"/>
    <w:rsid w:val="55725059"/>
    <w:rsid w:val="558012FF"/>
    <w:rsid w:val="55986DE4"/>
    <w:rsid w:val="55E22705"/>
    <w:rsid w:val="55F3393E"/>
    <w:rsid w:val="560029EF"/>
    <w:rsid w:val="5604766F"/>
    <w:rsid w:val="563D2A8F"/>
    <w:rsid w:val="568C3447"/>
    <w:rsid w:val="56BB0619"/>
    <w:rsid w:val="56BC0DE5"/>
    <w:rsid w:val="56C97471"/>
    <w:rsid w:val="56D40519"/>
    <w:rsid w:val="56D45732"/>
    <w:rsid w:val="56E36653"/>
    <w:rsid w:val="57146B84"/>
    <w:rsid w:val="57286C68"/>
    <w:rsid w:val="57391AD1"/>
    <w:rsid w:val="57415259"/>
    <w:rsid w:val="57871560"/>
    <w:rsid w:val="5789367F"/>
    <w:rsid w:val="57A67586"/>
    <w:rsid w:val="57B211C3"/>
    <w:rsid w:val="57B404D3"/>
    <w:rsid w:val="57ED2030"/>
    <w:rsid w:val="57EF22CD"/>
    <w:rsid w:val="582726A1"/>
    <w:rsid w:val="58601FC4"/>
    <w:rsid w:val="586C7F13"/>
    <w:rsid w:val="587B73E9"/>
    <w:rsid w:val="58820A4C"/>
    <w:rsid w:val="58863EAD"/>
    <w:rsid w:val="588B45AA"/>
    <w:rsid w:val="58B1734F"/>
    <w:rsid w:val="58B33A3C"/>
    <w:rsid w:val="58D914E4"/>
    <w:rsid w:val="58DC5CC9"/>
    <w:rsid w:val="58ED1577"/>
    <w:rsid w:val="59022D44"/>
    <w:rsid w:val="591F19A0"/>
    <w:rsid w:val="592B57CE"/>
    <w:rsid w:val="59552283"/>
    <w:rsid w:val="596151BD"/>
    <w:rsid w:val="596735F8"/>
    <w:rsid w:val="59732736"/>
    <w:rsid w:val="59747B68"/>
    <w:rsid w:val="59771DC7"/>
    <w:rsid w:val="5990393D"/>
    <w:rsid w:val="59910286"/>
    <w:rsid w:val="59914276"/>
    <w:rsid w:val="59950A06"/>
    <w:rsid w:val="59953F58"/>
    <w:rsid w:val="59971C1E"/>
    <w:rsid w:val="59980F3F"/>
    <w:rsid w:val="59AF284F"/>
    <w:rsid w:val="59B40F6D"/>
    <w:rsid w:val="59C03AED"/>
    <w:rsid w:val="59C03FFF"/>
    <w:rsid w:val="59CA6735"/>
    <w:rsid w:val="59CF4785"/>
    <w:rsid w:val="59D55B2A"/>
    <w:rsid w:val="59DD77C9"/>
    <w:rsid w:val="59E63AF2"/>
    <w:rsid w:val="5A03030D"/>
    <w:rsid w:val="5A1629CD"/>
    <w:rsid w:val="5A187643"/>
    <w:rsid w:val="5A2A0227"/>
    <w:rsid w:val="5A321A35"/>
    <w:rsid w:val="5A381C66"/>
    <w:rsid w:val="5A69114C"/>
    <w:rsid w:val="5A6951F3"/>
    <w:rsid w:val="5A87203E"/>
    <w:rsid w:val="5A8738CB"/>
    <w:rsid w:val="5AB04BD0"/>
    <w:rsid w:val="5AB05C6F"/>
    <w:rsid w:val="5ABC3575"/>
    <w:rsid w:val="5AC60206"/>
    <w:rsid w:val="5AC751F0"/>
    <w:rsid w:val="5AE563AD"/>
    <w:rsid w:val="5AE740C9"/>
    <w:rsid w:val="5AF64F59"/>
    <w:rsid w:val="5B433E2C"/>
    <w:rsid w:val="5B443723"/>
    <w:rsid w:val="5B4C3EC4"/>
    <w:rsid w:val="5B4F3D05"/>
    <w:rsid w:val="5B510CEF"/>
    <w:rsid w:val="5B6C2370"/>
    <w:rsid w:val="5B6D40AB"/>
    <w:rsid w:val="5B88609D"/>
    <w:rsid w:val="5BC00E43"/>
    <w:rsid w:val="5BC02EB1"/>
    <w:rsid w:val="5BC525D8"/>
    <w:rsid w:val="5BD956B5"/>
    <w:rsid w:val="5BE36E2D"/>
    <w:rsid w:val="5BEF1C84"/>
    <w:rsid w:val="5BF8169D"/>
    <w:rsid w:val="5BF925A6"/>
    <w:rsid w:val="5BFB4902"/>
    <w:rsid w:val="5C004D65"/>
    <w:rsid w:val="5C072444"/>
    <w:rsid w:val="5C160E60"/>
    <w:rsid w:val="5C302FF6"/>
    <w:rsid w:val="5C4341C0"/>
    <w:rsid w:val="5C531CB7"/>
    <w:rsid w:val="5C551CAC"/>
    <w:rsid w:val="5C565075"/>
    <w:rsid w:val="5C7119BF"/>
    <w:rsid w:val="5C874B6E"/>
    <w:rsid w:val="5C8D3EC5"/>
    <w:rsid w:val="5C8E55FA"/>
    <w:rsid w:val="5CC04E72"/>
    <w:rsid w:val="5D113A88"/>
    <w:rsid w:val="5D3E5EBD"/>
    <w:rsid w:val="5D41123A"/>
    <w:rsid w:val="5D447BAF"/>
    <w:rsid w:val="5D5D4D13"/>
    <w:rsid w:val="5D606837"/>
    <w:rsid w:val="5D9E0C3D"/>
    <w:rsid w:val="5DAE418C"/>
    <w:rsid w:val="5DC14099"/>
    <w:rsid w:val="5DC43165"/>
    <w:rsid w:val="5DCA3FAE"/>
    <w:rsid w:val="5DDA7FB9"/>
    <w:rsid w:val="5DE82AF2"/>
    <w:rsid w:val="5DFC5AE9"/>
    <w:rsid w:val="5E072CDC"/>
    <w:rsid w:val="5E0A77C1"/>
    <w:rsid w:val="5E250B41"/>
    <w:rsid w:val="5E2772DF"/>
    <w:rsid w:val="5E2B4AEB"/>
    <w:rsid w:val="5E2E2E79"/>
    <w:rsid w:val="5E2F405E"/>
    <w:rsid w:val="5E3B36E2"/>
    <w:rsid w:val="5E4A0E97"/>
    <w:rsid w:val="5E6137A3"/>
    <w:rsid w:val="5E7A0A62"/>
    <w:rsid w:val="5E8F0FA0"/>
    <w:rsid w:val="5E900E65"/>
    <w:rsid w:val="5E920286"/>
    <w:rsid w:val="5EAD46FB"/>
    <w:rsid w:val="5EB11F42"/>
    <w:rsid w:val="5EBD4FAB"/>
    <w:rsid w:val="5EC87C2E"/>
    <w:rsid w:val="5ECC3FA2"/>
    <w:rsid w:val="5ED65066"/>
    <w:rsid w:val="5EEA61D6"/>
    <w:rsid w:val="5EF92A5D"/>
    <w:rsid w:val="5F196827"/>
    <w:rsid w:val="5F2E1B32"/>
    <w:rsid w:val="5F4A1DC7"/>
    <w:rsid w:val="5F88734A"/>
    <w:rsid w:val="5F906D7E"/>
    <w:rsid w:val="5FB213EA"/>
    <w:rsid w:val="5FCF5AF8"/>
    <w:rsid w:val="5FD44EBD"/>
    <w:rsid w:val="5FE43A4D"/>
    <w:rsid w:val="5FEA2932"/>
    <w:rsid w:val="5FFA1662"/>
    <w:rsid w:val="600F2399"/>
    <w:rsid w:val="602A584D"/>
    <w:rsid w:val="60390E14"/>
    <w:rsid w:val="6042276E"/>
    <w:rsid w:val="60597AB8"/>
    <w:rsid w:val="606D0B67"/>
    <w:rsid w:val="60706C5A"/>
    <w:rsid w:val="60970F3E"/>
    <w:rsid w:val="60CA62C0"/>
    <w:rsid w:val="60E470EC"/>
    <w:rsid w:val="610F0176"/>
    <w:rsid w:val="61141960"/>
    <w:rsid w:val="611F660B"/>
    <w:rsid w:val="61331A86"/>
    <w:rsid w:val="6149714B"/>
    <w:rsid w:val="616109D2"/>
    <w:rsid w:val="616D308D"/>
    <w:rsid w:val="616F57F4"/>
    <w:rsid w:val="61802915"/>
    <w:rsid w:val="61A1702E"/>
    <w:rsid w:val="61CA7F5A"/>
    <w:rsid w:val="61CE1DDF"/>
    <w:rsid w:val="61CF6B9C"/>
    <w:rsid w:val="61E230C5"/>
    <w:rsid w:val="62012A19"/>
    <w:rsid w:val="6206617C"/>
    <w:rsid w:val="62116717"/>
    <w:rsid w:val="623F6B2B"/>
    <w:rsid w:val="62422A2A"/>
    <w:rsid w:val="62516C98"/>
    <w:rsid w:val="62707B80"/>
    <w:rsid w:val="62781CCC"/>
    <w:rsid w:val="62832BCA"/>
    <w:rsid w:val="62883262"/>
    <w:rsid w:val="62947A01"/>
    <w:rsid w:val="62993AB4"/>
    <w:rsid w:val="62A72D5C"/>
    <w:rsid w:val="62AE733A"/>
    <w:rsid w:val="62C00BC3"/>
    <w:rsid w:val="62C64FDD"/>
    <w:rsid w:val="62D016EF"/>
    <w:rsid w:val="62D10EBA"/>
    <w:rsid w:val="62ED493B"/>
    <w:rsid w:val="62F955BA"/>
    <w:rsid w:val="62FF0B97"/>
    <w:rsid w:val="63007CFD"/>
    <w:rsid w:val="63016CFF"/>
    <w:rsid w:val="630D536A"/>
    <w:rsid w:val="6318012F"/>
    <w:rsid w:val="631F18CE"/>
    <w:rsid w:val="634F0A93"/>
    <w:rsid w:val="635022E4"/>
    <w:rsid w:val="63564074"/>
    <w:rsid w:val="63575AE0"/>
    <w:rsid w:val="63590A83"/>
    <w:rsid w:val="63591D69"/>
    <w:rsid w:val="63602487"/>
    <w:rsid w:val="63684E5D"/>
    <w:rsid w:val="638F732E"/>
    <w:rsid w:val="63BB0CF2"/>
    <w:rsid w:val="63D027BA"/>
    <w:rsid w:val="63D65EC3"/>
    <w:rsid w:val="63DB0B0E"/>
    <w:rsid w:val="63EB57F5"/>
    <w:rsid w:val="63F4020B"/>
    <w:rsid w:val="63F455F6"/>
    <w:rsid w:val="64346872"/>
    <w:rsid w:val="644A7F56"/>
    <w:rsid w:val="644B52F2"/>
    <w:rsid w:val="646378BC"/>
    <w:rsid w:val="64763F71"/>
    <w:rsid w:val="647C5CDC"/>
    <w:rsid w:val="64846C6C"/>
    <w:rsid w:val="64915553"/>
    <w:rsid w:val="64AA1C04"/>
    <w:rsid w:val="64B61035"/>
    <w:rsid w:val="64BD20F7"/>
    <w:rsid w:val="64E5256D"/>
    <w:rsid w:val="65001921"/>
    <w:rsid w:val="650F0E53"/>
    <w:rsid w:val="65322E16"/>
    <w:rsid w:val="654523B9"/>
    <w:rsid w:val="655A374A"/>
    <w:rsid w:val="6566736B"/>
    <w:rsid w:val="65737ACE"/>
    <w:rsid w:val="657A4758"/>
    <w:rsid w:val="657F5151"/>
    <w:rsid w:val="659402CE"/>
    <w:rsid w:val="659709FE"/>
    <w:rsid w:val="65D66206"/>
    <w:rsid w:val="65F242EE"/>
    <w:rsid w:val="66042274"/>
    <w:rsid w:val="660A2164"/>
    <w:rsid w:val="661371FD"/>
    <w:rsid w:val="66282522"/>
    <w:rsid w:val="664A1E9A"/>
    <w:rsid w:val="66646212"/>
    <w:rsid w:val="66684F6D"/>
    <w:rsid w:val="667634C4"/>
    <w:rsid w:val="668C5EFA"/>
    <w:rsid w:val="66940880"/>
    <w:rsid w:val="66C20841"/>
    <w:rsid w:val="66CD3627"/>
    <w:rsid w:val="66D1574D"/>
    <w:rsid w:val="66EA1EFB"/>
    <w:rsid w:val="66F00CF0"/>
    <w:rsid w:val="67077D99"/>
    <w:rsid w:val="670D2D54"/>
    <w:rsid w:val="6711755F"/>
    <w:rsid w:val="671E6FA3"/>
    <w:rsid w:val="672B65FB"/>
    <w:rsid w:val="673C2FD6"/>
    <w:rsid w:val="674B5D3B"/>
    <w:rsid w:val="6757191E"/>
    <w:rsid w:val="67571A3F"/>
    <w:rsid w:val="6759039D"/>
    <w:rsid w:val="676072E5"/>
    <w:rsid w:val="676E3E49"/>
    <w:rsid w:val="678A0557"/>
    <w:rsid w:val="67982C74"/>
    <w:rsid w:val="67B52867"/>
    <w:rsid w:val="67B96358"/>
    <w:rsid w:val="67C24194"/>
    <w:rsid w:val="67DD37AB"/>
    <w:rsid w:val="67E8172E"/>
    <w:rsid w:val="67FB2B5F"/>
    <w:rsid w:val="6805765B"/>
    <w:rsid w:val="68064081"/>
    <w:rsid w:val="68104620"/>
    <w:rsid w:val="681F7065"/>
    <w:rsid w:val="68447D40"/>
    <w:rsid w:val="68571827"/>
    <w:rsid w:val="685A261F"/>
    <w:rsid w:val="686C23FA"/>
    <w:rsid w:val="686E1C26"/>
    <w:rsid w:val="687A186F"/>
    <w:rsid w:val="687D2104"/>
    <w:rsid w:val="68806EDC"/>
    <w:rsid w:val="688B4400"/>
    <w:rsid w:val="689308C1"/>
    <w:rsid w:val="68A33DF6"/>
    <w:rsid w:val="68AF0B20"/>
    <w:rsid w:val="68B02AC5"/>
    <w:rsid w:val="68C400E5"/>
    <w:rsid w:val="68C627A0"/>
    <w:rsid w:val="68CA3301"/>
    <w:rsid w:val="68D423D1"/>
    <w:rsid w:val="68EA74FF"/>
    <w:rsid w:val="68F802EB"/>
    <w:rsid w:val="68F85F11"/>
    <w:rsid w:val="690862BC"/>
    <w:rsid w:val="69240F39"/>
    <w:rsid w:val="694B3192"/>
    <w:rsid w:val="695C0D58"/>
    <w:rsid w:val="69703C59"/>
    <w:rsid w:val="69751EA5"/>
    <w:rsid w:val="697A067C"/>
    <w:rsid w:val="69A603D3"/>
    <w:rsid w:val="69BC16C1"/>
    <w:rsid w:val="69D964E9"/>
    <w:rsid w:val="69F877D5"/>
    <w:rsid w:val="6A130F85"/>
    <w:rsid w:val="6A1614A3"/>
    <w:rsid w:val="6A3C60AF"/>
    <w:rsid w:val="6A4B1056"/>
    <w:rsid w:val="6A6D488B"/>
    <w:rsid w:val="6A9439FF"/>
    <w:rsid w:val="6AA7050C"/>
    <w:rsid w:val="6ADE3093"/>
    <w:rsid w:val="6AEE444D"/>
    <w:rsid w:val="6B144D07"/>
    <w:rsid w:val="6B286A04"/>
    <w:rsid w:val="6B405AFC"/>
    <w:rsid w:val="6B6441A6"/>
    <w:rsid w:val="6B6C3583"/>
    <w:rsid w:val="6B6C6BA5"/>
    <w:rsid w:val="6B8C191B"/>
    <w:rsid w:val="6BA27C91"/>
    <w:rsid w:val="6BA60FB5"/>
    <w:rsid w:val="6BB71EC8"/>
    <w:rsid w:val="6BBD15EA"/>
    <w:rsid w:val="6BC93E86"/>
    <w:rsid w:val="6BDB3A77"/>
    <w:rsid w:val="6BF415A2"/>
    <w:rsid w:val="6C0948E4"/>
    <w:rsid w:val="6C10033B"/>
    <w:rsid w:val="6C234F6D"/>
    <w:rsid w:val="6C2C6080"/>
    <w:rsid w:val="6C2F4C45"/>
    <w:rsid w:val="6C364FCA"/>
    <w:rsid w:val="6C5B4508"/>
    <w:rsid w:val="6C680BDB"/>
    <w:rsid w:val="6C6C3178"/>
    <w:rsid w:val="6C8163CC"/>
    <w:rsid w:val="6C8367F7"/>
    <w:rsid w:val="6C904329"/>
    <w:rsid w:val="6C95328A"/>
    <w:rsid w:val="6C957A68"/>
    <w:rsid w:val="6C9E5ECD"/>
    <w:rsid w:val="6CB939C4"/>
    <w:rsid w:val="6CEB1A97"/>
    <w:rsid w:val="6D146CB2"/>
    <w:rsid w:val="6D2C47E1"/>
    <w:rsid w:val="6D365409"/>
    <w:rsid w:val="6D4D62AE"/>
    <w:rsid w:val="6D4E73B3"/>
    <w:rsid w:val="6D507FB0"/>
    <w:rsid w:val="6D58434D"/>
    <w:rsid w:val="6D605FE2"/>
    <w:rsid w:val="6D6C2EC7"/>
    <w:rsid w:val="6D7458A2"/>
    <w:rsid w:val="6D77332B"/>
    <w:rsid w:val="6D78782F"/>
    <w:rsid w:val="6D7952B6"/>
    <w:rsid w:val="6D7952F5"/>
    <w:rsid w:val="6D8B1660"/>
    <w:rsid w:val="6DAB17F6"/>
    <w:rsid w:val="6DB63234"/>
    <w:rsid w:val="6DBE5BA3"/>
    <w:rsid w:val="6DC9133A"/>
    <w:rsid w:val="6DCC58A0"/>
    <w:rsid w:val="6DCE221A"/>
    <w:rsid w:val="6DD23302"/>
    <w:rsid w:val="6DD64368"/>
    <w:rsid w:val="6DE3437A"/>
    <w:rsid w:val="6DE62427"/>
    <w:rsid w:val="6DFF1D8F"/>
    <w:rsid w:val="6E30018C"/>
    <w:rsid w:val="6E421A04"/>
    <w:rsid w:val="6E9A19C7"/>
    <w:rsid w:val="6EA77C40"/>
    <w:rsid w:val="6EC31FC8"/>
    <w:rsid w:val="6ED047B8"/>
    <w:rsid w:val="6EEB17E5"/>
    <w:rsid w:val="6EF047B1"/>
    <w:rsid w:val="6F0621E0"/>
    <w:rsid w:val="6F16502D"/>
    <w:rsid w:val="6F314282"/>
    <w:rsid w:val="6F5B3D6A"/>
    <w:rsid w:val="6F6873CF"/>
    <w:rsid w:val="6F734C38"/>
    <w:rsid w:val="6F7D4B84"/>
    <w:rsid w:val="6F9757F1"/>
    <w:rsid w:val="6FB171DD"/>
    <w:rsid w:val="6FC717C1"/>
    <w:rsid w:val="6FD12C41"/>
    <w:rsid w:val="6FDC4535"/>
    <w:rsid w:val="6FE9316B"/>
    <w:rsid w:val="70197BC1"/>
    <w:rsid w:val="702A0B29"/>
    <w:rsid w:val="702D7C0C"/>
    <w:rsid w:val="70484D6F"/>
    <w:rsid w:val="70495C48"/>
    <w:rsid w:val="704A2F79"/>
    <w:rsid w:val="704B6D0E"/>
    <w:rsid w:val="707E42B8"/>
    <w:rsid w:val="708656D8"/>
    <w:rsid w:val="70933C77"/>
    <w:rsid w:val="709D12FB"/>
    <w:rsid w:val="709D579F"/>
    <w:rsid w:val="70A54800"/>
    <w:rsid w:val="70A64653"/>
    <w:rsid w:val="70AA42D3"/>
    <w:rsid w:val="70B128CC"/>
    <w:rsid w:val="70D8519D"/>
    <w:rsid w:val="70E6287D"/>
    <w:rsid w:val="70E8358A"/>
    <w:rsid w:val="70F110AE"/>
    <w:rsid w:val="70FA07B8"/>
    <w:rsid w:val="710E2B34"/>
    <w:rsid w:val="71257C6E"/>
    <w:rsid w:val="712D3970"/>
    <w:rsid w:val="71324662"/>
    <w:rsid w:val="71384405"/>
    <w:rsid w:val="714C7A23"/>
    <w:rsid w:val="714E0847"/>
    <w:rsid w:val="715431A2"/>
    <w:rsid w:val="716176F0"/>
    <w:rsid w:val="716E0C57"/>
    <w:rsid w:val="71834994"/>
    <w:rsid w:val="719400E8"/>
    <w:rsid w:val="71972D4F"/>
    <w:rsid w:val="71A33CA3"/>
    <w:rsid w:val="71A801A5"/>
    <w:rsid w:val="71E33685"/>
    <w:rsid w:val="72126147"/>
    <w:rsid w:val="721460A1"/>
    <w:rsid w:val="72155F09"/>
    <w:rsid w:val="72201F3D"/>
    <w:rsid w:val="72286F8B"/>
    <w:rsid w:val="722D6127"/>
    <w:rsid w:val="722E2B7A"/>
    <w:rsid w:val="723F1AD6"/>
    <w:rsid w:val="725C375F"/>
    <w:rsid w:val="725F3206"/>
    <w:rsid w:val="72936221"/>
    <w:rsid w:val="729D5C8D"/>
    <w:rsid w:val="72A05B33"/>
    <w:rsid w:val="72A94019"/>
    <w:rsid w:val="72A9681C"/>
    <w:rsid w:val="72A97EB7"/>
    <w:rsid w:val="72AD282E"/>
    <w:rsid w:val="72C33BAE"/>
    <w:rsid w:val="72E8136F"/>
    <w:rsid w:val="72EE22E1"/>
    <w:rsid w:val="72F01BB6"/>
    <w:rsid w:val="731A0E71"/>
    <w:rsid w:val="731E338E"/>
    <w:rsid w:val="732950C8"/>
    <w:rsid w:val="732E0930"/>
    <w:rsid w:val="732F769D"/>
    <w:rsid w:val="73320DE3"/>
    <w:rsid w:val="7343627C"/>
    <w:rsid w:val="734846FC"/>
    <w:rsid w:val="734B0696"/>
    <w:rsid w:val="738E04AD"/>
    <w:rsid w:val="7397677E"/>
    <w:rsid w:val="739E7864"/>
    <w:rsid w:val="73BD695F"/>
    <w:rsid w:val="73D443E5"/>
    <w:rsid w:val="73D5292D"/>
    <w:rsid w:val="73F12089"/>
    <w:rsid w:val="73FF76A9"/>
    <w:rsid w:val="74220495"/>
    <w:rsid w:val="7428266D"/>
    <w:rsid w:val="742E508B"/>
    <w:rsid w:val="74335059"/>
    <w:rsid w:val="74365374"/>
    <w:rsid w:val="744775B1"/>
    <w:rsid w:val="744C2282"/>
    <w:rsid w:val="744F1100"/>
    <w:rsid w:val="745913EB"/>
    <w:rsid w:val="745E075F"/>
    <w:rsid w:val="74620891"/>
    <w:rsid w:val="7463798E"/>
    <w:rsid w:val="7472162A"/>
    <w:rsid w:val="749D42F3"/>
    <w:rsid w:val="74A146B3"/>
    <w:rsid w:val="74AE64EB"/>
    <w:rsid w:val="74CE6EE8"/>
    <w:rsid w:val="74D80985"/>
    <w:rsid w:val="751E4B1E"/>
    <w:rsid w:val="75466E77"/>
    <w:rsid w:val="75533326"/>
    <w:rsid w:val="755343C4"/>
    <w:rsid w:val="755F6E10"/>
    <w:rsid w:val="755F791C"/>
    <w:rsid w:val="756E5A5A"/>
    <w:rsid w:val="75874327"/>
    <w:rsid w:val="75966566"/>
    <w:rsid w:val="75A6116B"/>
    <w:rsid w:val="75AE075A"/>
    <w:rsid w:val="75B31F12"/>
    <w:rsid w:val="75C6737C"/>
    <w:rsid w:val="75F53987"/>
    <w:rsid w:val="76090462"/>
    <w:rsid w:val="760B4F58"/>
    <w:rsid w:val="760F43C7"/>
    <w:rsid w:val="762A4AF7"/>
    <w:rsid w:val="76432944"/>
    <w:rsid w:val="765B295C"/>
    <w:rsid w:val="765B5EE0"/>
    <w:rsid w:val="768F16E6"/>
    <w:rsid w:val="76BB072D"/>
    <w:rsid w:val="76CB4475"/>
    <w:rsid w:val="76DE760C"/>
    <w:rsid w:val="77004BFC"/>
    <w:rsid w:val="7709573C"/>
    <w:rsid w:val="77530F33"/>
    <w:rsid w:val="77756B2D"/>
    <w:rsid w:val="779D5F94"/>
    <w:rsid w:val="77A642CD"/>
    <w:rsid w:val="77B2245D"/>
    <w:rsid w:val="77B708D4"/>
    <w:rsid w:val="77D221D2"/>
    <w:rsid w:val="77DF044B"/>
    <w:rsid w:val="77F90964"/>
    <w:rsid w:val="781C51FB"/>
    <w:rsid w:val="783E2C05"/>
    <w:rsid w:val="78491374"/>
    <w:rsid w:val="784F55D0"/>
    <w:rsid w:val="78656BA2"/>
    <w:rsid w:val="786C6182"/>
    <w:rsid w:val="7881542C"/>
    <w:rsid w:val="78992CEF"/>
    <w:rsid w:val="78B024E2"/>
    <w:rsid w:val="78B65773"/>
    <w:rsid w:val="78D12489"/>
    <w:rsid w:val="78E35ACE"/>
    <w:rsid w:val="79041E7B"/>
    <w:rsid w:val="793547C6"/>
    <w:rsid w:val="79655A8F"/>
    <w:rsid w:val="796706F8"/>
    <w:rsid w:val="79712AA1"/>
    <w:rsid w:val="797B776E"/>
    <w:rsid w:val="79841D05"/>
    <w:rsid w:val="798C01D8"/>
    <w:rsid w:val="79975481"/>
    <w:rsid w:val="79A36B61"/>
    <w:rsid w:val="79BA4CCB"/>
    <w:rsid w:val="79D40AD2"/>
    <w:rsid w:val="79D45A49"/>
    <w:rsid w:val="79D85B2F"/>
    <w:rsid w:val="79EB4278"/>
    <w:rsid w:val="79EF11EF"/>
    <w:rsid w:val="79F86227"/>
    <w:rsid w:val="79FE147C"/>
    <w:rsid w:val="79FE7CBB"/>
    <w:rsid w:val="7A0423EA"/>
    <w:rsid w:val="7A173ECC"/>
    <w:rsid w:val="7A19708F"/>
    <w:rsid w:val="7A1D058F"/>
    <w:rsid w:val="7A2B5337"/>
    <w:rsid w:val="7A420622"/>
    <w:rsid w:val="7A465FDC"/>
    <w:rsid w:val="7A4A1DDF"/>
    <w:rsid w:val="7A692869"/>
    <w:rsid w:val="7A7204C5"/>
    <w:rsid w:val="7A7430CC"/>
    <w:rsid w:val="7A811C8D"/>
    <w:rsid w:val="7A995229"/>
    <w:rsid w:val="7A995845"/>
    <w:rsid w:val="7AB4796D"/>
    <w:rsid w:val="7AB63DD5"/>
    <w:rsid w:val="7ACD7972"/>
    <w:rsid w:val="7ADE0E8D"/>
    <w:rsid w:val="7AF124C7"/>
    <w:rsid w:val="7B06723F"/>
    <w:rsid w:val="7B0F1654"/>
    <w:rsid w:val="7B0F53E0"/>
    <w:rsid w:val="7B1F40AC"/>
    <w:rsid w:val="7B410B1E"/>
    <w:rsid w:val="7B53067F"/>
    <w:rsid w:val="7B5A2755"/>
    <w:rsid w:val="7B6D2E92"/>
    <w:rsid w:val="7B755D47"/>
    <w:rsid w:val="7B8E7220"/>
    <w:rsid w:val="7B9A6B62"/>
    <w:rsid w:val="7B9E1D8B"/>
    <w:rsid w:val="7BA94FF8"/>
    <w:rsid w:val="7BAD0F8C"/>
    <w:rsid w:val="7BB8348D"/>
    <w:rsid w:val="7BBA390B"/>
    <w:rsid w:val="7BC0145D"/>
    <w:rsid w:val="7BCB31C0"/>
    <w:rsid w:val="7BDA78A7"/>
    <w:rsid w:val="7BDB7C84"/>
    <w:rsid w:val="7BDE06A1"/>
    <w:rsid w:val="7BDF6C6B"/>
    <w:rsid w:val="7BFA5853"/>
    <w:rsid w:val="7C1B2C0F"/>
    <w:rsid w:val="7C234D8C"/>
    <w:rsid w:val="7C495C19"/>
    <w:rsid w:val="7C4F1832"/>
    <w:rsid w:val="7C52743D"/>
    <w:rsid w:val="7C7F109D"/>
    <w:rsid w:val="7C7F3E8A"/>
    <w:rsid w:val="7C9149ED"/>
    <w:rsid w:val="7CB41490"/>
    <w:rsid w:val="7CB66B06"/>
    <w:rsid w:val="7CDA1368"/>
    <w:rsid w:val="7CEA0F25"/>
    <w:rsid w:val="7CEB383B"/>
    <w:rsid w:val="7CF01D54"/>
    <w:rsid w:val="7CF866D8"/>
    <w:rsid w:val="7CFF653F"/>
    <w:rsid w:val="7D1D6D86"/>
    <w:rsid w:val="7D53513E"/>
    <w:rsid w:val="7D8B20AD"/>
    <w:rsid w:val="7DA0753A"/>
    <w:rsid w:val="7DB5590A"/>
    <w:rsid w:val="7DBE6BE3"/>
    <w:rsid w:val="7DC906C3"/>
    <w:rsid w:val="7DCB5865"/>
    <w:rsid w:val="7DD56578"/>
    <w:rsid w:val="7DDA465A"/>
    <w:rsid w:val="7DE0540C"/>
    <w:rsid w:val="7DF772E9"/>
    <w:rsid w:val="7E024E93"/>
    <w:rsid w:val="7E0B01EB"/>
    <w:rsid w:val="7E12792C"/>
    <w:rsid w:val="7E441DDA"/>
    <w:rsid w:val="7E5727F0"/>
    <w:rsid w:val="7E791D2C"/>
    <w:rsid w:val="7E81400A"/>
    <w:rsid w:val="7E933D3D"/>
    <w:rsid w:val="7E992A8A"/>
    <w:rsid w:val="7E9B7D1A"/>
    <w:rsid w:val="7E9E08EC"/>
    <w:rsid w:val="7EAB552B"/>
    <w:rsid w:val="7EB72F42"/>
    <w:rsid w:val="7EC65EC0"/>
    <w:rsid w:val="7ECD6A91"/>
    <w:rsid w:val="7F156779"/>
    <w:rsid w:val="7F250E39"/>
    <w:rsid w:val="7F276D1D"/>
    <w:rsid w:val="7F3343B8"/>
    <w:rsid w:val="7F721173"/>
    <w:rsid w:val="7F7D7413"/>
    <w:rsid w:val="7F7E49ED"/>
    <w:rsid w:val="7F9F0E2D"/>
    <w:rsid w:val="7FA363E2"/>
    <w:rsid w:val="7FB363F6"/>
    <w:rsid w:val="7FBD3767"/>
    <w:rsid w:val="7FC76394"/>
    <w:rsid w:val="7FDA52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1" w:name="index 1" w:locked="1"/>
    <w:lsdException w:uiPriority="1" w:name="index 2" w:locked="1"/>
    <w:lsdException w:uiPriority="1" w:name="index 3" w:locked="1"/>
    <w:lsdException w:uiPriority="1" w:name="index 4" w:locked="1"/>
    <w:lsdException w:uiPriority="1" w:name="index 5" w:locked="1"/>
    <w:lsdException w:uiPriority="1" w:name="index 6" w:locked="1"/>
    <w:lsdException w:uiPriority="1" w:name="index 7" w:locked="1"/>
    <w:lsdException w:uiPriority="1" w:name="index 8" w:locked="1"/>
    <w:lsdException w:uiPriority="1"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1" w:name="toc 4" w:locked="1"/>
    <w:lsdException w:uiPriority="1" w:name="toc 5" w:locked="1"/>
    <w:lsdException w:uiPriority="1" w:name="toc 6" w:locked="1"/>
    <w:lsdException w:uiPriority="1" w:name="toc 7" w:locked="1"/>
    <w:lsdException w:uiPriority="1" w:name="toc 8" w:locked="1"/>
    <w:lsdException w:uiPriority="1" w:name="toc 9" w:locked="1"/>
    <w:lsdException w:qFormat="1" w:unhideWhenUsed="0" w:uiPriority="99" w:semiHidden="0" w:name="Normal Indent"/>
    <w:lsdException w:qFormat="1" w:unhideWhenUsed="0" w:uiPriority="0" w:semiHidden="0" w:name="footnote text" w:locked="1"/>
    <w:lsdException w:uiPriority="1" w:name="annotation text" w:locked="1"/>
    <w:lsdException w:qFormat="1" w:unhideWhenUsed="0" w:uiPriority="99" w:semiHidden="0" w:name="header"/>
    <w:lsdException w:qFormat="1" w:unhideWhenUsed="0" w:uiPriority="99" w:semiHidden="0" w:name="footer"/>
    <w:lsdException w:uiPriority="1" w:name="index heading" w:locked="1"/>
    <w:lsdException w:qFormat="1" w:uiPriority="1" w:name="caption" w:locked="1"/>
    <w:lsdException w:uiPriority="1" w:name="table of figures" w:locked="1"/>
    <w:lsdException w:uiPriority="1" w:name="envelope address" w:locked="1"/>
    <w:lsdException w:uiPriority="1" w:name="envelope return" w:locked="1"/>
    <w:lsdException w:uiPriority="1" w:name="footnote reference" w:locked="1"/>
    <w:lsdException w:uiPriority="1" w:name="annotation reference" w:locked="1"/>
    <w:lsdException w:uiPriority="1" w:name="line number" w:locked="1"/>
    <w:lsdException w:qFormat="1" w:unhideWhenUsed="0" w:uiPriority="99" w:semiHidden="0" w:name="page number"/>
    <w:lsdException w:uiPriority="1" w:name="endnote reference" w:locked="1"/>
    <w:lsdException w:uiPriority="1" w:name="endnote text" w:locked="1"/>
    <w:lsdException w:uiPriority="1" w:name="table of authorities" w:locked="1"/>
    <w:lsdException w:uiPriority="1" w:name="macro" w:locked="1"/>
    <w:lsdException w:qFormat="1" w:unhideWhenUsed="0" w:uiPriority="0" w:semiHidden="0" w:name="toa heading" w:locked="1"/>
    <w:lsdException w:uiPriority="1" w:name="List" w:locked="1"/>
    <w:lsdException w:uiPriority="1" w:name="List Bullet" w:locked="1"/>
    <w:lsdException w:uiPriority="1" w:name="List Number" w:locked="1"/>
    <w:lsdException w:qFormat="1" w:unhideWhenUsed="0" w:uiPriority="0" w:semiHidden="0" w:name="List 2" w:locked="1"/>
    <w:lsdException w:uiPriority="1" w:name="List 3" w:locked="1"/>
    <w:lsdException w:uiPriority="1" w:name="List 4" w:locked="1"/>
    <w:lsdException w:uiPriority="1" w:name="List 5" w:locked="1"/>
    <w:lsdException w:uiPriority="1" w:name="List Bullet 2" w:locked="1"/>
    <w:lsdException w:uiPriority="1" w:name="List Bullet 3" w:locked="1"/>
    <w:lsdException w:uiPriority="1" w:name="List Bullet 4" w:locked="1"/>
    <w:lsdException w:uiPriority="1" w:name="List Bullet 5" w:locked="1"/>
    <w:lsdException w:uiPriority="1" w:name="List Number 2" w:locked="1"/>
    <w:lsdException w:uiPriority="1" w:name="List Number 3" w:locked="1"/>
    <w:lsdException w:uiPriority="1" w:name="List Number 4" w:locked="1"/>
    <w:lsdException w:uiPriority="1" w:name="List Number 5" w:locked="1"/>
    <w:lsdException w:qFormat="1" w:unhideWhenUsed="0" w:uiPriority="1" w:semiHidden="0" w:name="Title" w:locked="1"/>
    <w:lsdException w:uiPriority="1" w:name="Closing" w:locked="1"/>
    <w:lsdException w:uiPriority="1"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1" w:name="List Continue" w:locked="1"/>
    <w:lsdException w:uiPriority="1" w:name="List Continue 2" w:locked="1"/>
    <w:lsdException w:uiPriority="1" w:name="List Continue 3" w:locked="1"/>
    <w:lsdException w:uiPriority="1" w:name="List Continue 4" w:locked="1"/>
    <w:lsdException w:uiPriority="1" w:name="List Continue 5" w:locked="1"/>
    <w:lsdException w:uiPriority="1"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ocked="1"/>
    <w:lsdException w:uiPriority="1" w:name="Note Heading" w:locked="1"/>
    <w:lsdException w:qFormat="1" w:unhideWhenUsed="0" w:uiPriority="99" w:semiHidden="0" w:name="Body Text 2"/>
    <w:lsdException w:uiPriority="1" w:name="Body Text 3" w:locked="1"/>
    <w:lsdException w:qFormat="1" w:unhideWhenUsed="0" w:uiPriority="99" w:semiHidden="0" w:name="Body Text Indent 2"/>
    <w:lsdException w:qFormat="1" w:unhideWhenUsed="0" w:uiPriority="99" w:semiHidden="0" w:name="Body Text Indent 3"/>
    <w:lsdException w:uiPriority="1"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1" w:name="E-mail Signature" w:locked="1"/>
    <w:lsdException w:qFormat="1" w:unhideWhenUsed="0" w:uiPriority="99" w:semiHidden="0" w:name="Normal (Web)"/>
    <w:lsdException w:uiPriority="1" w:name="HTML Acronym" w:locked="1"/>
    <w:lsdException w:uiPriority="1" w:name="HTML Address" w:locked="1"/>
    <w:lsdException w:uiPriority="1" w:name="HTML Cite" w:locked="1"/>
    <w:lsdException w:uiPriority="1" w:name="HTML Code" w:locked="1"/>
    <w:lsdException w:uiPriority="1" w:name="HTML Definition" w:locked="1"/>
    <w:lsdException w:uiPriority="1" w:name="HTML Keyboard" w:locked="1"/>
    <w:lsdException w:uiPriority="1" w:name="HTML Preformatted" w:locked="1"/>
    <w:lsdException w:qFormat="1" w:unhideWhenUsed="0" w:uiPriority="0" w:semiHidden="0" w:name="HTML Sample" w:locked="1"/>
    <w:lsdException w:uiPriority="1" w:name="HTML Typewriter" w:locked="1"/>
    <w:lsdException w:uiPriority="1" w:name="HTML Variable" w:locked="1"/>
    <w:lsdException w:qFormat="1" w:uiPriority="99" w:semiHidden="0" w:name="Normal Table"/>
    <w:lsdException w:uiPriority="1" w:name="annotation subject" w:locked="1"/>
    <w:lsdException w:uiPriority="1" w:name="Table Simple 1" w:locked="1"/>
    <w:lsdException w:uiPriority="1" w:name="Table Simple 2" w:locked="1"/>
    <w:lsdException w:uiPriority="1" w:name="Table Simple 3" w:locked="1"/>
    <w:lsdException w:uiPriority="1" w:name="Table Classic 1" w:locked="1"/>
    <w:lsdException w:uiPriority="1" w:name="Table Classic 2" w:locked="1"/>
    <w:lsdException w:uiPriority="1" w:name="Table Classic 3" w:locked="1"/>
    <w:lsdException w:uiPriority="1" w:name="Table Classic 4" w:locked="1"/>
    <w:lsdException w:uiPriority="1" w:name="Table Colorful 1" w:locked="1"/>
    <w:lsdException w:uiPriority="1" w:name="Table Colorful 2" w:locked="1"/>
    <w:lsdException w:uiPriority="1" w:name="Table Colorful 3" w:locked="1"/>
    <w:lsdException w:uiPriority="1" w:name="Table Columns 1" w:locked="1"/>
    <w:lsdException w:uiPriority="1" w:name="Table Columns 2" w:locked="1"/>
    <w:lsdException w:uiPriority="1" w:name="Table Columns 3" w:locked="1"/>
    <w:lsdException w:uiPriority="1" w:name="Table Columns 4" w:locked="1"/>
    <w:lsdException w:uiPriority="1" w:name="Table Columns 5" w:locked="1"/>
    <w:lsdException w:uiPriority="1" w:name="Table Grid 1" w:locked="1"/>
    <w:lsdException w:uiPriority="1" w:name="Table Grid 2" w:locked="1"/>
    <w:lsdException w:uiPriority="1" w:name="Table Grid 3" w:locked="1"/>
    <w:lsdException w:uiPriority="1" w:name="Table Grid 4" w:locked="1"/>
    <w:lsdException w:uiPriority="1" w:name="Table Grid 5" w:locked="1"/>
    <w:lsdException w:uiPriority="1" w:name="Table Grid 6" w:locked="1"/>
    <w:lsdException w:uiPriority="1" w:name="Table Grid 7" w:locked="1"/>
    <w:lsdException w:uiPriority="1" w:name="Table Grid 8" w:locked="1"/>
    <w:lsdException w:uiPriority="1" w:name="Table List 1" w:locked="1"/>
    <w:lsdException w:uiPriority="1" w:name="Table List 2" w:locked="1"/>
    <w:lsdException w:uiPriority="1" w:name="Table List 3" w:locked="1"/>
    <w:lsdException w:uiPriority="1" w:name="Table List 4" w:locked="1"/>
    <w:lsdException w:uiPriority="1" w:name="Table List 5" w:locked="1"/>
    <w:lsdException w:uiPriority="1" w:name="Table List 6" w:locked="1"/>
    <w:lsdException w:uiPriority="1" w:name="Table List 7" w:locked="1"/>
    <w:lsdException w:uiPriority="1" w:name="Table List 8" w:locked="1"/>
    <w:lsdException w:uiPriority="1" w:name="Table 3D effects 1" w:locked="1"/>
    <w:lsdException w:uiPriority="1" w:name="Table 3D effects 2" w:locked="1"/>
    <w:lsdException w:uiPriority="1" w:name="Table 3D effects 3" w:locked="1"/>
    <w:lsdException w:uiPriority="1" w:name="Table Contemporary" w:locked="1"/>
    <w:lsdException w:uiPriority="1" w:name="Table Elegant" w:locked="1"/>
    <w:lsdException w:uiPriority="1" w:name="Table Professional" w:locked="1"/>
    <w:lsdException w:uiPriority="1" w:name="Table Subtle 1" w:locked="1"/>
    <w:lsdException w:uiPriority="1" w:name="Table Subtle 2" w:locked="1"/>
    <w:lsdException w:uiPriority="1" w:name="Table Web 1" w:locked="1"/>
    <w:lsdException w:uiPriority="1" w:name="Table Web 2" w:locked="1"/>
    <w:lsdException w:uiPriority="1" w:name="Table Web 3" w:locked="1"/>
    <w:lsdException w:qFormat="1" w:unhideWhenUsed="0" w:uiPriority="99" w:name="Balloon Text"/>
    <w:lsdException w:qFormat="1" w:unhideWhenUsed="0" w:uiPriority="99" w:semiHidden="0" w:name="Table Grid"/>
    <w:lsdException w:uiPriority="1"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6"/>
    <w:qFormat/>
    <w:uiPriority w:val="99"/>
    <w:pPr>
      <w:keepNext/>
      <w:numPr>
        <w:ilvl w:val="0"/>
        <w:numId w:val="1"/>
      </w:numPr>
      <w:outlineLvl w:val="0"/>
    </w:pPr>
    <w:rPr>
      <w:b/>
    </w:rPr>
  </w:style>
  <w:style w:type="paragraph" w:styleId="4">
    <w:name w:val="heading 2"/>
    <w:basedOn w:val="1"/>
    <w:link w:val="47"/>
    <w:qFormat/>
    <w:uiPriority w:val="99"/>
    <w:pPr>
      <w:keepNext/>
      <w:keepLines/>
      <w:spacing w:before="260" w:after="260" w:line="416" w:lineRule="auto"/>
      <w:outlineLvl w:val="1"/>
    </w:pPr>
    <w:rPr>
      <w:rFonts w:ascii="Arial" w:hAnsi="Arial" w:eastAsia="黑体"/>
      <w:b/>
      <w:sz w:val="32"/>
    </w:rPr>
  </w:style>
  <w:style w:type="paragraph" w:styleId="5">
    <w:name w:val="heading 3"/>
    <w:basedOn w:val="1"/>
    <w:next w:val="1"/>
    <w:link w:val="48"/>
    <w:qFormat/>
    <w:uiPriority w:val="99"/>
    <w:pPr>
      <w:keepNext/>
      <w:keepLines/>
      <w:spacing w:before="260" w:after="260" w:line="416" w:lineRule="auto"/>
      <w:outlineLvl w:val="2"/>
    </w:pPr>
    <w:rPr>
      <w:b/>
      <w:bCs/>
      <w:sz w:val="32"/>
      <w:szCs w:val="32"/>
    </w:rPr>
  </w:style>
  <w:style w:type="paragraph" w:styleId="6">
    <w:name w:val="heading 4"/>
    <w:basedOn w:val="1"/>
    <w:next w:val="1"/>
    <w:link w:val="49"/>
    <w:qFormat/>
    <w:uiPriority w:val="9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0"/>
    <w:qFormat/>
    <w:uiPriority w:val="99"/>
    <w:pPr>
      <w:keepNext/>
      <w:keepLines/>
      <w:tabs>
        <w:tab w:val="left" w:pos="1440"/>
      </w:tabs>
      <w:spacing w:before="280" w:after="290" w:line="372" w:lineRule="auto"/>
      <w:ind w:left="1440" w:hanging="900"/>
      <w:outlineLvl w:val="4"/>
    </w:pPr>
    <w:rPr>
      <w:b/>
      <w:sz w:val="28"/>
    </w:rPr>
  </w:style>
  <w:style w:type="paragraph" w:styleId="8">
    <w:name w:val="heading 6"/>
    <w:basedOn w:val="1"/>
    <w:next w:val="1"/>
    <w:link w:val="51"/>
    <w:qFormat/>
    <w:uiPriority w:val="99"/>
    <w:pPr>
      <w:keepNext/>
      <w:keepLines/>
      <w:tabs>
        <w:tab w:val="left" w:pos="1440"/>
      </w:tabs>
      <w:spacing w:before="240" w:after="64" w:line="317" w:lineRule="auto"/>
      <w:ind w:left="1440" w:hanging="900"/>
      <w:outlineLvl w:val="5"/>
    </w:pPr>
    <w:rPr>
      <w:rFonts w:ascii="Arial" w:hAnsi="Arial" w:eastAsia="黑体"/>
      <w:b/>
      <w:sz w:val="24"/>
    </w:rPr>
  </w:style>
  <w:style w:type="paragraph" w:styleId="9">
    <w:name w:val="heading 7"/>
    <w:basedOn w:val="1"/>
    <w:next w:val="1"/>
    <w:link w:val="52"/>
    <w:qFormat/>
    <w:uiPriority w:val="99"/>
    <w:pPr>
      <w:keepNext/>
      <w:keepLines/>
      <w:tabs>
        <w:tab w:val="left" w:pos="1440"/>
      </w:tabs>
      <w:spacing w:before="240" w:after="64" w:line="317" w:lineRule="auto"/>
      <w:ind w:left="1440" w:hanging="900"/>
      <w:outlineLvl w:val="6"/>
    </w:pPr>
    <w:rPr>
      <w:b/>
      <w:sz w:val="24"/>
    </w:rPr>
  </w:style>
  <w:style w:type="paragraph" w:styleId="10">
    <w:name w:val="heading 8"/>
    <w:basedOn w:val="1"/>
    <w:next w:val="1"/>
    <w:link w:val="53"/>
    <w:qFormat/>
    <w:uiPriority w:val="99"/>
    <w:pPr>
      <w:keepNext/>
      <w:keepLines/>
      <w:tabs>
        <w:tab w:val="left" w:pos="1440"/>
      </w:tabs>
      <w:spacing w:before="240" w:after="64" w:line="317" w:lineRule="auto"/>
      <w:ind w:left="1440" w:hanging="900"/>
      <w:outlineLvl w:val="7"/>
    </w:pPr>
    <w:rPr>
      <w:rFonts w:ascii="Arial" w:hAnsi="Arial" w:eastAsia="黑体"/>
      <w:sz w:val="24"/>
    </w:rPr>
  </w:style>
  <w:style w:type="paragraph" w:styleId="11">
    <w:name w:val="heading 9"/>
    <w:basedOn w:val="1"/>
    <w:next w:val="1"/>
    <w:link w:val="54"/>
    <w:qFormat/>
    <w:uiPriority w:val="99"/>
    <w:pPr>
      <w:keepNext/>
      <w:keepLines/>
      <w:tabs>
        <w:tab w:val="left" w:pos="1440"/>
      </w:tabs>
      <w:spacing w:before="240" w:after="64" w:line="317" w:lineRule="auto"/>
      <w:ind w:left="1440" w:hanging="900"/>
      <w:outlineLvl w:val="8"/>
    </w:pPr>
    <w:rPr>
      <w:rFonts w:ascii="Arial" w:hAnsi="Arial" w:eastAsia="黑体"/>
    </w:rPr>
  </w:style>
  <w:style w:type="character" w:default="1" w:styleId="38">
    <w:name w:val="Default Paragraph Font"/>
    <w:unhideWhenUsed/>
    <w:qFormat/>
    <w:uiPriority w:val="1"/>
  </w:style>
  <w:style w:type="table" w:default="1" w:styleId="36">
    <w:name w:val="Normal Table"/>
    <w:unhideWhenUsed/>
    <w:qFormat/>
    <w:uiPriority w:val="99"/>
    <w:tblPr>
      <w:tblCellMar>
        <w:top w:w="0" w:type="dxa"/>
        <w:left w:w="108" w:type="dxa"/>
        <w:bottom w:w="0" w:type="dxa"/>
        <w:right w:w="108" w:type="dxa"/>
      </w:tblCellMar>
    </w:tblPr>
  </w:style>
  <w:style w:type="paragraph" w:styleId="2">
    <w:name w:val="Document Map"/>
    <w:basedOn w:val="1"/>
    <w:link w:val="45"/>
    <w:qFormat/>
    <w:uiPriority w:val="99"/>
    <w:pPr>
      <w:shd w:val="clear" w:color="auto" w:fill="000080"/>
    </w:pPr>
  </w:style>
  <w:style w:type="paragraph" w:styleId="12">
    <w:name w:val="Normal Indent"/>
    <w:basedOn w:val="1"/>
    <w:qFormat/>
    <w:uiPriority w:val="99"/>
    <w:pPr>
      <w:ind w:firstLine="420" w:firstLineChars="200"/>
    </w:pPr>
    <w:rPr>
      <w:szCs w:val="24"/>
    </w:rPr>
  </w:style>
  <w:style w:type="paragraph" w:styleId="13">
    <w:name w:val="toa heading"/>
    <w:basedOn w:val="1"/>
    <w:next w:val="1"/>
    <w:qFormat/>
    <w:locked/>
    <w:uiPriority w:val="0"/>
    <w:pPr>
      <w:spacing w:before="120"/>
    </w:pPr>
    <w:rPr>
      <w:rFonts w:ascii="Arial" w:hAnsi="Arial"/>
      <w:sz w:val="24"/>
      <w:szCs w:val="21"/>
    </w:rPr>
  </w:style>
  <w:style w:type="paragraph" w:styleId="14">
    <w:name w:val="Salutation"/>
    <w:basedOn w:val="1"/>
    <w:next w:val="1"/>
    <w:link w:val="55"/>
    <w:qFormat/>
    <w:uiPriority w:val="99"/>
    <w:rPr>
      <w:rFonts w:ascii="宋体"/>
      <w:b/>
      <w:sz w:val="28"/>
    </w:rPr>
  </w:style>
  <w:style w:type="paragraph" w:styleId="15">
    <w:name w:val="Body Text"/>
    <w:basedOn w:val="1"/>
    <w:next w:val="16"/>
    <w:link w:val="56"/>
    <w:qFormat/>
    <w:uiPriority w:val="99"/>
    <w:rPr>
      <w:rFonts w:ascii="Arial" w:hAnsi="Arial"/>
      <w:sz w:val="24"/>
    </w:rPr>
  </w:style>
  <w:style w:type="paragraph" w:customStyle="1" w:styleId="16">
    <w:name w:val="Default"/>
    <w:next w:val="17"/>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大标题"/>
    <w:basedOn w:val="1"/>
    <w:next w:val="18"/>
    <w:qFormat/>
    <w:uiPriority w:val="0"/>
    <w:pPr>
      <w:jc w:val="center"/>
    </w:pPr>
    <w:rPr>
      <w:rFonts w:ascii="Arial" w:hAnsi="Arial" w:eastAsia="宋体" w:cs="Times New Roman"/>
      <w:b/>
      <w:sz w:val="28"/>
      <w:szCs w:val="24"/>
    </w:rPr>
  </w:style>
  <w:style w:type="paragraph" w:styleId="18">
    <w:name w:val="Body Text First Indent 2"/>
    <w:basedOn w:val="19"/>
    <w:next w:val="1"/>
    <w:qFormat/>
    <w:locked/>
    <w:uiPriority w:val="0"/>
    <w:pPr>
      <w:spacing w:after="120" w:line="240" w:lineRule="auto"/>
      <w:ind w:left="420" w:leftChars="200"/>
    </w:pPr>
    <w:rPr>
      <w:rFonts w:ascii="Times New Roman" w:hAnsi="Times New Roman"/>
      <w:szCs w:val="24"/>
    </w:rPr>
  </w:style>
  <w:style w:type="paragraph" w:styleId="19">
    <w:name w:val="Body Text Indent"/>
    <w:basedOn w:val="1"/>
    <w:next w:val="16"/>
    <w:link w:val="57"/>
    <w:qFormat/>
    <w:uiPriority w:val="99"/>
    <w:pPr>
      <w:ind w:firstLine="480"/>
    </w:pPr>
    <w:rPr>
      <w:rFonts w:ascii="宋体" w:hAnsi="宋体"/>
      <w:sz w:val="24"/>
    </w:rPr>
  </w:style>
  <w:style w:type="paragraph" w:styleId="20">
    <w:name w:val="List 2"/>
    <w:basedOn w:val="1"/>
    <w:next w:val="21"/>
    <w:qFormat/>
    <w:locked/>
    <w:uiPriority w:val="0"/>
    <w:pPr>
      <w:ind w:left="100" w:leftChars="200" w:hanging="200" w:hangingChars="200"/>
    </w:pPr>
  </w:style>
  <w:style w:type="paragraph" w:styleId="21">
    <w:name w:val="Plain Text"/>
    <w:basedOn w:val="1"/>
    <w:link w:val="58"/>
    <w:qFormat/>
    <w:uiPriority w:val="99"/>
    <w:rPr>
      <w:rFonts w:ascii="宋体" w:hAnsi="Courier New"/>
    </w:rPr>
  </w:style>
  <w:style w:type="paragraph" w:styleId="22">
    <w:name w:val="toc 3"/>
    <w:basedOn w:val="1"/>
    <w:next w:val="1"/>
    <w:qFormat/>
    <w:uiPriority w:val="99"/>
    <w:pPr>
      <w:ind w:left="840" w:leftChars="400"/>
    </w:pPr>
  </w:style>
  <w:style w:type="paragraph" w:styleId="23">
    <w:name w:val="Date"/>
    <w:basedOn w:val="1"/>
    <w:next w:val="1"/>
    <w:link w:val="59"/>
    <w:qFormat/>
    <w:uiPriority w:val="99"/>
    <w:pPr>
      <w:ind w:left="100"/>
    </w:pPr>
    <w:rPr>
      <w:sz w:val="24"/>
    </w:rPr>
  </w:style>
  <w:style w:type="paragraph" w:styleId="24">
    <w:name w:val="Body Text Indent 2"/>
    <w:basedOn w:val="1"/>
    <w:link w:val="60"/>
    <w:qFormat/>
    <w:uiPriority w:val="99"/>
    <w:pPr>
      <w:ind w:firstLine="435"/>
    </w:pPr>
    <w:rPr>
      <w:rFonts w:ascii="宋体" w:hAnsi="宋体"/>
      <w:sz w:val="24"/>
    </w:rPr>
  </w:style>
  <w:style w:type="paragraph" w:styleId="25">
    <w:name w:val="Balloon Text"/>
    <w:basedOn w:val="1"/>
    <w:link w:val="61"/>
    <w:semiHidden/>
    <w:qFormat/>
    <w:uiPriority w:val="99"/>
    <w:rPr>
      <w:sz w:val="18"/>
      <w:szCs w:val="18"/>
    </w:rPr>
  </w:style>
  <w:style w:type="paragraph" w:styleId="26">
    <w:name w:val="footer"/>
    <w:basedOn w:val="1"/>
    <w:link w:val="62"/>
    <w:qFormat/>
    <w:uiPriority w:val="99"/>
    <w:pPr>
      <w:tabs>
        <w:tab w:val="center" w:pos="4153"/>
        <w:tab w:val="right" w:pos="8306"/>
      </w:tabs>
      <w:snapToGrid w:val="0"/>
      <w:jc w:val="left"/>
    </w:pPr>
    <w:rPr>
      <w:sz w:val="18"/>
    </w:rPr>
  </w:style>
  <w:style w:type="paragraph" w:styleId="27">
    <w:name w:val="header"/>
    <w:basedOn w:val="1"/>
    <w:link w:val="63"/>
    <w:qFormat/>
    <w:uiPriority w:val="99"/>
    <w:pPr>
      <w:pBdr>
        <w:bottom w:val="single" w:color="auto" w:sz="6" w:space="1"/>
      </w:pBdr>
      <w:tabs>
        <w:tab w:val="center" w:pos="4153"/>
        <w:tab w:val="right" w:pos="8306"/>
      </w:tabs>
      <w:snapToGrid w:val="0"/>
      <w:jc w:val="center"/>
    </w:pPr>
    <w:rPr>
      <w:sz w:val="18"/>
    </w:rPr>
  </w:style>
  <w:style w:type="paragraph" w:styleId="28">
    <w:name w:val="toc 1"/>
    <w:basedOn w:val="1"/>
    <w:next w:val="1"/>
    <w:qFormat/>
    <w:uiPriority w:val="99"/>
  </w:style>
  <w:style w:type="paragraph" w:styleId="29">
    <w:name w:val="Subtitle"/>
    <w:basedOn w:val="1"/>
    <w:next w:val="1"/>
    <w:link w:val="64"/>
    <w:qFormat/>
    <w:uiPriority w:val="99"/>
    <w:pPr>
      <w:spacing w:before="240" w:after="60" w:line="312" w:lineRule="auto"/>
      <w:jc w:val="center"/>
      <w:outlineLvl w:val="1"/>
    </w:pPr>
    <w:rPr>
      <w:rFonts w:ascii="Cambria" w:hAnsi="Cambria"/>
      <w:b/>
      <w:bCs/>
      <w:kern w:val="28"/>
      <w:sz w:val="32"/>
      <w:szCs w:val="32"/>
    </w:rPr>
  </w:style>
  <w:style w:type="paragraph" w:styleId="30">
    <w:name w:val="footnote text"/>
    <w:basedOn w:val="1"/>
    <w:qFormat/>
    <w:locked/>
    <w:uiPriority w:val="0"/>
    <w:pPr>
      <w:snapToGrid w:val="0"/>
      <w:jc w:val="left"/>
    </w:pPr>
    <w:rPr>
      <w:rFonts w:ascii="Times New Roman" w:hAnsi="Times New Roman" w:eastAsia="宋体" w:cs="Times New Roman"/>
      <w:sz w:val="18"/>
    </w:rPr>
  </w:style>
  <w:style w:type="paragraph" w:styleId="31">
    <w:name w:val="Body Text Indent 3"/>
    <w:basedOn w:val="1"/>
    <w:link w:val="65"/>
    <w:qFormat/>
    <w:uiPriority w:val="99"/>
    <w:pPr>
      <w:ind w:left="471" w:hanging="471" w:hangingChars="200"/>
    </w:pPr>
    <w:rPr>
      <w:rFonts w:ascii="Arial" w:hAnsi="Arial" w:cs="Arial"/>
      <w:b/>
      <w:bCs/>
      <w:sz w:val="24"/>
    </w:rPr>
  </w:style>
  <w:style w:type="paragraph" w:styleId="32">
    <w:name w:val="toc 2"/>
    <w:basedOn w:val="1"/>
    <w:next w:val="1"/>
    <w:qFormat/>
    <w:uiPriority w:val="99"/>
    <w:pPr>
      <w:ind w:left="420" w:leftChars="200"/>
    </w:pPr>
  </w:style>
  <w:style w:type="paragraph" w:styleId="33">
    <w:name w:val="Body Text 2"/>
    <w:basedOn w:val="1"/>
    <w:link w:val="66"/>
    <w:qFormat/>
    <w:uiPriority w:val="99"/>
    <w:pPr>
      <w:spacing w:line="360" w:lineRule="auto"/>
    </w:pPr>
    <w:rPr>
      <w:b/>
      <w:sz w:val="28"/>
      <w:szCs w:val="21"/>
    </w:rPr>
  </w:style>
  <w:style w:type="paragraph" w:styleId="34">
    <w:name w:val="Normal (Web)"/>
    <w:basedOn w:val="1"/>
    <w:qFormat/>
    <w:uiPriority w:val="99"/>
    <w:pPr>
      <w:widowControl/>
      <w:spacing w:before="100" w:beforeAutospacing="1" w:after="100" w:afterAutospacing="1"/>
      <w:jc w:val="left"/>
    </w:pPr>
    <w:rPr>
      <w:rFonts w:ascii="Arial Unicode MS" w:hAnsi="Arial Unicode MS" w:cs="Arial Unicode MS"/>
      <w:kern w:val="0"/>
      <w:sz w:val="24"/>
      <w:szCs w:val="24"/>
    </w:rPr>
  </w:style>
  <w:style w:type="paragraph" w:styleId="35">
    <w:name w:val="Body Text First Indent"/>
    <w:basedOn w:val="15"/>
    <w:next w:val="1"/>
    <w:link w:val="67"/>
    <w:qFormat/>
    <w:uiPriority w:val="99"/>
    <w:pPr>
      <w:spacing w:after="120"/>
      <w:ind w:firstLine="420" w:firstLineChars="100"/>
    </w:pPr>
  </w:style>
  <w:style w:type="table" w:styleId="37">
    <w:name w:val="Table Grid"/>
    <w:basedOn w:val="3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basedOn w:val="38"/>
    <w:qFormat/>
    <w:uiPriority w:val="99"/>
    <w:rPr>
      <w:rFonts w:cs="Times New Roman"/>
      <w:b/>
    </w:rPr>
  </w:style>
  <w:style w:type="character" w:styleId="40">
    <w:name w:val="page number"/>
    <w:qFormat/>
    <w:uiPriority w:val="99"/>
    <w:rPr>
      <w:rFonts w:cs="Times New Roman"/>
    </w:rPr>
  </w:style>
  <w:style w:type="character" w:styleId="41">
    <w:name w:val="FollowedHyperlink"/>
    <w:qFormat/>
    <w:uiPriority w:val="99"/>
    <w:rPr>
      <w:rFonts w:cs="Times New Roman"/>
      <w:color w:val="800080"/>
      <w:u w:val="single"/>
    </w:rPr>
  </w:style>
  <w:style w:type="character" w:styleId="42">
    <w:name w:val="Emphasis"/>
    <w:basedOn w:val="38"/>
    <w:qFormat/>
    <w:uiPriority w:val="99"/>
    <w:rPr>
      <w:rFonts w:cs="Times New Roman"/>
      <w:color w:val="CC0033"/>
    </w:rPr>
  </w:style>
  <w:style w:type="character" w:styleId="43">
    <w:name w:val="Hyperlink"/>
    <w:qFormat/>
    <w:uiPriority w:val="99"/>
    <w:rPr>
      <w:rFonts w:cs="Times New Roman"/>
      <w:color w:val="0000FF"/>
      <w:u w:val="single"/>
    </w:rPr>
  </w:style>
  <w:style w:type="character" w:styleId="44">
    <w:name w:val="HTML Sample"/>
    <w:qFormat/>
    <w:locked/>
    <w:uiPriority w:val="0"/>
    <w:rPr>
      <w:rFonts w:ascii="Courier New" w:hAnsi="Courier New"/>
    </w:rPr>
  </w:style>
  <w:style w:type="character" w:customStyle="1" w:styleId="45">
    <w:name w:val="文档结构图 字符"/>
    <w:link w:val="2"/>
    <w:semiHidden/>
    <w:qFormat/>
    <w:locked/>
    <w:uiPriority w:val="99"/>
    <w:rPr>
      <w:rFonts w:cs="Times New Roman"/>
      <w:sz w:val="2"/>
    </w:rPr>
  </w:style>
  <w:style w:type="character" w:customStyle="1" w:styleId="46">
    <w:name w:val="标题 1 字符"/>
    <w:link w:val="3"/>
    <w:qFormat/>
    <w:locked/>
    <w:uiPriority w:val="99"/>
    <w:rPr>
      <w:rFonts w:cs="Times New Roman"/>
      <w:b/>
      <w:kern w:val="2"/>
      <w:sz w:val="21"/>
    </w:rPr>
  </w:style>
  <w:style w:type="character" w:customStyle="1" w:styleId="47">
    <w:name w:val="标题 2 字符"/>
    <w:link w:val="4"/>
    <w:qFormat/>
    <w:locked/>
    <w:uiPriority w:val="99"/>
    <w:rPr>
      <w:rFonts w:ascii="Arial" w:hAnsi="Arial" w:eastAsia="黑体" w:cs="Times New Roman"/>
      <w:b/>
      <w:kern w:val="2"/>
      <w:sz w:val="32"/>
    </w:rPr>
  </w:style>
  <w:style w:type="character" w:customStyle="1" w:styleId="48">
    <w:name w:val="标题 3 字符"/>
    <w:link w:val="5"/>
    <w:semiHidden/>
    <w:qFormat/>
    <w:locked/>
    <w:uiPriority w:val="99"/>
    <w:rPr>
      <w:rFonts w:cs="Times New Roman"/>
      <w:b/>
      <w:bCs/>
      <w:sz w:val="32"/>
      <w:szCs w:val="32"/>
    </w:rPr>
  </w:style>
  <w:style w:type="character" w:customStyle="1" w:styleId="49">
    <w:name w:val="标题 4 字符"/>
    <w:link w:val="6"/>
    <w:semiHidden/>
    <w:qFormat/>
    <w:locked/>
    <w:uiPriority w:val="99"/>
    <w:rPr>
      <w:rFonts w:ascii="Cambria" w:hAnsi="Cambria" w:eastAsia="宋体" w:cs="Times New Roman"/>
      <w:b/>
      <w:bCs/>
      <w:sz w:val="28"/>
      <w:szCs w:val="28"/>
    </w:rPr>
  </w:style>
  <w:style w:type="character" w:customStyle="1" w:styleId="50">
    <w:name w:val="标题 5 字符"/>
    <w:link w:val="7"/>
    <w:qFormat/>
    <w:locked/>
    <w:uiPriority w:val="99"/>
    <w:rPr>
      <w:rFonts w:cs="Times New Roman"/>
      <w:b/>
      <w:kern w:val="2"/>
      <w:sz w:val="28"/>
    </w:rPr>
  </w:style>
  <w:style w:type="character" w:customStyle="1" w:styleId="51">
    <w:name w:val="标题 6 字符"/>
    <w:link w:val="8"/>
    <w:qFormat/>
    <w:locked/>
    <w:uiPriority w:val="99"/>
    <w:rPr>
      <w:rFonts w:ascii="Arial" w:hAnsi="Arial" w:eastAsia="黑体" w:cs="Times New Roman"/>
      <w:b/>
      <w:kern w:val="2"/>
      <w:sz w:val="24"/>
    </w:rPr>
  </w:style>
  <w:style w:type="character" w:customStyle="1" w:styleId="52">
    <w:name w:val="标题 7 字符"/>
    <w:link w:val="9"/>
    <w:qFormat/>
    <w:locked/>
    <w:uiPriority w:val="99"/>
    <w:rPr>
      <w:rFonts w:cs="Times New Roman"/>
      <w:b/>
      <w:kern w:val="2"/>
      <w:sz w:val="24"/>
    </w:rPr>
  </w:style>
  <w:style w:type="character" w:customStyle="1" w:styleId="53">
    <w:name w:val="标题 8 字符"/>
    <w:link w:val="10"/>
    <w:qFormat/>
    <w:locked/>
    <w:uiPriority w:val="99"/>
    <w:rPr>
      <w:rFonts w:ascii="Arial" w:hAnsi="Arial" w:eastAsia="黑体" w:cs="Times New Roman"/>
      <w:kern w:val="2"/>
      <w:sz w:val="24"/>
    </w:rPr>
  </w:style>
  <w:style w:type="character" w:customStyle="1" w:styleId="54">
    <w:name w:val="标题 9 字符"/>
    <w:link w:val="11"/>
    <w:qFormat/>
    <w:locked/>
    <w:uiPriority w:val="99"/>
    <w:rPr>
      <w:rFonts w:ascii="Arial" w:hAnsi="Arial" w:eastAsia="黑体" w:cs="Times New Roman"/>
      <w:kern w:val="2"/>
      <w:sz w:val="21"/>
    </w:rPr>
  </w:style>
  <w:style w:type="character" w:customStyle="1" w:styleId="55">
    <w:name w:val="称呼 字符"/>
    <w:link w:val="14"/>
    <w:semiHidden/>
    <w:qFormat/>
    <w:locked/>
    <w:uiPriority w:val="99"/>
    <w:rPr>
      <w:rFonts w:cs="Times New Roman"/>
      <w:sz w:val="20"/>
      <w:szCs w:val="20"/>
    </w:rPr>
  </w:style>
  <w:style w:type="character" w:customStyle="1" w:styleId="56">
    <w:name w:val="正文文本 字符"/>
    <w:link w:val="15"/>
    <w:semiHidden/>
    <w:qFormat/>
    <w:locked/>
    <w:uiPriority w:val="99"/>
    <w:rPr>
      <w:rFonts w:cs="Times New Roman"/>
      <w:sz w:val="20"/>
      <w:szCs w:val="20"/>
    </w:rPr>
  </w:style>
  <w:style w:type="character" w:customStyle="1" w:styleId="57">
    <w:name w:val="正文文本缩进 字符"/>
    <w:link w:val="19"/>
    <w:semiHidden/>
    <w:qFormat/>
    <w:locked/>
    <w:uiPriority w:val="99"/>
    <w:rPr>
      <w:rFonts w:cs="Times New Roman"/>
      <w:sz w:val="20"/>
      <w:szCs w:val="20"/>
    </w:rPr>
  </w:style>
  <w:style w:type="character" w:customStyle="1" w:styleId="58">
    <w:name w:val="纯文本 字符"/>
    <w:link w:val="21"/>
    <w:semiHidden/>
    <w:qFormat/>
    <w:locked/>
    <w:uiPriority w:val="99"/>
    <w:rPr>
      <w:rFonts w:ascii="宋体" w:hAnsi="Courier New" w:cs="Courier New"/>
      <w:sz w:val="21"/>
      <w:szCs w:val="21"/>
    </w:rPr>
  </w:style>
  <w:style w:type="character" w:customStyle="1" w:styleId="59">
    <w:name w:val="日期 字符"/>
    <w:link w:val="23"/>
    <w:semiHidden/>
    <w:qFormat/>
    <w:locked/>
    <w:uiPriority w:val="99"/>
    <w:rPr>
      <w:rFonts w:cs="Times New Roman"/>
      <w:sz w:val="20"/>
      <w:szCs w:val="20"/>
    </w:rPr>
  </w:style>
  <w:style w:type="character" w:customStyle="1" w:styleId="60">
    <w:name w:val="正文文本缩进 2 字符"/>
    <w:link w:val="24"/>
    <w:semiHidden/>
    <w:qFormat/>
    <w:locked/>
    <w:uiPriority w:val="99"/>
    <w:rPr>
      <w:rFonts w:cs="Times New Roman"/>
      <w:sz w:val="20"/>
      <w:szCs w:val="20"/>
    </w:rPr>
  </w:style>
  <w:style w:type="character" w:customStyle="1" w:styleId="61">
    <w:name w:val="批注框文本 字符"/>
    <w:link w:val="25"/>
    <w:semiHidden/>
    <w:qFormat/>
    <w:locked/>
    <w:uiPriority w:val="99"/>
    <w:rPr>
      <w:rFonts w:cs="Times New Roman"/>
      <w:sz w:val="2"/>
    </w:rPr>
  </w:style>
  <w:style w:type="character" w:customStyle="1" w:styleId="62">
    <w:name w:val="页脚 字符"/>
    <w:link w:val="26"/>
    <w:semiHidden/>
    <w:qFormat/>
    <w:locked/>
    <w:uiPriority w:val="99"/>
    <w:rPr>
      <w:rFonts w:cs="Times New Roman"/>
      <w:sz w:val="18"/>
      <w:szCs w:val="18"/>
    </w:rPr>
  </w:style>
  <w:style w:type="character" w:customStyle="1" w:styleId="63">
    <w:name w:val="页眉 字符"/>
    <w:link w:val="27"/>
    <w:semiHidden/>
    <w:qFormat/>
    <w:locked/>
    <w:uiPriority w:val="99"/>
    <w:rPr>
      <w:rFonts w:cs="Times New Roman"/>
      <w:sz w:val="18"/>
      <w:szCs w:val="18"/>
    </w:rPr>
  </w:style>
  <w:style w:type="character" w:customStyle="1" w:styleId="64">
    <w:name w:val="副标题 字符"/>
    <w:link w:val="29"/>
    <w:qFormat/>
    <w:locked/>
    <w:uiPriority w:val="99"/>
    <w:rPr>
      <w:rFonts w:ascii="Cambria" w:hAnsi="Cambria" w:eastAsia="宋体" w:cs="Times New Roman"/>
      <w:b/>
      <w:bCs/>
      <w:kern w:val="28"/>
      <w:sz w:val="32"/>
      <w:szCs w:val="32"/>
      <w:lang w:val="en-US" w:eastAsia="zh-CN" w:bidi="ar-SA"/>
    </w:rPr>
  </w:style>
  <w:style w:type="character" w:customStyle="1" w:styleId="65">
    <w:name w:val="正文文本缩进 3 字符"/>
    <w:link w:val="31"/>
    <w:semiHidden/>
    <w:qFormat/>
    <w:locked/>
    <w:uiPriority w:val="99"/>
    <w:rPr>
      <w:rFonts w:cs="Times New Roman"/>
      <w:sz w:val="16"/>
      <w:szCs w:val="16"/>
    </w:rPr>
  </w:style>
  <w:style w:type="character" w:customStyle="1" w:styleId="66">
    <w:name w:val="正文文本 2 字符"/>
    <w:link w:val="33"/>
    <w:semiHidden/>
    <w:qFormat/>
    <w:locked/>
    <w:uiPriority w:val="99"/>
    <w:rPr>
      <w:rFonts w:cs="Times New Roman"/>
      <w:sz w:val="20"/>
      <w:szCs w:val="20"/>
    </w:rPr>
  </w:style>
  <w:style w:type="character" w:customStyle="1" w:styleId="67">
    <w:name w:val="正文文本首行缩进 字符"/>
    <w:link w:val="35"/>
    <w:semiHidden/>
    <w:qFormat/>
    <w:locked/>
    <w:uiPriority w:val="99"/>
    <w:rPr>
      <w:rFonts w:cs="Times New Roman"/>
      <w:sz w:val="20"/>
      <w:szCs w:val="20"/>
    </w:rPr>
  </w:style>
  <w:style w:type="paragraph" w:customStyle="1" w:styleId="68">
    <w:name w:val="Char"/>
    <w:basedOn w:val="1"/>
    <w:qFormat/>
    <w:uiPriority w:val="99"/>
    <w:rPr>
      <w:rFonts w:ascii="Tahoma" w:hAnsi="Tahoma" w:cs="仿宋_GB2312"/>
      <w:sz w:val="24"/>
      <w:szCs w:val="28"/>
    </w:rPr>
  </w:style>
  <w:style w:type="paragraph" w:customStyle="1" w:styleId="69">
    <w:name w:val="TOAHeading"/>
    <w:basedOn w:val="1"/>
    <w:next w:val="1"/>
    <w:qFormat/>
    <w:uiPriority w:val="0"/>
    <w:pPr>
      <w:spacing w:before="120"/>
      <w:jc w:val="both"/>
      <w:textAlignment w:val="baseline"/>
    </w:pPr>
    <w:rPr>
      <w:rFonts w:ascii="Arial" w:hAnsi="Arial" w:eastAsia="宋体"/>
      <w:kern w:val="2"/>
      <w:sz w:val="24"/>
      <w:szCs w:val="22"/>
      <w:lang w:val="en-US" w:eastAsia="zh-CN" w:bidi="ar-SA"/>
    </w:rPr>
  </w:style>
  <w:style w:type="character" w:customStyle="1" w:styleId="70">
    <w:name w:val="15"/>
    <w:qFormat/>
    <w:uiPriority w:val="99"/>
    <w:rPr>
      <w:rFonts w:ascii="Times New Roman" w:hAnsi="Times New Roman" w:cs="Times New Roman"/>
      <w:b/>
      <w:bCs/>
    </w:rPr>
  </w:style>
  <w:style w:type="character" w:customStyle="1" w:styleId="71">
    <w:name w:val="font11"/>
    <w:qFormat/>
    <w:uiPriority w:val="99"/>
    <w:rPr>
      <w:rFonts w:ascii="宋体" w:hAnsi="宋体" w:eastAsia="宋体"/>
      <w:color w:val="000000"/>
      <w:sz w:val="21"/>
      <w:u w:val="none"/>
    </w:rPr>
  </w:style>
  <w:style w:type="character" w:customStyle="1" w:styleId="72">
    <w:name w:val="ca-2"/>
    <w:qFormat/>
    <w:uiPriority w:val="99"/>
    <w:rPr>
      <w:rFonts w:cs="Times New Roman"/>
    </w:rPr>
  </w:style>
  <w:style w:type="character" w:customStyle="1" w:styleId="73">
    <w:name w:val="z-窗体顶端 Char"/>
    <w:link w:val="74"/>
    <w:semiHidden/>
    <w:qFormat/>
    <w:locked/>
    <w:uiPriority w:val="99"/>
    <w:rPr>
      <w:rFonts w:ascii="Arial" w:hAnsi="Arial" w:cs="Arial"/>
      <w:vanish/>
      <w:sz w:val="16"/>
      <w:szCs w:val="16"/>
    </w:rPr>
  </w:style>
  <w:style w:type="paragraph" w:customStyle="1" w:styleId="74">
    <w:name w:val="HTML Top of Form"/>
    <w:basedOn w:val="1"/>
    <w:link w:val="73"/>
    <w:qFormat/>
    <w:uiPriority w:val="99"/>
    <w:pPr>
      <w:ind w:firstLine="420" w:firstLineChars="200"/>
    </w:pPr>
  </w:style>
  <w:style w:type="character" w:customStyle="1" w:styleId="75">
    <w:name w:val="Footer Char"/>
    <w:qFormat/>
    <w:locked/>
    <w:uiPriority w:val="99"/>
    <w:rPr>
      <w:kern w:val="2"/>
      <w:sz w:val="18"/>
    </w:rPr>
  </w:style>
  <w:style w:type="character" w:customStyle="1" w:styleId="76">
    <w:name w:val="css21"/>
    <w:qFormat/>
    <w:uiPriority w:val="99"/>
    <w:rPr>
      <w:sz w:val="18"/>
    </w:rPr>
  </w:style>
  <w:style w:type="character" w:customStyle="1" w:styleId="77">
    <w:name w:val="Char Char2"/>
    <w:qFormat/>
    <w:uiPriority w:val="99"/>
    <w:rPr>
      <w:kern w:val="2"/>
      <w:sz w:val="18"/>
    </w:rPr>
  </w:style>
  <w:style w:type="character" w:customStyle="1" w:styleId="78">
    <w:name w:val="明显参考1"/>
    <w:qFormat/>
    <w:uiPriority w:val="99"/>
    <w:rPr>
      <w:b/>
      <w:smallCaps/>
      <w:color w:val="C0504D"/>
      <w:spacing w:val="5"/>
      <w:u w:val="single"/>
    </w:rPr>
  </w:style>
  <w:style w:type="character" w:customStyle="1" w:styleId="79">
    <w:name w:val="apple-converted-space"/>
    <w:qFormat/>
    <w:uiPriority w:val="99"/>
    <w:rPr>
      <w:rFonts w:cs="Times New Roman"/>
    </w:rPr>
  </w:style>
  <w:style w:type="character" w:customStyle="1" w:styleId="80">
    <w:name w:val="ca-12"/>
    <w:qFormat/>
    <w:uiPriority w:val="99"/>
  </w:style>
  <w:style w:type="character" w:customStyle="1" w:styleId="81">
    <w:name w:val="Header Char"/>
    <w:qFormat/>
    <w:locked/>
    <w:uiPriority w:val="99"/>
    <w:rPr>
      <w:kern w:val="2"/>
      <w:sz w:val="18"/>
    </w:rPr>
  </w:style>
  <w:style w:type="character" w:customStyle="1" w:styleId="82">
    <w:name w:val="font31"/>
    <w:qFormat/>
    <w:uiPriority w:val="99"/>
    <w:rPr>
      <w:rFonts w:ascii="Arial" w:hAnsi="Arial"/>
      <w:color w:val="000000"/>
      <w:sz w:val="21"/>
      <w:u w:val="none"/>
    </w:rPr>
  </w:style>
  <w:style w:type="character" w:customStyle="1" w:styleId="83">
    <w:name w:val="Body Text First Indent Char"/>
    <w:qFormat/>
    <w:locked/>
    <w:uiPriority w:val="99"/>
    <w:rPr>
      <w:rFonts w:ascii="Arial" w:hAnsi="Arial"/>
      <w:kern w:val="2"/>
      <w:sz w:val="24"/>
    </w:rPr>
  </w:style>
  <w:style w:type="character" w:customStyle="1" w:styleId="84">
    <w:name w:val="正文文字 Char"/>
    <w:qFormat/>
    <w:uiPriority w:val="99"/>
    <w:rPr>
      <w:rFonts w:ascii="Arial" w:hAnsi="Arial" w:eastAsia="宋体"/>
      <w:kern w:val="2"/>
      <w:sz w:val="24"/>
      <w:lang w:val="en-US" w:eastAsia="zh-CN"/>
    </w:rPr>
  </w:style>
  <w:style w:type="character" w:customStyle="1" w:styleId="85">
    <w:name w:val="ca-3"/>
    <w:qFormat/>
    <w:uiPriority w:val="99"/>
    <w:rPr>
      <w:rFonts w:cs="Times New Roman"/>
    </w:rPr>
  </w:style>
  <w:style w:type="character" w:customStyle="1" w:styleId="86">
    <w:name w:val="ca-1"/>
    <w:qFormat/>
    <w:uiPriority w:val="99"/>
    <w:rPr>
      <w:rFonts w:cs="Times New Roman"/>
    </w:rPr>
  </w:style>
  <w:style w:type="character" w:customStyle="1" w:styleId="87">
    <w:name w:val="正文文字 Char1"/>
    <w:link w:val="88"/>
    <w:qFormat/>
    <w:locked/>
    <w:uiPriority w:val="99"/>
    <w:rPr>
      <w:rFonts w:ascii="宋体" w:eastAsia="宋体"/>
      <w:color w:val="000000"/>
      <w:sz w:val="28"/>
      <w:lang w:val="en-US" w:eastAsia="zh-CN"/>
    </w:rPr>
  </w:style>
  <w:style w:type="paragraph" w:customStyle="1" w:styleId="88">
    <w:name w:val="正文文字"/>
    <w:basedOn w:val="1"/>
    <w:link w:val="87"/>
    <w:qFormat/>
    <w:uiPriority w:val="99"/>
    <w:pPr>
      <w:widowControl/>
      <w:spacing w:line="2375" w:lineRule="atLeast"/>
      <w:ind w:firstLine="419"/>
      <w:textAlignment w:val="baseline"/>
    </w:pPr>
    <w:rPr>
      <w:rFonts w:ascii="宋体"/>
      <w:color w:val="000000"/>
      <w:kern w:val="0"/>
      <w:sz w:val="28"/>
    </w:rPr>
  </w:style>
  <w:style w:type="character" w:customStyle="1" w:styleId="89">
    <w:name w:val="Body Text Char"/>
    <w:qFormat/>
    <w:locked/>
    <w:uiPriority w:val="99"/>
    <w:rPr>
      <w:rFonts w:ascii="Arial" w:hAnsi="Arial"/>
      <w:kern w:val="2"/>
      <w:sz w:val="24"/>
    </w:rPr>
  </w:style>
  <w:style w:type="character" w:customStyle="1" w:styleId="90">
    <w:name w:val="font01"/>
    <w:basedOn w:val="38"/>
    <w:qFormat/>
    <w:uiPriority w:val="0"/>
    <w:rPr>
      <w:rFonts w:hint="eastAsia" w:ascii="宋体" w:hAnsi="宋体" w:eastAsia="宋体" w:cs="宋体"/>
      <w:color w:val="000000"/>
      <w:sz w:val="22"/>
      <w:szCs w:val="22"/>
      <w:u w:val="none"/>
    </w:rPr>
  </w:style>
  <w:style w:type="character" w:customStyle="1" w:styleId="91">
    <w:name w:val="样式 正文缩进 + 首行缩进:  2 字符 Char"/>
    <w:link w:val="92"/>
    <w:qFormat/>
    <w:locked/>
    <w:uiPriority w:val="99"/>
    <w:rPr>
      <w:sz w:val="24"/>
    </w:rPr>
  </w:style>
  <w:style w:type="paragraph" w:customStyle="1" w:styleId="92">
    <w:name w:val="样式 正文缩进 + 首行缩进:  2 字符"/>
    <w:basedOn w:val="12"/>
    <w:link w:val="91"/>
    <w:qFormat/>
    <w:uiPriority w:val="99"/>
    <w:pPr>
      <w:spacing w:line="360" w:lineRule="auto"/>
      <w:ind w:firstLine="200"/>
    </w:pPr>
    <w:rPr>
      <w:kern w:val="0"/>
      <w:sz w:val="24"/>
      <w:szCs w:val="20"/>
    </w:rPr>
  </w:style>
  <w:style w:type="character" w:customStyle="1" w:styleId="93">
    <w:name w:val="NormalCharacter"/>
    <w:semiHidden/>
    <w:qFormat/>
    <w:uiPriority w:val="0"/>
  </w:style>
  <w:style w:type="character" w:customStyle="1" w:styleId="94">
    <w:name w:val="书籍标题1"/>
    <w:qFormat/>
    <w:uiPriority w:val="99"/>
    <w:rPr>
      <w:b/>
      <w:smallCaps/>
      <w:spacing w:val="5"/>
    </w:rPr>
  </w:style>
  <w:style w:type="character" w:customStyle="1" w:styleId="95">
    <w:name w:val="grame"/>
    <w:qFormat/>
    <w:uiPriority w:val="99"/>
    <w:rPr>
      <w:rFonts w:cs="Times New Roman"/>
    </w:rPr>
  </w:style>
  <w:style w:type="character" w:customStyle="1" w:styleId="96">
    <w:name w:val="样式 仿宋"/>
    <w:qFormat/>
    <w:uiPriority w:val="99"/>
    <w:rPr>
      <w:rFonts w:ascii="仿宋" w:hAnsi="仿宋" w:eastAsia="仿宋"/>
      <w:kern w:val="1"/>
    </w:rPr>
  </w:style>
  <w:style w:type="character" w:customStyle="1" w:styleId="97">
    <w:name w:val="ca-5"/>
    <w:qFormat/>
    <w:uiPriority w:val="99"/>
    <w:rPr>
      <w:rFonts w:cs="Times New Roman"/>
    </w:rPr>
  </w:style>
  <w:style w:type="character" w:customStyle="1" w:styleId="98">
    <w:name w:val="p21"/>
    <w:qFormat/>
    <w:uiPriority w:val="99"/>
    <w:rPr>
      <w:rFonts w:ascii="Arial" w:hAnsi="Arial"/>
      <w:color w:val="333333"/>
      <w:sz w:val="18"/>
      <w:u w:val="none"/>
    </w:rPr>
  </w:style>
  <w:style w:type="character" w:customStyle="1" w:styleId="99">
    <w:name w:val="无"/>
    <w:qFormat/>
    <w:uiPriority w:val="99"/>
  </w:style>
  <w:style w:type="character" w:customStyle="1" w:styleId="100">
    <w:name w:val="style25"/>
    <w:qFormat/>
    <w:uiPriority w:val="99"/>
  </w:style>
  <w:style w:type="character" w:customStyle="1" w:styleId="101">
    <w:name w:val="Char Char1"/>
    <w:qFormat/>
    <w:uiPriority w:val="99"/>
    <w:rPr>
      <w:kern w:val="2"/>
      <w:sz w:val="18"/>
    </w:rPr>
  </w:style>
  <w:style w:type="character" w:customStyle="1" w:styleId="102">
    <w:name w:val="Document Map Char"/>
    <w:qFormat/>
    <w:locked/>
    <w:uiPriority w:val="99"/>
    <w:rPr>
      <w:kern w:val="2"/>
      <w:sz w:val="21"/>
      <w:shd w:val="clear" w:color="auto" w:fill="000080"/>
    </w:rPr>
  </w:style>
  <w:style w:type="character" w:customStyle="1" w:styleId="103">
    <w:name w:val="标题 1 Char Char"/>
    <w:qFormat/>
    <w:uiPriority w:val="0"/>
    <w:rPr>
      <w:rFonts w:hint="eastAsia" w:ascii="宋体" w:hAnsi="宋体" w:eastAsia="宋体"/>
      <w:b/>
      <w:spacing w:val="-2"/>
      <w:sz w:val="24"/>
      <w:lang w:val="en-US" w:eastAsia="zh-CN" w:bidi="ar-SA"/>
    </w:rPr>
  </w:style>
  <w:style w:type="character" w:customStyle="1" w:styleId="104">
    <w:name w:val="font21"/>
    <w:qFormat/>
    <w:uiPriority w:val="99"/>
    <w:rPr>
      <w:rFonts w:ascii="宋体" w:hAnsi="宋体" w:eastAsia="宋体"/>
      <w:color w:val="000000"/>
      <w:sz w:val="21"/>
      <w:u w:val="none"/>
    </w:rPr>
  </w:style>
  <w:style w:type="character" w:customStyle="1" w:styleId="105">
    <w:name w:val="纯文本 Char Char Char Char Char Char"/>
    <w:qFormat/>
    <w:locked/>
    <w:uiPriority w:val="99"/>
    <w:rPr>
      <w:rFonts w:ascii="宋体" w:hAnsi="Courier New" w:eastAsia="宋体"/>
      <w:kern w:val="2"/>
      <w:sz w:val="21"/>
      <w:lang w:val="en-US" w:eastAsia="zh-CN"/>
    </w:rPr>
  </w:style>
  <w:style w:type="character" w:customStyle="1" w:styleId="106">
    <w:name w:val="Plain Text Char"/>
    <w:qFormat/>
    <w:locked/>
    <w:uiPriority w:val="99"/>
    <w:rPr>
      <w:rFonts w:ascii="宋体" w:hAnsi="Courier New" w:eastAsia="宋体"/>
      <w:kern w:val="2"/>
      <w:sz w:val="21"/>
      <w:lang w:val="en-US" w:eastAsia="zh-CN"/>
    </w:rPr>
  </w:style>
  <w:style w:type="character" w:customStyle="1" w:styleId="107">
    <w:name w:val="Char Char"/>
    <w:qFormat/>
    <w:uiPriority w:val="99"/>
    <w:rPr>
      <w:kern w:val="2"/>
      <w:sz w:val="18"/>
    </w:rPr>
  </w:style>
  <w:style w:type="character" w:customStyle="1" w:styleId="108">
    <w:name w:val="marklong"/>
    <w:qFormat/>
    <w:uiPriority w:val="99"/>
    <w:rPr>
      <w:rFonts w:cs="Times New Roman"/>
    </w:rPr>
  </w:style>
  <w:style w:type="character" w:customStyle="1" w:styleId="109">
    <w:name w:val="H3 Char1"/>
    <w:qFormat/>
    <w:uiPriority w:val="99"/>
    <w:rPr>
      <w:rFonts w:eastAsia="宋体" w:cs="Times New Roman"/>
      <w:b/>
      <w:bCs/>
      <w:kern w:val="2"/>
      <w:sz w:val="24"/>
      <w:szCs w:val="24"/>
      <w:lang w:val="en-US" w:eastAsia="zh-CN" w:bidi="ar-SA"/>
    </w:rPr>
  </w:style>
  <w:style w:type="character" w:customStyle="1" w:styleId="110">
    <w:name w:val="unnamed1"/>
    <w:qFormat/>
    <w:uiPriority w:val="99"/>
    <w:rPr>
      <w:rFonts w:cs="Times New Roman"/>
    </w:rPr>
  </w:style>
  <w:style w:type="character" w:customStyle="1" w:styleId="111">
    <w:name w:val="ca-4"/>
    <w:qFormat/>
    <w:uiPriority w:val="99"/>
    <w:rPr>
      <w:rFonts w:cs="Times New Roman"/>
    </w:rPr>
  </w:style>
  <w:style w:type="paragraph" w:customStyle="1" w:styleId="112">
    <w:name w:val="Char1"/>
    <w:basedOn w:val="1"/>
    <w:qFormat/>
    <w:uiPriority w:val="99"/>
    <w:pPr>
      <w:widowControl/>
      <w:spacing w:after="160" w:line="240" w:lineRule="exact"/>
      <w:jc w:val="left"/>
    </w:pPr>
    <w:rPr>
      <w:rFonts w:ascii="Verdana" w:hAnsi="Verdana"/>
      <w:kern w:val="0"/>
      <w:sz w:val="20"/>
      <w:lang w:eastAsia="en-US"/>
    </w:rPr>
  </w:style>
  <w:style w:type="paragraph" w:customStyle="1" w:styleId="113">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4">
    <w:name w:val="pa-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5">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宋体加黑"/>
    <w:basedOn w:val="1"/>
    <w:qFormat/>
    <w:uiPriority w:val="99"/>
    <w:pPr>
      <w:spacing w:line="360" w:lineRule="auto"/>
      <w:jc w:val="center"/>
    </w:pPr>
    <w:rPr>
      <w:rFonts w:ascii="宋体" w:hAnsi="宋体"/>
      <w:b/>
      <w:szCs w:val="24"/>
    </w:rPr>
  </w:style>
  <w:style w:type="paragraph" w:customStyle="1" w:styleId="117">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8">
    <w:name w:val="pa-8"/>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9">
    <w:name w:val="pa-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0">
    <w:name w:val="style9"/>
    <w:basedOn w:val="1"/>
    <w:qFormat/>
    <w:uiPriority w:val="99"/>
    <w:pPr>
      <w:widowControl/>
      <w:spacing w:line="300" w:lineRule="atLeast"/>
      <w:jc w:val="left"/>
    </w:pPr>
    <w:rPr>
      <w:rFonts w:ascii="宋体" w:hAnsi="宋体" w:cs="宋体"/>
      <w:kern w:val="0"/>
      <w:sz w:val="24"/>
      <w:szCs w:val="24"/>
    </w:rPr>
  </w:style>
  <w:style w:type="paragraph" w:customStyle="1" w:styleId="121">
    <w:name w:val="pa-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2">
    <w:name w:val="普通 (Web)"/>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123">
    <w:name w:val="列出段落2"/>
    <w:basedOn w:val="1"/>
    <w:qFormat/>
    <w:uiPriority w:val="99"/>
    <w:pPr>
      <w:ind w:firstLine="420" w:firstLineChars="200"/>
    </w:pPr>
    <w:rPr>
      <w:rFonts w:ascii="宋体" w:hAnsi="Courier New"/>
    </w:rPr>
  </w:style>
  <w:style w:type="paragraph" w:customStyle="1" w:styleId="12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pa-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6">
    <w:name w:val="p0"/>
    <w:basedOn w:val="1"/>
    <w:qFormat/>
    <w:uiPriority w:val="99"/>
    <w:pPr>
      <w:widowControl/>
    </w:pPr>
    <w:rPr>
      <w:kern w:val="0"/>
      <w:szCs w:val="21"/>
    </w:rPr>
  </w:style>
  <w:style w:type="paragraph" w:customStyle="1" w:styleId="127">
    <w:name w:val="我们蓝色"/>
    <w:basedOn w:val="1"/>
    <w:qFormat/>
    <w:uiPriority w:val="99"/>
    <w:pPr>
      <w:spacing w:line="360" w:lineRule="auto"/>
    </w:pPr>
    <w:rPr>
      <w:color w:val="00B0F0"/>
      <w:szCs w:val="24"/>
    </w:rPr>
  </w:style>
  <w:style w:type="paragraph" w:customStyle="1" w:styleId="128">
    <w:name w:val="_Style 2"/>
    <w:basedOn w:val="1"/>
    <w:qFormat/>
    <w:uiPriority w:val="99"/>
    <w:pPr>
      <w:ind w:firstLine="420" w:firstLineChars="200"/>
    </w:pPr>
  </w:style>
  <w:style w:type="paragraph" w:customStyle="1" w:styleId="129">
    <w:name w:val="pa-7"/>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0">
    <w:name w:val="ecx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1">
    <w:name w:val="正文文本_0"/>
    <w:basedOn w:val="132"/>
    <w:qFormat/>
    <w:uiPriority w:val="0"/>
    <w:pPr>
      <w:spacing w:after="120"/>
    </w:pPr>
    <w:rPr>
      <w:kern w:val="0"/>
      <w:sz w:val="20"/>
    </w:rPr>
  </w:style>
  <w:style w:type="paragraph" w:customStyle="1" w:styleId="13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style16"/>
    <w:basedOn w:val="1"/>
    <w:qFormat/>
    <w:uiPriority w:val="99"/>
    <w:pPr>
      <w:widowControl/>
      <w:spacing w:before="100" w:beforeAutospacing="1" w:after="100" w:afterAutospacing="1"/>
      <w:jc w:val="left"/>
    </w:pPr>
    <w:rPr>
      <w:rFonts w:ascii="宋体" w:hAnsi="宋体" w:cs="宋体"/>
      <w:kern w:val="0"/>
      <w:sz w:val="24"/>
    </w:rPr>
  </w:style>
  <w:style w:type="paragraph" w:styleId="134">
    <w:name w:val="List Paragraph"/>
    <w:basedOn w:val="1"/>
    <w:qFormat/>
    <w:uiPriority w:val="99"/>
    <w:pPr>
      <w:ind w:firstLine="420" w:firstLineChars="200"/>
    </w:pPr>
    <w:rPr>
      <w:rFonts w:ascii="Calibri" w:hAnsi="Calibri"/>
      <w:szCs w:val="22"/>
    </w:rPr>
  </w:style>
  <w:style w:type="paragraph" w:customStyle="1" w:styleId="135">
    <w:name w:val="Body 1"/>
    <w:qFormat/>
    <w:uiPriority w:val="99"/>
    <w:pPr>
      <w:outlineLvl w:val="0"/>
    </w:pPr>
    <w:rPr>
      <w:rFonts w:ascii="Calibri" w:hAnsi="Calibri" w:eastAsia="宋体" w:cs="Times New Roman"/>
      <w:color w:val="000000"/>
      <w:sz w:val="24"/>
      <w:szCs w:val="22"/>
      <w:lang w:val="en-US" w:eastAsia="zh-CN" w:bidi="ar-SA"/>
    </w:rPr>
  </w:style>
  <w:style w:type="paragraph" w:customStyle="1" w:styleId="136">
    <w:name w:val="List Paragraph1"/>
    <w:basedOn w:val="1"/>
    <w:qFormat/>
    <w:uiPriority w:val="99"/>
    <w:pPr>
      <w:ind w:firstLine="420" w:firstLineChars="200"/>
    </w:pPr>
    <w:rPr>
      <w:rFonts w:ascii="Calibri" w:hAnsi="Calibri" w:cs="Calibri"/>
      <w:szCs w:val="21"/>
    </w:rPr>
  </w:style>
  <w:style w:type="paragraph" w:customStyle="1" w:styleId="137">
    <w:name w:val="_Style 70"/>
    <w:basedOn w:val="1"/>
    <w:next w:val="134"/>
    <w:qFormat/>
    <w:uiPriority w:val="99"/>
    <w:pPr>
      <w:ind w:firstLine="420" w:firstLineChars="200"/>
    </w:pPr>
    <w:rPr>
      <w:rFonts w:ascii="Calibri" w:hAnsi="Calibri"/>
      <w:szCs w:val="22"/>
    </w:rPr>
  </w:style>
  <w:style w:type="paragraph" w:customStyle="1" w:styleId="138">
    <w:name w:val="style6"/>
    <w:basedOn w:val="1"/>
    <w:qFormat/>
    <w:uiPriority w:val="99"/>
    <w:pPr>
      <w:widowControl/>
      <w:spacing w:line="300" w:lineRule="atLeast"/>
      <w:jc w:val="left"/>
    </w:pPr>
    <w:rPr>
      <w:rFonts w:ascii="宋体" w:hAnsi="宋体" w:cs="宋体"/>
      <w:kern w:val="0"/>
      <w:sz w:val="24"/>
      <w:szCs w:val="24"/>
    </w:rPr>
  </w:style>
  <w:style w:type="paragraph" w:customStyle="1" w:styleId="139">
    <w:name w:val="条目2"/>
    <w:basedOn w:val="21"/>
    <w:qFormat/>
    <w:uiPriority w:val="99"/>
    <w:pPr>
      <w:tabs>
        <w:tab w:val="left" w:pos="420"/>
      </w:tabs>
      <w:spacing w:line="360" w:lineRule="auto"/>
      <w:ind w:left="420" w:hanging="420"/>
    </w:pPr>
    <w:rPr>
      <w:color w:val="000000"/>
      <w:sz w:val="30"/>
    </w:rPr>
  </w:style>
  <w:style w:type="paragraph" w:customStyle="1" w:styleId="140">
    <w:name w:val="列出段落1"/>
    <w:basedOn w:val="1"/>
    <w:qFormat/>
    <w:uiPriority w:val="99"/>
    <w:pPr>
      <w:ind w:firstLine="420" w:firstLineChars="200"/>
    </w:pPr>
  </w:style>
  <w:style w:type="paragraph" w:customStyle="1" w:styleId="141">
    <w:name w:val="正文缩进1"/>
    <w:basedOn w:val="1"/>
    <w:qFormat/>
    <w:uiPriority w:val="99"/>
    <w:pPr>
      <w:ind w:firstLine="420" w:firstLineChars="200"/>
    </w:pPr>
    <w:rPr>
      <w:rFonts w:ascii="Calibri" w:hAnsi="Calibri"/>
    </w:rPr>
  </w:style>
  <w:style w:type="paragraph" w:customStyle="1" w:styleId="142">
    <w:name w:val="条目3"/>
    <w:basedOn w:val="21"/>
    <w:qFormat/>
    <w:uiPriority w:val="99"/>
    <w:pPr>
      <w:tabs>
        <w:tab w:val="left" w:pos="960"/>
        <w:tab w:val="left" w:pos="2940"/>
      </w:tabs>
      <w:spacing w:line="360" w:lineRule="auto"/>
      <w:ind w:left="2940" w:hanging="420"/>
    </w:pPr>
    <w:rPr>
      <w:color w:val="000000"/>
      <w:sz w:val="30"/>
    </w:rPr>
  </w:style>
  <w:style w:type="paragraph" w:customStyle="1" w:styleId="143">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4">
    <w:name w:val="无间隔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45">
    <w:name w:val="正文 A"/>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146">
    <w:name w:val="pa-6"/>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47">
    <w:name w:val="无间隔1"/>
    <w:qFormat/>
    <w:uiPriority w:val="99"/>
    <w:rPr>
      <w:rFonts w:ascii="Calibri" w:hAnsi="Calibri" w:eastAsia="宋体" w:cs="Times New Roman"/>
      <w:sz w:val="22"/>
      <w:szCs w:val="22"/>
      <w:lang w:val="en-US" w:eastAsia="zh-CN" w:bidi="ar-SA"/>
    </w:rPr>
  </w:style>
  <w:style w:type="paragraph" w:customStyle="1" w:styleId="148">
    <w:name w:val="1 Char Char Char Char"/>
    <w:basedOn w:val="1"/>
    <w:qFormat/>
    <w:uiPriority w:val="99"/>
    <w:rPr>
      <w:rFonts w:ascii="Tahoma" w:hAnsi="Tahoma"/>
      <w:sz w:val="24"/>
    </w:rPr>
  </w:style>
  <w:style w:type="paragraph" w:customStyle="1" w:styleId="149">
    <w:name w:val="我们红色"/>
    <w:basedOn w:val="1"/>
    <w:qFormat/>
    <w:uiPriority w:val="99"/>
    <w:pPr>
      <w:spacing w:line="360" w:lineRule="auto"/>
    </w:pPr>
    <w:rPr>
      <w:rFonts w:ascii="宋体" w:hAnsi="宋体" w:cs="宋体"/>
      <w:color w:val="FF0000"/>
      <w:kern w:val="0"/>
      <w:szCs w:val="21"/>
    </w:rPr>
  </w:style>
  <w:style w:type="paragraph" w:customStyle="1" w:styleId="150">
    <w:name w:val="中等深浅网格 21"/>
    <w:qFormat/>
    <w:uiPriority w:val="1"/>
    <w:rPr>
      <w:rFonts w:ascii="Calibri" w:hAnsi="Calibri" w:eastAsia="宋体" w:cs="Times New Roman"/>
      <w:sz w:val="22"/>
      <w:szCs w:val="22"/>
      <w:lang w:val="en-US" w:eastAsia="zh-CN" w:bidi="ar-SA"/>
    </w:rPr>
  </w:style>
  <w:style w:type="paragraph" w:customStyle="1" w:styleId="151">
    <w:name w:val="pa-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52">
    <w:name w:val="标书正文"/>
    <w:basedOn w:val="1"/>
    <w:qFormat/>
    <w:uiPriority w:val="99"/>
    <w:pPr>
      <w:spacing w:line="560" w:lineRule="exact"/>
      <w:ind w:firstLine="723" w:firstLineChars="200"/>
      <w:jc w:val="center"/>
    </w:pPr>
    <w:rPr>
      <w:rFonts w:ascii="仿宋_GB2312" w:eastAsia="仿宋_GB2312"/>
      <w:b/>
      <w:sz w:val="36"/>
    </w:rPr>
  </w:style>
  <w:style w:type="paragraph" w:customStyle="1" w:styleId="153">
    <w:name w:val="ecxmsolistparagrap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54">
    <w:name w:val="188"/>
    <w:basedOn w:val="1"/>
    <w:qFormat/>
    <w:uiPriority w:val="0"/>
    <w:pPr>
      <w:widowControl/>
      <w:spacing w:line="240" w:lineRule="auto"/>
      <w:ind w:left="720"/>
      <w:contextualSpacing/>
      <w:jc w:val="left"/>
      <w:textAlignment w:val="auto"/>
    </w:pPr>
    <w:rPr>
      <w:rFonts w:ascii="Calibri" w:hAnsi="Calibri" w:eastAsia="宋体"/>
      <w:sz w:val="24"/>
      <w:szCs w:val="24"/>
      <w:lang w:val="en-US" w:eastAsia="en-US" w:bidi="ar-SA"/>
    </w:rPr>
  </w:style>
  <w:style w:type="paragraph" w:customStyle="1" w:styleId="155">
    <w:name w:val="WPS Plain"/>
    <w:basedOn w:val="1"/>
    <w:qFormat/>
    <w:uiPriority w:val="0"/>
    <w:pPr>
      <w:widowControl/>
      <w:adjustRightInd/>
      <w:spacing w:line="240" w:lineRule="auto"/>
      <w:jc w:val="left"/>
      <w:textAlignment w:val="auto"/>
    </w:pPr>
    <w:rPr>
      <w:rFonts w:ascii="Times New Roman" w:hAnsi="Calibri" w:eastAsia="宋体" w:cs="Times New Roman"/>
      <w:sz w:val="24"/>
      <w:szCs w:val="24"/>
    </w:rPr>
  </w:style>
  <w:style w:type="paragraph" w:customStyle="1" w:styleId="156">
    <w:name w:val="正文_0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7">
    <w:name w:val="正文文本3"/>
    <w:basedOn w:val="1"/>
    <w:qFormat/>
    <w:uiPriority w:val="0"/>
    <w:pPr>
      <w:shd w:val="clear" w:color="auto" w:fill="FFFFFF"/>
      <w:spacing w:after="120" w:line="0" w:lineRule="atLeast"/>
      <w:jc w:val="left"/>
    </w:pPr>
    <w:rPr>
      <w:rFonts w:ascii="MingLiU" w:hAnsi="MingLiU" w:eastAsia="MingLiU"/>
      <w:spacing w:val="9"/>
      <w:sz w:val="18"/>
      <w:szCs w:val="18"/>
      <w:lang w:bidi="ug-CN"/>
    </w:rPr>
  </w:style>
  <w:style w:type="character" w:customStyle="1" w:styleId="158">
    <w:name w:val="正文文本1"/>
    <w:qFormat/>
    <w:uiPriority w:val="0"/>
    <w:rPr>
      <w:rFonts w:hint="eastAsia" w:ascii="MingLiU" w:hAnsi="MingLiU" w:eastAsia="MingLiU" w:cs="MingLiU"/>
      <w:color w:val="000000"/>
      <w:spacing w:val="9"/>
      <w:w w:val="100"/>
      <w:position w:val="0"/>
      <w:sz w:val="18"/>
      <w:szCs w:val="18"/>
      <w:u w:val="none"/>
      <w:lang w:val="zh-CN"/>
    </w:rPr>
  </w:style>
  <w:style w:type="paragraph" w:customStyle="1" w:styleId="159">
    <w:name w:val="正文1"/>
    <w:basedOn w:val="1"/>
    <w:qFormat/>
    <w:uiPriority w:val="0"/>
    <w:pPr>
      <w:spacing w:line="480" w:lineRule="exact"/>
      <w:ind w:firstLine="480" w:firstLineChars="200"/>
    </w:pPr>
    <w:rPr>
      <w:rFonts w:ascii="宋体"/>
      <w:sz w:val="24"/>
    </w:rPr>
  </w:style>
  <w:style w:type="paragraph" w:customStyle="1" w:styleId="160">
    <w:name w:val="List Paragraph2"/>
    <w:basedOn w:val="1"/>
    <w:qFormat/>
    <w:uiPriority w:val="0"/>
    <w:pPr>
      <w:widowControl/>
      <w:ind w:left="720" w:firstLine="360"/>
      <w:jc w:val="left"/>
    </w:pPr>
    <w:rPr>
      <w:rFonts w:ascii="Calibri" w:hAnsi="Calibri"/>
      <w:sz w:val="22"/>
      <w:szCs w:val="20"/>
      <w:lang w:eastAsia="en-US" w:bidi="ug-CN"/>
    </w:rPr>
  </w:style>
  <w:style w:type="table" w:customStyle="1" w:styleId="161">
    <w:name w:val="TableGrid"/>
    <w:qFormat/>
    <w:uiPriority w:val="0"/>
    <w:rPr>
      <w:rFonts w:ascii="Calibri" w:hAnsi="Calibri" w:eastAsia="宋体" w:cs="Times New Roman"/>
      <w:kern w:val="2"/>
      <w:sz w:val="21"/>
      <w:szCs w:val="24"/>
    </w:rPr>
    <w:tblPr>
      <w:tblCellMar>
        <w:top w:w="0" w:type="dxa"/>
        <w:left w:w="0" w:type="dxa"/>
        <w:bottom w:w="0" w:type="dxa"/>
        <w:right w:w="0" w:type="dxa"/>
      </w:tblCellMar>
    </w:tblPr>
  </w:style>
  <w:style w:type="paragraph" w:customStyle="1" w:styleId="162">
    <w:name w:val="正文文本缩进_1"/>
    <w:basedOn w:val="163"/>
    <w:qFormat/>
    <w:uiPriority w:val="0"/>
    <w:pPr>
      <w:keepNext w:val="0"/>
      <w:keepLines w:val="0"/>
      <w:widowControl w:val="0"/>
      <w:suppressLineNumbers w:val="0"/>
      <w:spacing w:before="0" w:beforeAutospacing="0" w:after="0" w:afterAutospacing="0" w:line="500" w:lineRule="exact"/>
      <w:ind w:left="1588" w:leftChars="832" w:right="0" w:firstLine="433" w:firstLineChars="196"/>
      <w:jc w:val="both"/>
    </w:pPr>
    <w:rPr>
      <w:rFonts w:hint="default" w:ascii="Times New Roman" w:hAnsi="Times New Roman" w:eastAsia="宋体" w:cs="Times New Roman"/>
      <w:kern w:val="0"/>
      <w:sz w:val="24"/>
      <w:szCs w:val="24"/>
      <w:lang w:val="en-US" w:eastAsia="zh-CN" w:bidi="ar"/>
    </w:rPr>
  </w:style>
  <w:style w:type="paragraph" w:customStyle="1" w:styleId="163">
    <w:name w:val="正文_10"/>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customStyle="1" w:styleId="164">
    <w:name w:val="Normal_11"/>
    <w:basedOn w:val="1"/>
    <w:qFormat/>
    <w:uiPriority w:val="0"/>
    <w:pPr>
      <w:keepNext w:val="0"/>
      <w:keepLines w:val="0"/>
      <w:widowControl/>
      <w:suppressLineNumbers w:val="0"/>
      <w:spacing w:before="0" w:beforeAutospacing="0" w:after="0" w:afterAutospacing="0"/>
      <w:ind w:left="0" w:right="0"/>
      <w:jc w:val="left"/>
    </w:pPr>
    <w:rPr>
      <w:rFonts w:hint="eastAsia" w:ascii="黑体" w:hAnsi="宋体" w:eastAsia="黑体" w:cs="Times New Roman"/>
      <w:b/>
      <w:kern w:val="0"/>
      <w:sz w:val="32"/>
      <w:szCs w:val="24"/>
      <w:lang w:val="en-US" w:eastAsia="zh-CN" w:bidi="ar"/>
    </w:rPr>
  </w:style>
  <w:style w:type="paragraph" w:customStyle="1" w:styleId="165">
    <w:name w:val="样式 首行缩进:  2 字符"/>
    <w:basedOn w:val="1"/>
    <w:qFormat/>
    <w:uiPriority w:val="0"/>
    <w:pPr>
      <w:spacing w:after="160" w:line="400" w:lineRule="exact"/>
      <w:ind w:firstLine="200" w:firstLineChars="200"/>
    </w:pPr>
    <w:rPr>
      <w:rFonts w:ascii="Calibri" w:hAnsi="Calibri" w:cs="宋体"/>
      <w:sz w:val="24"/>
    </w:rPr>
  </w:style>
  <w:style w:type="paragraph" w:customStyle="1" w:styleId="166">
    <w:name w:val="正文_4_0_0"/>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xjtc</Company>
  <Pages>67</Pages>
  <Words>15575</Words>
  <Characters>17085</Characters>
  <Lines>383</Lines>
  <Paragraphs>107</Paragraphs>
  <TotalTime>20</TotalTime>
  <ScaleCrop>false</ScaleCrop>
  <LinksUpToDate>false</LinksUpToDate>
  <CharactersWithSpaces>17339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2021-07-26T14:44:00Z</dcterms:created>
  <dc:creator>xt</dc:creator>
  <cp:lastModifiedBy>  </cp:lastModifiedBy>
  <cp:lastPrinted>2025-04-28T02:30:00Z</cp:lastPrinted>
  <dcterms:modified xsi:type="dcterms:W3CDTF">2025-07-10T08:41:51Z</dcterms:modified>
  <dc:title>第一部份 投标邀请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E9D314C86EA74E3A85662236B4F8CABB_13</vt:lpwstr>
  </property>
  <property fmtid="{D5CDD505-2E9C-101B-9397-08002B2CF9AE}" pid="4" name="KSOTemplateDocerSaveRecord">
    <vt:lpwstr>eyJoZGlkIjoiZTUyNDliOWNjMzM0NTk0ZmQ0YTk3YTk3NjY3MDVkYjgiLCJ1c2VySWQiOiIyODIyNTIyNTAifQ==</vt:lpwstr>
  </property>
</Properties>
</file>