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11B9FB">
      <w:pPr>
        <w:pStyle w:val="57"/>
        <w:ind w:firstLine="482"/>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drawing>
          <wp:inline distT="0" distB="0" distL="114300" distR="114300">
            <wp:extent cx="4912995" cy="1696085"/>
            <wp:effectExtent l="0" t="0" r="1905" b="18415"/>
            <wp:docPr id="1" name="图片 2" descr="c9688e5358dca40639ca776d1bce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9688e5358dca40639ca776d1bce122"/>
                    <pic:cNvPicPr>
                      <a:picLocks noChangeAspect="1"/>
                    </pic:cNvPicPr>
                  </pic:nvPicPr>
                  <pic:blipFill>
                    <a:blip r:embed="rId12" cstate="print"/>
                    <a:stretch>
                      <a:fillRect/>
                    </a:stretch>
                  </pic:blipFill>
                  <pic:spPr>
                    <a:xfrm>
                      <a:off x="0" y="0"/>
                      <a:ext cx="4912995" cy="1696085"/>
                    </a:xfrm>
                    <a:prstGeom prst="rect">
                      <a:avLst/>
                    </a:prstGeom>
                    <a:noFill/>
                    <a:ln>
                      <a:noFill/>
                    </a:ln>
                  </pic:spPr>
                </pic:pic>
              </a:graphicData>
            </a:graphic>
          </wp:inline>
        </w:drawing>
      </w:r>
    </w:p>
    <w:p w14:paraId="3B6F32B2">
      <w:pPr>
        <w:pStyle w:val="57"/>
        <w:ind w:firstLine="482"/>
        <w:rPr>
          <w:rFonts w:hint="eastAsia" w:ascii="仿宋" w:hAnsi="仿宋" w:eastAsia="仿宋" w:cs="仿宋"/>
          <w:b/>
          <w:color w:val="auto"/>
          <w:sz w:val="48"/>
          <w:szCs w:val="48"/>
          <w:highlight w:val="none"/>
        </w:rPr>
      </w:pPr>
    </w:p>
    <w:p w14:paraId="505BA7E3">
      <w:pPr>
        <w:pStyle w:val="57"/>
        <w:ind w:firstLine="482"/>
        <w:rPr>
          <w:rFonts w:hint="eastAsia" w:ascii="仿宋" w:hAnsi="仿宋" w:eastAsia="仿宋" w:cs="仿宋"/>
          <w:b/>
          <w:color w:val="auto"/>
          <w:sz w:val="48"/>
          <w:szCs w:val="48"/>
          <w:highlight w:val="none"/>
        </w:rPr>
      </w:pPr>
    </w:p>
    <w:p w14:paraId="58E1B0E7">
      <w:pPr>
        <w:rPr>
          <w:rFonts w:hint="eastAsia" w:ascii="仿宋" w:hAnsi="仿宋" w:eastAsia="仿宋" w:cs="仿宋"/>
          <w:b/>
          <w:color w:val="auto"/>
          <w:sz w:val="52"/>
          <w:highlight w:val="none"/>
        </w:rPr>
      </w:pPr>
    </w:p>
    <w:p w14:paraId="71BAD958">
      <w:pPr>
        <w:jc w:val="center"/>
        <w:rPr>
          <w:rFonts w:hint="eastAsia" w:ascii="仿宋" w:hAnsi="仿宋" w:eastAsia="仿宋" w:cs="仿宋"/>
          <w:color w:val="auto"/>
          <w:sz w:val="120"/>
          <w:szCs w:val="120"/>
          <w:highlight w:val="none"/>
        </w:rPr>
      </w:pPr>
      <w:r>
        <w:rPr>
          <w:rFonts w:hint="eastAsia" w:ascii="仿宋" w:hAnsi="仿宋" w:eastAsia="仿宋" w:cs="仿宋"/>
          <w:color w:val="auto"/>
          <w:sz w:val="120"/>
          <w:szCs w:val="120"/>
          <w:highlight w:val="none"/>
        </w:rPr>
        <w:t>招 标 文 件</w:t>
      </w:r>
    </w:p>
    <w:p w14:paraId="5A14C92F">
      <w:pPr>
        <w:jc w:val="center"/>
        <w:rPr>
          <w:rFonts w:hint="eastAsia" w:ascii="仿宋" w:hAnsi="仿宋" w:eastAsia="仿宋" w:cs="仿宋"/>
          <w:color w:val="auto"/>
          <w:sz w:val="48"/>
          <w:highlight w:val="none"/>
        </w:rPr>
      </w:pPr>
    </w:p>
    <w:p w14:paraId="3E7D350D">
      <w:pPr>
        <w:spacing w:line="700" w:lineRule="exact"/>
        <w:jc w:val="left"/>
        <w:rPr>
          <w:rFonts w:hint="eastAsia" w:ascii="仿宋" w:hAnsi="仿宋" w:eastAsia="仿宋" w:cs="仿宋"/>
          <w:color w:val="auto"/>
          <w:sz w:val="36"/>
          <w:szCs w:val="36"/>
          <w:highlight w:val="none"/>
        </w:rPr>
      </w:pPr>
    </w:p>
    <w:p w14:paraId="6F5FA753">
      <w:pPr>
        <w:spacing w:line="700" w:lineRule="exact"/>
        <w:jc w:val="left"/>
        <w:rPr>
          <w:rFonts w:hint="eastAsia" w:ascii="仿宋" w:hAnsi="仿宋" w:eastAsia="仿宋" w:cs="仿宋"/>
          <w:color w:val="auto"/>
          <w:sz w:val="36"/>
          <w:szCs w:val="36"/>
          <w:highlight w:val="none"/>
        </w:rPr>
      </w:pPr>
    </w:p>
    <w:p w14:paraId="37F33020">
      <w:pPr>
        <w:spacing w:line="640" w:lineRule="exact"/>
        <w:ind w:left="2518" w:leftChars="342" w:hanging="1800" w:hangingChars="500"/>
        <w:jc w:val="left"/>
        <w:rPr>
          <w:rFonts w:hint="eastAsia" w:ascii="仿宋" w:hAnsi="仿宋" w:eastAsia="仿宋" w:cs="仿宋"/>
          <w:color w:val="auto"/>
          <w:sz w:val="36"/>
          <w:szCs w:val="36"/>
          <w:highlight w:val="none"/>
          <w:lang w:eastAsia="zh-CN"/>
        </w:rPr>
      </w:pPr>
      <w:r>
        <w:rPr>
          <w:rFonts w:hint="eastAsia" w:ascii="仿宋" w:hAnsi="仿宋" w:eastAsia="仿宋" w:cs="仿宋"/>
          <w:color w:val="auto"/>
          <w:sz w:val="36"/>
          <w:szCs w:val="36"/>
          <w:highlight w:val="none"/>
        </w:rPr>
        <w:t>标项名称：</w:t>
      </w:r>
      <w:bookmarkStart w:id="0" w:name="OLE_LINK6"/>
      <w:r>
        <w:rPr>
          <w:rFonts w:hint="eastAsia" w:ascii="仿宋" w:hAnsi="仿宋" w:eastAsia="仿宋" w:cs="仿宋"/>
          <w:color w:val="auto"/>
          <w:sz w:val="36"/>
          <w:szCs w:val="36"/>
          <w:highlight w:val="none"/>
          <w:lang w:eastAsia="zh-CN"/>
        </w:rPr>
        <w:t>库尔勒市妇幼保健计划生育服务中心（库尔勒市妇幼保健院）智慧超声系统服务采购</w:t>
      </w:r>
    </w:p>
    <w:bookmarkEnd w:id="0"/>
    <w:p w14:paraId="1704B075">
      <w:pPr>
        <w:spacing w:line="640" w:lineRule="exact"/>
        <w:ind w:firstLine="720" w:firstLineChars="200"/>
        <w:rPr>
          <w:rFonts w:hint="eastAsia" w:ascii="仿宋" w:hAnsi="仿宋" w:eastAsia="仿宋" w:cs="仿宋"/>
          <w:color w:val="auto"/>
          <w:sz w:val="36"/>
          <w:szCs w:val="36"/>
          <w:highlight w:val="none"/>
          <w:lang w:eastAsia="zh-CN"/>
        </w:rPr>
      </w:pPr>
      <w:r>
        <w:rPr>
          <w:rFonts w:hint="eastAsia" w:ascii="仿宋" w:hAnsi="仿宋" w:eastAsia="仿宋" w:cs="仿宋"/>
          <w:color w:val="auto"/>
          <w:sz w:val="36"/>
          <w:szCs w:val="36"/>
          <w:highlight w:val="none"/>
        </w:rPr>
        <w:t>项目编号：</w:t>
      </w:r>
      <w:r>
        <w:rPr>
          <w:rFonts w:hint="eastAsia" w:ascii="仿宋" w:hAnsi="仿宋" w:eastAsia="仿宋" w:cs="仿宋"/>
          <w:color w:val="auto"/>
          <w:sz w:val="36"/>
          <w:szCs w:val="36"/>
          <w:highlight w:val="none"/>
          <w:lang w:eastAsia="zh-CN"/>
        </w:rPr>
        <w:t>2025PCGK100</w:t>
      </w:r>
    </w:p>
    <w:p w14:paraId="56EB9192">
      <w:pPr>
        <w:spacing w:line="640" w:lineRule="exact"/>
        <w:ind w:left="2518" w:leftChars="342" w:hanging="1800" w:hangingChars="50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招 标 人：</w:t>
      </w:r>
      <w:r>
        <w:rPr>
          <w:rFonts w:hint="eastAsia" w:ascii="仿宋" w:hAnsi="仿宋" w:eastAsia="仿宋" w:cs="仿宋"/>
          <w:color w:val="auto"/>
          <w:spacing w:val="-10"/>
          <w:sz w:val="36"/>
          <w:szCs w:val="36"/>
          <w:highlight w:val="none"/>
        </w:rPr>
        <w:t>库尔勒市妇幼保健计划生育服务中心（库尔勒市妇幼保健院）</w:t>
      </w:r>
    </w:p>
    <w:p w14:paraId="558ECB21">
      <w:pPr>
        <w:spacing w:line="640" w:lineRule="exact"/>
        <w:ind w:firstLine="720" w:firstLineChars="20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招标代理机构：新疆品创项目管理咨询有限公司</w:t>
      </w:r>
    </w:p>
    <w:p w14:paraId="2A084B04">
      <w:pPr>
        <w:spacing w:line="560" w:lineRule="exact"/>
        <w:ind w:firstLine="720" w:firstLineChars="20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日    期：202</w:t>
      </w:r>
      <w:r>
        <w:rPr>
          <w:rFonts w:hint="eastAsia" w:ascii="仿宋" w:hAnsi="仿宋" w:eastAsia="仿宋" w:cs="仿宋"/>
          <w:color w:val="auto"/>
          <w:sz w:val="36"/>
          <w:szCs w:val="36"/>
          <w:highlight w:val="none"/>
          <w:lang w:val="en-US" w:eastAsia="zh-CN"/>
        </w:rPr>
        <w:t>5</w:t>
      </w:r>
      <w:r>
        <w:rPr>
          <w:rFonts w:hint="eastAsia" w:ascii="仿宋" w:hAnsi="仿宋" w:eastAsia="仿宋" w:cs="仿宋"/>
          <w:color w:val="auto"/>
          <w:sz w:val="36"/>
          <w:szCs w:val="36"/>
          <w:highlight w:val="none"/>
        </w:rPr>
        <w:t>年</w:t>
      </w:r>
      <w:r>
        <w:rPr>
          <w:rFonts w:hint="eastAsia" w:ascii="仿宋" w:hAnsi="仿宋" w:eastAsia="仿宋" w:cs="仿宋"/>
          <w:color w:val="auto"/>
          <w:sz w:val="36"/>
          <w:szCs w:val="36"/>
          <w:highlight w:val="none"/>
          <w:lang w:val="en-US" w:eastAsia="zh-CN"/>
        </w:rPr>
        <w:t>07</w:t>
      </w:r>
      <w:r>
        <w:rPr>
          <w:rFonts w:hint="eastAsia" w:ascii="仿宋" w:hAnsi="仿宋" w:eastAsia="仿宋" w:cs="仿宋"/>
          <w:color w:val="auto"/>
          <w:sz w:val="36"/>
          <w:szCs w:val="36"/>
          <w:highlight w:val="none"/>
        </w:rPr>
        <w:t>月</w:t>
      </w:r>
    </w:p>
    <w:p w14:paraId="69B08894">
      <w:pPr>
        <w:shd w:val="clear" w:color="auto" w:fill="FFFFFF"/>
        <w:autoSpaceDE w:val="0"/>
        <w:autoSpaceDN w:val="0"/>
        <w:adjustRightInd w:val="0"/>
        <w:spacing w:line="360" w:lineRule="exact"/>
        <w:ind w:firstLine="562" w:firstLineChars="200"/>
        <w:rPr>
          <w:rFonts w:hint="eastAsia" w:ascii="仿宋" w:hAnsi="仿宋" w:eastAsia="仿宋" w:cs="仿宋"/>
          <w:b/>
          <w:bCs/>
          <w:color w:val="auto"/>
          <w:kern w:val="0"/>
          <w:sz w:val="28"/>
          <w:szCs w:val="2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703" w:footer="851" w:gutter="0"/>
          <w:pgBorders>
            <w:top w:val="none" w:sz="0" w:space="0"/>
            <w:left w:val="none" w:sz="0" w:space="0"/>
            <w:bottom w:val="none" w:sz="0" w:space="0"/>
            <w:right w:val="none" w:sz="0" w:space="0"/>
          </w:pgBorders>
          <w:pgNumType w:fmt="numberInDash" w:start="1"/>
          <w:cols w:space="720" w:num="1"/>
          <w:titlePg/>
          <w:docGrid w:type="lines" w:linePitch="314" w:charSpace="0"/>
        </w:sectPr>
      </w:pPr>
    </w:p>
    <w:p w14:paraId="130EB8AC">
      <w:pPr>
        <w:pStyle w:val="57"/>
        <w:ind w:firstLine="210"/>
        <w:rPr>
          <w:rFonts w:hint="eastAsia" w:ascii="仿宋" w:hAnsi="仿宋" w:eastAsia="仿宋" w:cs="仿宋"/>
          <w:color w:val="auto"/>
          <w:highlight w:val="none"/>
        </w:rPr>
      </w:pPr>
    </w:p>
    <w:p w14:paraId="6A76479C">
      <w:pPr>
        <w:shd w:val="clear" w:color="auto" w:fill="FFFFFF"/>
        <w:autoSpaceDE w:val="0"/>
        <w:autoSpaceDN w:val="0"/>
        <w:adjustRightInd w:val="0"/>
        <w:spacing w:line="360" w:lineRule="exact"/>
        <w:jc w:val="center"/>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目    录</w:t>
      </w:r>
    </w:p>
    <w:p w14:paraId="3A5E7CDD">
      <w:pPr>
        <w:shd w:val="clear" w:color="auto" w:fill="FFFFFF"/>
        <w:autoSpaceDE w:val="0"/>
        <w:autoSpaceDN w:val="0"/>
        <w:adjustRightInd w:val="0"/>
        <w:spacing w:line="360" w:lineRule="exact"/>
        <w:rPr>
          <w:rFonts w:hint="eastAsia" w:ascii="仿宋" w:hAnsi="仿宋" w:eastAsia="仿宋" w:cs="仿宋"/>
          <w:color w:val="auto"/>
          <w:kern w:val="0"/>
          <w:sz w:val="28"/>
          <w:szCs w:val="28"/>
          <w:highlight w:val="none"/>
        </w:rPr>
      </w:pPr>
    </w:p>
    <w:p w14:paraId="551A4E9A">
      <w:pPr>
        <w:pStyle w:val="41"/>
        <w:tabs>
          <w:tab w:val="right" w:leader="dot" w:pos="9628"/>
        </w:tabs>
        <w:rPr>
          <w:rFonts w:hint="eastAsia" w:ascii="仿宋" w:hAnsi="仿宋" w:eastAsia="仿宋" w:cs="仿宋"/>
          <w:b w:val="0"/>
          <w:bCs w:val="0"/>
          <w:caps w:val="0"/>
          <w:color w:val="auto"/>
          <w:sz w:val="28"/>
          <w:szCs w:val="28"/>
          <w:highlight w:val="none"/>
        </w:rPr>
      </w:pPr>
      <w:r>
        <w:rPr>
          <w:rFonts w:hint="eastAsia" w:ascii="仿宋" w:hAnsi="仿宋" w:eastAsia="仿宋" w:cs="仿宋"/>
          <w:caps w:val="0"/>
          <w:color w:val="auto"/>
          <w:kern w:val="0"/>
          <w:sz w:val="28"/>
          <w:szCs w:val="28"/>
          <w:highlight w:val="none"/>
        </w:rPr>
        <w:fldChar w:fldCharType="begin"/>
      </w:r>
      <w:r>
        <w:rPr>
          <w:rFonts w:hint="eastAsia" w:ascii="仿宋" w:hAnsi="仿宋" w:eastAsia="仿宋" w:cs="仿宋"/>
          <w:caps w:val="0"/>
          <w:color w:val="auto"/>
          <w:kern w:val="0"/>
          <w:sz w:val="28"/>
          <w:szCs w:val="28"/>
          <w:highlight w:val="none"/>
        </w:rPr>
        <w:instrText xml:space="preserve"> TOC \o "1-1" \h \z \u </w:instrText>
      </w:r>
      <w:r>
        <w:rPr>
          <w:rFonts w:hint="eastAsia" w:ascii="仿宋" w:hAnsi="仿宋" w:eastAsia="仿宋" w:cs="仿宋"/>
          <w:caps w:val="0"/>
          <w:color w:val="auto"/>
          <w:kern w:val="0"/>
          <w:sz w:val="28"/>
          <w:szCs w:val="28"/>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"_Toc139284159" </w:instrText>
      </w:r>
      <w:r>
        <w:rPr>
          <w:rFonts w:hint="eastAsia" w:ascii="仿宋" w:hAnsi="仿宋" w:eastAsia="仿宋" w:cs="仿宋"/>
          <w:color w:val="auto"/>
          <w:highlight w:val="none"/>
        </w:rPr>
        <w:fldChar w:fldCharType="separate"/>
      </w:r>
      <w:r>
        <w:rPr>
          <w:rStyle w:val="68"/>
          <w:rFonts w:hint="eastAsia" w:ascii="仿宋" w:hAnsi="仿宋" w:eastAsia="仿宋" w:cs="仿宋"/>
          <w:b w:val="0"/>
          <w:color w:val="auto"/>
          <w:sz w:val="28"/>
          <w:szCs w:val="28"/>
          <w:highlight w:val="none"/>
        </w:rPr>
        <w:t>第一章  招标公告</w:t>
      </w:r>
      <w:r>
        <w:rPr>
          <w:rFonts w:hint="eastAsia" w:ascii="仿宋" w:hAnsi="仿宋" w:eastAsia="仿宋" w:cs="仿宋"/>
          <w:b w:val="0"/>
          <w:color w:val="auto"/>
          <w:sz w:val="28"/>
          <w:szCs w:val="28"/>
          <w:highlight w:val="none"/>
        </w:rPr>
        <w:tab/>
      </w:r>
      <w:r>
        <w:rPr>
          <w:rFonts w:hint="eastAsia" w:ascii="仿宋" w:hAnsi="仿宋" w:eastAsia="仿宋" w:cs="仿宋"/>
          <w:b w:val="0"/>
          <w:color w:val="auto"/>
          <w:sz w:val="28"/>
          <w:szCs w:val="28"/>
          <w:highlight w:val="none"/>
        </w:rPr>
        <w:fldChar w:fldCharType="begin"/>
      </w:r>
      <w:r>
        <w:rPr>
          <w:rFonts w:hint="eastAsia" w:ascii="仿宋" w:hAnsi="仿宋" w:eastAsia="仿宋" w:cs="仿宋"/>
          <w:b w:val="0"/>
          <w:color w:val="auto"/>
          <w:sz w:val="28"/>
          <w:szCs w:val="28"/>
          <w:highlight w:val="none"/>
        </w:rPr>
        <w:instrText xml:space="preserve"> PAGEREF _Toc139284159 \h </w:instrText>
      </w:r>
      <w:r>
        <w:rPr>
          <w:rFonts w:hint="eastAsia" w:ascii="仿宋" w:hAnsi="仿宋" w:eastAsia="仿宋" w:cs="仿宋"/>
          <w:b w:val="0"/>
          <w:color w:val="auto"/>
          <w:sz w:val="28"/>
          <w:szCs w:val="28"/>
          <w:highlight w:val="none"/>
        </w:rPr>
        <w:fldChar w:fldCharType="separate"/>
      </w:r>
      <w:r>
        <w:rPr>
          <w:rFonts w:hint="eastAsia" w:ascii="仿宋" w:hAnsi="仿宋" w:eastAsia="仿宋" w:cs="仿宋"/>
          <w:b w:val="0"/>
          <w:color w:val="auto"/>
          <w:sz w:val="28"/>
          <w:szCs w:val="28"/>
          <w:highlight w:val="none"/>
        </w:rPr>
        <w:t>2</w:t>
      </w:r>
      <w:r>
        <w:rPr>
          <w:rFonts w:hint="eastAsia" w:ascii="仿宋" w:hAnsi="仿宋" w:eastAsia="仿宋" w:cs="仿宋"/>
          <w:b w:val="0"/>
          <w:color w:val="auto"/>
          <w:sz w:val="28"/>
          <w:szCs w:val="28"/>
          <w:highlight w:val="none"/>
        </w:rPr>
        <w:fldChar w:fldCharType="end"/>
      </w:r>
      <w:r>
        <w:rPr>
          <w:rFonts w:hint="eastAsia" w:ascii="仿宋" w:hAnsi="仿宋" w:eastAsia="仿宋" w:cs="仿宋"/>
          <w:b w:val="0"/>
          <w:color w:val="auto"/>
          <w:sz w:val="28"/>
          <w:szCs w:val="28"/>
          <w:highlight w:val="none"/>
        </w:rPr>
        <w:fldChar w:fldCharType="end"/>
      </w:r>
    </w:p>
    <w:p w14:paraId="7C18609D">
      <w:pPr>
        <w:pStyle w:val="41"/>
        <w:tabs>
          <w:tab w:val="right" w:leader="dot" w:pos="9628"/>
        </w:tabs>
        <w:rPr>
          <w:rFonts w:hint="eastAsia" w:ascii="仿宋" w:hAnsi="仿宋" w:eastAsia="仿宋" w:cs="仿宋"/>
          <w:b w:val="0"/>
          <w:bCs w:val="0"/>
          <w:caps w:val="0"/>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"_Toc139284160" </w:instrText>
      </w:r>
      <w:r>
        <w:rPr>
          <w:rFonts w:hint="eastAsia" w:ascii="仿宋" w:hAnsi="仿宋" w:eastAsia="仿宋" w:cs="仿宋"/>
          <w:color w:val="auto"/>
          <w:highlight w:val="none"/>
        </w:rPr>
        <w:fldChar w:fldCharType="separate"/>
      </w:r>
      <w:r>
        <w:rPr>
          <w:rStyle w:val="68"/>
          <w:rFonts w:hint="eastAsia" w:ascii="仿宋" w:hAnsi="仿宋" w:eastAsia="仿宋" w:cs="仿宋"/>
          <w:b w:val="0"/>
          <w:color w:val="auto"/>
          <w:sz w:val="28"/>
          <w:szCs w:val="28"/>
          <w:highlight w:val="none"/>
        </w:rPr>
        <w:t>第二章  投标须知前附表及投标须知</w:t>
      </w:r>
      <w:r>
        <w:rPr>
          <w:rFonts w:hint="eastAsia" w:ascii="仿宋" w:hAnsi="仿宋" w:eastAsia="仿宋" w:cs="仿宋"/>
          <w:b w:val="0"/>
          <w:color w:val="auto"/>
          <w:sz w:val="28"/>
          <w:szCs w:val="28"/>
          <w:highlight w:val="none"/>
        </w:rPr>
        <w:tab/>
      </w:r>
      <w:r>
        <w:rPr>
          <w:rFonts w:hint="eastAsia" w:ascii="仿宋" w:hAnsi="仿宋" w:eastAsia="仿宋" w:cs="仿宋"/>
          <w:b w:val="0"/>
          <w:color w:val="auto"/>
          <w:sz w:val="28"/>
          <w:szCs w:val="28"/>
          <w:highlight w:val="none"/>
        </w:rPr>
        <w:fldChar w:fldCharType="begin"/>
      </w:r>
      <w:r>
        <w:rPr>
          <w:rFonts w:hint="eastAsia" w:ascii="仿宋" w:hAnsi="仿宋" w:eastAsia="仿宋" w:cs="仿宋"/>
          <w:b w:val="0"/>
          <w:color w:val="auto"/>
          <w:sz w:val="28"/>
          <w:szCs w:val="28"/>
          <w:highlight w:val="none"/>
        </w:rPr>
        <w:instrText xml:space="preserve"> PAGEREF _Toc139284160 \h </w:instrText>
      </w:r>
      <w:r>
        <w:rPr>
          <w:rFonts w:hint="eastAsia" w:ascii="仿宋" w:hAnsi="仿宋" w:eastAsia="仿宋" w:cs="仿宋"/>
          <w:b w:val="0"/>
          <w:color w:val="auto"/>
          <w:sz w:val="28"/>
          <w:szCs w:val="28"/>
          <w:highlight w:val="none"/>
        </w:rPr>
        <w:fldChar w:fldCharType="separate"/>
      </w:r>
      <w:r>
        <w:rPr>
          <w:rFonts w:hint="eastAsia" w:ascii="仿宋" w:hAnsi="仿宋" w:eastAsia="仿宋" w:cs="仿宋"/>
          <w:b w:val="0"/>
          <w:color w:val="auto"/>
          <w:sz w:val="28"/>
          <w:szCs w:val="28"/>
          <w:highlight w:val="none"/>
        </w:rPr>
        <w:t>5</w:t>
      </w:r>
      <w:r>
        <w:rPr>
          <w:rFonts w:hint="eastAsia" w:ascii="仿宋" w:hAnsi="仿宋" w:eastAsia="仿宋" w:cs="仿宋"/>
          <w:b w:val="0"/>
          <w:color w:val="auto"/>
          <w:sz w:val="28"/>
          <w:szCs w:val="28"/>
          <w:highlight w:val="none"/>
        </w:rPr>
        <w:fldChar w:fldCharType="end"/>
      </w:r>
      <w:r>
        <w:rPr>
          <w:rFonts w:hint="eastAsia" w:ascii="仿宋" w:hAnsi="仿宋" w:eastAsia="仿宋" w:cs="仿宋"/>
          <w:b w:val="0"/>
          <w:color w:val="auto"/>
          <w:sz w:val="28"/>
          <w:szCs w:val="28"/>
          <w:highlight w:val="none"/>
        </w:rPr>
        <w:fldChar w:fldCharType="end"/>
      </w:r>
    </w:p>
    <w:p w14:paraId="122669C9">
      <w:pPr>
        <w:pStyle w:val="41"/>
        <w:tabs>
          <w:tab w:val="right" w:leader="dot" w:pos="9628"/>
        </w:tabs>
        <w:rPr>
          <w:rFonts w:hint="eastAsia" w:ascii="仿宋" w:hAnsi="仿宋" w:eastAsia="仿宋" w:cs="仿宋"/>
          <w:b w:val="0"/>
          <w:bCs w:val="0"/>
          <w:caps w:val="0"/>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"_Toc139284161" </w:instrText>
      </w:r>
      <w:r>
        <w:rPr>
          <w:rFonts w:hint="eastAsia" w:ascii="仿宋" w:hAnsi="仿宋" w:eastAsia="仿宋" w:cs="仿宋"/>
          <w:color w:val="auto"/>
          <w:highlight w:val="none"/>
        </w:rPr>
        <w:fldChar w:fldCharType="separate"/>
      </w:r>
      <w:r>
        <w:rPr>
          <w:rStyle w:val="68"/>
          <w:rFonts w:hint="eastAsia" w:ascii="仿宋" w:hAnsi="仿宋" w:eastAsia="仿宋" w:cs="仿宋"/>
          <w:b w:val="0"/>
          <w:color w:val="auto"/>
          <w:sz w:val="28"/>
          <w:szCs w:val="28"/>
          <w:highlight w:val="none"/>
        </w:rPr>
        <w:t>第三章  合同条款</w:t>
      </w:r>
      <w:r>
        <w:rPr>
          <w:rFonts w:hint="eastAsia" w:ascii="仿宋" w:hAnsi="仿宋" w:eastAsia="仿宋" w:cs="仿宋"/>
          <w:b w:val="0"/>
          <w:color w:val="auto"/>
          <w:sz w:val="28"/>
          <w:szCs w:val="28"/>
          <w:highlight w:val="none"/>
        </w:rPr>
        <w:tab/>
      </w:r>
      <w:r>
        <w:rPr>
          <w:rFonts w:hint="eastAsia" w:ascii="仿宋" w:hAnsi="仿宋" w:eastAsia="仿宋" w:cs="仿宋"/>
          <w:b w:val="0"/>
          <w:color w:val="auto"/>
          <w:sz w:val="28"/>
          <w:szCs w:val="28"/>
          <w:highlight w:val="none"/>
        </w:rPr>
        <w:fldChar w:fldCharType="begin"/>
      </w:r>
      <w:r>
        <w:rPr>
          <w:rFonts w:hint="eastAsia" w:ascii="仿宋" w:hAnsi="仿宋" w:eastAsia="仿宋" w:cs="仿宋"/>
          <w:b w:val="0"/>
          <w:color w:val="auto"/>
          <w:sz w:val="28"/>
          <w:szCs w:val="28"/>
          <w:highlight w:val="none"/>
        </w:rPr>
        <w:instrText xml:space="preserve"> PAGEREF _Toc139284161 \h </w:instrText>
      </w:r>
      <w:r>
        <w:rPr>
          <w:rFonts w:hint="eastAsia" w:ascii="仿宋" w:hAnsi="仿宋" w:eastAsia="仿宋" w:cs="仿宋"/>
          <w:b w:val="0"/>
          <w:color w:val="auto"/>
          <w:sz w:val="28"/>
          <w:szCs w:val="28"/>
          <w:highlight w:val="none"/>
        </w:rPr>
        <w:fldChar w:fldCharType="separate"/>
      </w:r>
      <w:r>
        <w:rPr>
          <w:rFonts w:hint="eastAsia" w:ascii="仿宋" w:hAnsi="仿宋" w:eastAsia="仿宋" w:cs="仿宋"/>
          <w:b w:val="0"/>
          <w:color w:val="auto"/>
          <w:sz w:val="28"/>
          <w:szCs w:val="28"/>
          <w:highlight w:val="none"/>
        </w:rPr>
        <w:t>34</w:t>
      </w:r>
      <w:r>
        <w:rPr>
          <w:rFonts w:hint="eastAsia" w:ascii="仿宋" w:hAnsi="仿宋" w:eastAsia="仿宋" w:cs="仿宋"/>
          <w:b w:val="0"/>
          <w:color w:val="auto"/>
          <w:sz w:val="28"/>
          <w:szCs w:val="28"/>
          <w:highlight w:val="none"/>
        </w:rPr>
        <w:fldChar w:fldCharType="end"/>
      </w:r>
      <w:r>
        <w:rPr>
          <w:rFonts w:hint="eastAsia" w:ascii="仿宋" w:hAnsi="仿宋" w:eastAsia="仿宋" w:cs="仿宋"/>
          <w:b w:val="0"/>
          <w:color w:val="auto"/>
          <w:sz w:val="28"/>
          <w:szCs w:val="28"/>
          <w:highlight w:val="none"/>
        </w:rPr>
        <w:fldChar w:fldCharType="end"/>
      </w:r>
    </w:p>
    <w:p w14:paraId="47956571">
      <w:pPr>
        <w:pStyle w:val="41"/>
        <w:tabs>
          <w:tab w:val="right" w:leader="dot" w:pos="9628"/>
        </w:tabs>
        <w:rPr>
          <w:rFonts w:hint="eastAsia" w:ascii="仿宋" w:hAnsi="仿宋" w:eastAsia="仿宋" w:cs="仿宋"/>
          <w:b w:val="0"/>
          <w:bCs w:val="0"/>
          <w:caps w:val="0"/>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"_Toc139284162" </w:instrText>
      </w:r>
      <w:r>
        <w:rPr>
          <w:rFonts w:hint="eastAsia" w:ascii="仿宋" w:hAnsi="仿宋" w:eastAsia="仿宋" w:cs="仿宋"/>
          <w:color w:val="auto"/>
          <w:highlight w:val="none"/>
        </w:rPr>
        <w:fldChar w:fldCharType="separate"/>
      </w:r>
      <w:r>
        <w:rPr>
          <w:rStyle w:val="68"/>
          <w:rFonts w:hint="eastAsia" w:ascii="仿宋" w:hAnsi="仿宋" w:eastAsia="仿宋" w:cs="仿宋"/>
          <w:b w:val="0"/>
          <w:color w:val="auto"/>
          <w:sz w:val="28"/>
          <w:szCs w:val="28"/>
          <w:highlight w:val="none"/>
        </w:rPr>
        <w:t>第四章  采购需求</w:t>
      </w:r>
      <w:r>
        <w:rPr>
          <w:rFonts w:hint="eastAsia" w:ascii="仿宋" w:hAnsi="仿宋" w:eastAsia="仿宋" w:cs="仿宋"/>
          <w:b w:val="0"/>
          <w:color w:val="auto"/>
          <w:sz w:val="28"/>
          <w:szCs w:val="28"/>
          <w:highlight w:val="none"/>
        </w:rPr>
        <w:tab/>
      </w:r>
      <w:r>
        <w:rPr>
          <w:rFonts w:hint="eastAsia" w:ascii="仿宋" w:hAnsi="仿宋" w:eastAsia="仿宋" w:cs="仿宋"/>
          <w:b w:val="0"/>
          <w:color w:val="auto"/>
          <w:sz w:val="28"/>
          <w:szCs w:val="28"/>
          <w:highlight w:val="none"/>
        </w:rPr>
        <w:fldChar w:fldCharType="begin"/>
      </w:r>
      <w:r>
        <w:rPr>
          <w:rFonts w:hint="eastAsia" w:ascii="仿宋" w:hAnsi="仿宋" w:eastAsia="仿宋" w:cs="仿宋"/>
          <w:b w:val="0"/>
          <w:color w:val="auto"/>
          <w:sz w:val="28"/>
          <w:szCs w:val="28"/>
          <w:highlight w:val="none"/>
        </w:rPr>
        <w:instrText xml:space="preserve"> PAGEREF _Toc139284162 \h </w:instrText>
      </w:r>
      <w:r>
        <w:rPr>
          <w:rFonts w:hint="eastAsia" w:ascii="仿宋" w:hAnsi="仿宋" w:eastAsia="仿宋" w:cs="仿宋"/>
          <w:b w:val="0"/>
          <w:color w:val="auto"/>
          <w:sz w:val="28"/>
          <w:szCs w:val="28"/>
          <w:highlight w:val="none"/>
        </w:rPr>
        <w:fldChar w:fldCharType="separate"/>
      </w:r>
      <w:r>
        <w:rPr>
          <w:rFonts w:hint="eastAsia" w:ascii="仿宋" w:hAnsi="仿宋" w:eastAsia="仿宋" w:cs="仿宋"/>
          <w:b w:val="0"/>
          <w:color w:val="auto"/>
          <w:sz w:val="28"/>
          <w:szCs w:val="28"/>
          <w:highlight w:val="none"/>
        </w:rPr>
        <w:t>46</w:t>
      </w:r>
      <w:r>
        <w:rPr>
          <w:rFonts w:hint="eastAsia" w:ascii="仿宋" w:hAnsi="仿宋" w:eastAsia="仿宋" w:cs="仿宋"/>
          <w:b w:val="0"/>
          <w:color w:val="auto"/>
          <w:sz w:val="28"/>
          <w:szCs w:val="28"/>
          <w:highlight w:val="none"/>
        </w:rPr>
        <w:fldChar w:fldCharType="end"/>
      </w:r>
      <w:r>
        <w:rPr>
          <w:rFonts w:hint="eastAsia" w:ascii="仿宋" w:hAnsi="仿宋" w:eastAsia="仿宋" w:cs="仿宋"/>
          <w:b w:val="0"/>
          <w:color w:val="auto"/>
          <w:sz w:val="28"/>
          <w:szCs w:val="28"/>
          <w:highlight w:val="none"/>
        </w:rPr>
        <w:fldChar w:fldCharType="end"/>
      </w:r>
    </w:p>
    <w:p w14:paraId="537DF516">
      <w:pPr>
        <w:pStyle w:val="41"/>
        <w:tabs>
          <w:tab w:val="right" w:leader="dot" w:pos="9628"/>
        </w:tabs>
        <w:rPr>
          <w:rFonts w:hint="eastAsia" w:ascii="仿宋" w:hAnsi="仿宋" w:eastAsia="仿宋" w:cs="仿宋"/>
          <w:b w:val="0"/>
          <w:bCs w:val="0"/>
          <w:caps w:val="0"/>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"_Toc139284258" </w:instrText>
      </w:r>
      <w:r>
        <w:rPr>
          <w:rFonts w:hint="eastAsia" w:ascii="仿宋" w:hAnsi="仿宋" w:eastAsia="仿宋" w:cs="仿宋"/>
          <w:color w:val="auto"/>
          <w:highlight w:val="none"/>
        </w:rPr>
        <w:fldChar w:fldCharType="separate"/>
      </w:r>
      <w:r>
        <w:rPr>
          <w:rStyle w:val="68"/>
          <w:rFonts w:hint="eastAsia" w:ascii="仿宋" w:hAnsi="仿宋" w:eastAsia="仿宋" w:cs="仿宋"/>
          <w:b w:val="0"/>
          <w:color w:val="auto"/>
          <w:sz w:val="28"/>
          <w:szCs w:val="28"/>
          <w:highlight w:val="none"/>
        </w:rPr>
        <w:t>第五章  投标文件格式</w:t>
      </w:r>
      <w:r>
        <w:rPr>
          <w:rFonts w:hint="eastAsia" w:ascii="仿宋" w:hAnsi="仿宋" w:eastAsia="仿宋" w:cs="仿宋"/>
          <w:b w:val="0"/>
          <w:color w:val="auto"/>
          <w:sz w:val="28"/>
          <w:szCs w:val="28"/>
          <w:highlight w:val="none"/>
        </w:rPr>
        <w:tab/>
      </w:r>
      <w:r>
        <w:rPr>
          <w:rFonts w:hint="eastAsia" w:ascii="仿宋" w:hAnsi="仿宋" w:eastAsia="仿宋" w:cs="仿宋"/>
          <w:b w:val="0"/>
          <w:color w:val="auto"/>
          <w:sz w:val="28"/>
          <w:szCs w:val="28"/>
          <w:highlight w:val="none"/>
        </w:rPr>
        <w:fldChar w:fldCharType="begin"/>
      </w:r>
      <w:r>
        <w:rPr>
          <w:rFonts w:hint="eastAsia" w:ascii="仿宋" w:hAnsi="仿宋" w:eastAsia="仿宋" w:cs="仿宋"/>
          <w:b w:val="0"/>
          <w:color w:val="auto"/>
          <w:sz w:val="28"/>
          <w:szCs w:val="28"/>
          <w:highlight w:val="none"/>
        </w:rPr>
        <w:instrText xml:space="preserve"> PAGEREF _Toc139284258 \h </w:instrText>
      </w:r>
      <w:r>
        <w:rPr>
          <w:rFonts w:hint="eastAsia" w:ascii="仿宋" w:hAnsi="仿宋" w:eastAsia="仿宋" w:cs="仿宋"/>
          <w:b w:val="0"/>
          <w:color w:val="auto"/>
          <w:sz w:val="28"/>
          <w:szCs w:val="28"/>
          <w:highlight w:val="none"/>
        </w:rPr>
        <w:fldChar w:fldCharType="separate"/>
      </w:r>
      <w:r>
        <w:rPr>
          <w:rFonts w:hint="eastAsia" w:ascii="仿宋" w:hAnsi="仿宋" w:eastAsia="仿宋" w:cs="仿宋"/>
          <w:b w:val="0"/>
          <w:color w:val="auto"/>
          <w:sz w:val="28"/>
          <w:szCs w:val="28"/>
          <w:highlight w:val="none"/>
        </w:rPr>
        <w:t>55</w:t>
      </w:r>
      <w:r>
        <w:rPr>
          <w:rFonts w:hint="eastAsia" w:ascii="仿宋" w:hAnsi="仿宋" w:eastAsia="仿宋" w:cs="仿宋"/>
          <w:b w:val="0"/>
          <w:color w:val="auto"/>
          <w:sz w:val="28"/>
          <w:szCs w:val="28"/>
          <w:highlight w:val="none"/>
        </w:rPr>
        <w:fldChar w:fldCharType="end"/>
      </w:r>
      <w:r>
        <w:rPr>
          <w:rFonts w:hint="eastAsia" w:ascii="仿宋" w:hAnsi="仿宋" w:eastAsia="仿宋" w:cs="仿宋"/>
          <w:b w:val="0"/>
          <w:color w:val="auto"/>
          <w:sz w:val="28"/>
          <w:szCs w:val="28"/>
          <w:highlight w:val="none"/>
        </w:rPr>
        <w:fldChar w:fldCharType="end"/>
      </w:r>
    </w:p>
    <w:p w14:paraId="3627CA58">
      <w:pPr>
        <w:widowControl/>
        <w:shd w:val="clear" w:color="auto" w:fill="FFFFFF"/>
        <w:spacing w:line="360" w:lineRule="exact"/>
        <w:rPr>
          <w:rFonts w:hint="eastAsia" w:ascii="仿宋" w:hAnsi="仿宋" w:eastAsia="仿宋" w:cs="仿宋"/>
          <w:b/>
          <w:bCs/>
          <w:color w:val="auto"/>
          <w:kern w:val="0"/>
          <w:sz w:val="28"/>
          <w:szCs w:val="28"/>
          <w:highlight w:val="none"/>
        </w:rPr>
      </w:pPr>
      <w:r>
        <w:rPr>
          <w:rFonts w:hint="eastAsia" w:ascii="仿宋" w:hAnsi="仿宋" w:eastAsia="仿宋" w:cs="仿宋"/>
          <w:caps/>
          <w:color w:val="auto"/>
          <w:kern w:val="0"/>
          <w:sz w:val="28"/>
          <w:szCs w:val="28"/>
          <w:highlight w:val="none"/>
        </w:rPr>
        <w:fldChar w:fldCharType="end"/>
      </w:r>
    </w:p>
    <w:p w14:paraId="6491B843">
      <w:pPr>
        <w:pStyle w:val="57"/>
        <w:ind w:firstLine="210"/>
        <w:rPr>
          <w:rFonts w:hint="eastAsia" w:ascii="仿宋" w:hAnsi="仿宋" w:eastAsia="仿宋" w:cs="仿宋"/>
          <w:color w:val="auto"/>
          <w:kern w:val="0"/>
          <w:highlight w:val="none"/>
        </w:rPr>
      </w:pPr>
      <w:r>
        <w:rPr>
          <w:rFonts w:hint="eastAsia" w:ascii="仿宋" w:hAnsi="仿宋" w:eastAsia="仿宋" w:cs="仿宋"/>
          <w:color w:val="auto"/>
          <w:kern w:val="0"/>
          <w:highlight w:val="none"/>
        </w:rPr>
        <w:br w:type="page"/>
      </w:r>
    </w:p>
    <w:p w14:paraId="2D13C595">
      <w:pPr>
        <w:pStyle w:val="328"/>
        <w:spacing w:beforeLines="50" w:afterLines="50" w:line="360" w:lineRule="auto"/>
        <w:jc w:val="center"/>
        <w:outlineLvl w:val="0"/>
        <w:rPr>
          <w:rFonts w:hint="eastAsia" w:ascii="仿宋" w:hAnsi="仿宋" w:eastAsia="仿宋" w:cs="仿宋"/>
          <w:b/>
          <w:color w:val="auto"/>
          <w:sz w:val="32"/>
          <w:szCs w:val="32"/>
          <w:highlight w:val="none"/>
        </w:rPr>
      </w:pPr>
      <w:bookmarkStart w:id="1" w:name="_Toc139284159"/>
      <w:r>
        <w:rPr>
          <w:rFonts w:hint="eastAsia" w:ascii="仿宋" w:hAnsi="仿宋" w:eastAsia="仿宋" w:cs="仿宋"/>
          <w:b/>
          <w:color w:val="auto"/>
          <w:sz w:val="32"/>
          <w:szCs w:val="32"/>
          <w:highlight w:val="none"/>
        </w:rPr>
        <w:t>第一章  招标公告</w:t>
      </w:r>
      <w:bookmarkEnd w:id="1"/>
    </w:p>
    <w:p w14:paraId="5C0A5D3C">
      <w:pPr>
        <w:spacing w:line="40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14:paraId="6FD4946D">
      <w:pPr>
        <w:spacing w:line="40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shd w:val="clear" w:color="auto" w:fill="FFFFFF"/>
          <w:lang w:eastAsia="zh-CN"/>
        </w:rPr>
        <w:t>2025PCGK100</w:t>
      </w:r>
    </w:p>
    <w:p w14:paraId="03B43BF0">
      <w:pPr>
        <w:spacing w:line="400" w:lineRule="exact"/>
        <w:ind w:firstLine="480" w:firstLineChars="200"/>
        <w:rPr>
          <w:rFonts w:hint="eastAsia" w:ascii="仿宋" w:hAnsi="仿宋" w:eastAsia="仿宋" w:cs="仿宋"/>
          <w:bCs/>
          <w:color w:val="auto"/>
          <w:spacing w:val="-4"/>
          <w:kern w:val="0"/>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库尔勒市妇幼保健计划生育服务中心（库尔勒市妇幼保健院）智慧超声系统服务采购</w:t>
      </w:r>
    </w:p>
    <w:p w14:paraId="7C20B7AE">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采购方式：公开招标</w:t>
      </w:r>
    </w:p>
    <w:p w14:paraId="175560F8">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预算金额（元）：</w:t>
      </w:r>
      <w:r>
        <w:rPr>
          <w:rFonts w:hint="eastAsia" w:ascii="仿宋" w:hAnsi="仿宋" w:eastAsia="仿宋" w:cs="仿宋"/>
          <w:color w:val="auto"/>
          <w:sz w:val="24"/>
          <w:highlight w:val="none"/>
          <w:lang w:eastAsia="zh-CN"/>
        </w:rPr>
        <w:t>2000000.00</w:t>
      </w:r>
    </w:p>
    <w:p w14:paraId="1FB48F84">
      <w:pPr>
        <w:spacing w:line="40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最高限价（元）：</w:t>
      </w:r>
      <w:r>
        <w:rPr>
          <w:rFonts w:hint="eastAsia" w:ascii="仿宋" w:hAnsi="仿宋" w:eastAsia="仿宋" w:cs="仿宋"/>
          <w:color w:val="auto"/>
          <w:sz w:val="24"/>
          <w:highlight w:val="none"/>
          <w:lang w:val="en-US" w:eastAsia="zh-CN"/>
        </w:rPr>
        <w:t>1900000.00</w:t>
      </w:r>
    </w:p>
    <w:p w14:paraId="3C341A73">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采购需求：</w:t>
      </w:r>
    </w:p>
    <w:p w14:paraId="24E80E62">
      <w:pPr>
        <w:spacing w:line="400" w:lineRule="exact"/>
        <w:ind w:firstLine="480" w:firstLineChars="200"/>
        <w:rPr>
          <w:rFonts w:hint="eastAsia" w:ascii="仿宋" w:hAnsi="仿宋" w:eastAsia="仿宋" w:cs="仿宋"/>
          <w:bCs/>
          <w:color w:val="auto"/>
          <w:spacing w:val="-4"/>
          <w:kern w:val="0"/>
          <w:sz w:val="24"/>
          <w:highlight w:val="none"/>
        </w:rPr>
      </w:pPr>
      <w:r>
        <w:rPr>
          <w:rFonts w:hint="eastAsia" w:ascii="仿宋" w:hAnsi="仿宋" w:eastAsia="仿宋" w:cs="仿宋"/>
          <w:color w:val="auto"/>
          <w:sz w:val="24"/>
          <w:highlight w:val="none"/>
        </w:rPr>
        <w:t>标项名称：</w:t>
      </w:r>
      <w:r>
        <w:rPr>
          <w:rFonts w:hint="eastAsia" w:ascii="仿宋" w:hAnsi="仿宋" w:eastAsia="仿宋" w:cs="仿宋"/>
          <w:color w:val="auto"/>
          <w:sz w:val="24"/>
          <w:highlight w:val="none"/>
          <w:lang w:eastAsia="zh-CN"/>
        </w:rPr>
        <w:t>库尔勒市妇幼保健计划生育服务中心（库尔勒市妇幼保健院）智慧超声系统服务采购</w:t>
      </w:r>
    </w:p>
    <w:p w14:paraId="32C00C80">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数量：1</w:t>
      </w:r>
    </w:p>
    <w:p w14:paraId="5EFB8BCF">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预算金额（元）：</w:t>
      </w:r>
      <w:r>
        <w:rPr>
          <w:rFonts w:hint="eastAsia" w:ascii="仿宋" w:hAnsi="仿宋" w:eastAsia="仿宋" w:cs="仿宋"/>
          <w:color w:val="auto"/>
          <w:sz w:val="24"/>
          <w:highlight w:val="none"/>
          <w:lang w:eastAsia="zh-CN"/>
        </w:rPr>
        <w:t>2000000.00</w:t>
      </w:r>
    </w:p>
    <w:p w14:paraId="7EA1A0E1">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简要规格描述或项目基本概况介绍、用途：通过AI技术实现产前超声标准切面的智能识别与实时质控（如自动抓取胎儿颅脑、心脏等标准切面），辅助医生快速完成图像采集、测量与分析，自动生成标准化报告，提升超声医生操作规范性，提高诊断准确率。有效缩短检查时间，提高图像采集的准确性和一致性，对图像进行智能优化和质量控制，增强图像清晰度，为医生提供可靠的诊断依据。详见招标文件《采购需求》。</w:t>
      </w:r>
    </w:p>
    <w:p w14:paraId="7ECA826E">
      <w:pPr>
        <w:widowControl/>
        <w:shd w:val="clear" w:color="auto" w:fill="FFFFFF"/>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合同履行期限：</w:t>
      </w:r>
      <w:bookmarkStart w:id="2" w:name="OLE_LINK8"/>
      <w:r>
        <w:rPr>
          <w:rFonts w:hint="eastAsia" w:ascii="仿宋" w:hAnsi="仿宋" w:eastAsia="仿宋" w:cs="仿宋"/>
          <w:color w:val="auto"/>
          <w:sz w:val="24"/>
          <w:highlight w:val="none"/>
        </w:rPr>
        <w:t>自合同签订之日起至</w:t>
      </w:r>
      <w:r>
        <w:rPr>
          <w:rFonts w:hint="eastAsia" w:ascii="仿宋" w:hAnsi="仿宋" w:eastAsia="仿宋" w:cs="仿宋"/>
          <w:color w:val="auto"/>
          <w:sz w:val="24"/>
          <w:highlight w:val="none"/>
          <w:lang w:eastAsia="zh-CN"/>
        </w:rPr>
        <w:t>维保</w:t>
      </w:r>
      <w:r>
        <w:rPr>
          <w:rFonts w:hint="eastAsia" w:ascii="仿宋" w:hAnsi="仿宋" w:eastAsia="仿宋" w:cs="仿宋"/>
          <w:color w:val="auto"/>
          <w:sz w:val="24"/>
          <w:highlight w:val="none"/>
          <w:lang w:val="en-US" w:eastAsia="zh-CN"/>
        </w:rPr>
        <w:t>服务</w:t>
      </w:r>
      <w:r>
        <w:rPr>
          <w:rFonts w:hint="eastAsia" w:ascii="仿宋" w:hAnsi="仿宋" w:eastAsia="仿宋" w:cs="仿宋"/>
          <w:color w:val="auto"/>
          <w:sz w:val="24"/>
          <w:highlight w:val="none"/>
        </w:rPr>
        <w:t>期结束。</w:t>
      </w:r>
      <w:bookmarkEnd w:id="2"/>
    </w:p>
    <w:p w14:paraId="72282D6E">
      <w:pPr>
        <w:widowControl/>
        <w:shd w:val="clear" w:color="auto" w:fill="FFFFFF"/>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w:t>
      </w:r>
      <w:r>
        <w:rPr>
          <w:rFonts w:hint="eastAsia" w:ascii="仿宋" w:hAnsi="仿宋" w:eastAsia="仿宋" w:cs="仿宋"/>
          <w:color w:val="auto"/>
          <w:sz w:val="24"/>
          <w:highlight w:val="none"/>
          <w:u w:val="none"/>
          <w:lang w:eastAsia="zh-CN"/>
        </w:rPr>
        <w:t>（</w:t>
      </w:r>
      <w:r>
        <w:rPr>
          <w:rFonts w:hint="eastAsia" w:ascii="仿宋" w:hAnsi="仿宋" w:eastAsia="仿宋" w:cs="仿宋"/>
          <w:color w:val="auto"/>
          <w:sz w:val="24"/>
          <w:highlight w:val="none"/>
          <w:u w:val="none"/>
        </w:rPr>
        <w:t>不</w:t>
      </w:r>
      <w:r>
        <w:rPr>
          <w:rFonts w:hint="eastAsia" w:ascii="仿宋" w:hAnsi="仿宋" w:eastAsia="仿宋" w:cs="仿宋"/>
          <w:color w:val="auto"/>
          <w:sz w:val="24"/>
          <w:highlight w:val="none"/>
          <w:u w:val="none"/>
          <w:lang w:eastAsia="zh-CN"/>
        </w:rPr>
        <w:t>）</w:t>
      </w:r>
      <w:r>
        <w:rPr>
          <w:rFonts w:hint="eastAsia" w:ascii="仿宋" w:hAnsi="仿宋" w:eastAsia="仿宋" w:cs="仿宋"/>
          <w:color w:val="auto"/>
          <w:sz w:val="24"/>
          <w:highlight w:val="none"/>
        </w:rPr>
        <w:t>接受联合体投标。</w:t>
      </w:r>
    </w:p>
    <w:p w14:paraId="58C3CA86">
      <w:pPr>
        <w:widowControl/>
        <w:shd w:val="clear" w:color="auto" w:fill="FFFFFF"/>
        <w:spacing w:line="40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3E504E43">
      <w:pPr>
        <w:widowControl/>
        <w:shd w:val="clear" w:color="auto" w:fill="FFFFFF"/>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1.满足《中华人民共和国政府采购法》第二十二条规定</w:t>
      </w:r>
      <w:r>
        <w:rPr>
          <w:rFonts w:hint="eastAsia" w:ascii="仿宋" w:hAnsi="仿宋" w:eastAsia="仿宋" w:cs="仿宋"/>
          <w:color w:val="auto"/>
          <w:sz w:val="24"/>
          <w:highlight w:val="none"/>
          <w:lang w:eastAsia="zh-CN"/>
        </w:rPr>
        <w:t>。</w:t>
      </w:r>
    </w:p>
    <w:p w14:paraId="3C9A7E75">
      <w:pPr>
        <w:widowControl/>
        <w:shd w:val="clear" w:color="auto" w:fill="FFFFFF"/>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2.落实政府采购政策需满足的资格要求：</w:t>
      </w:r>
      <w:r>
        <w:rPr>
          <w:rFonts w:hint="eastAsia" w:ascii="仿宋" w:hAnsi="仿宋" w:eastAsia="仿宋" w:cs="仿宋"/>
          <w:color w:val="auto"/>
          <w:sz w:val="24"/>
          <w:highlight w:val="none"/>
          <w:lang w:eastAsia="zh-CN"/>
        </w:rPr>
        <w:t>本项目不专门面向中小企业采购。</w:t>
      </w:r>
    </w:p>
    <w:p w14:paraId="33959C67">
      <w:pPr>
        <w:widowControl/>
        <w:shd w:val="clear" w:color="auto" w:fill="FFFFFF"/>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3.本项目的特定资格要求：无</w:t>
      </w:r>
      <w:r>
        <w:rPr>
          <w:rFonts w:hint="eastAsia" w:ascii="仿宋" w:hAnsi="仿宋" w:eastAsia="仿宋" w:cs="仿宋"/>
          <w:color w:val="auto"/>
          <w:sz w:val="24"/>
          <w:highlight w:val="none"/>
          <w:lang w:eastAsia="zh-CN"/>
        </w:rPr>
        <w:t>。</w:t>
      </w:r>
    </w:p>
    <w:p w14:paraId="166D773F">
      <w:pPr>
        <w:widowControl/>
        <w:shd w:val="clear" w:color="auto" w:fill="FFFFFF"/>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三、获取招标文件</w:t>
      </w:r>
    </w:p>
    <w:p w14:paraId="6EA2C65C">
      <w:pPr>
        <w:widowControl/>
        <w:shd w:val="clear" w:color="auto" w:fill="FFFFFF"/>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时间： 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07</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18</w:t>
      </w:r>
      <w:r>
        <w:rPr>
          <w:rFonts w:hint="eastAsia" w:ascii="仿宋" w:hAnsi="仿宋" w:eastAsia="仿宋" w:cs="仿宋"/>
          <w:color w:val="auto"/>
          <w:sz w:val="24"/>
          <w:highlight w:val="none"/>
        </w:rPr>
        <w:t>日 至 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07</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25</w:t>
      </w:r>
      <w:r>
        <w:rPr>
          <w:rFonts w:hint="eastAsia" w:ascii="仿宋" w:hAnsi="仿宋" w:eastAsia="仿宋" w:cs="仿宋"/>
          <w:color w:val="auto"/>
          <w:sz w:val="24"/>
          <w:highlight w:val="none"/>
        </w:rPr>
        <w:t xml:space="preserve">日，每天上午 </w:t>
      </w:r>
      <w:r>
        <w:rPr>
          <w:rFonts w:hint="eastAsia" w:ascii="仿宋" w:hAnsi="仿宋" w:eastAsia="仿宋" w:cs="仿宋"/>
          <w:color w:val="auto"/>
          <w:sz w:val="24"/>
          <w:highlight w:val="none"/>
          <w:lang w:val="en-US" w:eastAsia="zh-CN"/>
        </w:rPr>
        <w:t>00</w:t>
      </w:r>
      <w:r>
        <w:rPr>
          <w:rFonts w:hint="eastAsia" w:ascii="仿宋" w:hAnsi="仿宋" w:eastAsia="仿宋" w:cs="仿宋"/>
          <w:color w:val="auto"/>
          <w:sz w:val="24"/>
          <w:highlight w:val="none"/>
        </w:rPr>
        <w:t>:00至1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:00 ，下午 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:00至</w:t>
      </w:r>
      <w:r>
        <w:rPr>
          <w:rFonts w:hint="eastAsia" w:ascii="仿宋" w:hAnsi="仿宋" w:eastAsia="仿宋" w:cs="仿宋"/>
          <w:color w:val="auto"/>
          <w:sz w:val="24"/>
          <w:highlight w:val="none"/>
          <w:lang w:val="en-US" w:eastAsia="zh-CN"/>
        </w:rPr>
        <w:t>23</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59</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w:t>
      </w:r>
    </w:p>
    <w:p w14:paraId="2BE1634B">
      <w:pPr>
        <w:widowControl/>
        <w:shd w:val="clear" w:color="auto" w:fill="FFFFFF"/>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地点：</w:t>
      </w:r>
      <w:bookmarkStart w:id="3" w:name="OLE_LINK3"/>
      <w:r>
        <w:rPr>
          <w:rFonts w:hint="eastAsia" w:ascii="仿宋" w:hAnsi="仿宋" w:eastAsia="仿宋" w:cs="仿宋"/>
          <w:color w:val="auto"/>
          <w:sz w:val="24"/>
          <w:highlight w:val="none"/>
        </w:rPr>
        <w:t>政采云平台（https://www.zcygov.cn/）</w:t>
      </w:r>
      <w:bookmarkEnd w:id="3"/>
    </w:p>
    <w:p w14:paraId="262F050F">
      <w:pPr>
        <w:widowControl/>
        <w:shd w:val="clear" w:color="auto" w:fill="FFFFFF"/>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3302D919">
      <w:pPr>
        <w:widowControl/>
        <w:shd w:val="clear" w:color="auto" w:fill="FFFFFF"/>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售价（元）：0</w:t>
      </w:r>
    </w:p>
    <w:p w14:paraId="33D60284">
      <w:pPr>
        <w:widowControl/>
        <w:shd w:val="clear" w:color="auto" w:fill="FFFFFF"/>
        <w:spacing w:line="44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四、提交投标文件截止时间、开标时间和地点</w:t>
      </w:r>
    </w:p>
    <w:p w14:paraId="4DF9B56A">
      <w:pPr>
        <w:widowControl/>
        <w:shd w:val="clear" w:color="auto" w:fill="FFFFFF"/>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提交投标文件截止时间：</w:t>
      </w:r>
      <w:r>
        <w:rPr>
          <w:rFonts w:hint="eastAsia" w:ascii="仿宋" w:hAnsi="仿宋" w:eastAsia="仿宋" w:cs="仿宋"/>
          <w:color w:val="auto"/>
          <w:sz w:val="24"/>
          <w:highlight w:val="none"/>
          <w:lang w:eastAsia="zh-CN"/>
        </w:rPr>
        <w:t>2025年</w:t>
      </w:r>
      <w:r>
        <w:rPr>
          <w:rFonts w:hint="eastAsia" w:ascii="仿宋" w:hAnsi="仿宋" w:eastAsia="仿宋" w:cs="仿宋"/>
          <w:color w:val="auto"/>
          <w:sz w:val="24"/>
          <w:highlight w:val="none"/>
          <w:lang w:val="en-US" w:eastAsia="zh-CN"/>
        </w:rPr>
        <w:t>08</w:t>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lang w:val="en-US" w:eastAsia="zh-CN"/>
        </w:rPr>
        <w:t>07</w:t>
      </w:r>
      <w:r>
        <w:rPr>
          <w:rFonts w:hint="eastAsia" w:ascii="仿宋" w:hAnsi="仿宋" w:eastAsia="仿宋" w:cs="仿宋"/>
          <w:color w:val="auto"/>
          <w:sz w:val="24"/>
          <w:highlight w:val="none"/>
          <w:lang w:eastAsia="zh-CN"/>
        </w:rPr>
        <w:t>日1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:00</w:t>
      </w:r>
      <w:r>
        <w:rPr>
          <w:rFonts w:hint="eastAsia" w:ascii="仿宋" w:hAnsi="仿宋" w:eastAsia="仿宋" w:cs="仿宋"/>
          <w:color w:val="auto"/>
          <w:sz w:val="24"/>
          <w:highlight w:val="none"/>
        </w:rPr>
        <w:t>（北京时间）</w:t>
      </w:r>
    </w:p>
    <w:p w14:paraId="2D30F5BE">
      <w:pPr>
        <w:widowControl/>
        <w:shd w:val="clear" w:color="auto" w:fill="FFFFFF"/>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投标地点：</w:t>
      </w:r>
      <w:bookmarkStart w:id="4" w:name="OLE_LINK9"/>
      <w:r>
        <w:rPr>
          <w:rFonts w:hint="eastAsia" w:ascii="仿宋" w:hAnsi="仿宋" w:eastAsia="仿宋" w:cs="仿宋"/>
          <w:color w:val="auto"/>
          <w:sz w:val="24"/>
          <w:highlight w:val="none"/>
        </w:rPr>
        <w:t>政采云平台（https://www.zcygov.cn/），本项目采用不见面开标，加密的电子投标文件在投标截止时间前通过CA在政采云平台上传。</w:t>
      </w:r>
      <w:bookmarkEnd w:id="4"/>
    </w:p>
    <w:p w14:paraId="62421A16">
      <w:pPr>
        <w:widowControl/>
        <w:shd w:val="clear" w:color="auto" w:fill="FFFFFF"/>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开标时间：</w:t>
      </w:r>
      <w:r>
        <w:rPr>
          <w:rFonts w:hint="eastAsia" w:ascii="仿宋" w:hAnsi="仿宋" w:eastAsia="仿宋" w:cs="仿宋"/>
          <w:color w:val="auto"/>
          <w:sz w:val="24"/>
          <w:highlight w:val="none"/>
          <w:lang w:eastAsia="zh-CN"/>
        </w:rPr>
        <w:t>2025年</w:t>
      </w:r>
      <w:r>
        <w:rPr>
          <w:rFonts w:hint="eastAsia" w:ascii="仿宋" w:hAnsi="仿宋" w:eastAsia="仿宋" w:cs="仿宋"/>
          <w:color w:val="auto"/>
          <w:sz w:val="24"/>
          <w:highlight w:val="none"/>
          <w:lang w:val="en-US" w:eastAsia="zh-CN"/>
        </w:rPr>
        <w:t>08</w:t>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lang w:val="en-US" w:eastAsia="zh-CN"/>
        </w:rPr>
        <w:t>07</w:t>
      </w:r>
      <w:r>
        <w:rPr>
          <w:rFonts w:hint="eastAsia" w:ascii="仿宋" w:hAnsi="仿宋" w:eastAsia="仿宋" w:cs="仿宋"/>
          <w:color w:val="auto"/>
          <w:sz w:val="24"/>
          <w:highlight w:val="none"/>
          <w:lang w:eastAsia="zh-CN"/>
        </w:rPr>
        <w:t>日1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:00</w:t>
      </w:r>
      <w:r>
        <w:rPr>
          <w:rFonts w:hint="eastAsia" w:ascii="仿宋" w:hAnsi="仿宋" w:eastAsia="仿宋" w:cs="仿宋"/>
          <w:color w:val="auto"/>
          <w:sz w:val="24"/>
          <w:highlight w:val="none"/>
        </w:rPr>
        <w:t>（北京时间）</w:t>
      </w:r>
    </w:p>
    <w:p w14:paraId="4C1786D6">
      <w:pPr>
        <w:widowControl/>
        <w:shd w:val="clear" w:color="auto" w:fill="FFFFFF"/>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开标地点：政采云平台（https://www.zcygov.cn/）</w:t>
      </w:r>
    </w:p>
    <w:p w14:paraId="188E3CAB">
      <w:pPr>
        <w:widowControl/>
        <w:shd w:val="clear" w:color="auto" w:fill="FFFFFF"/>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五、公告期限</w:t>
      </w:r>
    </w:p>
    <w:p w14:paraId="33E1A7FB">
      <w:pPr>
        <w:widowControl/>
        <w:shd w:val="clear" w:color="auto" w:fill="FFFFFF"/>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7CD7321E">
      <w:pPr>
        <w:widowControl/>
        <w:shd w:val="clear" w:color="auto" w:fill="FFFFFF"/>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674180E8">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1、本项目实行网上投标，采用电子投标文件。</w:t>
      </w:r>
    </w:p>
    <w:p w14:paraId="59803988">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2、各供应商应在开标前确保成为正式注册入库供应商，并完成CA数字证书(符合国密</w:t>
      </w:r>
    </w:p>
    <w:p w14:paraId="64E62A75">
      <w:pPr>
        <w:keepNext w:val="0"/>
        <w:keepLines w:val="0"/>
        <w:pageBreakBefore w:val="0"/>
        <w:widowControl/>
        <w:shd w:val="clear" w:color="auto" w:fill="FFFFFF"/>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标准)申领。因未注册入库、未办理CA数字证书等原因造成无法投标或投标失败等后果由供</w:t>
      </w:r>
    </w:p>
    <w:p w14:paraId="3074741C">
      <w:pPr>
        <w:keepNext w:val="0"/>
        <w:keepLines w:val="0"/>
        <w:pageBreakBefore w:val="0"/>
        <w:widowControl/>
        <w:shd w:val="clear" w:color="auto" w:fill="FFFFFF"/>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应商自行承担。如需咨询，请联系新疆CA服务热线4000921999；翔晟CA服务热线025-</w:t>
      </w:r>
    </w:p>
    <w:p w14:paraId="12B5CC74">
      <w:pPr>
        <w:keepNext w:val="0"/>
        <w:keepLines w:val="0"/>
        <w:pageBreakBefore w:val="0"/>
        <w:widowControl/>
        <w:shd w:val="clear" w:color="auto" w:fill="FFFFFF"/>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66085508。</w:t>
      </w:r>
    </w:p>
    <w:p w14:paraId="2112516F">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3、供应商将政采云电子交易客户端下载、安装完成后，可通过账号密码或CA登录客户</w:t>
      </w:r>
    </w:p>
    <w:p w14:paraId="728A3DE5">
      <w:pPr>
        <w:keepNext w:val="0"/>
        <w:keepLines w:val="0"/>
        <w:pageBreakBefore w:val="0"/>
        <w:widowControl/>
        <w:shd w:val="clear" w:color="auto" w:fill="FFFFFF"/>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端进行投标文件的制作。在使用政采云投标客户端时，建议使用WIN7及以上操作系统。</w:t>
      </w:r>
    </w:p>
    <w:p w14:paraId="1694DF46">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kern w:val="2"/>
          <w:sz w:val="24"/>
          <w:szCs w:val="24"/>
          <w:highlight w:val="none"/>
          <w:lang w:val="en-US" w:eastAsia="zh-CN" w:bidi="ar-SA"/>
        </w:rPr>
        <w:t>4、</w:t>
      </w:r>
      <w:r>
        <w:rPr>
          <w:rFonts w:hint="eastAsia" w:ascii="仿宋" w:hAnsi="仿宋" w:eastAsia="仿宋" w:cs="仿宋"/>
          <w:color w:val="auto"/>
          <w:sz w:val="24"/>
          <w:highlight w:val="none"/>
          <w:lang w:val="en-US" w:eastAsia="zh-CN"/>
        </w:rPr>
        <w:t>其他事项：</w:t>
      </w:r>
    </w:p>
    <w:p w14:paraId="0BC5AE66">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2"/>
          <w:sz w:val="24"/>
          <w:szCs w:val="24"/>
          <w:highlight w:val="none"/>
          <w:lang w:val="en-US" w:eastAsia="zh-CN" w:bidi="ar-SA"/>
        </w:rPr>
        <w:t>①</w:t>
      </w:r>
      <w:r>
        <w:rPr>
          <w:rFonts w:hint="eastAsia" w:ascii="仿宋" w:hAnsi="仿宋" w:eastAsia="仿宋" w:cs="仿宋"/>
          <w:color w:val="auto"/>
          <w:sz w:val="24"/>
          <w:highlight w:val="none"/>
        </w:rPr>
        <w:t>根据《关于在政府采购活动中查询及使用信用记录有关问题的通知》(财库[2016]125号)的规定，对被列入“失信被执行人”、“重大税收违法失信主体”、“政府采购严重违法失信行为记录名单”的供应商，拒绝参与本项目政府采购活动【查询渠道：“信用中国”网站（www.creditchina.gov.cn）、中国政府采购网（www.ccgp.gov.cn）】。</w:t>
      </w:r>
    </w:p>
    <w:p w14:paraId="3B35AFAB">
      <w:pPr>
        <w:widowControl/>
        <w:shd w:val="clear" w:color="auto" w:fill="FFFFFF"/>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②</w:t>
      </w:r>
      <w:r>
        <w:rPr>
          <w:rFonts w:hint="eastAsia" w:ascii="仿宋" w:hAnsi="仿宋" w:eastAsia="仿宋" w:cs="仿宋"/>
          <w:color w:val="auto"/>
          <w:sz w:val="24"/>
          <w:highlight w:val="none"/>
        </w:rPr>
        <w:t>供应商不得存在下列情形之一：</w:t>
      </w:r>
    </w:p>
    <w:p w14:paraId="56AF49B3">
      <w:pPr>
        <w:widowControl/>
        <w:shd w:val="clear" w:color="auto" w:fill="FFFFFF"/>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（l）与采购人、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存在隶属关系或者其他利害关系；</w:t>
      </w:r>
    </w:p>
    <w:p w14:paraId="1892C8A6">
      <w:pPr>
        <w:widowControl/>
        <w:shd w:val="clear" w:color="auto" w:fill="FFFFFF"/>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（2）与其他供应商的法定代表人（或者负责人）为同一人；或者与其他供应商存在直接控股、管理关系的；</w:t>
      </w:r>
    </w:p>
    <w:p w14:paraId="2AD6E77B">
      <w:pPr>
        <w:widowControl/>
        <w:shd w:val="clear" w:color="auto" w:fill="FFFFFF"/>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（3）为采购项目提供整体设计、规范编制或者项目管理、监理、检测等服务的供应商,不得再参加该采购项目的其他采购活动。</w:t>
      </w:r>
    </w:p>
    <w:p w14:paraId="59AC4CB3">
      <w:pPr>
        <w:widowControl/>
        <w:shd w:val="clear" w:color="auto" w:fill="FFFFFF"/>
        <w:spacing w:line="44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七、对本次采购提出询问，请按以下方式联系</w:t>
      </w:r>
    </w:p>
    <w:p w14:paraId="079F8204">
      <w:pPr>
        <w:widowControl/>
        <w:shd w:val="clear" w:color="auto" w:fill="FFFFFF"/>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1.采购人信息</w:t>
      </w:r>
    </w:p>
    <w:p w14:paraId="13FA6E3A">
      <w:pPr>
        <w:widowControl/>
        <w:shd w:val="clear" w:color="auto" w:fill="FFFFFF"/>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称：库尔勒市妇幼保健计划生育服务中心（库尔勒市妇幼保健院）</w:t>
      </w:r>
    </w:p>
    <w:p w14:paraId="670257E7">
      <w:pPr>
        <w:widowControl/>
        <w:shd w:val="clear" w:color="auto" w:fill="FFFFFF"/>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bookmarkStart w:id="5" w:name="OLE_LINK10"/>
      <w:r>
        <w:rPr>
          <w:rFonts w:hint="eastAsia" w:ascii="仿宋" w:hAnsi="仿宋" w:eastAsia="仿宋" w:cs="仿宋"/>
          <w:color w:val="auto"/>
          <w:sz w:val="24"/>
          <w:highlight w:val="none"/>
        </w:rPr>
        <w:t>巴音郭楞蒙古自治州库尔勒市梨乡路6号</w:t>
      </w:r>
      <w:bookmarkEnd w:id="5"/>
    </w:p>
    <w:p w14:paraId="0D31CF95">
      <w:pPr>
        <w:widowControl/>
        <w:shd w:val="clear" w:color="auto" w:fill="FFFFFF"/>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联系方式：0996-2260503</w:t>
      </w:r>
    </w:p>
    <w:p w14:paraId="0426329B">
      <w:pPr>
        <w:widowControl/>
        <w:shd w:val="clear" w:color="auto" w:fill="FFFFFF"/>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2.采购代理机构信息</w:t>
      </w:r>
    </w:p>
    <w:p w14:paraId="6C4AAB5E">
      <w:pPr>
        <w:widowControl/>
        <w:shd w:val="clear" w:color="auto" w:fill="FFFFFF"/>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称：新疆品创项目管理咨询有限公司</w:t>
      </w:r>
    </w:p>
    <w:p w14:paraId="2C5DBEF3">
      <w:pPr>
        <w:widowControl/>
        <w:shd w:val="clear" w:color="auto" w:fill="FFFFFF"/>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址：新疆乌鲁木齐市沙依巴克区长江路76号兴乐世贸广场29楼 业务</w:t>
      </w:r>
      <w:r>
        <w:rPr>
          <w:rFonts w:hint="eastAsia" w:ascii="仿宋" w:hAnsi="仿宋" w:eastAsia="仿宋" w:cs="仿宋"/>
          <w:color w:val="auto"/>
          <w:sz w:val="24"/>
          <w:highlight w:val="none"/>
          <w:lang w:eastAsia="zh-CN"/>
        </w:rPr>
        <w:t>二</w:t>
      </w:r>
      <w:r>
        <w:rPr>
          <w:rFonts w:hint="eastAsia" w:ascii="仿宋" w:hAnsi="仿宋" w:eastAsia="仿宋" w:cs="仿宋"/>
          <w:color w:val="auto"/>
          <w:sz w:val="24"/>
          <w:highlight w:val="none"/>
        </w:rPr>
        <w:t>部</w:t>
      </w:r>
    </w:p>
    <w:p w14:paraId="4395C0F8">
      <w:pPr>
        <w:widowControl/>
        <w:shd w:val="clear" w:color="auto" w:fill="FFFFFF"/>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3.项目联系方式</w:t>
      </w:r>
    </w:p>
    <w:p w14:paraId="696A7090">
      <w:pPr>
        <w:widowControl/>
        <w:shd w:val="clear" w:color="auto" w:fill="FFFFFF"/>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w:t>
      </w:r>
      <w:bookmarkStart w:id="6" w:name="OLE_LINK11"/>
      <w:r>
        <w:rPr>
          <w:rFonts w:hint="eastAsia" w:ascii="仿宋" w:hAnsi="仿宋" w:eastAsia="仿宋" w:cs="仿宋"/>
          <w:color w:val="auto"/>
          <w:sz w:val="24"/>
          <w:highlight w:val="none"/>
        </w:rPr>
        <w:t>向磊、齐娟、张轩、郭克栋、周娟</w:t>
      </w:r>
      <w:bookmarkEnd w:id="6"/>
    </w:p>
    <w:p w14:paraId="632628B4">
      <w:pPr>
        <w:widowControl/>
        <w:shd w:val="clear" w:color="auto" w:fill="FFFFFF"/>
        <w:spacing w:line="44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电话：0991-</w:t>
      </w:r>
      <w:r>
        <w:rPr>
          <w:rFonts w:hint="eastAsia" w:ascii="仿宋" w:hAnsi="仿宋" w:eastAsia="仿宋" w:cs="仿宋"/>
          <w:color w:val="auto"/>
          <w:sz w:val="24"/>
          <w:highlight w:val="none"/>
          <w:lang w:val="en-US" w:eastAsia="zh-CN"/>
        </w:rPr>
        <w:t>5221699</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15352628861</w:t>
      </w:r>
    </w:p>
    <w:p w14:paraId="45DE3E53">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邮箱：</w:t>
      </w:r>
      <w:r>
        <w:rPr>
          <w:rFonts w:hint="eastAsia" w:ascii="仿宋" w:hAnsi="仿宋" w:eastAsia="仿宋" w:cs="仿宋"/>
          <w:color w:val="auto"/>
          <w:kern w:val="2"/>
          <w:sz w:val="24"/>
          <w:szCs w:val="24"/>
          <w:highlight w:val="none"/>
          <w:lang w:val="en-US" w:eastAsia="zh-CN" w:bidi="ar-SA"/>
        </w:rPr>
        <w:fldChar w:fldCharType="begin"/>
      </w:r>
      <w:r>
        <w:rPr>
          <w:rFonts w:hint="eastAsia" w:ascii="仿宋" w:hAnsi="仿宋" w:eastAsia="仿宋" w:cs="仿宋"/>
          <w:color w:val="auto"/>
          <w:kern w:val="2"/>
          <w:sz w:val="24"/>
          <w:szCs w:val="24"/>
          <w:highlight w:val="none"/>
          <w:lang w:val="en-US" w:eastAsia="zh-CN" w:bidi="ar-SA"/>
        </w:rPr>
        <w:instrText xml:space="preserve"> HYPERLINK "mailto:599251130@qq.com" </w:instrText>
      </w:r>
      <w:r>
        <w:rPr>
          <w:rFonts w:hint="eastAsia" w:ascii="仿宋" w:hAnsi="仿宋" w:eastAsia="仿宋" w:cs="仿宋"/>
          <w:color w:val="auto"/>
          <w:kern w:val="2"/>
          <w:sz w:val="24"/>
          <w:szCs w:val="24"/>
          <w:highlight w:val="none"/>
          <w:lang w:val="en-US" w:eastAsia="zh-CN" w:bidi="ar-SA"/>
        </w:rPr>
        <w:fldChar w:fldCharType="separate"/>
      </w:r>
      <w:r>
        <w:rPr>
          <w:rStyle w:val="68"/>
          <w:rFonts w:hint="eastAsia" w:ascii="仿宋" w:hAnsi="仿宋" w:eastAsia="仿宋" w:cs="仿宋"/>
          <w:color w:val="auto"/>
          <w:kern w:val="2"/>
          <w:sz w:val="24"/>
          <w:szCs w:val="24"/>
          <w:highlight w:val="none"/>
          <w:lang w:val="en-US" w:eastAsia="zh-CN" w:bidi="ar-SA"/>
        </w:rPr>
        <w:t>599251130@qq.com</w:t>
      </w:r>
      <w:r>
        <w:rPr>
          <w:rFonts w:hint="eastAsia" w:ascii="仿宋" w:hAnsi="仿宋" w:eastAsia="仿宋" w:cs="仿宋"/>
          <w:color w:val="auto"/>
          <w:kern w:val="2"/>
          <w:sz w:val="24"/>
          <w:szCs w:val="24"/>
          <w:highlight w:val="none"/>
          <w:lang w:val="en-US" w:eastAsia="zh-CN" w:bidi="ar-SA"/>
        </w:rPr>
        <w:fldChar w:fldCharType="end"/>
      </w:r>
    </w:p>
    <w:p w14:paraId="2F3FB390">
      <w:pPr>
        <w:rPr>
          <w:rFonts w:hint="eastAsia" w:ascii="仿宋" w:hAnsi="仿宋" w:eastAsia="仿宋" w:cs="仿宋"/>
          <w:b/>
          <w:color w:val="auto"/>
          <w:sz w:val="32"/>
          <w:szCs w:val="32"/>
          <w:highlight w:val="none"/>
        </w:rPr>
      </w:pPr>
      <w:bookmarkStart w:id="7" w:name="_Toc139284160"/>
      <w:r>
        <w:rPr>
          <w:rFonts w:hint="eastAsia" w:ascii="仿宋" w:hAnsi="仿宋" w:eastAsia="仿宋" w:cs="仿宋"/>
          <w:b/>
          <w:color w:val="auto"/>
          <w:sz w:val="32"/>
          <w:szCs w:val="32"/>
          <w:highlight w:val="none"/>
        </w:rPr>
        <w:br w:type="page"/>
      </w:r>
    </w:p>
    <w:p w14:paraId="79B3C9D8">
      <w:pPr>
        <w:keepNext w:val="0"/>
        <w:keepLines w:val="0"/>
        <w:pageBreakBefore w:val="0"/>
        <w:widowControl/>
        <w:shd w:val="clear" w:color="auto" w:fill="FFFFFF"/>
        <w:kinsoku/>
        <w:wordWrap/>
        <w:overflowPunct/>
        <w:topLinePunct w:val="0"/>
        <w:autoSpaceDE/>
        <w:autoSpaceDN/>
        <w:bidi w:val="0"/>
        <w:adjustRightInd/>
        <w:snapToGrid/>
        <w:spacing w:before="158" w:beforeLines="50" w:after="158" w:afterLines="50" w:line="360" w:lineRule="auto"/>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第二章  投标须知前附表及投标须知</w:t>
      </w:r>
      <w:bookmarkEnd w:id="7"/>
    </w:p>
    <w:p w14:paraId="0BDCB42F">
      <w:pPr>
        <w:shd w:val="clear" w:color="auto" w:fill="FFFFFF"/>
        <w:autoSpaceDE w:val="0"/>
        <w:autoSpaceDN w:val="0"/>
        <w:adjustRightInd w:val="0"/>
        <w:spacing w:line="360" w:lineRule="exact"/>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一、投标须知前附表</w:t>
      </w:r>
    </w:p>
    <w:p w14:paraId="28AC6632">
      <w:pPr>
        <w:shd w:val="clear" w:color="auto" w:fill="FFFFFF"/>
        <w:autoSpaceDE w:val="0"/>
        <w:autoSpaceDN w:val="0"/>
        <w:adjustRightInd w:val="0"/>
        <w:spacing w:line="360" w:lineRule="exact"/>
        <w:jc w:val="center"/>
        <w:rPr>
          <w:rFonts w:hint="eastAsia" w:ascii="仿宋" w:hAnsi="仿宋" w:eastAsia="仿宋" w:cs="仿宋"/>
          <w:b/>
          <w:bCs/>
          <w:color w:val="auto"/>
          <w:kern w:val="0"/>
          <w:sz w:val="28"/>
          <w:szCs w:val="28"/>
          <w:highlight w:val="none"/>
        </w:rPr>
      </w:pPr>
    </w:p>
    <w:tbl>
      <w:tblPr>
        <w:tblStyle w:val="59"/>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1963"/>
        <w:gridCol w:w="7184"/>
      </w:tblGrid>
      <w:tr w14:paraId="70EF5A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357" w:type="pct"/>
            <w:vAlign w:val="center"/>
          </w:tcPr>
          <w:p w14:paraId="0F8811C6">
            <w:pPr>
              <w:shd w:val="clear" w:color="auto" w:fill="FFFFFF"/>
              <w:autoSpaceDE w:val="0"/>
              <w:autoSpaceDN w:val="0"/>
              <w:spacing w:line="360" w:lineRule="exact"/>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项号</w:t>
            </w:r>
          </w:p>
        </w:tc>
        <w:tc>
          <w:tcPr>
            <w:tcW w:w="996" w:type="pct"/>
            <w:vAlign w:val="center"/>
          </w:tcPr>
          <w:p w14:paraId="4B913B2E">
            <w:pPr>
              <w:shd w:val="clear" w:color="auto" w:fill="FFFFFF"/>
              <w:autoSpaceDE w:val="0"/>
              <w:autoSpaceDN w:val="0"/>
              <w:spacing w:line="360" w:lineRule="exact"/>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内  容</w:t>
            </w:r>
          </w:p>
        </w:tc>
        <w:tc>
          <w:tcPr>
            <w:tcW w:w="3645" w:type="pct"/>
            <w:vAlign w:val="center"/>
          </w:tcPr>
          <w:p w14:paraId="13936659">
            <w:pPr>
              <w:shd w:val="clear" w:color="auto" w:fill="FFFFFF"/>
              <w:autoSpaceDE w:val="0"/>
              <w:autoSpaceDN w:val="0"/>
              <w:spacing w:line="360" w:lineRule="exact"/>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说明及要求</w:t>
            </w:r>
          </w:p>
        </w:tc>
      </w:tr>
      <w:tr w14:paraId="0E2C17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357" w:type="pct"/>
            <w:vMerge w:val="restart"/>
            <w:vAlign w:val="center"/>
          </w:tcPr>
          <w:p w14:paraId="04B685A6">
            <w:pPr>
              <w:shd w:val="clear" w:color="auto" w:fill="FFFFFF"/>
              <w:autoSpaceDE w:val="0"/>
              <w:autoSpaceDN w:val="0"/>
              <w:spacing w:line="36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１</w:t>
            </w:r>
          </w:p>
        </w:tc>
        <w:tc>
          <w:tcPr>
            <w:tcW w:w="996" w:type="pct"/>
            <w:vAlign w:val="center"/>
          </w:tcPr>
          <w:p w14:paraId="2B197F9C">
            <w:pPr>
              <w:shd w:val="clear" w:color="auto" w:fill="FFFFFF"/>
              <w:autoSpaceDE w:val="0"/>
              <w:autoSpaceDN w:val="0"/>
              <w:spacing w:line="360" w:lineRule="exact"/>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标项名称</w:t>
            </w:r>
          </w:p>
        </w:tc>
        <w:tc>
          <w:tcPr>
            <w:tcW w:w="3645" w:type="pct"/>
            <w:vAlign w:val="center"/>
          </w:tcPr>
          <w:p w14:paraId="11DA3E4C">
            <w:pPr>
              <w:shd w:val="clear" w:color="auto" w:fill="FFFFFF"/>
              <w:autoSpaceDE w:val="0"/>
              <w:autoSpaceDN w:val="0"/>
              <w:spacing w:line="360" w:lineRule="exact"/>
              <w:rPr>
                <w:rFonts w:hint="eastAsia" w:ascii="仿宋" w:hAnsi="仿宋" w:eastAsia="仿宋" w:cs="仿宋"/>
                <w:bCs/>
                <w:color w:val="auto"/>
                <w:spacing w:val="-4"/>
                <w:kern w:val="0"/>
                <w:sz w:val="24"/>
                <w:highlight w:val="none"/>
                <w:lang w:eastAsia="zh-CN"/>
              </w:rPr>
            </w:pPr>
            <w:r>
              <w:rPr>
                <w:rFonts w:hint="eastAsia" w:ascii="仿宋" w:hAnsi="仿宋" w:eastAsia="仿宋" w:cs="仿宋"/>
                <w:bCs/>
                <w:color w:val="auto"/>
                <w:spacing w:val="-4"/>
                <w:kern w:val="0"/>
                <w:sz w:val="24"/>
                <w:highlight w:val="none"/>
                <w:lang w:eastAsia="zh-CN"/>
              </w:rPr>
              <w:t>库尔勒市妇幼保健计划生育服务中心（库尔勒市妇幼保健院）智慧超声系统服务采购</w:t>
            </w:r>
          </w:p>
        </w:tc>
      </w:tr>
      <w:tr w14:paraId="32ECE5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357" w:type="pct"/>
            <w:vMerge w:val="continue"/>
            <w:vAlign w:val="center"/>
          </w:tcPr>
          <w:p w14:paraId="46BE5490">
            <w:pPr>
              <w:shd w:val="clear" w:color="auto" w:fill="FFFFFF"/>
              <w:autoSpaceDE w:val="0"/>
              <w:autoSpaceDN w:val="0"/>
              <w:spacing w:line="360" w:lineRule="exact"/>
              <w:jc w:val="center"/>
              <w:rPr>
                <w:rFonts w:hint="eastAsia" w:ascii="仿宋" w:hAnsi="仿宋" w:eastAsia="仿宋" w:cs="仿宋"/>
                <w:color w:val="auto"/>
                <w:kern w:val="0"/>
                <w:sz w:val="24"/>
                <w:highlight w:val="none"/>
              </w:rPr>
            </w:pPr>
          </w:p>
        </w:tc>
        <w:tc>
          <w:tcPr>
            <w:tcW w:w="996" w:type="pct"/>
            <w:vAlign w:val="center"/>
          </w:tcPr>
          <w:p w14:paraId="08D7ABF3">
            <w:pPr>
              <w:shd w:val="clear" w:color="auto" w:fill="FFFFFF"/>
              <w:autoSpaceDE w:val="0"/>
              <w:autoSpaceDN w:val="0"/>
              <w:spacing w:line="360" w:lineRule="exact"/>
              <w:jc w:val="center"/>
              <w:rPr>
                <w:rFonts w:hint="eastAsia" w:ascii="仿宋" w:hAnsi="仿宋" w:eastAsia="仿宋" w:cs="仿宋"/>
                <w:bCs/>
                <w:color w:val="auto"/>
                <w:kern w:val="0"/>
                <w:sz w:val="24"/>
                <w:highlight w:val="none"/>
              </w:rPr>
            </w:pPr>
            <w:r>
              <w:rPr>
                <w:rFonts w:hint="eastAsia" w:ascii="仿宋" w:hAnsi="仿宋" w:eastAsia="仿宋" w:cs="仿宋"/>
                <w:color w:val="auto"/>
                <w:sz w:val="24"/>
                <w:highlight w:val="none"/>
              </w:rPr>
              <w:t>项目编号</w:t>
            </w:r>
          </w:p>
        </w:tc>
        <w:tc>
          <w:tcPr>
            <w:tcW w:w="3645" w:type="pct"/>
            <w:vAlign w:val="center"/>
          </w:tcPr>
          <w:p w14:paraId="42615566">
            <w:pPr>
              <w:shd w:val="clear" w:color="auto" w:fill="FFFFFF"/>
              <w:autoSpaceDE w:val="0"/>
              <w:autoSpaceDN w:val="0"/>
              <w:spacing w:line="36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shd w:val="clear" w:color="auto" w:fill="FFFFFF"/>
                <w:lang w:eastAsia="zh-CN"/>
              </w:rPr>
              <w:t>2025PCGK100</w:t>
            </w:r>
          </w:p>
        </w:tc>
      </w:tr>
      <w:tr w14:paraId="1608FD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7" w:type="pct"/>
            <w:vMerge w:val="continue"/>
            <w:vAlign w:val="center"/>
          </w:tcPr>
          <w:p w14:paraId="526519C0">
            <w:pPr>
              <w:shd w:val="clear" w:color="auto" w:fill="FFFFFF"/>
              <w:autoSpaceDE w:val="0"/>
              <w:autoSpaceDN w:val="0"/>
              <w:spacing w:line="360" w:lineRule="exact"/>
              <w:jc w:val="center"/>
              <w:rPr>
                <w:rFonts w:hint="eastAsia" w:ascii="仿宋" w:hAnsi="仿宋" w:eastAsia="仿宋" w:cs="仿宋"/>
                <w:color w:val="auto"/>
                <w:kern w:val="0"/>
                <w:sz w:val="24"/>
                <w:highlight w:val="none"/>
              </w:rPr>
            </w:pPr>
          </w:p>
        </w:tc>
        <w:tc>
          <w:tcPr>
            <w:tcW w:w="996" w:type="pct"/>
            <w:vAlign w:val="center"/>
          </w:tcPr>
          <w:p w14:paraId="3F6A465B">
            <w:pPr>
              <w:shd w:val="clear" w:color="auto" w:fill="FFFFFF"/>
              <w:autoSpaceDE w:val="0"/>
              <w:autoSpaceDN w:val="0"/>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w:t>
            </w:r>
          </w:p>
        </w:tc>
        <w:tc>
          <w:tcPr>
            <w:tcW w:w="3645" w:type="pct"/>
            <w:vAlign w:val="center"/>
          </w:tcPr>
          <w:p w14:paraId="111779CD">
            <w:pPr>
              <w:shd w:val="clear" w:color="auto" w:fill="FFFFFF"/>
              <w:autoSpaceDE w:val="0"/>
              <w:autoSpaceDN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库尔勒市妇幼保健计划生育服务中心（库尔勒市妇幼保健院）</w:t>
            </w:r>
          </w:p>
        </w:tc>
      </w:tr>
      <w:tr w14:paraId="560265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357" w:type="pct"/>
            <w:vMerge w:val="continue"/>
            <w:vAlign w:val="center"/>
          </w:tcPr>
          <w:p w14:paraId="6947F9C6">
            <w:pPr>
              <w:shd w:val="clear" w:color="auto" w:fill="FFFFFF"/>
              <w:autoSpaceDE w:val="0"/>
              <w:autoSpaceDN w:val="0"/>
              <w:spacing w:line="360" w:lineRule="exact"/>
              <w:jc w:val="center"/>
              <w:rPr>
                <w:rFonts w:hint="eastAsia" w:ascii="仿宋" w:hAnsi="仿宋" w:eastAsia="仿宋" w:cs="仿宋"/>
                <w:color w:val="auto"/>
                <w:kern w:val="0"/>
                <w:sz w:val="24"/>
                <w:highlight w:val="none"/>
              </w:rPr>
            </w:pPr>
          </w:p>
        </w:tc>
        <w:tc>
          <w:tcPr>
            <w:tcW w:w="996" w:type="pct"/>
            <w:vAlign w:val="center"/>
          </w:tcPr>
          <w:p w14:paraId="336D14A1">
            <w:pPr>
              <w:shd w:val="clear" w:color="auto" w:fill="FFFFFF"/>
              <w:autoSpaceDE w:val="0"/>
              <w:autoSpaceDN w:val="0"/>
              <w:spacing w:line="360" w:lineRule="exact"/>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采购方式</w:t>
            </w:r>
          </w:p>
        </w:tc>
        <w:tc>
          <w:tcPr>
            <w:tcW w:w="3645" w:type="pct"/>
            <w:vAlign w:val="center"/>
          </w:tcPr>
          <w:p w14:paraId="5B3B795F">
            <w:pPr>
              <w:shd w:val="clear" w:color="auto" w:fill="FFFFFF"/>
              <w:autoSpaceDE w:val="0"/>
              <w:autoSpaceDN w:val="0"/>
              <w:spacing w:line="360" w:lineRule="exact"/>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公开招标</w:t>
            </w:r>
          </w:p>
        </w:tc>
      </w:tr>
      <w:tr w14:paraId="385A61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357" w:type="pct"/>
            <w:vMerge w:val="continue"/>
            <w:vAlign w:val="center"/>
          </w:tcPr>
          <w:p w14:paraId="30781197">
            <w:pPr>
              <w:shd w:val="clear" w:color="auto" w:fill="FFFFFF"/>
              <w:autoSpaceDE w:val="0"/>
              <w:autoSpaceDN w:val="0"/>
              <w:spacing w:line="360" w:lineRule="exact"/>
              <w:jc w:val="center"/>
              <w:rPr>
                <w:rFonts w:hint="eastAsia" w:ascii="仿宋" w:hAnsi="仿宋" w:eastAsia="仿宋" w:cs="仿宋"/>
                <w:color w:val="auto"/>
                <w:kern w:val="0"/>
                <w:sz w:val="24"/>
                <w:highlight w:val="none"/>
              </w:rPr>
            </w:pPr>
          </w:p>
        </w:tc>
        <w:tc>
          <w:tcPr>
            <w:tcW w:w="996" w:type="pct"/>
            <w:vAlign w:val="center"/>
          </w:tcPr>
          <w:p w14:paraId="16C121C3">
            <w:pPr>
              <w:shd w:val="clear" w:color="auto" w:fill="FFFFFF"/>
              <w:autoSpaceDE w:val="0"/>
              <w:autoSpaceDN w:val="0"/>
              <w:spacing w:line="360" w:lineRule="exact"/>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资金来源</w:t>
            </w:r>
          </w:p>
        </w:tc>
        <w:tc>
          <w:tcPr>
            <w:tcW w:w="3645" w:type="pct"/>
            <w:vAlign w:val="center"/>
          </w:tcPr>
          <w:p w14:paraId="3F0DCCEE">
            <w:pPr>
              <w:shd w:val="clear" w:color="auto" w:fill="FFFFFF"/>
              <w:autoSpaceDE w:val="0"/>
              <w:autoSpaceDN w:val="0"/>
              <w:spacing w:line="360" w:lineRule="exact"/>
              <w:rPr>
                <w:rFonts w:hint="eastAsia" w:ascii="仿宋" w:hAnsi="仿宋" w:eastAsia="仿宋" w:cs="仿宋"/>
                <w:bCs/>
                <w:color w:val="auto"/>
                <w:kern w:val="0"/>
                <w:sz w:val="24"/>
                <w:highlight w:val="none"/>
                <w:lang w:val="en-US" w:eastAsia="zh-CN"/>
              </w:rPr>
            </w:pPr>
            <w:r>
              <w:rPr>
                <w:rFonts w:hint="eastAsia" w:ascii="仿宋" w:hAnsi="仿宋" w:eastAsia="仿宋" w:cs="仿宋"/>
                <w:color w:val="auto"/>
                <w:sz w:val="24"/>
                <w:highlight w:val="none"/>
              </w:rPr>
              <w:t>自筹资金</w:t>
            </w:r>
          </w:p>
        </w:tc>
      </w:tr>
      <w:tr w14:paraId="487C6A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357" w:type="pct"/>
            <w:vMerge w:val="continue"/>
            <w:vAlign w:val="center"/>
          </w:tcPr>
          <w:p w14:paraId="7559BF4A">
            <w:pPr>
              <w:shd w:val="clear" w:color="auto" w:fill="FFFFFF"/>
              <w:autoSpaceDE w:val="0"/>
              <w:autoSpaceDN w:val="0"/>
              <w:spacing w:line="360" w:lineRule="exact"/>
              <w:jc w:val="center"/>
              <w:rPr>
                <w:rFonts w:hint="eastAsia" w:ascii="仿宋" w:hAnsi="仿宋" w:eastAsia="仿宋" w:cs="仿宋"/>
                <w:color w:val="auto"/>
                <w:kern w:val="0"/>
                <w:sz w:val="24"/>
                <w:highlight w:val="none"/>
              </w:rPr>
            </w:pPr>
          </w:p>
        </w:tc>
        <w:tc>
          <w:tcPr>
            <w:tcW w:w="996" w:type="pct"/>
            <w:vAlign w:val="center"/>
          </w:tcPr>
          <w:p w14:paraId="5393F8F7">
            <w:pPr>
              <w:shd w:val="clear" w:color="auto" w:fill="FFFFFF"/>
              <w:autoSpaceDE w:val="0"/>
              <w:autoSpaceDN w:val="0"/>
              <w:spacing w:line="360" w:lineRule="exact"/>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资格审查方式</w:t>
            </w:r>
          </w:p>
        </w:tc>
        <w:tc>
          <w:tcPr>
            <w:tcW w:w="3645" w:type="pct"/>
            <w:vAlign w:val="center"/>
          </w:tcPr>
          <w:p w14:paraId="6DFF4112">
            <w:pPr>
              <w:shd w:val="clear" w:color="auto" w:fill="FFFFFF"/>
              <w:autoSpaceDE w:val="0"/>
              <w:autoSpaceDN w:val="0"/>
              <w:spacing w:line="360" w:lineRule="exact"/>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资格后审</w:t>
            </w:r>
          </w:p>
        </w:tc>
      </w:tr>
      <w:tr w14:paraId="086DB1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357" w:type="pct"/>
            <w:vMerge w:val="continue"/>
            <w:vAlign w:val="center"/>
          </w:tcPr>
          <w:p w14:paraId="6D3258AC">
            <w:pPr>
              <w:shd w:val="clear" w:color="auto" w:fill="FFFFFF"/>
              <w:autoSpaceDE w:val="0"/>
              <w:autoSpaceDN w:val="0"/>
              <w:spacing w:line="360" w:lineRule="exact"/>
              <w:jc w:val="center"/>
              <w:rPr>
                <w:rFonts w:hint="eastAsia" w:ascii="仿宋" w:hAnsi="仿宋" w:eastAsia="仿宋" w:cs="仿宋"/>
                <w:color w:val="auto"/>
                <w:kern w:val="0"/>
                <w:sz w:val="24"/>
                <w:highlight w:val="none"/>
              </w:rPr>
            </w:pPr>
          </w:p>
        </w:tc>
        <w:tc>
          <w:tcPr>
            <w:tcW w:w="996" w:type="pct"/>
            <w:vAlign w:val="center"/>
          </w:tcPr>
          <w:p w14:paraId="4E6BA7A7">
            <w:pPr>
              <w:shd w:val="clear" w:color="auto" w:fill="FFFFFF"/>
              <w:autoSpaceDE w:val="0"/>
              <w:autoSpaceDN w:val="0"/>
              <w:spacing w:line="360" w:lineRule="exact"/>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采购内容</w:t>
            </w:r>
          </w:p>
        </w:tc>
        <w:tc>
          <w:tcPr>
            <w:tcW w:w="3645" w:type="pct"/>
            <w:vAlign w:val="center"/>
          </w:tcPr>
          <w:p w14:paraId="33E2569A">
            <w:pPr>
              <w:pStyle w:val="57"/>
              <w:spacing w:after="0" w:line="360" w:lineRule="exact"/>
              <w:ind w:firstLine="0" w:firstLineChars="0"/>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lang w:eastAsia="zh-CN"/>
              </w:rPr>
              <w:t>智慧超声系统服务：</w:t>
            </w:r>
            <w:r>
              <w:rPr>
                <w:rFonts w:hint="eastAsia" w:ascii="仿宋" w:hAnsi="仿宋" w:eastAsia="仿宋" w:cs="仿宋"/>
                <w:color w:val="auto"/>
                <w:sz w:val="24"/>
                <w:highlight w:val="none"/>
              </w:rPr>
              <w:t>通过AI技术实现产前超声标准切面的智能识别与实时质控（如自动抓取胎儿颅脑、心脏等标准切面），辅助医生快速完成图像采集、测量与分析，自动生成标准化报告，提升超声医生操作规范性，</w:t>
            </w:r>
            <w:r>
              <w:rPr>
                <w:rFonts w:hint="eastAsia" w:ascii="仿宋" w:hAnsi="仿宋" w:eastAsia="仿宋" w:cs="仿宋"/>
                <w:color w:val="auto"/>
                <w:sz w:val="24"/>
                <w:highlight w:val="none"/>
                <w:lang w:eastAsia="zh-CN"/>
              </w:rPr>
              <w:t>提高诊断准确率。有效缩短检查时间，提高图像采集的准确性和一致性，对图像进行智能优化和质量控制，增强图像清晰度，为医生提供可靠的诊断依据。</w:t>
            </w:r>
            <w:r>
              <w:rPr>
                <w:rFonts w:hint="eastAsia" w:ascii="仿宋" w:hAnsi="仿宋" w:eastAsia="仿宋" w:cs="仿宋"/>
                <w:color w:val="auto"/>
                <w:sz w:val="24"/>
                <w:highlight w:val="none"/>
                <w:lang w:val="en-US" w:eastAsia="zh-CN"/>
              </w:rPr>
              <w:t>具体要求详见第四章。</w:t>
            </w:r>
          </w:p>
        </w:tc>
      </w:tr>
      <w:tr w14:paraId="580F07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357" w:type="pct"/>
            <w:vAlign w:val="center"/>
          </w:tcPr>
          <w:p w14:paraId="399F906C">
            <w:pPr>
              <w:shd w:val="clear" w:color="auto" w:fill="FFFFFF"/>
              <w:autoSpaceDE w:val="0"/>
              <w:autoSpaceDN w:val="0"/>
              <w:spacing w:line="36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996" w:type="pct"/>
            <w:vAlign w:val="center"/>
          </w:tcPr>
          <w:p w14:paraId="4EBBE5DD">
            <w:pPr>
              <w:shd w:val="clear" w:color="auto" w:fill="FFFFFF"/>
              <w:autoSpaceDE w:val="0"/>
              <w:autoSpaceDN w:val="0"/>
              <w:spacing w:line="360" w:lineRule="exact"/>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预算</w:t>
            </w:r>
            <w:r>
              <w:rPr>
                <w:rFonts w:hint="eastAsia" w:ascii="仿宋" w:hAnsi="仿宋" w:eastAsia="仿宋" w:cs="仿宋"/>
                <w:color w:val="auto"/>
                <w:sz w:val="24"/>
                <w:highlight w:val="none"/>
              </w:rPr>
              <w:t>及最高限价</w:t>
            </w:r>
          </w:p>
        </w:tc>
        <w:tc>
          <w:tcPr>
            <w:tcW w:w="3645" w:type="pct"/>
            <w:vAlign w:val="center"/>
          </w:tcPr>
          <w:p w14:paraId="0F9E0713">
            <w:pPr>
              <w:widowControl/>
              <w:shd w:val="clear" w:color="auto" w:fill="FFFFFF"/>
              <w:spacing w:line="360" w:lineRule="exact"/>
              <w:rPr>
                <w:rFonts w:hint="eastAsia" w:ascii="仿宋" w:hAnsi="仿宋" w:eastAsia="仿宋" w:cs="仿宋"/>
                <w:color w:val="auto"/>
                <w:highlight w:val="none"/>
                <w:lang w:eastAsia="zh-CN"/>
              </w:rPr>
            </w:pPr>
            <w:r>
              <w:rPr>
                <w:rFonts w:hint="eastAsia" w:ascii="仿宋" w:hAnsi="仿宋" w:eastAsia="仿宋" w:cs="仿宋"/>
                <w:b/>
                <w:color w:val="auto"/>
                <w:sz w:val="24"/>
                <w:highlight w:val="none"/>
              </w:rPr>
              <w:t>本项目预算</w:t>
            </w:r>
            <w:r>
              <w:rPr>
                <w:rFonts w:hint="eastAsia" w:ascii="仿宋" w:hAnsi="仿宋" w:eastAsia="仿宋" w:cs="仿宋"/>
                <w:b/>
                <w:color w:val="auto"/>
                <w:sz w:val="24"/>
                <w:highlight w:val="none"/>
                <w:lang w:val="en-US" w:eastAsia="zh-CN"/>
              </w:rPr>
              <w:t>200万元，</w:t>
            </w:r>
            <w:r>
              <w:rPr>
                <w:rFonts w:hint="eastAsia" w:ascii="仿宋" w:hAnsi="仿宋" w:eastAsia="仿宋" w:cs="仿宋"/>
                <w:b/>
                <w:color w:val="auto"/>
                <w:sz w:val="24"/>
                <w:highlight w:val="none"/>
              </w:rPr>
              <w:t>最高限价：</w:t>
            </w:r>
            <w:r>
              <w:rPr>
                <w:rFonts w:hint="eastAsia" w:ascii="仿宋" w:hAnsi="仿宋" w:eastAsia="仿宋" w:cs="仿宋"/>
                <w:b/>
                <w:color w:val="auto"/>
                <w:sz w:val="24"/>
                <w:highlight w:val="none"/>
                <w:lang w:val="en-US" w:eastAsia="zh-CN"/>
              </w:rPr>
              <w:t>190</w:t>
            </w:r>
            <w:r>
              <w:rPr>
                <w:rFonts w:hint="eastAsia" w:ascii="仿宋" w:hAnsi="仿宋" w:eastAsia="仿宋" w:cs="仿宋"/>
                <w:b/>
                <w:color w:val="auto"/>
                <w:sz w:val="24"/>
                <w:highlight w:val="none"/>
              </w:rPr>
              <w:t>万元</w:t>
            </w:r>
            <w:r>
              <w:rPr>
                <w:rFonts w:hint="eastAsia" w:ascii="仿宋" w:hAnsi="仿宋" w:eastAsia="仿宋" w:cs="仿宋"/>
                <w:color w:val="auto"/>
                <w:highlight w:val="none"/>
                <w:lang w:eastAsia="zh-CN"/>
              </w:rPr>
              <w:t>。</w:t>
            </w:r>
          </w:p>
          <w:p w14:paraId="2935B6A4">
            <w:pPr>
              <w:widowControl/>
              <w:shd w:val="clear" w:color="auto" w:fill="FFFFFF"/>
              <w:spacing w:line="36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供应商</w:t>
            </w:r>
            <w:r>
              <w:rPr>
                <w:rFonts w:hint="eastAsia" w:ascii="仿宋" w:hAnsi="仿宋" w:eastAsia="仿宋" w:cs="仿宋"/>
                <w:b/>
                <w:color w:val="auto"/>
                <w:sz w:val="24"/>
                <w:highlight w:val="none"/>
                <w:lang w:eastAsia="zh-CN"/>
              </w:rPr>
              <w:t>投标</w:t>
            </w:r>
            <w:r>
              <w:rPr>
                <w:rFonts w:hint="eastAsia" w:ascii="仿宋" w:hAnsi="仿宋" w:eastAsia="仿宋" w:cs="仿宋"/>
                <w:b/>
                <w:color w:val="auto"/>
                <w:sz w:val="24"/>
                <w:highlight w:val="none"/>
              </w:rPr>
              <w:t>报价不得超过最高限价，否则，投标无效。</w:t>
            </w:r>
          </w:p>
        </w:tc>
      </w:tr>
      <w:tr w14:paraId="362343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357" w:type="pct"/>
            <w:vAlign w:val="center"/>
          </w:tcPr>
          <w:p w14:paraId="1225112F">
            <w:pPr>
              <w:shd w:val="clear" w:color="auto" w:fill="FFFFFF"/>
              <w:autoSpaceDE w:val="0"/>
              <w:autoSpaceDN w:val="0"/>
              <w:spacing w:line="36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996" w:type="pct"/>
            <w:vAlign w:val="center"/>
          </w:tcPr>
          <w:p w14:paraId="1799F475">
            <w:pPr>
              <w:shd w:val="clear" w:color="auto" w:fill="FFFFFF"/>
              <w:autoSpaceDE w:val="0"/>
              <w:autoSpaceDN w:val="0"/>
              <w:spacing w:line="360" w:lineRule="exact"/>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质量标准</w:t>
            </w:r>
          </w:p>
        </w:tc>
        <w:tc>
          <w:tcPr>
            <w:tcW w:w="3645" w:type="pct"/>
            <w:vAlign w:val="center"/>
          </w:tcPr>
          <w:p w14:paraId="21A09256">
            <w:pPr>
              <w:shd w:val="clear" w:color="auto" w:fill="FFFFFF"/>
              <w:autoSpaceDE w:val="0"/>
              <w:autoSpaceDN w:val="0"/>
              <w:spacing w:line="360" w:lineRule="exact"/>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合格（通过采购人及有关部门组织的项目验收）</w:t>
            </w:r>
          </w:p>
        </w:tc>
      </w:tr>
      <w:tr w14:paraId="28C146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57" w:type="pct"/>
            <w:vAlign w:val="center"/>
          </w:tcPr>
          <w:p w14:paraId="17DD9038">
            <w:pPr>
              <w:shd w:val="clear" w:color="auto" w:fill="FFFFFF"/>
              <w:autoSpaceDE w:val="0"/>
              <w:autoSpaceDN w:val="0"/>
              <w:spacing w:line="36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996" w:type="pct"/>
            <w:vAlign w:val="center"/>
          </w:tcPr>
          <w:p w14:paraId="1F5D98BE">
            <w:pPr>
              <w:shd w:val="clear" w:color="auto" w:fill="FFFFFF"/>
              <w:autoSpaceDE w:val="0"/>
              <w:autoSpaceDN w:val="0"/>
              <w:spacing w:line="360" w:lineRule="exact"/>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供应商资格</w:t>
            </w:r>
          </w:p>
        </w:tc>
        <w:tc>
          <w:tcPr>
            <w:tcW w:w="3645" w:type="pct"/>
            <w:vAlign w:val="center"/>
          </w:tcPr>
          <w:p w14:paraId="6683A7C4">
            <w:pPr>
              <w:widowControl/>
              <w:shd w:val="clear" w:color="auto" w:fill="FFFFFF"/>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4.1供应商须满足《中华人民共和国政府采购法》第二十二条款规定。</w:t>
            </w:r>
          </w:p>
          <w:p w14:paraId="5BE3AB90">
            <w:pPr>
              <w:widowControl/>
              <w:spacing w:line="36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根据《关于在政府采购活动中查询及使用信用记录有关问题的通知》(财库[2016]125号)的规定，对被列入“失信被执行人”、“重大税收违法失信主体”、“政府采购严重违法失信行为记录名单”的供应商，拒绝参与本项目政府采购活动【查询渠道：“信用中国”网站（www.creditchina.gov.cn）、中国政府采购网（www.ccgp.gov.cn）】。</w:t>
            </w:r>
            <w:r>
              <w:rPr>
                <w:rFonts w:hint="eastAsia" w:ascii="仿宋" w:hAnsi="仿宋" w:eastAsia="仿宋" w:cs="仿宋"/>
                <w:b/>
                <w:color w:val="auto"/>
                <w:sz w:val="24"/>
                <w:highlight w:val="none"/>
              </w:rPr>
              <w:t>（注：招标代理机构在开标时间后至资格审查结束前通过上述查询渠道进行网上查询，对存在“失信被执行人”、“重大税收违法失信主体”、“政府采购严重违法失信行为记录名单”情形的供应商，资格审查不合格，投标无效，同时其信用信息查询记录作为证据存档。）</w:t>
            </w:r>
          </w:p>
          <w:p w14:paraId="2DACAA7D">
            <w:pPr>
              <w:widowControl/>
              <w:spacing w:line="36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4.3供应商不得存在下列情形之一：</w:t>
            </w:r>
          </w:p>
          <w:p w14:paraId="7CB73CEB">
            <w:pPr>
              <w:widowControl/>
              <w:spacing w:line="36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（l）与采购人、采购代理机构存在隶属关系或者其他利害关系。</w:t>
            </w:r>
          </w:p>
          <w:p w14:paraId="0943E428">
            <w:pPr>
              <w:widowControl/>
              <w:spacing w:line="36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（2）与其他供应商的法定代表人（或者负责人）为同一人；或者与其他供应商存在直接控股、管理关系的；</w:t>
            </w:r>
          </w:p>
          <w:p w14:paraId="31DAA02F">
            <w:pPr>
              <w:widowControl/>
              <w:shd w:val="clear" w:color="auto" w:fill="FFFFFF"/>
              <w:spacing w:line="36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（3）为采购项目提供整体设计、规范编制或者项目管理、监理、检测等服务的供应商,不得再参加该采购项目的其他采购活动。</w:t>
            </w:r>
          </w:p>
          <w:p w14:paraId="52314676">
            <w:pPr>
              <w:widowControl/>
              <w:shd w:val="clear" w:color="auto" w:fill="FFFFFF"/>
              <w:spacing w:line="36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4.4</w:t>
            </w:r>
            <w:r>
              <w:rPr>
                <w:rFonts w:hint="eastAsia" w:ascii="仿宋" w:hAnsi="仿宋" w:eastAsia="仿宋" w:cs="仿宋"/>
                <w:color w:val="auto"/>
                <w:sz w:val="24"/>
                <w:highlight w:val="none"/>
              </w:rPr>
              <w:t>本项目不接受联合体投标。</w:t>
            </w:r>
          </w:p>
        </w:tc>
      </w:tr>
      <w:tr w14:paraId="28632E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99" w:hRule="atLeast"/>
        </w:trPr>
        <w:tc>
          <w:tcPr>
            <w:tcW w:w="357" w:type="pct"/>
            <w:vAlign w:val="center"/>
          </w:tcPr>
          <w:p w14:paraId="78D7879A">
            <w:pPr>
              <w:shd w:val="clear" w:color="auto" w:fill="FFFFFF"/>
              <w:autoSpaceDE w:val="0"/>
              <w:autoSpaceDN w:val="0"/>
              <w:spacing w:line="36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996" w:type="pct"/>
            <w:vAlign w:val="center"/>
          </w:tcPr>
          <w:p w14:paraId="3EC17B57">
            <w:pPr>
              <w:shd w:val="clear" w:color="auto" w:fill="FFFFFF"/>
              <w:autoSpaceDE w:val="0"/>
              <w:autoSpaceDN w:val="0"/>
              <w:spacing w:line="360" w:lineRule="exact"/>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投标文件份数</w:t>
            </w:r>
          </w:p>
        </w:tc>
        <w:tc>
          <w:tcPr>
            <w:tcW w:w="3645" w:type="pct"/>
            <w:vAlign w:val="center"/>
          </w:tcPr>
          <w:p w14:paraId="1BC8D6E1">
            <w:pPr>
              <w:shd w:val="clear" w:color="auto" w:fill="FFFFFF"/>
              <w:autoSpaceDE w:val="0"/>
              <w:autoSpaceDN w:val="0"/>
              <w:spacing w:line="360" w:lineRule="exact"/>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5.1</w:t>
            </w:r>
            <w:r>
              <w:rPr>
                <w:rFonts w:hint="eastAsia" w:ascii="仿宋" w:hAnsi="仿宋" w:eastAsia="仿宋" w:cs="仿宋"/>
                <w:b/>
                <w:bCs/>
                <w:color w:val="auto"/>
                <w:kern w:val="0"/>
                <w:sz w:val="24"/>
                <w:highlight w:val="none"/>
              </w:rPr>
              <w:t>投标文件组成：详见本文件“二、投标须知”第21项要求。</w:t>
            </w:r>
          </w:p>
          <w:p w14:paraId="0DB9AD98">
            <w:pPr>
              <w:shd w:val="clear" w:color="auto" w:fill="FFFFFF"/>
              <w:autoSpaceDE w:val="0"/>
              <w:autoSpaceDN w:val="0"/>
              <w:spacing w:line="360" w:lineRule="exact"/>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5.2</w:t>
            </w:r>
            <w:r>
              <w:rPr>
                <w:rFonts w:hint="eastAsia" w:ascii="仿宋" w:hAnsi="仿宋" w:eastAsia="仿宋" w:cs="仿宋"/>
                <w:b/>
                <w:bCs/>
                <w:color w:val="auto"/>
                <w:kern w:val="0"/>
                <w:sz w:val="24"/>
                <w:highlight w:val="none"/>
              </w:rPr>
              <w:t>投标文件份数</w:t>
            </w:r>
          </w:p>
          <w:p w14:paraId="4BE1D2AB">
            <w:pPr>
              <w:shd w:val="clear" w:color="auto" w:fill="FFFFFF"/>
              <w:autoSpaceDE w:val="0"/>
              <w:autoSpaceDN w:val="0"/>
              <w:spacing w:line="360" w:lineRule="exact"/>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5.2.1</w:t>
            </w:r>
            <w:r>
              <w:rPr>
                <w:rFonts w:hint="eastAsia" w:ascii="仿宋" w:hAnsi="仿宋" w:eastAsia="仿宋" w:cs="仿宋"/>
                <w:b/>
                <w:bCs/>
                <w:color w:val="auto"/>
                <w:spacing w:val="-10"/>
                <w:kern w:val="0"/>
                <w:sz w:val="24"/>
                <w:highlight w:val="none"/>
              </w:rPr>
              <w:t>加密的电子投标文件</w:t>
            </w:r>
            <w:r>
              <w:rPr>
                <w:rFonts w:hint="eastAsia" w:ascii="仿宋" w:hAnsi="仿宋" w:eastAsia="仿宋" w:cs="仿宋"/>
                <w:bCs/>
                <w:color w:val="auto"/>
                <w:spacing w:val="-10"/>
                <w:kern w:val="0"/>
                <w:sz w:val="24"/>
                <w:highlight w:val="none"/>
              </w:rPr>
              <w:t>在投标截止时间前通过CA在政采云平台上传，</w:t>
            </w:r>
            <w:r>
              <w:rPr>
                <w:rFonts w:hint="eastAsia" w:ascii="仿宋" w:hAnsi="仿宋" w:eastAsia="仿宋" w:cs="仿宋"/>
                <w:bCs/>
                <w:color w:val="auto"/>
                <w:kern w:val="0"/>
                <w:sz w:val="24"/>
                <w:highlight w:val="none"/>
              </w:rPr>
              <w:t>加密的电子投标文件为使用</w:t>
            </w:r>
            <w:r>
              <w:rPr>
                <w:rFonts w:hint="eastAsia" w:ascii="仿宋" w:hAnsi="仿宋" w:eastAsia="仿宋" w:cs="仿宋"/>
                <w:color w:val="auto"/>
                <w:sz w:val="24"/>
                <w:highlight w:val="none"/>
              </w:rPr>
              <w:t>政采云电子投标客户端制</w:t>
            </w:r>
            <w:r>
              <w:rPr>
                <w:rFonts w:hint="eastAsia" w:ascii="仿宋" w:hAnsi="仿宋" w:eastAsia="仿宋" w:cs="仿宋"/>
                <w:bCs/>
                <w:color w:val="auto"/>
                <w:kern w:val="0"/>
                <w:sz w:val="24"/>
                <w:highlight w:val="none"/>
              </w:rPr>
              <w:t>作生成的加密版投标文件。</w:t>
            </w:r>
            <w:r>
              <w:rPr>
                <w:rFonts w:hint="eastAsia" w:ascii="仿宋" w:hAnsi="仿宋" w:eastAsia="仿宋" w:cs="仿宋"/>
                <w:b/>
                <w:bCs/>
                <w:color w:val="auto"/>
                <w:kern w:val="0"/>
                <w:sz w:val="24"/>
                <w:highlight w:val="none"/>
              </w:rPr>
              <w:t>供应商未按上述要求提供加密的电子投标文件的，将导致投标无效。</w:t>
            </w:r>
          </w:p>
          <w:p w14:paraId="139A425F">
            <w:pPr>
              <w:shd w:val="clear" w:color="auto" w:fill="FFFFFF"/>
              <w:autoSpaceDE w:val="0"/>
              <w:autoSpaceDN w:val="0"/>
              <w:spacing w:line="360" w:lineRule="exact"/>
              <w:rPr>
                <w:rFonts w:hint="default" w:ascii="仿宋" w:hAnsi="仿宋" w:eastAsia="仿宋" w:cs="仿宋"/>
                <w:bCs/>
                <w:color w:val="auto"/>
                <w:kern w:val="0"/>
                <w:sz w:val="24"/>
                <w:highlight w:val="none"/>
                <w:lang w:val="en-US"/>
              </w:rPr>
            </w:pPr>
            <w:r>
              <w:rPr>
                <w:rFonts w:hint="eastAsia" w:ascii="仿宋" w:hAnsi="仿宋" w:eastAsia="仿宋" w:cs="仿宋"/>
                <w:bCs/>
                <w:color w:val="auto"/>
                <w:kern w:val="0"/>
                <w:sz w:val="24"/>
                <w:highlight w:val="none"/>
              </w:rPr>
              <w:t>5.2.2</w:t>
            </w:r>
            <w:r>
              <w:rPr>
                <w:rFonts w:hint="eastAsia" w:ascii="仿宋" w:hAnsi="仿宋" w:eastAsia="仿宋" w:cs="仿宋"/>
                <w:b/>
                <w:bCs/>
                <w:color w:val="auto"/>
                <w:kern w:val="0"/>
                <w:sz w:val="24"/>
                <w:highlight w:val="none"/>
              </w:rPr>
              <w:t>未加密的纸质版投标文件在本项目中标结果公告发布后3个工作日内提供。中标单位提供纸质版投标文件4套</w:t>
            </w:r>
            <w:r>
              <w:rPr>
                <w:rFonts w:hint="eastAsia" w:ascii="仿宋" w:hAnsi="仿宋" w:eastAsia="仿宋" w:cs="仿宋"/>
                <w:b/>
                <w:bCs/>
                <w:color w:val="auto"/>
                <w:kern w:val="0"/>
                <w:sz w:val="24"/>
                <w:highlight w:val="none"/>
                <w:lang w:eastAsia="zh-CN"/>
              </w:rPr>
              <w:t>，</w:t>
            </w:r>
            <w:r>
              <w:rPr>
                <w:rFonts w:hint="eastAsia" w:ascii="仿宋" w:hAnsi="仿宋" w:eastAsia="仿宋" w:cs="仿宋"/>
                <w:b/>
                <w:bCs/>
                <w:color w:val="auto"/>
                <w:kern w:val="0"/>
                <w:sz w:val="24"/>
                <w:highlight w:val="none"/>
                <w:lang w:val="en-US" w:eastAsia="zh-CN"/>
              </w:rPr>
              <w:t>未中标单位无需提供。</w:t>
            </w:r>
          </w:p>
          <w:p w14:paraId="35E9DA70">
            <w:pPr>
              <w:shd w:val="clear" w:color="auto" w:fill="FFFFFF"/>
              <w:autoSpaceDE w:val="0"/>
              <w:autoSpaceDN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p w14:paraId="53FB31CD">
            <w:pPr>
              <w:shd w:val="clear" w:color="auto" w:fill="FFFFFF"/>
              <w:autoSpaceDE w:val="0"/>
              <w:autoSpaceDN w:val="0"/>
              <w:spacing w:line="360" w:lineRule="exact"/>
              <w:rPr>
                <w:rFonts w:hint="eastAsia" w:ascii="仿宋" w:hAnsi="仿宋" w:eastAsia="仿宋" w:cs="仿宋"/>
                <w:bCs/>
                <w:color w:val="auto"/>
                <w:kern w:val="0"/>
                <w:sz w:val="24"/>
                <w:highlight w:val="none"/>
              </w:rPr>
            </w:pPr>
            <w:r>
              <w:rPr>
                <w:rFonts w:hint="eastAsia" w:ascii="仿宋" w:hAnsi="仿宋" w:eastAsia="仿宋" w:cs="仿宋"/>
                <w:color w:val="auto"/>
                <w:sz w:val="24"/>
                <w:highlight w:val="none"/>
              </w:rPr>
              <w:t>（1）</w:t>
            </w:r>
            <w:r>
              <w:rPr>
                <w:rFonts w:hint="eastAsia" w:ascii="仿宋" w:hAnsi="仿宋" w:eastAsia="仿宋" w:cs="仿宋"/>
                <w:bCs/>
                <w:color w:val="auto"/>
                <w:kern w:val="0"/>
                <w:sz w:val="24"/>
                <w:highlight w:val="none"/>
              </w:rPr>
              <w:t>未加密的纸质版投标文件应与加密的电子投标文件内容一致。</w:t>
            </w:r>
          </w:p>
          <w:p w14:paraId="1AA78818">
            <w:pPr>
              <w:shd w:val="clear" w:color="auto" w:fill="FFFFFF"/>
              <w:autoSpaceDE w:val="0"/>
              <w:autoSpaceDN w:val="0"/>
              <w:spacing w:line="360" w:lineRule="exact"/>
              <w:rPr>
                <w:rFonts w:hint="eastAsia" w:ascii="仿宋" w:hAnsi="仿宋" w:eastAsia="仿宋" w:cs="仿宋"/>
                <w:color w:val="auto"/>
                <w:sz w:val="24"/>
                <w:highlight w:val="none"/>
              </w:rPr>
            </w:pPr>
            <w:r>
              <w:rPr>
                <w:rFonts w:hint="eastAsia" w:ascii="仿宋" w:hAnsi="仿宋" w:eastAsia="仿宋" w:cs="仿宋"/>
                <w:bCs/>
                <w:color w:val="auto"/>
                <w:kern w:val="0"/>
                <w:sz w:val="24"/>
                <w:highlight w:val="none"/>
              </w:rPr>
              <w:t>（2）</w:t>
            </w:r>
            <w:r>
              <w:rPr>
                <w:rFonts w:hint="eastAsia" w:ascii="仿宋" w:hAnsi="仿宋" w:eastAsia="仿宋" w:cs="仿宋"/>
                <w:color w:val="auto"/>
                <w:sz w:val="24"/>
                <w:highlight w:val="none"/>
              </w:rPr>
              <w:t>纸质版投标文件递交或邮寄至：新疆乌鲁木齐市沙依巴克区长江路76号兴乐世贸广场29楼 业务</w:t>
            </w:r>
            <w:r>
              <w:rPr>
                <w:rFonts w:hint="eastAsia" w:ascii="仿宋" w:hAnsi="仿宋" w:eastAsia="仿宋" w:cs="仿宋"/>
                <w:color w:val="auto"/>
                <w:sz w:val="24"/>
                <w:highlight w:val="none"/>
                <w:lang w:eastAsia="zh-CN"/>
              </w:rPr>
              <w:t>二</w:t>
            </w:r>
            <w:r>
              <w:rPr>
                <w:rFonts w:hint="eastAsia" w:ascii="仿宋" w:hAnsi="仿宋" w:eastAsia="仿宋" w:cs="仿宋"/>
                <w:color w:val="auto"/>
                <w:sz w:val="24"/>
                <w:highlight w:val="none"/>
              </w:rPr>
              <w:t>部</w:t>
            </w:r>
            <w:r>
              <w:rPr>
                <w:rFonts w:hint="eastAsia" w:ascii="仿宋" w:hAnsi="仿宋" w:eastAsia="仿宋" w:cs="仿宋"/>
                <w:bCs/>
                <w:color w:val="auto"/>
                <w:kern w:val="0"/>
                <w:sz w:val="24"/>
                <w:highlight w:val="none"/>
              </w:rPr>
              <w:t>，</w:t>
            </w:r>
            <w:r>
              <w:rPr>
                <w:rFonts w:hint="eastAsia" w:ascii="仿宋" w:hAnsi="仿宋" w:eastAsia="仿宋" w:cs="仿宋"/>
                <w:bCs/>
                <w:color w:val="auto"/>
                <w:kern w:val="0"/>
                <w:sz w:val="24"/>
                <w:highlight w:val="none"/>
                <w:lang w:eastAsia="zh-CN"/>
              </w:rPr>
              <w:t>向磊</w:t>
            </w:r>
            <w:r>
              <w:rPr>
                <w:rFonts w:hint="eastAsia" w:ascii="仿宋" w:hAnsi="仿宋" w:eastAsia="仿宋" w:cs="仿宋"/>
                <w:bCs/>
                <w:color w:val="auto"/>
                <w:kern w:val="0"/>
                <w:sz w:val="24"/>
                <w:highlight w:val="none"/>
                <w:lang w:val="en-US" w:eastAsia="zh-CN"/>
              </w:rPr>
              <w:t>15352628861</w:t>
            </w:r>
            <w:r>
              <w:rPr>
                <w:rFonts w:hint="eastAsia" w:ascii="仿宋" w:hAnsi="仿宋" w:eastAsia="仿宋" w:cs="仿宋"/>
                <w:bCs/>
                <w:color w:val="auto"/>
                <w:kern w:val="0"/>
                <w:sz w:val="24"/>
                <w:highlight w:val="none"/>
              </w:rPr>
              <w:t>。</w:t>
            </w:r>
          </w:p>
          <w:p w14:paraId="2D08A2FC">
            <w:pPr>
              <w:shd w:val="clear" w:color="auto" w:fill="FFFFFF"/>
              <w:autoSpaceDE w:val="0"/>
              <w:autoSpaceDN w:val="0"/>
              <w:spacing w:line="360" w:lineRule="exact"/>
              <w:rPr>
                <w:rFonts w:hint="eastAsia" w:ascii="仿宋" w:hAnsi="仿宋" w:eastAsia="仿宋" w:cs="仿宋"/>
                <w:b/>
                <w:bCs/>
                <w:color w:val="auto"/>
                <w:kern w:val="0"/>
                <w:sz w:val="24"/>
                <w:highlight w:val="none"/>
              </w:rPr>
            </w:pPr>
            <w:r>
              <w:rPr>
                <w:rFonts w:hint="eastAsia" w:ascii="仿宋" w:hAnsi="仿宋" w:eastAsia="仿宋" w:cs="仿宋"/>
                <w:color w:val="auto"/>
                <w:sz w:val="24"/>
                <w:highlight w:val="none"/>
              </w:rPr>
              <w:t>（3）</w:t>
            </w:r>
            <w:r>
              <w:rPr>
                <w:rFonts w:hint="eastAsia" w:ascii="仿宋" w:hAnsi="仿宋" w:eastAsia="仿宋" w:cs="仿宋"/>
                <w:b/>
                <w:bCs/>
                <w:color w:val="auto"/>
                <w:kern w:val="0"/>
                <w:sz w:val="24"/>
                <w:highlight w:val="none"/>
              </w:rPr>
              <w:t>供应商应按上述要求提供未加密的纸质版投标文件。</w:t>
            </w:r>
          </w:p>
        </w:tc>
      </w:tr>
      <w:tr w14:paraId="0D7DCA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357" w:type="pct"/>
            <w:vAlign w:val="center"/>
          </w:tcPr>
          <w:p w14:paraId="5AC21157">
            <w:pPr>
              <w:shd w:val="clear" w:color="auto" w:fill="FFFFFF"/>
              <w:autoSpaceDE w:val="0"/>
              <w:autoSpaceDN w:val="0"/>
              <w:spacing w:line="36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w:t>
            </w:r>
          </w:p>
        </w:tc>
        <w:tc>
          <w:tcPr>
            <w:tcW w:w="996" w:type="pct"/>
            <w:vAlign w:val="center"/>
          </w:tcPr>
          <w:p w14:paraId="7DFCFA15">
            <w:pPr>
              <w:shd w:val="clear" w:color="auto" w:fill="FFFFFF"/>
              <w:autoSpaceDE w:val="0"/>
              <w:autoSpaceDN w:val="0"/>
              <w:spacing w:line="360" w:lineRule="exact"/>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投标文件递交截止时间</w:t>
            </w:r>
          </w:p>
        </w:tc>
        <w:tc>
          <w:tcPr>
            <w:tcW w:w="3645" w:type="pct"/>
            <w:vAlign w:val="center"/>
          </w:tcPr>
          <w:p w14:paraId="5B7F2017">
            <w:pPr>
              <w:shd w:val="clear" w:color="auto" w:fill="FFFFFF"/>
              <w:autoSpaceDE w:val="0"/>
              <w:autoSpaceDN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2025年</w:t>
            </w:r>
            <w:r>
              <w:rPr>
                <w:rFonts w:hint="eastAsia" w:ascii="仿宋" w:hAnsi="仿宋" w:eastAsia="仿宋" w:cs="仿宋"/>
                <w:color w:val="auto"/>
                <w:sz w:val="24"/>
                <w:highlight w:val="none"/>
                <w:lang w:val="en-US" w:eastAsia="zh-CN"/>
              </w:rPr>
              <w:t>08</w:t>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lang w:val="en-US" w:eastAsia="zh-CN"/>
              </w:rPr>
              <w:t>07</w:t>
            </w:r>
            <w:r>
              <w:rPr>
                <w:rFonts w:hint="eastAsia" w:ascii="仿宋" w:hAnsi="仿宋" w:eastAsia="仿宋" w:cs="仿宋"/>
                <w:color w:val="auto"/>
                <w:sz w:val="24"/>
                <w:highlight w:val="none"/>
                <w:lang w:eastAsia="zh-CN"/>
              </w:rPr>
              <w:t>日1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:00</w:t>
            </w:r>
            <w:r>
              <w:rPr>
                <w:rFonts w:hint="eastAsia" w:ascii="仿宋" w:hAnsi="仿宋" w:eastAsia="仿宋" w:cs="仿宋"/>
                <w:color w:val="auto"/>
                <w:sz w:val="24"/>
                <w:highlight w:val="none"/>
              </w:rPr>
              <w:t>时（北京时间）</w:t>
            </w:r>
          </w:p>
        </w:tc>
      </w:tr>
      <w:tr w14:paraId="402B61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357" w:type="pct"/>
            <w:vAlign w:val="center"/>
          </w:tcPr>
          <w:p w14:paraId="25F66335">
            <w:pPr>
              <w:shd w:val="clear" w:color="auto" w:fill="FFFFFF"/>
              <w:autoSpaceDE w:val="0"/>
              <w:autoSpaceDN w:val="0"/>
              <w:spacing w:line="36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w:t>
            </w:r>
          </w:p>
        </w:tc>
        <w:tc>
          <w:tcPr>
            <w:tcW w:w="996" w:type="pct"/>
            <w:vAlign w:val="center"/>
          </w:tcPr>
          <w:p w14:paraId="5880992F">
            <w:pPr>
              <w:shd w:val="clear" w:color="auto" w:fill="FFFFFF"/>
              <w:autoSpaceDE w:val="0"/>
              <w:autoSpaceDN w:val="0"/>
              <w:spacing w:line="360" w:lineRule="exact"/>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投标有效期限</w:t>
            </w:r>
          </w:p>
        </w:tc>
        <w:tc>
          <w:tcPr>
            <w:tcW w:w="3645" w:type="pct"/>
            <w:vAlign w:val="center"/>
          </w:tcPr>
          <w:p w14:paraId="0150DD51">
            <w:pPr>
              <w:shd w:val="clear" w:color="auto" w:fill="FFFFFF"/>
              <w:autoSpaceDE w:val="0"/>
              <w:autoSpaceDN w:val="0"/>
              <w:spacing w:line="360" w:lineRule="exact"/>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自投标截止之日起90天（日历日）</w:t>
            </w:r>
          </w:p>
          <w:p w14:paraId="45AEBA3A">
            <w:pPr>
              <w:shd w:val="clear" w:color="auto" w:fill="FFFFFF"/>
              <w:autoSpaceDE w:val="0"/>
              <w:autoSpaceDN w:val="0"/>
              <w:spacing w:line="360" w:lineRule="exact"/>
              <w:rPr>
                <w:rFonts w:hint="eastAsia" w:ascii="仿宋" w:hAnsi="仿宋" w:eastAsia="仿宋" w:cs="仿宋"/>
                <w:bCs/>
                <w:color w:val="auto"/>
                <w:kern w:val="0"/>
                <w:sz w:val="24"/>
                <w:highlight w:val="none"/>
              </w:rPr>
            </w:pPr>
            <w:r>
              <w:rPr>
                <w:rFonts w:hint="eastAsia" w:ascii="仿宋" w:hAnsi="仿宋" w:eastAsia="仿宋" w:cs="仿宋"/>
                <w:b/>
                <w:color w:val="auto"/>
                <w:sz w:val="24"/>
                <w:highlight w:val="none"/>
                <w:lang w:eastAsia="zh-CN"/>
              </w:rPr>
              <w:t>本项为</w:t>
            </w:r>
            <w:r>
              <w:rPr>
                <w:rFonts w:hint="eastAsia" w:ascii="仿宋" w:hAnsi="仿宋" w:eastAsia="仿宋" w:cs="仿宋"/>
                <w:b/>
                <w:color w:val="auto"/>
                <w:sz w:val="24"/>
                <w:highlight w:val="none"/>
              </w:rPr>
              <w:t>实质性条款，投标有效期小于本期限的，投标无效。</w:t>
            </w:r>
          </w:p>
        </w:tc>
      </w:tr>
      <w:tr w14:paraId="60515F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357" w:type="pct"/>
            <w:vAlign w:val="center"/>
          </w:tcPr>
          <w:p w14:paraId="4FAAB8A8">
            <w:pPr>
              <w:shd w:val="clear" w:color="auto" w:fill="FFFFFF"/>
              <w:autoSpaceDE w:val="0"/>
              <w:autoSpaceDN w:val="0"/>
              <w:spacing w:line="36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w:t>
            </w:r>
          </w:p>
        </w:tc>
        <w:tc>
          <w:tcPr>
            <w:tcW w:w="996" w:type="pct"/>
            <w:vAlign w:val="center"/>
          </w:tcPr>
          <w:p w14:paraId="1C26D08F">
            <w:pPr>
              <w:shd w:val="clear" w:color="auto" w:fill="FFFFFF"/>
              <w:autoSpaceDE w:val="0"/>
              <w:autoSpaceDN w:val="0"/>
              <w:spacing w:line="360" w:lineRule="exact"/>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投标文件递交地点</w:t>
            </w:r>
          </w:p>
        </w:tc>
        <w:tc>
          <w:tcPr>
            <w:tcW w:w="3645" w:type="pct"/>
            <w:vAlign w:val="center"/>
          </w:tcPr>
          <w:p w14:paraId="5F606B15">
            <w:pPr>
              <w:widowControl/>
              <w:shd w:val="clear" w:color="auto" w:fill="FFFFFF"/>
              <w:spacing w:line="360" w:lineRule="exact"/>
              <w:jc w:val="left"/>
              <w:rPr>
                <w:rFonts w:hint="eastAsia" w:ascii="仿宋" w:hAnsi="仿宋" w:eastAsia="仿宋" w:cs="仿宋"/>
                <w:color w:val="auto"/>
                <w:spacing w:val="-10"/>
                <w:kern w:val="0"/>
                <w:sz w:val="24"/>
                <w:highlight w:val="none"/>
              </w:rPr>
            </w:pPr>
            <w:r>
              <w:rPr>
                <w:rFonts w:hint="eastAsia" w:ascii="仿宋" w:hAnsi="仿宋" w:eastAsia="仿宋" w:cs="仿宋"/>
                <w:color w:val="auto"/>
                <w:spacing w:val="-10"/>
                <w:kern w:val="0"/>
                <w:sz w:val="24"/>
                <w:highlight w:val="none"/>
              </w:rPr>
              <w:t>本项目采用不见面开标，加密的电子投标文件须在投标截止时间前通过CA在政采云平台上传。</w:t>
            </w:r>
          </w:p>
          <w:p w14:paraId="4FE13DDE">
            <w:pPr>
              <w:widowControl/>
              <w:shd w:val="clear" w:color="auto" w:fill="FFFFFF"/>
              <w:spacing w:line="360" w:lineRule="exact"/>
              <w:jc w:val="left"/>
              <w:rPr>
                <w:rFonts w:hint="eastAsia" w:ascii="仿宋" w:hAnsi="仿宋" w:eastAsia="仿宋" w:cs="仿宋"/>
                <w:bCs/>
                <w:color w:val="auto"/>
                <w:spacing w:val="-10"/>
                <w:kern w:val="0"/>
                <w:sz w:val="24"/>
                <w:highlight w:val="none"/>
              </w:rPr>
            </w:pPr>
            <w:r>
              <w:rPr>
                <w:rFonts w:hint="eastAsia" w:ascii="仿宋" w:hAnsi="仿宋" w:eastAsia="仿宋" w:cs="仿宋"/>
                <w:color w:val="auto"/>
                <w:spacing w:val="-10"/>
                <w:kern w:val="0"/>
                <w:sz w:val="24"/>
                <w:highlight w:val="none"/>
              </w:rPr>
              <w:t>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tc>
      </w:tr>
      <w:tr w14:paraId="746CD9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357" w:type="pct"/>
            <w:vAlign w:val="center"/>
          </w:tcPr>
          <w:p w14:paraId="6A1EA6EA">
            <w:pPr>
              <w:shd w:val="clear" w:color="auto" w:fill="FFFFFF"/>
              <w:autoSpaceDE w:val="0"/>
              <w:autoSpaceDN w:val="0"/>
              <w:spacing w:line="36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w:t>
            </w:r>
          </w:p>
        </w:tc>
        <w:tc>
          <w:tcPr>
            <w:tcW w:w="996" w:type="pct"/>
            <w:vAlign w:val="center"/>
          </w:tcPr>
          <w:p w14:paraId="7EA4F370">
            <w:pPr>
              <w:shd w:val="clear" w:color="auto" w:fill="FFFFFF"/>
              <w:autoSpaceDE w:val="0"/>
              <w:autoSpaceDN w:val="0"/>
              <w:spacing w:line="360" w:lineRule="exact"/>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开标时间、开标地点</w:t>
            </w:r>
          </w:p>
        </w:tc>
        <w:tc>
          <w:tcPr>
            <w:tcW w:w="3645" w:type="pct"/>
            <w:vAlign w:val="center"/>
          </w:tcPr>
          <w:p w14:paraId="3FB30ACC">
            <w:pPr>
              <w:shd w:val="clear" w:color="auto" w:fill="FFFFFF"/>
              <w:autoSpaceDE w:val="0"/>
              <w:autoSpaceDN w:val="0"/>
              <w:spacing w:line="360" w:lineRule="exact"/>
              <w:rPr>
                <w:rFonts w:hint="eastAsia" w:ascii="仿宋" w:hAnsi="仿宋" w:eastAsia="仿宋" w:cs="仿宋"/>
                <w:bCs/>
                <w:color w:val="auto"/>
                <w:kern w:val="0"/>
                <w:sz w:val="24"/>
                <w:highlight w:val="none"/>
              </w:rPr>
            </w:pPr>
            <w:r>
              <w:rPr>
                <w:rFonts w:hint="eastAsia" w:ascii="仿宋" w:hAnsi="仿宋" w:eastAsia="仿宋" w:cs="仿宋"/>
                <w:color w:val="auto"/>
                <w:sz w:val="24"/>
                <w:highlight w:val="none"/>
              </w:rPr>
              <w:t>开标时间：</w:t>
            </w:r>
            <w:r>
              <w:rPr>
                <w:rFonts w:hint="eastAsia" w:ascii="仿宋" w:hAnsi="仿宋" w:eastAsia="仿宋" w:cs="仿宋"/>
                <w:color w:val="auto"/>
                <w:sz w:val="24"/>
                <w:highlight w:val="none"/>
                <w:lang w:eastAsia="zh-CN"/>
              </w:rPr>
              <w:t>2025年</w:t>
            </w:r>
            <w:r>
              <w:rPr>
                <w:rFonts w:hint="eastAsia" w:ascii="仿宋" w:hAnsi="仿宋" w:eastAsia="仿宋" w:cs="仿宋"/>
                <w:color w:val="auto"/>
                <w:sz w:val="24"/>
                <w:highlight w:val="none"/>
                <w:lang w:val="en-US" w:eastAsia="zh-CN"/>
              </w:rPr>
              <w:t>08</w:t>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lang w:val="en-US" w:eastAsia="zh-CN"/>
              </w:rPr>
              <w:t>07</w:t>
            </w:r>
            <w:r>
              <w:rPr>
                <w:rFonts w:hint="eastAsia" w:ascii="仿宋" w:hAnsi="仿宋" w:eastAsia="仿宋" w:cs="仿宋"/>
                <w:color w:val="auto"/>
                <w:sz w:val="24"/>
                <w:highlight w:val="none"/>
                <w:lang w:eastAsia="zh-CN"/>
              </w:rPr>
              <w:t>日1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:00</w:t>
            </w:r>
            <w:r>
              <w:rPr>
                <w:rFonts w:hint="eastAsia" w:ascii="仿宋" w:hAnsi="仿宋" w:eastAsia="仿宋" w:cs="仿宋"/>
                <w:color w:val="auto"/>
                <w:sz w:val="24"/>
                <w:highlight w:val="none"/>
              </w:rPr>
              <w:t>时（北京时间）</w:t>
            </w:r>
          </w:p>
          <w:p w14:paraId="79020B0C">
            <w:pPr>
              <w:shd w:val="clear" w:color="auto" w:fill="FFFFFF"/>
              <w:autoSpaceDE w:val="0"/>
              <w:autoSpaceDN w:val="0"/>
              <w:spacing w:line="360" w:lineRule="exact"/>
              <w:rPr>
                <w:rFonts w:hint="eastAsia" w:ascii="仿宋" w:hAnsi="仿宋" w:eastAsia="仿宋" w:cs="仿宋"/>
                <w:color w:val="auto"/>
                <w:sz w:val="24"/>
                <w:highlight w:val="none"/>
              </w:rPr>
            </w:pPr>
            <w:r>
              <w:rPr>
                <w:rFonts w:hint="eastAsia" w:ascii="仿宋" w:hAnsi="仿宋" w:eastAsia="仿宋" w:cs="仿宋"/>
                <w:bCs/>
                <w:color w:val="auto"/>
                <w:kern w:val="0"/>
                <w:sz w:val="24"/>
                <w:highlight w:val="none"/>
              </w:rPr>
              <w:t>开标地点：</w:t>
            </w:r>
            <w:r>
              <w:rPr>
                <w:rFonts w:hint="eastAsia" w:ascii="仿宋" w:hAnsi="仿宋" w:eastAsia="仿宋" w:cs="仿宋"/>
                <w:color w:val="auto"/>
                <w:sz w:val="24"/>
                <w:highlight w:val="none"/>
              </w:rPr>
              <w:t>政采云开标大厅（</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 </w:instrText>
            </w:r>
            <w:r>
              <w:rPr>
                <w:rFonts w:hint="eastAsia" w:ascii="仿宋" w:hAnsi="仿宋" w:eastAsia="仿宋" w:cs="仿宋"/>
                <w:color w:val="auto"/>
                <w:highlight w:val="none"/>
              </w:rPr>
              <w:fldChar w:fldCharType="separate"/>
            </w:r>
            <w:r>
              <w:rPr>
                <w:rStyle w:val="68"/>
                <w:rFonts w:hint="eastAsia" w:ascii="仿宋" w:hAnsi="仿宋" w:eastAsia="仿宋" w:cs="仿宋"/>
                <w:color w:val="auto"/>
                <w:sz w:val="24"/>
                <w:highlight w:val="none"/>
              </w:rPr>
              <w:t>https://www.zcygov.cn</w:t>
            </w:r>
            <w:r>
              <w:rPr>
                <w:rStyle w:val="68"/>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w:t>
            </w:r>
          </w:p>
          <w:p w14:paraId="0B56274E">
            <w:pPr>
              <w:shd w:val="clear" w:color="auto" w:fill="FFFFFF"/>
              <w:autoSpaceDE w:val="0"/>
              <w:autoSpaceDN w:val="0"/>
              <w:spacing w:line="360" w:lineRule="exact"/>
              <w:rPr>
                <w:rFonts w:hint="eastAsia" w:ascii="仿宋" w:hAnsi="仿宋" w:eastAsia="仿宋" w:cs="仿宋"/>
                <w:b/>
                <w:bCs/>
                <w:color w:val="auto"/>
                <w:kern w:val="0"/>
                <w:sz w:val="24"/>
                <w:highlight w:val="none"/>
                <w:u w:val="single"/>
              </w:rPr>
            </w:pPr>
            <w:r>
              <w:rPr>
                <w:rFonts w:hint="eastAsia" w:ascii="仿宋" w:hAnsi="仿宋" w:eastAsia="仿宋" w:cs="仿宋"/>
                <w:b/>
                <w:bCs/>
                <w:color w:val="auto"/>
                <w:kern w:val="0"/>
                <w:sz w:val="24"/>
                <w:highlight w:val="none"/>
              </w:rPr>
              <w:t>本项目采用</w:t>
            </w:r>
            <w:r>
              <w:rPr>
                <w:rFonts w:hint="eastAsia" w:ascii="仿宋" w:hAnsi="仿宋" w:eastAsia="仿宋" w:cs="仿宋"/>
                <w:b/>
                <w:bCs/>
                <w:color w:val="auto"/>
                <w:kern w:val="0"/>
                <w:sz w:val="24"/>
                <w:highlight w:val="none"/>
                <w:u w:val="single"/>
              </w:rPr>
              <w:t xml:space="preserve">  不见面开标  </w:t>
            </w:r>
          </w:p>
          <w:p w14:paraId="1CD3AF6C">
            <w:pPr>
              <w:widowControl/>
              <w:shd w:val="clear" w:color="auto" w:fill="FFFFFF"/>
              <w:spacing w:line="360" w:lineRule="exact"/>
              <w:jc w:val="left"/>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注：（1）供应商远程参与开标，并在规定的时间内完成对投标文件远程解密及报价确认，</w:t>
            </w:r>
            <w:r>
              <w:rPr>
                <w:rFonts w:hint="eastAsia" w:ascii="仿宋" w:hAnsi="仿宋" w:eastAsia="仿宋" w:cs="仿宋"/>
                <w:b/>
                <w:bCs/>
                <w:color w:val="auto"/>
                <w:kern w:val="0"/>
                <w:sz w:val="24"/>
                <w:highlight w:val="none"/>
              </w:rPr>
              <w:t>本项目供应商解密时长：30分钟，因供应商自身原因导致解密或报价确认失败，投标无效。</w:t>
            </w:r>
          </w:p>
          <w:p w14:paraId="7FFF5533">
            <w:pPr>
              <w:shd w:val="clear" w:color="auto" w:fill="FFFFFF"/>
              <w:autoSpaceDE w:val="0"/>
              <w:autoSpaceDN w:val="0"/>
              <w:spacing w:line="360" w:lineRule="exact"/>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（2）因网上招标系统故障导致所有供应商均解密失败时，由采购人或采购代理机构现场请示项目主管部门处理。</w:t>
            </w:r>
          </w:p>
        </w:tc>
      </w:tr>
      <w:tr w14:paraId="711B08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357" w:type="pct"/>
            <w:vAlign w:val="center"/>
          </w:tcPr>
          <w:p w14:paraId="12D272E7">
            <w:pPr>
              <w:shd w:val="clear" w:color="auto" w:fill="FFFFFF"/>
              <w:autoSpaceDE w:val="0"/>
              <w:autoSpaceDN w:val="0"/>
              <w:spacing w:line="36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w:t>
            </w:r>
          </w:p>
        </w:tc>
        <w:tc>
          <w:tcPr>
            <w:tcW w:w="996" w:type="pct"/>
            <w:vAlign w:val="center"/>
          </w:tcPr>
          <w:p w14:paraId="20A50F3B">
            <w:pPr>
              <w:shd w:val="clear" w:color="auto" w:fill="FFFFFF"/>
              <w:autoSpaceDE w:val="0"/>
              <w:autoSpaceDN w:val="0"/>
              <w:spacing w:line="360" w:lineRule="exact"/>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评标办法</w:t>
            </w:r>
          </w:p>
        </w:tc>
        <w:tc>
          <w:tcPr>
            <w:tcW w:w="3645" w:type="pct"/>
            <w:vAlign w:val="center"/>
          </w:tcPr>
          <w:p w14:paraId="79085EAC">
            <w:pPr>
              <w:shd w:val="clear" w:color="auto" w:fill="FFFFFF"/>
              <w:autoSpaceDE w:val="0"/>
              <w:autoSpaceDN w:val="0"/>
              <w:spacing w:line="360" w:lineRule="exact"/>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综合评分法</w:t>
            </w:r>
          </w:p>
        </w:tc>
      </w:tr>
      <w:tr w14:paraId="1DB677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357" w:type="pct"/>
            <w:vAlign w:val="center"/>
          </w:tcPr>
          <w:p w14:paraId="165F6769">
            <w:pPr>
              <w:shd w:val="clear" w:color="auto" w:fill="FFFFFF"/>
              <w:autoSpaceDE w:val="0"/>
              <w:autoSpaceDN w:val="0"/>
              <w:spacing w:line="36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w:t>
            </w:r>
          </w:p>
        </w:tc>
        <w:tc>
          <w:tcPr>
            <w:tcW w:w="996" w:type="pct"/>
            <w:vAlign w:val="center"/>
          </w:tcPr>
          <w:p w14:paraId="49ACF879">
            <w:pPr>
              <w:shd w:val="clear" w:color="auto" w:fill="FFFFFF"/>
              <w:autoSpaceDE w:val="0"/>
              <w:autoSpaceDN w:val="0"/>
              <w:spacing w:line="360" w:lineRule="exact"/>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投标保证金</w:t>
            </w:r>
          </w:p>
        </w:tc>
        <w:tc>
          <w:tcPr>
            <w:tcW w:w="3645" w:type="pct"/>
            <w:vAlign w:val="center"/>
          </w:tcPr>
          <w:p w14:paraId="098FDF0C">
            <w:pPr>
              <w:pStyle w:val="85"/>
              <w:shd w:val="clear" w:color="auto" w:fill="FFFFFF"/>
              <w:spacing w:line="360" w:lineRule="exact"/>
              <w:ind w:firstLine="0" w:firstLineChars="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金额：</w:t>
            </w:r>
            <w:r>
              <w:rPr>
                <w:rFonts w:hint="eastAsia" w:ascii="仿宋" w:hAnsi="仿宋" w:eastAsia="仿宋" w:cs="仿宋"/>
                <w:bCs/>
                <w:color w:val="auto"/>
                <w:kern w:val="0"/>
                <w:sz w:val="24"/>
                <w:szCs w:val="24"/>
                <w:highlight w:val="none"/>
                <w:lang w:val="en-US" w:eastAsia="zh-CN"/>
              </w:rPr>
              <w:t>25000</w:t>
            </w:r>
            <w:r>
              <w:rPr>
                <w:rFonts w:hint="eastAsia" w:ascii="仿宋" w:hAnsi="仿宋" w:eastAsia="仿宋" w:cs="仿宋"/>
                <w:bCs/>
                <w:color w:val="auto"/>
                <w:sz w:val="24"/>
                <w:szCs w:val="24"/>
                <w:highlight w:val="none"/>
              </w:rPr>
              <w:t>.00元（</w:t>
            </w:r>
            <w:r>
              <w:rPr>
                <w:rFonts w:hint="eastAsia" w:ascii="仿宋" w:hAnsi="仿宋" w:eastAsia="仿宋" w:cs="仿宋"/>
                <w:bCs/>
                <w:color w:val="auto"/>
                <w:sz w:val="24"/>
                <w:szCs w:val="24"/>
                <w:highlight w:val="none"/>
                <w:lang w:eastAsia="zh-CN"/>
              </w:rPr>
              <w:t>贰万伍仟</w:t>
            </w:r>
            <w:r>
              <w:rPr>
                <w:rFonts w:hint="eastAsia" w:ascii="仿宋" w:hAnsi="仿宋" w:eastAsia="仿宋" w:cs="仿宋"/>
                <w:bCs/>
                <w:color w:val="auto"/>
                <w:sz w:val="24"/>
                <w:szCs w:val="24"/>
                <w:highlight w:val="none"/>
              </w:rPr>
              <w:t>元）</w:t>
            </w:r>
          </w:p>
          <w:p w14:paraId="0078E300">
            <w:pPr>
              <w:shd w:val="clear" w:color="auto" w:fill="FFFFFF"/>
              <w:spacing w:line="360" w:lineRule="exact"/>
              <w:rPr>
                <w:rFonts w:hint="eastAsia" w:ascii="仿宋" w:hAnsi="仿宋" w:eastAsia="仿宋" w:cs="仿宋"/>
                <w:bCs/>
                <w:color w:val="auto"/>
                <w:kern w:val="0"/>
                <w:sz w:val="24"/>
                <w:highlight w:val="none"/>
              </w:rPr>
            </w:pPr>
            <w:r>
              <w:rPr>
                <w:rFonts w:hint="eastAsia" w:ascii="仿宋" w:hAnsi="仿宋" w:eastAsia="仿宋" w:cs="仿宋"/>
                <w:bCs/>
                <w:color w:val="auto"/>
                <w:sz w:val="24"/>
                <w:highlight w:val="none"/>
              </w:rPr>
              <w:t>供应商应于</w:t>
            </w:r>
            <w:r>
              <w:rPr>
                <w:rFonts w:hint="eastAsia" w:ascii="仿宋" w:hAnsi="仿宋" w:eastAsia="仿宋" w:cs="仿宋"/>
                <w:color w:val="auto"/>
                <w:sz w:val="24"/>
                <w:highlight w:val="none"/>
                <w:lang w:eastAsia="zh-CN"/>
              </w:rPr>
              <w:t>2025年</w:t>
            </w:r>
            <w:r>
              <w:rPr>
                <w:rFonts w:hint="eastAsia" w:ascii="仿宋" w:hAnsi="仿宋" w:eastAsia="仿宋" w:cs="仿宋"/>
                <w:color w:val="auto"/>
                <w:sz w:val="24"/>
                <w:highlight w:val="none"/>
                <w:lang w:val="en-US" w:eastAsia="zh-CN"/>
              </w:rPr>
              <w:t>08</w:t>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lang w:val="en-US" w:eastAsia="zh-CN"/>
              </w:rPr>
              <w:t>07</w:t>
            </w:r>
            <w:r>
              <w:rPr>
                <w:rFonts w:hint="eastAsia" w:ascii="仿宋" w:hAnsi="仿宋" w:eastAsia="仿宋" w:cs="仿宋"/>
                <w:color w:val="auto"/>
                <w:sz w:val="24"/>
                <w:highlight w:val="none"/>
                <w:lang w:eastAsia="zh-CN"/>
              </w:rPr>
              <w:t>日1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:00</w:t>
            </w:r>
            <w:r>
              <w:rPr>
                <w:rFonts w:hint="eastAsia" w:ascii="仿宋" w:hAnsi="仿宋" w:eastAsia="仿宋" w:cs="仿宋"/>
                <w:color w:val="auto"/>
                <w:sz w:val="24"/>
                <w:highlight w:val="none"/>
              </w:rPr>
              <w:t>时（北京时间）</w:t>
            </w:r>
            <w:r>
              <w:rPr>
                <w:rFonts w:hint="eastAsia" w:ascii="仿宋" w:hAnsi="仿宋" w:eastAsia="仿宋" w:cs="仿宋"/>
                <w:bCs/>
                <w:color w:val="auto"/>
                <w:sz w:val="24"/>
                <w:highlight w:val="none"/>
              </w:rPr>
              <w:t>前</w:t>
            </w:r>
            <w:r>
              <w:rPr>
                <w:rFonts w:hint="eastAsia" w:ascii="仿宋" w:hAnsi="仿宋" w:eastAsia="仿宋" w:cs="仿宋"/>
                <w:bCs/>
                <w:color w:val="auto"/>
                <w:kern w:val="0"/>
                <w:sz w:val="24"/>
                <w:highlight w:val="none"/>
              </w:rPr>
              <w:t>，将投标保证金以支票、汇票、本票、电汇、网银支付或者金融机构、担保机构出具的保函等非现金形式缴纳。</w:t>
            </w:r>
          </w:p>
          <w:p w14:paraId="378159A3">
            <w:pPr>
              <w:shd w:val="clear" w:color="auto" w:fill="FFFFFF"/>
              <w:spacing w:line="360" w:lineRule="exact"/>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账户名称：新疆品创项目管理咨询有限公司</w:t>
            </w:r>
          </w:p>
          <w:p w14:paraId="6D4D1584">
            <w:pPr>
              <w:shd w:val="clear" w:color="auto" w:fill="FFFFFF"/>
              <w:spacing w:line="360" w:lineRule="exact"/>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开户银行：中国银行股份有限公司乌鲁木齐市安居南路支行</w:t>
            </w:r>
          </w:p>
          <w:p w14:paraId="56AE8D0E">
            <w:pPr>
              <w:shd w:val="clear" w:color="auto" w:fill="FFFFFF"/>
              <w:spacing w:line="360" w:lineRule="exact"/>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账号：107685372797</w:t>
            </w:r>
          </w:p>
          <w:p w14:paraId="4831092E">
            <w:pPr>
              <w:shd w:val="clear" w:color="auto" w:fill="FFFFFF"/>
              <w:spacing w:line="360" w:lineRule="exact"/>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行号：104881005046</w:t>
            </w:r>
          </w:p>
          <w:p w14:paraId="0C888578">
            <w:pPr>
              <w:pStyle w:val="85"/>
              <w:shd w:val="clear" w:color="auto" w:fill="FFFFFF"/>
              <w:spacing w:line="360" w:lineRule="exact"/>
              <w:ind w:firstLine="0"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highlight w:val="none"/>
              </w:rPr>
              <w:t>注：</w:t>
            </w:r>
            <w:r>
              <w:rPr>
                <w:rFonts w:hint="eastAsia" w:ascii="仿宋" w:hAnsi="仿宋" w:eastAsia="仿宋" w:cs="仿宋"/>
                <w:bCs/>
                <w:color w:val="auto"/>
                <w:sz w:val="24"/>
                <w:szCs w:val="24"/>
                <w:highlight w:val="none"/>
              </w:rPr>
              <w:t>1、如果发现供应商有围标、串标行为，其投标无效，且投标保证金将被没收，不予退还；</w:t>
            </w:r>
          </w:p>
          <w:p w14:paraId="6A670BE5">
            <w:pPr>
              <w:pStyle w:val="85"/>
              <w:numPr>
                <w:ilvl w:val="0"/>
                <w:numId w:val="0"/>
              </w:numPr>
              <w:shd w:val="clear" w:color="auto" w:fill="FFFFFF"/>
              <w:spacing w:line="360" w:lineRule="exact"/>
              <w:ind w:firstLine="0" w:firstLineChars="0"/>
              <w:rPr>
                <w:rFonts w:hint="eastAsia" w:ascii="仿宋" w:hAnsi="仿宋" w:eastAsia="仿宋" w:cs="仿宋"/>
                <w:bCs/>
                <w:color w:val="auto"/>
                <w:sz w:val="24"/>
                <w:szCs w:val="24"/>
                <w:highlight w:val="none"/>
              </w:rPr>
            </w:pPr>
            <w:r>
              <w:rPr>
                <w:rFonts w:hint="eastAsia" w:ascii="仿宋" w:hAnsi="仿宋" w:eastAsia="仿宋" w:cs="仿宋"/>
                <w:bCs/>
                <w:color w:val="auto"/>
                <w:kern w:val="2"/>
                <w:sz w:val="24"/>
                <w:szCs w:val="24"/>
                <w:highlight w:val="none"/>
                <w:lang w:val="en-US" w:eastAsia="zh-CN" w:bidi="ar-SA"/>
              </w:rPr>
              <w:t>2、</w:t>
            </w:r>
            <w:r>
              <w:rPr>
                <w:rFonts w:hint="eastAsia" w:ascii="仿宋" w:hAnsi="仿宋" w:eastAsia="仿宋" w:cs="仿宋"/>
                <w:bCs/>
                <w:color w:val="auto"/>
                <w:sz w:val="24"/>
                <w:szCs w:val="24"/>
                <w:highlight w:val="none"/>
              </w:rPr>
              <w:t>投标保证金未按规定时间缴纳或提交金额不足的，其投标将被否决，供应商应充分考虑资金在途时间；</w:t>
            </w:r>
          </w:p>
          <w:p w14:paraId="3DFD498C">
            <w:pPr>
              <w:pStyle w:val="85"/>
              <w:numPr>
                <w:ilvl w:val="0"/>
                <w:numId w:val="0"/>
              </w:numPr>
              <w:shd w:val="clear" w:color="auto" w:fill="FFFFFF"/>
              <w:spacing w:line="360" w:lineRule="exact"/>
              <w:ind w:firstLine="0" w:firstLineChars="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3、供应商以</w:t>
            </w:r>
            <w:r>
              <w:rPr>
                <w:rFonts w:hint="eastAsia" w:ascii="仿宋" w:hAnsi="仿宋" w:eastAsia="仿宋" w:cs="仿宋"/>
                <w:bCs/>
                <w:color w:val="auto"/>
                <w:kern w:val="0"/>
                <w:sz w:val="24"/>
                <w:highlight w:val="none"/>
              </w:rPr>
              <w:t>金融机构、担保机构出具的保函</w:t>
            </w:r>
            <w:r>
              <w:rPr>
                <w:rFonts w:hint="eastAsia" w:ascii="仿宋" w:hAnsi="仿宋" w:eastAsia="仿宋" w:cs="仿宋"/>
                <w:bCs/>
                <w:color w:val="auto"/>
                <w:sz w:val="24"/>
                <w:szCs w:val="24"/>
                <w:highlight w:val="none"/>
                <w:lang w:val="en-US" w:eastAsia="zh-CN"/>
              </w:rPr>
              <w:t>形式缴纳投标保证金的，被保险人和受益人须为采购人；</w:t>
            </w:r>
          </w:p>
          <w:p w14:paraId="44EEA12E">
            <w:pPr>
              <w:pStyle w:val="85"/>
              <w:shd w:val="clear" w:color="auto" w:fill="FFFFFF"/>
              <w:spacing w:line="360" w:lineRule="exact"/>
              <w:ind w:firstLine="0" w:firstLineChars="0"/>
              <w:rPr>
                <w:rFonts w:hint="eastAsia" w:ascii="仿宋" w:hAnsi="仿宋" w:eastAsia="仿宋" w:cs="仿宋"/>
                <w:b/>
                <w:bCs/>
                <w:color w:val="auto"/>
                <w:kern w:val="0"/>
                <w:sz w:val="24"/>
                <w:szCs w:val="24"/>
                <w:highlight w:val="none"/>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、供应商向代理机构账户缴纳投标保证金时，</w:t>
            </w:r>
            <w:r>
              <w:rPr>
                <w:rFonts w:hint="eastAsia" w:ascii="仿宋" w:hAnsi="仿宋" w:eastAsia="仿宋" w:cs="仿宋"/>
                <w:b/>
                <w:bCs/>
                <w:color w:val="auto"/>
                <w:sz w:val="24"/>
                <w:szCs w:val="24"/>
                <w:highlight w:val="none"/>
                <w:lang w:eastAsia="zh-CN"/>
              </w:rPr>
              <w:t>请</w:t>
            </w:r>
            <w:r>
              <w:rPr>
                <w:rFonts w:hint="eastAsia" w:ascii="仿宋" w:hAnsi="仿宋" w:eastAsia="仿宋" w:cs="仿宋"/>
                <w:b/>
                <w:bCs/>
                <w:color w:val="auto"/>
                <w:sz w:val="24"/>
                <w:szCs w:val="24"/>
                <w:highlight w:val="none"/>
              </w:rPr>
              <w:t>备注“</w:t>
            </w:r>
            <w:r>
              <w:rPr>
                <w:rFonts w:hint="eastAsia" w:ascii="仿宋" w:hAnsi="仿宋" w:eastAsia="仿宋" w:cs="仿宋"/>
                <w:b/>
                <w:bCs/>
                <w:color w:val="auto"/>
                <w:sz w:val="24"/>
                <w:szCs w:val="24"/>
                <w:highlight w:val="none"/>
                <w:lang w:eastAsia="zh-CN"/>
              </w:rPr>
              <w:t>二部</w:t>
            </w:r>
            <w:r>
              <w:rPr>
                <w:rFonts w:hint="eastAsia" w:ascii="仿宋" w:hAnsi="仿宋" w:eastAsia="仿宋" w:cs="仿宋"/>
                <w:b/>
                <w:bCs/>
                <w:color w:val="auto"/>
                <w:sz w:val="24"/>
                <w:szCs w:val="24"/>
                <w:highlight w:val="none"/>
                <w:lang w:val="en-US" w:eastAsia="zh-CN"/>
              </w:rPr>
              <w:t>100</w:t>
            </w:r>
            <w:r>
              <w:rPr>
                <w:rFonts w:hint="eastAsia" w:ascii="仿宋" w:hAnsi="仿宋" w:eastAsia="仿宋" w:cs="仿宋"/>
                <w:b/>
                <w:bCs/>
                <w:color w:val="auto"/>
                <w:sz w:val="24"/>
                <w:szCs w:val="24"/>
                <w:highlight w:val="none"/>
              </w:rPr>
              <w:t>”</w:t>
            </w:r>
            <w:r>
              <w:rPr>
                <w:rFonts w:hint="eastAsia" w:ascii="仿宋" w:hAnsi="仿宋" w:eastAsia="仿宋" w:cs="仿宋"/>
                <w:bCs/>
                <w:color w:val="auto"/>
                <w:sz w:val="24"/>
                <w:szCs w:val="24"/>
                <w:highlight w:val="none"/>
              </w:rPr>
              <w:t>。</w:t>
            </w:r>
          </w:p>
        </w:tc>
      </w:tr>
      <w:tr w14:paraId="143784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357" w:type="pct"/>
            <w:vAlign w:val="center"/>
          </w:tcPr>
          <w:p w14:paraId="2789CD90">
            <w:pPr>
              <w:shd w:val="clear" w:color="auto" w:fill="FFFFFF"/>
              <w:autoSpaceDE w:val="0"/>
              <w:autoSpaceDN w:val="0"/>
              <w:spacing w:line="36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w:t>
            </w:r>
          </w:p>
        </w:tc>
        <w:tc>
          <w:tcPr>
            <w:tcW w:w="996" w:type="pct"/>
            <w:vAlign w:val="center"/>
          </w:tcPr>
          <w:p w14:paraId="3E90AA7F">
            <w:pPr>
              <w:shd w:val="clear" w:color="auto" w:fill="FFFFFF"/>
              <w:autoSpaceDE w:val="0"/>
              <w:autoSpaceDN w:val="0"/>
              <w:spacing w:line="360" w:lineRule="exact"/>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采购文件售价</w:t>
            </w:r>
          </w:p>
        </w:tc>
        <w:tc>
          <w:tcPr>
            <w:tcW w:w="3645" w:type="pct"/>
            <w:vAlign w:val="center"/>
          </w:tcPr>
          <w:p w14:paraId="1EEA261D">
            <w:pPr>
              <w:shd w:val="clear" w:color="auto" w:fill="FFFFFF"/>
              <w:autoSpaceDE w:val="0"/>
              <w:autoSpaceDN w:val="0"/>
              <w:spacing w:line="360" w:lineRule="exact"/>
              <w:rPr>
                <w:rFonts w:hint="eastAsia" w:ascii="仿宋" w:hAnsi="仿宋" w:eastAsia="仿宋" w:cs="仿宋"/>
                <w:bCs/>
                <w:color w:val="auto"/>
                <w:kern w:val="0"/>
                <w:sz w:val="24"/>
                <w:highlight w:val="none"/>
              </w:rPr>
            </w:pPr>
            <w:r>
              <w:rPr>
                <w:rFonts w:hint="eastAsia" w:ascii="仿宋" w:hAnsi="仿宋" w:eastAsia="仿宋" w:cs="仿宋"/>
                <w:color w:val="auto"/>
                <w:sz w:val="24"/>
                <w:highlight w:val="none"/>
              </w:rPr>
              <w:t>政采云平台免费下载。</w:t>
            </w:r>
          </w:p>
        </w:tc>
      </w:tr>
      <w:tr w14:paraId="76DF5B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357" w:type="pct"/>
            <w:vAlign w:val="center"/>
          </w:tcPr>
          <w:p w14:paraId="0ACC2F0F">
            <w:pPr>
              <w:shd w:val="clear" w:color="auto" w:fill="FFFFFF"/>
              <w:autoSpaceDE w:val="0"/>
              <w:autoSpaceDN w:val="0"/>
              <w:spacing w:line="36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w:t>
            </w:r>
          </w:p>
        </w:tc>
        <w:tc>
          <w:tcPr>
            <w:tcW w:w="996" w:type="pct"/>
            <w:vAlign w:val="center"/>
          </w:tcPr>
          <w:p w14:paraId="7993A6F6">
            <w:pPr>
              <w:pStyle w:val="85"/>
              <w:shd w:val="clear" w:color="auto" w:fill="FFFFFF"/>
              <w:spacing w:line="360" w:lineRule="exact"/>
              <w:ind w:firstLine="0" w:firstLineChars="0"/>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对采购文件的质疑</w:t>
            </w:r>
          </w:p>
        </w:tc>
        <w:tc>
          <w:tcPr>
            <w:tcW w:w="3645" w:type="pct"/>
            <w:vAlign w:val="center"/>
          </w:tcPr>
          <w:p w14:paraId="4187D22A">
            <w:pPr>
              <w:pStyle w:val="85"/>
              <w:shd w:val="clear" w:color="auto" w:fill="FFFFFF"/>
              <w:spacing w:line="360" w:lineRule="exact"/>
              <w:ind w:firstLine="0" w:firstLineChars="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供应商如需对招标文件内容质疑，须按以下要求提出：</w:t>
            </w:r>
          </w:p>
          <w:p w14:paraId="3382CD76">
            <w:pPr>
              <w:pStyle w:val="85"/>
              <w:shd w:val="clear" w:color="auto" w:fill="FFFFFF"/>
              <w:spacing w:line="360" w:lineRule="exact"/>
              <w:ind w:firstLine="0" w:firstLineChars="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①供应商应在法定质疑期内（即从获取本项目招标文件起7个工作日内）一次性提出所有质疑内容。</w:t>
            </w:r>
          </w:p>
          <w:p w14:paraId="6A1556D5">
            <w:pPr>
              <w:pStyle w:val="85"/>
              <w:shd w:val="clear" w:color="auto" w:fill="FFFFFF"/>
              <w:spacing w:line="360" w:lineRule="exact"/>
              <w:ind w:firstLine="0" w:firstLineChars="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②质疑函应以书面形式（详见 投标须知 第14.1款）通知采购代理机构。采购代理机构将在收到质疑函后7个工作日内作出答复，并以书面形式通知质疑供应商。</w:t>
            </w:r>
          </w:p>
          <w:p w14:paraId="194A8370">
            <w:pPr>
              <w:pStyle w:val="85"/>
              <w:shd w:val="clear" w:color="auto" w:fill="FFFFFF"/>
              <w:spacing w:line="360" w:lineRule="exact"/>
              <w:ind w:firstLine="0" w:firstLineChars="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③联系部门：新疆品创项目管理咨询有限公司 业务</w:t>
            </w:r>
            <w:r>
              <w:rPr>
                <w:rFonts w:hint="eastAsia" w:ascii="仿宋" w:hAnsi="仿宋" w:eastAsia="仿宋" w:cs="仿宋"/>
                <w:bCs/>
                <w:color w:val="auto"/>
                <w:kern w:val="0"/>
                <w:sz w:val="24"/>
                <w:szCs w:val="24"/>
                <w:highlight w:val="none"/>
                <w:lang w:eastAsia="zh-CN"/>
              </w:rPr>
              <w:t>二</w:t>
            </w:r>
            <w:r>
              <w:rPr>
                <w:rFonts w:hint="eastAsia" w:ascii="仿宋" w:hAnsi="仿宋" w:eastAsia="仿宋" w:cs="仿宋"/>
                <w:bCs/>
                <w:color w:val="auto"/>
                <w:kern w:val="0"/>
                <w:sz w:val="24"/>
                <w:szCs w:val="24"/>
                <w:highlight w:val="none"/>
              </w:rPr>
              <w:t>部</w:t>
            </w:r>
          </w:p>
          <w:p w14:paraId="1D017631">
            <w:pPr>
              <w:pStyle w:val="85"/>
              <w:shd w:val="clear" w:color="auto" w:fill="FFFFFF"/>
              <w:spacing w:line="360" w:lineRule="exact"/>
              <w:ind w:firstLine="0" w:firstLineChars="0"/>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rPr>
              <w:t>④联系电话：0991-5221</w:t>
            </w:r>
            <w:r>
              <w:rPr>
                <w:rFonts w:hint="eastAsia" w:ascii="仿宋" w:hAnsi="仿宋" w:eastAsia="仿宋" w:cs="仿宋"/>
                <w:bCs/>
                <w:color w:val="auto"/>
                <w:kern w:val="0"/>
                <w:sz w:val="24"/>
                <w:szCs w:val="24"/>
                <w:highlight w:val="none"/>
                <w:lang w:val="en-US" w:eastAsia="zh-CN"/>
              </w:rPr>
              <w:t>699</w:t>
            </w:r>
          </w:p>
          <w:p w14:paraId="7E4A6E27">
            <w:pPr>
              <w:pStyle w:val="85"/>
              <w:shd w:val="clear" w:color="auto" w:fill="FFFFFF"/>
              <w:spacing w:line="360" w:lineRule="exact"/>
              <w:ind w:firstLine="0" w:firstLineChars="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⑤通讯地址：新疆乌鲁木齐市沙依巴克区长江路76号兴乐世贸广场29楼</w:t>
            </w:r>
          </w:p>
        </w:tc>
      </w:tr>
      <w:tr w14:paraId="4C2DDB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57" w:type="pct"/>
            <w:vAlign w:val="center"/>
          </w:tcPr>
          <w:p w14:paraId="190BEC68">
            <w:pPr>
              <w:shd w:val="clear" w:color="auto" w:fill="FFFFFF"/>
              <w:autoSpaceDE w:val="0"/>
              <w:autoSpaceDN w:val="0"/>
              <w:spacing w:line="36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w:t>
            </w:r>
          </w:p>
        </w:tc>
        <w:tc>
          <w:tcPr>
            <w:tcW w:w="996" w:type="pct"/>
            <w:vAlign w:val="center"/>
          </w:tcPr>
          <w:p w14:paraId="3F7400F4">
            <w:pPr>
              <w:shd w:val="clear" w:color="auto" w:fill="FFFFFF"/>
              <w:autoSpaceDE w:val="0"/>
              <w:autoSpaceDN w:val="0"/>
              <w:spacing w:line="360" w:lineRule="exact"/>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履约保证金</w:t>
            </w:r>
          </w:p>
        </w:tc>
        <w:tc>
          <w:tcPr>
            <w:tcW w:w="3645" w:type="pct"/>
            <w:vAlign w:val="center"/>
          </w:tcPr>
          <w:p w14:paraId="3901A67D">
            <w:pPr>
              <w:pStyle w:val="85"/>
              <w:shd w:val="clear" w:color="auto" w:fill="FFFFFF"/>
              <w:spacing w:line="360" w:lineRule="exact"/>
              <w:ind w:firstLine="0"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p>
        </w:tc>
      </w:tr>
      <w:tr w14:paraId="0C60E3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57" w:type="pct"/>
            <w:vMerge w:val="restart"/>
            <w:vAlign w:val="center"/>
          </w:tcPr>
          <w:p w14:paraId="13A515E1">
            <w:pPr>
              <w:shd w:val="clear" w:color="auto" w:fill="FFFFFF"/>
              <w:autoSpaceDE w:val="0"/>
              <w:autoSpaceDN w:val="0"/>
              <w:spacing w:line="36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w:t>
            </w:r>
          </w:p>
        </w:tc>
        <w:tc>
          <w:tcPr>
            <w:tcW w:w="996" w:type="pct"/>
            <w:vAlign w:val="center"/>
          </w:tcPr>
          <w:p w14:paraId="6FFE8673">
            <w:pPr>
              <w:shd w:val="clear" w:color="auto" w:fill="FFFFFF"/>
              <w:autoSpaceDE w:val="0"/>
              <w:autoSpaceDN w:val="0"/>
              <w:spacing w:line="360" w:lineRule="exact"/>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交付时间</w:t>
            </w:r>
          </w:p>
        </w:tc>
        <w:tc>
          <w:tcPr>
            <w:tcW w:w="3645" w:type="pct"/>
            <w:vAlign w:val="center"/>
          </w:tcPr>
          <w:p w14:paraId="0E28B588">
            <w:pPr>
              <w:pStyle w:val="85"/>
              <w:shd w:val="clear" w:color="auto" w:fill="FFFFFF"/>
              <w:spacing w:line="360" w:lineRule="exact"/>
              <w:ind w:firstLine="0" w:firstLineChars="0"/>
              <w:rPr>
                <w:rFonts w:hint="eastAsia" w:ascii="仿宋" w:hAnsi="仿宋" w:eastAsia="仿宋" w:cs="仿宋"/>
                <w:bCs/>
                <w:color w:val="auto"/>
                <w:sz w:val="24"/>
                <w:szCs w:val="24"/>
                <w:highlight w:val="none"/>
                <w:lang w:val="en-US"/>
              </w:rPr>
            </w:pPr>
            <w:r>
              <w:rPr>
                <w:rFonts w:hint="eastAsia" w:ascii="仿宋" w:hAnsi="仿宋" w:eastAsia="仿宋" w:cs="仿宋"/>
                <w:b w:val="0"/>
                <w:bCs/>
                <w:color w:val="auto"/>
                <w:sz w:val="24"/>
                <w:highlight w:val="none"/>
                <w:lang w:eastAsia="zh-CN"/>
              </w:rPr>
              <w:t>合同签订生效后</w:t>
            </w:r>
            <w:r>
              <w:rPr>
                <w:rFonts w:hint="eastAsia" w:ascii="仿宋" w:hAnsi="仿宋" w:eastAsia="仿宋" w:cs="仿宋"/>
                <w:b w:val="0"/>
                <w:bCs/>
                <w:color w:val="auto"/>
                <w:sz w:val="24"/>
                <w:highlight w:val="none"/>
                <w:lang w:val="en-US" w:eastAsia="zh-CN"/>
              </w:rPr>
              <w:t>90个日历日内。</w:t>
            </w:r>
          </w:p>
        </w:tc>
      </w:tr>
      <w:tr w14:paraId="2A0897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57" w:type="pct"/>
            <w:vMerge w:val="continue"/>
            <w:vAlign w:val="center"/>
          </w:tcPr>
          <w:p w14:paraId="2D63ABA5">
            <w:pPr>
              <w:shd w:val="clear" w:color="auto" w:fill="FFFFFF"/>
              <w:autoSpaceDE w:val="0"/>
              <w:autoSpaceDN w:val="0"/>
              <w:spacing w:line="360" w:lineRule="exact"/>
              <w:jc w:val="center"/>
              <w:rPr>
                <w:rFonts w:hint="eastAsia" w:ascii="仿宋" w:hAnsi="仿宋" w:eastAsia="仿宋" w:cs="仿宋"/>
                <w:color w:val="auto"/>
                <w:kern w:val="0"/>
                <w:sz w:val="24"/>
                <w:highlight w:val="none"/>
              </w:rPr>
            </w:pPr>
          </w:p>
        </w:tc>
        <w:tc>
          <w:tcPr>
            <w:tcW w:w="996" w:type="pct"/>
            <w:vAlign w:val="center"/>
          </w:tcPr>
          <w:p w14:paraId="3CA443F7">
            <w:pPr>
              <w:pStyle w:val="85"/>
              <w:shd w:val="clear" w:color="auto" w:fill="FFFFFF"/>
              <w:spacing w:line="360" w:lineRule="exact"/>
              <w:ind w:firstLine="0" w:firstLineChars="0"/>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lang w:eastAsia="zh-CN"/>
              </w:rPr>
              <w:t>服务</w:t>
            </w:r>
            <w:r>
              <w:rPr>
                <w:rFonts w:hint="eastAsia" w:ascii="仿宋" w:hAnsi="仿宋" w:eastAsia="仿宋" w:cs="仿宋"/>
                <w:bCs/>
                <w:color w:val="auto"/>
                <w:kern w:val="0"/>
                <w:sz w:val="24"/>
                <w:szCs w:val="24"/>
                <w:highlight w:val="none"/>
              </w:rPr>
              <w:t>地点</w:t>
            </w:r>
          </w:p>
        </w:tc>
        <w:tc>
          <w:tcPr>
            <w:tcW w:w="3645" w:type="pct"/>
            <w:vAlign w:val="center"/>
          </w:tcPr>
          <w:p w14:paraId="7D70DBEA">
            <w:pPr>
              <w:pStyle w:val="85"/>
              <w:shd w:val="clear" w:color="auto" w:fill="FFFFFF"/>
              <w:spacing w:line="360" w:lineRule="exact"/>
              <w:ind w:firstLine="0" w:firstLineChars="0"/>
              <w:rPr>
                <w:rFonts w:hint="eastAsia" w:ascii="仿宋" w:hAnsi="仿宋" w:eastAsia="仿宋" w:cs="仿宋"/>
                <w:bCs/>
                <w:color w:val="auto"/>
                <w:kern w:val="0"/>
                <w:sz w:val="24"/>
                <w:szCs w:val="24"/>
                <w:highlight w:val="none"/>
              </w:rPr>
            </w:pPr>
            <w:r>
              <w:rPr>
                <w:rFonts w:hint="eastAsia" w:ascii="仿宋" w:hAnsi="仿宋" w:eastAsia="仿宋" w:cs="仿宋"/>
                <w:color w:val="auto"/>
                <w:sz w:val="24"/>
                <w:highlight w:val="none"/>
              </w:rPr>
              <w:t>库尔勒市妇幼保健计划生育服务中心（库尔勒市妇幼保健院）（具体为买方指定院内地点）。</w:t>
            </w:r>
            <w:r>
              <w:rPr>
                <w:rFonts w:hint="eastAsia" w:ascii="仿宋" w:hAnsi="仿宋" w:eastAsia="仿宋" w:cs="仿宋"/>
                <w:b/>
                <w:color w:val="auto"/>
                <w:sz w:val="24"/>
                <w:highlight w:val="none"/>
                <w:lang w:val="en-US" w:eastAsia="zh-CN"/>
              </w:rPr>
              <w:t>本项为</w:t>
            </w:r>
            <w:r>
              <w:rPr>
                <w:rFonts w:hint="eastAsia" w:ascii="仿宋" w:hAnsi="仿宋" w:eastAsia="仿宋" w:cs="仿宋"/>
                <w:b/>
                <w:color w:val="auto"/>
                <w:sz w:val="24"/>
                <w:highlight w:val="none"/>
              </w:rPr>
              <w:t>实质性条款，</w:t>
            </w:r>
            <w:r>
              <w:rPr>
                <w:rFonts w:hint="eastAsia" w:ascii="仿宋" w:hAnsi="仿宋" w:eastAsia="仿宋" w:cs="仿宋"/>
                <w:b/>
                <w:color w:val="auto"/>
                <w:sz w:val="24"/>
                <w:highlight w:val="none"/>
                <w:lang w:eastAsia="zh-CN"/>
              </w:rPr>
              <w:t>如出现</w:t>
            </w:r>
            <w:r>
              <w:rPr>
                <w:rFonts w:hint="eastAsia" w:ascii="仿宋" w:hAnsi="仿宋" w:eastAsia="仿宋" w:cs="仿宋"/>
                <w:b/>
                <w:color w:val="auto"/>
                <w:sz w:val="24"/>
                <w:highlight w:val="none"/>
              </w:rPr>
              <w:t>负偏离，投标无效。</w:t>
            </w:r>
          </w:p>
        </w:tc>
      </w:tr>
      <w:tr w14:paraId="342AD1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357" w:type="pct"/>
            <w:vAlign w:val="center"/>
          </w:tcPr>
          <w:p w14:paraId="10823D1A">
            <w:pPr>
              <w:shd w:val="clear" w:color="auto" w:fill="FFFFFF"/>
              <w:autoSpaceDE w:val="0"/>
              <w:autoSpaceDN w:val="0"/>
              <w:spacing w:line="36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16</w:t>
            </w:r>
          </w:p>
        </w:tc>
        <w:tc>
          <w:tcPr>
            <w:tcW w:w="996" w:type="pct"/>
            <w:vAlign w:val="center"/>
          </w:tcPr>
          <w:p w14:paraId="77A59FD2">
            <w:pPr>
              <w:pStyle w:val="85"/>
              <w:shd w:val="clear" w:color="auto" w:fill="FFFFFF"/>
              <w:spacing w:line="360" w:lineRule="exact"/>
              <w:ind w:firstLine="0" w:firstLineChars="0"/>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付款方式</w:t>
            </w:r>
          </w:p>
        </w:tc>
        <w:tc>
          <w:tcPr>
            <w:tcW w:w="3645" w:type="pct"/>
            <w:vAlign w:val="center"/>
          </w:tcPr>
          <w:p w14:paraId="1D256763">
            <w:pPr>
              <w:pStyle w:val="305"/>
              <w:snapToGrid w:val="0"/>
              <w:spacing w:line="360" w:lineRule="exact"/>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（1）合同签订后30个工作日内，采购人在收到中标方提供的相应支付金额的增值税普通发票后10个工作日内，向中标方支付合同总额的20%。</w:t>
            </w:r>
          </w:p>
          <w:p w14:paraId="2D567A54">
            <w:pPr>
              <w:pStyle w:val="305"/>
              <w:snapToGrid w:val="0"/>
              <w:spacing w:line="360" w:lineRule="exact"/>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（2）项目通过初验后30个工作日内，采购人在收到中标方提供的相应金额的增值税普通发票后10个工作日内，向中标方支付合同总额的30%。</w:t>
            </w:r>
          </w:p>
          <w:p w14:paraId="27741077">
            <w:pPr>
              <w:pStyle w:val="305"/>
              <w:snapToGrid w:val="0"/>
              <w:spacing w:line="360" w:lineRule="exact"/>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（3）项目通过最终验收后30个工作日内，采购人在收到中标方提供的相应金额的增值税普通发票后10个工作日内，向中标方支付合同总额的30%。</w:t>
            </w:r>
          </w:p>
          <w:p w14:paraId="67C6F5A0">
            <w:pPr>
              <w:pStyle w:val="305"/>
              <w:snapToGrid w:val="0"/>
              <w:spacing w:line="360" w:lineRule="exact"/>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（4）项目维保期结束，采购人在收到中标方提供的相应金额的增值税普通发票后10个工作日内，向中标方支付合同总额的20%。</w:t>
            </w:r>
          </w:p>
          <w:p w14:paraId="32F45B84">
            <w:pPr>
              <w:pStyle w:val="305"/>
              <w:snapToGrid w:val="0"/>
              <w:spacing w:line="36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（本项为</w:t>
            </w:r>
            <w:r>
              <w:rPr>
                <w:rFonts w:hint="eastAsia" w:ascii="仿宋" w:hAnsi="仿宋" w:eastAsia="仿宋" w:cs="仿宋"/>
                <w:b/>
                <w:color w:val="auto"/>
                <w:sz w:val="24"/>
                <w:highlight w:val="none"/>
              </w:rPr>
              <w:t>实质性条款，</w:t>
            </w:r>
            <w:r>
              <w:rPr>
                <w:rFonts w:hint="eastAsia" w:ascii="仿宋" w:hAnsi="仿宋" w:eastAsia="仿宋" w:cs="仿宋"/>
                <w:b/>
                <w:color w:val="auto"/>
                <w:sz w:val="24"/>
                <w:highlight w:val="none"/>
                <w:lang w:eastAsia="zh-CN"/>
              </w:rPr>
              <w:t>如出现</w:t>
            </w:r>
            <w:r>
              <w:rPr>
                <w:rFonts w:hint="eastAsia" w:ascii="仿宋" w:hAnsi="仿宋" w:eastAsia="仿宋" w:cs="仿宋"/>
                <w:b/>
                <w:color w:val="auto"/>
                <w:sz w:val="24"/>
                <w:highlight w:val="none"/>
              </w:rPr>
              <w:t>负偏离，投标无效。</w:t>
            </w:r>
            <w:r>
              <w:rPr>
                <w:rFonts w:hint="eastAsia" w:ascii="仿宋" w:hAnsi="仿宋" w:eastAsia="仿宋" w:cs="仿宋"/>
                <w:b/>
                <w:color w:val="auto"/>
                <w:sz w:val="24"/>
                <w:highlight w:val="none"/>
                <w:lang w:val="en-US" w:eastAsia="zh-CN"/>
              </w:rPr>
              <w:t>）</w:t>
            </w:r>
          </w:p>
        </w:tc>
      </w:tr>
      <w:tr w14:paraId="6E6D20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357" w:type="pct"/>
            <w:vAlign w:val="center"/>
          </w:tcPr>
          <w:p w14:paraId="5F28AC34">
            <w:pPr>
              <w:shd w:val="clear" w:color="auto" w:fill="FFFFFF"/>
              <w:autoSpaceDE w:val="0"/>
              <w:autoSpaceDN w:val="0"/>
              <w:spacing w:line="36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17</w:t>
            </w:r>
          </w:p>
        </w:tc>
        <w:tc>
          <w:tcPr>
            <w:tcW w:w="996" w:type="pct"/>
            <w:vAlign w:val="center"/>
          </w:tcPr>
          <w:p w14:paraId="1D1D7A2E">
            <w:pPr>
              <w:shd w:val="clear" w:color="auto" w:fill="FFFFFF"/>
              <w:autoSpaceDE w:val="0"/>
              <w:autoSpaceDN w:val="0"/>
              <w:spacing w:line="360" w:lineRule="exact"/>
              <w:jc w:val="center"/>
              <w:rPr>
                <w:rFonts w:hint="eastAsia" w:ascii="仿宋" w:hAnsi="仿宋" w:eastAsia="仿宋" w:cs="仿宋"/>
                <w:b w:val="0"/>
                <w:bCs/>
                <w:color w:val="auto"/>
                <w:kern w:val="0"/>
                <w:sz w:val="24"/>
                <w:highlight w:val="none"/>
                <w:lang w:eastAsia="zh-CN"/>
              </w:rPr>
            </w:pPr>
            <w:r>
              <w:rPr>
                <w:rFonts w:hint="eastAsia" w:ascii="仿宋" w:hAnsi="仿宋" w:eastAsia="仿宋" w:cs="仿宋"/>
                <w:b w:val="0"/>
                <w:bCs/>
                <w:color w:val="auto"/>
                <w:kern w:val="0"/>
                <w:sz w:val="24"/>
                <w:highlight w:val="none"/>
                <w:lang w:eastAsia="zh-CN"/>
              </w:rPr>
              <w:t>维保期</w:t>
            </w:r>
          </w:p>
        </w:tc>
        <w:tc>
          <w:tcPr>
            <w:tcW w:w="3645" w:type="pct"/>
            <w:vAlign w:val="center"/>
          </w:tcPr>
          <w:p w14:paraId="6696FB82">
            <w:pPr>
              <w:pStyle w:val="85"/>
              <w:shd w:val="clear" w:color="auto" w:fill="FFFFFF"/>
              <w:spacing w:line="360" w:lineRule="exact"/>
              <w:ind w:firstLine="0" w:firstLineChars="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highlight w:val="none"/>
                <w:lang w:val="en-US" w:eastAsia="zh-CN"/>
              </w:rPr>
              <w:t>2年。（自项目最终验收合格开始计算）</w:t>
            </w:r>
          </w:p>
        </w:tc>
      </w:tr>
      <w:tr w14:paraId="60FB34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357" w:type="pct"/>
            <w:vAlign w:val="center"/>
          </w:tcPr>
          <w:p w14:paraId="77AB20D5">
            <w:pPr>
              <w:shd w:val="clear" w:color="auto" w:fill="FFFFFF"/>
              <w:autoSpaceDE w:val="0"/>
              <w:autoSpaceDN w:val="0"/>
              <w:spacing w:line="36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18</w:t>
            </w:r>
          </w:p>
        </w:tc>
        <w:tc>
          <w:tcPr>
            <w:tcW w:w="996" w:type="pct"/>
            <w:vAlign w:val="center"/>
          </w:tcPr>
          <w:p w14:paraId="25809C0F">
            <w:pPr>
              <w:shd w:val="clear" w:color="auto" w:fill="FFFFFF"/>
              <w:autoSpaceDE w:val="0"/>
              <w:autoSpaceDN w:val="0"/>
              <w:spacing w:line="360" w:lineRule="exact"/>
              <w:ind w:firstLine="240" w:firstLineChars="100"/>
              <w:rPr>
                <w:rFonts w:hint="eastAsia" w:ascii="仿宋" w:hAnsi="仿宋" w:eastAsia="仿宋" w:cs="仿宋"/>
                <w:bCs/>
                <w:color w:val="auto"/>
                <w:kern w:val="0"/>
                <w:sz w:val="24"/>
                <w:highlight w:val="none"/>
              </w:rPr>
            </w:pPr>
            <w:r>
              <w:rPr>
                <w:rFonts w:hint="eastAsia" w:ascii="仿宋" w:hAnsi="仿宋" w:eastAsia="仿宋" w:cs="仿宋"/>
                <w:color w:val="auto"/>
                <w:kern w:val="1"/>
                <w:sz w:val="24"/>
                <w:highlight w:val="none"/>
              </w:rPr>
              <w:t>政府采购政策</w:t>
            </w:r>
          </w:p>
        </w:tc>
        <w:tc>
          <w:tcPr>
            <w:tcW w:w="3645" w:type="pct"/>
            <w:vAlign w:val="center"/>
          </w:tcPr>
          <w:p w14:paraId="7ED2CDAC">
            <w:pPr>
              <w:pStyle w:val="85"/>
              <w:shd w:val="clear" w:color="auto" w:fill="FFFFFF"/>
              <w:spacing w:line="360" w:lineRule="exact"/>
              <w:ind w:firstLine="0" w:firstLineChars="0"/>
              <w:rPr>
                <w:rFonts w:hint="eastAsia" w:ascii="仿宋" w:hAnsi="仿宋" w:eastAsia="仿宋" w:cs="仿宋"/>
                <w:b/>
                <w:color w:val="auto"/>
                <w:kern w:val="0"/>
                <w:sz w:val="24"/>
                <w:szCs w:val="20"/>
                <w:highlight w:val="none"/>
              </w:rPr>
            </w:pPr>
            <w:r>
              <w:rPr>
                <w:rFonts w:hint="eastAsia" w:ascii="仿宋" w:hAnsi="仿宋" w:eastAsia="仿宋" w:cs="仿宋"/>
                <w:b/>
                <w:color w:val="auto"/>
                <w:kern w:val="0"/>
                <w:sz w:val="24"/>
                <w:szCs w:val="20"/>
                <w:highlight w:val="none"/>
              </w:rPr>
              <w:t>18.1本项目不专门面向中小企业采购。</w:t>
            </w:r>
          </w:p>
          <w:p w14:paraId="75970863">
            <w:pPr>
              <w:shd w:val="clear" w:color="auto" w:fill="FFFFFF"/>
              <w:spacing w:line="360" w:lineRule="exact"/>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18.2根据工信部等部委发布的《关于印发中小企业划型标准规定的通知》（工信部联企业〔2011〕300号）、财政部、工业和信息化部《政府采购促进中小企业发展管理办法 》（财库[2020]46号文）规定，</w:t>
            </w:r>
            <w:r>
              <w:rPr>
                <w:rFonts w:hint="eastAsia" w:ascii="仿宋" w:hAnsi="仿宋" w:eastAsia="仿宋" w:cs="仿宋"/>
                <w:b/>
                <w:color w:val="auto"/>
                <w:kern w:val="0"/>
                <w:sz w:val="24"/>
                <w:highlight w:val="none"/>
              </w:rPr>
              <w:t>本次采购标的名称</w:t>
            </w:r>
            <w:r>
              <w:rPr>
                <w:rFonts w:hint="eastAsia" w:ascii="仿宋" w:hAnsi="仿宋" w:eastAsia="仿宋" w:cs="仿宋"/>
                <w:b/>
                <w:color w:val="auto"/>
                <w:kern w:val="0"/>
                <w:sz w:val="24"/>
                <w:highlight w:val="none"/>
                <w:lang w:eastAsia="zh-CN"/>
              </w:rPr>
              <w:t>为：</w:t>
            </w:r>
            <w:r>
              <w:rPr>
                <w:rFonts w:hint="eastAsia" w:ascii="仿宋" w:hAnsi="仿宋" w:eastAsia="仿宋" w:cs="仿宋"/>
                <w:b/>
                <w:color w:val="auto"/>
                <w:kern w:val="0"/>
                <w:sz w:val="24"/>
                <w:highlight w:val="none"/>
                <w:u w:val="single"/>
                <w:lang w:eastAsia="zh-CN"/>
              </w:rPr>
              <w:t>库尔勒市妇幼保健计划生育服务中心（库尔勒市妇幼保健院）智慧超声系统服务采购</w:t>
            </w:r>
            <w:r>
              <w:rPr>
                <w:rFonts w:hint="eastAsia" w:ascii="仿宋" w:hAnsi="仿宋" w:eastAsia="仿宋" w:cs="仿宋"/>
                <w:b/>
                <w:color w:val="auto"/>
                <w:kern w:val="0"/>
                <w:sz w:val="24"/>
                <w:highlight w:val="none"/>
              </w:rPr>
              <w:t>，本次采购标的所属行业</w:t>
            </w:r>
            <w:r>
              <w:rPr>
                <w:rFonts w:hint="eastAsia" w:ascii="仿宋" w:hAnsi="仿宋" w:eastAsia="仿宋" w:cs="仿宋"/>
                <w:b/>
                <w:color w:val="auto"/>
                <w:kern w:val="0"/>
                <w:sz w:val="24"/>
                <w:highlight w:val="none"/>
                <w:lang w:eastAsia="zh-CN"/>
              </w:rPr>
              <w:t>为：</w:t>
            </w:r>
            <w:r>
              <w:rPr>
                <w:rFonts w:hint="eastAsia" w:ascii="仿宋" w:hAnsi="仿宋" w:eastAsia="仿宋" w:cs="仿宋"/>
                <w:b/>
                <w:color w:val="auto"/>
                <w:kern w:val="0"/>
                <w:sz w:val="24"/>
                <w:highlight w:val="none"/>
                <w:u w:val="single"/>
                <w:lang w:eastAsia="zh-CN"/>
              </w:rPr>
              <w:t>软件和信息技术服务业</w:t>
            </w:r>
            <w:r>
              <w:rPr>
                <w:rFonts w:hint="eastAsia" w:ascii="仿宋" w:hAnsi="仿宋" w:eastAsia="仿宋" w:cs="仿宋"/>
                <w:b/>
                <w:color w:val="auto"/>
                <w:kern w:val="0"/>
                <w:sz w:val="24"/>
                <w:highlight w:val="none"/>
                <w:lang w:eastAsia="zh-CN"/>
              </w:rPr>
              <w:t>。</w:t>
            </w:r>
          </w:p>
          <w:p w14:paraId="66933A4A">
            <w:pPr>
              <w:shd w:val="clear" w:color="auto" w:fill="FFFFFF"/>
              <w:spacing w:line="360" w:lineRule="exact"/>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1）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5E398819">
            <w:pPr>
              <w:shd w:val="clear" w:color="auto" w:fill="FFFFFF"/>
              <w:spacing w:line="360" w:lineRule="exact"/>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（2）在</w:t>
            </w:r>
            <w:r>
              <w:rPr>
                <w:rFonts w:hint="eastAsia" w:ascii="仿宋" w:hAnsi="仿宋" w:eastAsia="仿宋" w:cs="仿宋"/>
                <w:b w:val="0"/>
                <w:bCs w:val="0"/>
                <w:color w:val="auto"/>
                <w:kern w:val="0"/>
                <w:sz w:val="24"/>
                <w:szCs w:val="20"/>
                <w:highlight w:val="none"/>
              </w:rPr>
              <w:t>服务采购项目</w:t>
            </w:r>
            <w:r>
              <w:rPr>
                <w:rFonts w:hint="eastAsia" w:ascii="仿宋" w:hAnsi="仿宋" w:eastAsia="仿宋" w:cs="仿宋"/>
                <w:color w:val="auto"/>
                <w:kern w:val="0"/>
                <w:sz w:val="24"/>
                <w:szCs w:val="20"/>
                <w:highlight w:val="none"/>
              </w:rPr>
              <w:t>中，服务由中小企业承接，即提供服务的人员为中小企业依照《中华人民共和国劳动合同法》订立劳动合同的从业人员。</w:t>
            </w:r>
          </w:p>
          <w:p w14:paraId="0E9FEE08">
            <w:pPr>
              <w:shd w:val="clear" w:color="auto" w:fill="FFFFFF"/>
              <w:spacing w:line="360" w:lineRule="exact"/>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（3）对满足以上（1）（2）两项条件并按照本文件第五章规定格式提供《中小企业声明函》（内容须填写完整）的</w:t>
            </w:r>
            <w:r>
              <w:rPr>
                <w:rFonts w:hint="eastAsia" w:ascii="仿宋" w:hAnsi="仿宋" w:eastAsia="仿宋" w:cs="仿宋"/>
                <w:b/>
                <w:bCs/>
                <w:color w:val="auto"/>
                <w:kern w:val="0"/>
                <w:sz w:val="24"/>
                <w:szCs w:val="20"/>
                <w:highlight w:val="none"/>
              </w:rPr>
              <w:t>小微企业的投标总报价给予 10 %的扣除</w:t>
            </w:r>
            <w:r>
              <w:rPr>
                <w:rFonts w:hint="eastAsia" w:ascii="仿宋" w:hAnsi="仿宋" w:eastAsia="仿宋" w:cs="仿宋"/>
                <w:color w:val="auto"/>
                <w:kern w:val="0"/>
                <w:sz w:val="24"/>
                <w:szCs w:val="20"/>
                <w:highlight w:val="none"/>
              </w:rPr>
              <w:t>，用扣除后的价格参与评审。</w:t>
            </w:r>
          </w:p>
          <w:p w14:paraId="4A90D1E4">
            <w:pPr>
              <w:shd w:val="clear" w:color="auto" w:fill="FFFFFF"/>
              <w:spacing w:line="360" w:lineRule="exact"/>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（4）依据本办法规定享受扶持政策获得政府采购合同的，小微企业不得将合同分包给大中型企业，中型企业不得将合同分包给大型企业。</w:t>
            </w:r>
          </w:p>
          <w:p w14:paraId="12404189">
            <w:pPr>
              <w:shd w:val="clear" w:color="auto" w:fill="FFFFFF"/>
              <w:spacing w:line="360" w:lineRule="exact"/>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（5）提供由省级以上监狱管理局、戒毒管理局（含新疆生产建设兵团）出具的属于监狱企业证明文件（扫描件）的，视同为小型和微型企业。</w:t>
            </w:r>
          </w:p>
          <w:p w14:paraId="6F925FA9">
            <w:pPr>
              <w:shd w:val="clear" w:color="auto" w:fill="FFFFFF"/>
              <w:spacing w:line="360" w:lineRule="exact"/>
              <w:rPr>
                <w:rFonts w:hint="eastAsia" w:ascii="仿宋" w:hAnsi="仿宋" w:eastAsia="仿宋" w:cs="仿宋"/>
                <w:color w:val="auto"/>
                <w:kern w:val="1"/>
                <w:sz w:val="24"/>
                <w:highlight w:val="none"/>
                <w:lang w:val="en-US" w:eastAsia="zh-CN"/>
              </w:rPr>
            </w:pPr>
            <w:r>
              <w:rPr>
                <w:rFonts w:hint="eastAsia" w:ascii="仿宋" w:hAnsi="仿宋" w:eastAsia="仿宋" w:cs="仿宋"/>
                <w:color w:val="auto"/>
                <w:kern w:val="0"/>
                <w:sz w:val="24"/>
                <w:szCs w:val="20"/>
                <w:highlight w:val="none"/>
              </w:rPr>
              <w:t>（6）符合享受政府采购支持政策的残疾人福利性单位条件且提供《残疾人福利性单位声明函》的，视同为小型和微型企业。</w:t>
            </w:r>
          </w:p>
        </w:tc>
      </w:tr>
      <w:tr w14:paraId="093250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357" w:type="pct"/>
            <w:vAlign w:val="center"/>
          </w:tcPr>
          <w:p w14:paraId="45EA4FF2">
            <w:pPr>
              <w:shd w:val="clear" w:color="auto" w:fill="FFFFFF"/>
              <w:autoSpaceDE w:val="0"/>
              <w:autoSpaceDN w:val="0"/>
              <w:spacing w:line="360" w:lineRule="exact"/>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19</w:t>
            </w:r>
          </w:p>
        </w:tc>
        <w:tc>
          <w:tcPr>
            <w:tcW w:w="996" w:type="pct"/>
            <w:vAlign w:val="center"/>
          </w:tcPr>
          <w:p w14:paraId="6608E055">
            <w:pPr>
              <w:shd w:val="clear" w:color="auto" w:fill="FFFFFF"/>
              <w:autoSpaceDE w:val="0"/>
              <w:autoSpaceDN w:val="0"/>
              <w:spacing w:line="360" w:lineRule="exact"/>
              <w:jc w:val="center"/>
              <w:rPr>
                <w:rFonts w:hint="eastAsia" w:ascii="仿宋" w:hAnsi="仿宋" w:eastAsia="仿宋" w:cs="仿宋"/>
                <w:color w:val="auto"/>
                <w:highlight w:val="none"/>
              </w:rPr>
            </w:pPr>
            <w:r>
              <w:rPr>
                <w:rFonts w:hint="eastAsia" w:ascii="仿宋" w:hAnsi="仿宋" w:eastAsia="仿宋" w:cs="仿宋"/>
                <w:color w:val="auto"/>
                <w:spacing w:val="-16"/>
                <w:kern w:val="24"/>
                <w:sz w:val="24"/>
                <w:highlight w:val="none"/>
              </w:rPr>
              <w:t>招标代理服务费</w:t>
            </w:r>
          </w:p>
        </w:tc>
        <w:tc>
          <w:tcPr>
            <w:tcW w:w="3645" w:type="pct"/>
            <w:vAlign w:val="center"/>
          </w:tcPr>
          <w:p w14:paraId="719C18F7">
            <w:pPr>
              <w:pStyle w:val="729"/>
              <w:spacing w:line="360" w:lineRule="exac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交纳时间：</w:t>
            </w:r>
            <w:r>
              <w:rPr>
                <w:rFonts w:hint="eastAsia" w:ascii="仿宋" w:hAnsi="仿宋" w:eastAsia="仿宋" w:cs="仿宋"/>
                <w:color w:val="auto"/>
                <w:kern w:val="0"/>
                <w:sz w:val="24"/>
                <w:szCs w:val="24"/>
                <w:highlight w:val="none"/>
              </w:rPr>
              <w:t>中标单位在《中标通知书》核发前一次性交纳。</w:t>
            </w:r>
          </w:p>
          <w:p w14:paraId="7314E279">
            <w:pPr>
              <w:pStyle w:val="729"/>
              <w:spacing w:line="360" w:lineRule="exac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交纳金额：参照</w:t>
            </w:r>
            <w:r>
              <w:rPr>
                <w:rFonts w:hint="eastAsia" w:ascii="仿宋" w:hAnsi="仿宋" w:eastAsia="仿宋" w:cs="仿宋"/>
                <w:color w:val="auto"/>
                <w:kern w:val="0"/>
                <w:sz w:val="24"/>
                <w:szCs w:val="24"/>
                <w:highlight w:val="none"/>
                <w:lang w:eastAsia="zh-CN"/>
              </w:rPr>
              <w:t>原</w:t>
            </w:r>
            <w:r>
              <w:rPr>
                <w:rFonts w:hint="eastAsia" w:ascii="仿宋" w:hAnsi="仿宋" w:eastAsia="仿宋" w:cs="仿宋"/>
                <w:color w:val="auto"/>
                <w:kern w:val="0"/>
                <w:sz w:val="24"/>
                <w:szCs w:val="24"/>
                <w:highlight w:val="none"/>
              </w:rPr>
              <w:t>国家计委计价格[2002]1980号</w:t>
            </w:r>
            <w:r>
              <w:rPr>
                <w:rFonts w:hint="eastAsia" w:ascii="仿宋" w:hAnsi="仿宋" w:eastAsia="仿宋" w:cs="仿宋"/>
                <w:color w:val="auto"/>
                <w:kern w:val="0"/>
                <w:sz w:val="24"/>
                <w:szCs w:val="24"/>
                <w:highlight w:val="none"/>
                <w:lang w:eastAsia="zh-CN"/>
              </w:rPr>
              <w:t>文</w:t>
            </w:r>
            <w:r>
              <w:rPr>
                <w:rFonts w:hint="eastAsia" w:ascii="仿宋" w:hAnsi="仿宋" w:eastAsia="仿宋" w:cs="仿宋"/>
                <w:color w:val="auto"/>
                <w:kern w:val="0"/>
                <w:sz w:val="24"/>
                <w:szCs w:val="24"/>
                <w:highlight w:val="none"/>
              </w:rPr>
              <w:t>执行</w:t>
            </w:r>
            <w:r>
              <w:rPr>
                <w:rFonts w:hint="eastAsia" w:ascii="仿宋" w:hAnsi="仿宋" w:eastAsia="仿宋" w:cs="仿宋"/>
                <w:color w:val="auto"/>
                <w:kern w:val="0"/>
                <w:sz w:val="24"/>
                <w:szCs w:val="24"/>
                <w:highlight w:val="none"/>
                <w:lang w:eastAsia="zh-CN"/>
              </w:rPr>
              <w:t>。</w:t>
            </w:r>
          </w:p>
          <w:p w14:paraId="7544DD22">
            <w:pPr>
              <w:pStyle w:val="729"/>
              <w:spacing w:line="360" w:lineRule="exact"/>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rPr>
              <w:t>账户名称：新疆品创项目管理咨询有限公司</w:t>
            </w:r>
          </w:p>
          <w:p w14:paraId="6E418F52">
            <w:pPr>
              <w:pStyle w:val="85"/>
              <w:shd w:val="clear" w:color="auto" w:fill="FFFFFF"/>
              <w:spacing w:line="360" w:lineRule="exact"/>
              <w:ind w:firstLine="0"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开户银行：中国银行股份有限公司乌鲁木齐市安居南路支行</w:t>
            </w:r>
          </w:p>
          <w:p w14:paraId="3327B38C">
            <w:pPr>
              <w:pStyle w:val="85"/>
              <w:shd w:val="clear" w:color="auto" w:fill="FFFFFF"/>
              <w:spacing w:line="360" w:lineRule="exact"/>
              <w:ind w:firstLine="0"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账号：107685372797</w:t>
            </w:r>
          </w:p>
          <w:p w14:paraId="414E3DC3">
            <w:pPr>
              <w:spacing w:line="360" w:lineRule="exact"/>
              <w:rPr>
                <w:rFonts w:hint="eastAsia" w:ascii="仿宋" w:hAnsi="仿宋" w:eastAsia="仿宋" w:cs="仿宋"/>
                <w:color w:val="auto"/>
                <w:highlight w:val="none"/>
              </w:rPr>
            </w:pPr>
            <w:r>
              <w:rPr>
                <w:rFonts w:hint="eastAsia" w:ascii="仿宋" w:hAnsi="仿宋" w:eastAsia="仿宋" w:cs="仿宋"/>
                <w:bCs/>
                <w:color w:val="auto"/>
                <w:sz w:val="24"/>
                <w:highlight w:val="none"/>
              </w:rPr>
              <w:t>行号：104881005046</w:t>
            </w:r>
          </w:p>
        </w:tc>
      </w:tr>
      <w:tr w14:paraId="22FF67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357" w:type="pct"/>
            <w:vAlign w:val="center"/>
          </w:tcPr>
          <w:p w14:paraId="6B3D17B6">
            <w:pPr>
              <w:shd w:val="clear" w:color="auto" w:fill="FFFFFF"/>
              <w:autoSpaceDE w:val="0"/>
              <w:autoSpaceDN w:val="0"/>
              <w:spacing w:line="36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0</w:t>
            </w:r>
          </w:p>
        </w:tc>
        <w:tc>
          <w:tcPr>
            <w:tcW w:w="996" w:type="pct"/>
            <w:vAlign w:val="center"/>
          </w:tcPr>
          <w:p w14:paraId="23E82576">
            <w:pPr>
              <w:spacing w:line="360" w:lineRule="exact"/>
              <w:jc w:val="center"/>
              <w:rPr>
                <w:rFonts w:hint="eastAsia" w:ascii="仿宋" w:hAnsi="仿宋" w:eastAsia="仿宋" w:cs="仿宋"/>
                <w:color w:val="auto"/>
                <w:spacing w:val="-16"/>
                <w:kern w:val="24"/>
                <w:highlight w:val="none"/>
              </w:rPr>
            </w:pPr>
            <w:r>
              <w:rPr>
                <w:rFonts w:hint="eastAsia" w:ascii="仿宋" w:hAnsi="仿宋" w:eastAsia="仿宋" w:cs="仿宋"/>
                <w:color w:val="auto"/>
                <w:sz w:val="24"/>
                <w:highlight w:val="none"/>
              </w:rPr>
              <w:t>注意事项</w:t>
            </w:r>
          </w:p>
        </w:tc>
        <w:tc>
          <w:tcPr>
            <w:tcW w:w="3645" w:type="pct"/>
            <w:vAlign w:val="center"/>
          </w:tcPr>
          <w:p w14:paraId="4D3F324C">
            <w:pPr>
              <w:numPr>
                <w:ilvl w:val="0"/>
                <w:numId w:val="0"/>
              </w:numPr>
              <w:spacing w:line="360" w:lineRule="exact"/>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lang w:val="en-US" w:eastAsia="zh-CN"/>
              </w:rPr>
              <w:t>1.</w:t>
            </w:r>
            <w:r>
              <w:rPr>
                <w:rFonts w:hint="eastAsia" w:ascii="仿宋" w:hAnsi="仿宋" w:eastAsia="仿宋" w:cs="仿宋"/>
                <w:color w:val="auto"/>
                <w:kern w:val="1"/>
                <w:sz w:val="24"/>
                <w:highlight w:val="none"/>
              </w:rPr>
              <w:t>在评标过程直至签订合同前的任何时间，如经证实发现供应商提供虚假投标资料(包括技术支持资料)或信息骗取中标的，或者未按本招标文件要求提交履约保证金的（如有要求），将取消其中标资格，没收其投标保证金，并报主管部门备案。</w:t>
            </w:r>
          </w:p>
          <w:p w14:paraId="10F175EE">
            <w:pPr>
              <w:numPr>
                <w:ilvl w:val="0"/>
                <w:numId w:val="0"/>
              </w:numPr>
              <w:spacing w:line="360" w:lineRule="exact"/>
              <w:rPr>
                <w:rFonts w:hint="eastAsia" w:ascii="仿宋" w:hAnsi="仿宋" w:eastAsia="仿宋" w:cs="仿宋"/>
                <w:bCs/>
                <w:color w:val="auto"/>
                <w:highlight w:val="none"/>
                <w:lang w:val="en-US" w:eastAsia="zh-CN"/>
              </w:rPr>
            </w:pPr>
            <w:r>
              <w:rPr>
                <w:rFonts w:hint="eastAsia" w:ascii="仿宋" w:hAnsi="仿宋" w:eastAsia="仿宋" w:cs="仿宋"/>
                <w:color w:val="auto"/>
                <w:kern w:val="2"/>
                <w:sz w:val="24"/>
                <w:szCs w:val="24"/>
                <w:highlight w:val="none"/>
                <w:lang w:val="en-US" w:eastAsia="zh-CN" w:bidi="ar-SA"/>
              </w:rPr>
              <w:t>2.本项目接受特殊行业（银行、保险、石油石化、电力、电信）的分支机构参与投标，如属于上述特殊行业分支机构的，可以在获得具有法人资格的总公司授权后，独立参加采购活动。上述特殊行业分支机构参与本项目投标的，本文件要求法定代表人提供的相关证明材料以及签字（或签章）处，可提供投标单位营业执照上载明的负责人信息；但特殊行业分支机构投标时所提供的人员、业绩、荣誉、项目经验等，必须为投标公司本身所具有，总公司或总公司其他分/支公司的人员、业绩、荣誉、项目经验等，不能作为该投标分公司的相关证明材料。</w:t>
            </w:r>
          </w:p>
        </w:tc>
      </w:tr>
    </w:tbl>
    <w:p w14:paraId="5E73B825">
      <w:pPr>
        <w:widowControl/>
        <w:jc w:val="left"/>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br w:type="page"/>
      </w:r>
    </w:p>
    <w:p w14:paraId="3AFE06C6">
      <w:pPr>
        <w:shd w:val="clear" w:color="auto" w:fill="FFFFFF"/>
        <w:autoSpaceDE w:val="0"/>
        <w:autoSpaceDN w:val="0"/>
        <w:adjustRightInd w:val="0"/>
        <w:spacing w:line="440" w:lineRule="exact"/>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二、投标须知</w:t>
      </w:r>
    </w:p>
    <w:p w14:paraId="4FF0E643">
      <w:pPr>
        <w:shd w:val="clear" w:color="auto" w:fill="FFFFFF"/>
        <w:spacing w:line="420" w:lineRule="exact"/>
        <w:ind w:firstLine="480" w:firstLineChars="200"/>
        <w:rPr>
          <w:rFonts w:hint="eastAsia" w:ascii="仿宋" w:hAnsi="仿宋" w:eastAsia="仿宋" w:cs="仿宋"/>
          <w:color w:val="auto"/>
          <w:sz w:val="24"/>
          <w:highlight w:val="none"/>
        </w:rPr>
      </w:pPr>
      <w:bookmarkStart w:id="8" w:name="_Hlk519798821"/>
      <w:bookmarkStart w:id="9" w:name="_Hlk519799218"/>
      <w:r>
        <w:rPr>
          <w:rFonts w:hint="eastAsia" w:ascii="仿宋" w:hAnsi="仿宋" w:eastAsia="仿宋" w:cs="仿宋"/>
          <w:color w:val="auto"/>
          <w:sz w:val="24"/>
          <w:highlight w:val="none"/>
        </w:rPr>
        <w:t>（一）总则</w:t>
      </w:r>
    </w:p>
    <w:p w14:paraId="51182864">
      <w:pPr>
        <w:shd w:val="clear" w:color="auto" w:fill="FFFFFF"/>
        <w:spacing w:line="42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项目说明</w:t>
      </w:r>
    </w:p>
    <w:p w14:paraId="23BB0671">
      <w:pPr>
        <w:shd w:val="clear" w:color="auto" w:fill="FFFFFF"/>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 本项目概况详见投标须知前附表（以下简称“前附表”）第1项所述。</w:t>
      </w:r>
    </w:p>
    <w:p w14:paraId="32436A2D">
      <w:pPr>
        <w:shd w:val="clear" w:color="auto" w:fill="FFFFFF"/>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1.2本招标项目已经批准，已具备招标条件，现对该项目组织进行公开招标。</w:t>
      </w:r>
    </w:p>
    <w:p w14:paraId="682AF918">
      <w:pPr>
        <w:shd w:val="clear" w:color="auto" w:fill="FFFFFF"/>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1.3</w:t>
      </w:r>
      <w:r>
        <w:rPr>
          <w:rFonts w:hint="eastAsia" w:ascii="仿宋" w:hAnsi="仿宋" w:eastAsia="仿宋" w:cs="仿宋"/>
          <w:color w:val="auto"/>
          <w:sz w:val="24"/>
          <w:highlight w:val="none"/>
        </w:rPr>
        <w:t>本招标项目供应商的资格审查采取资格后审方式。本次招标不接受联合体投标、不接受备选方案。</w:t>
      </w:r>
    </w:p>
    <w:p w14:paraId="3298F247">
      <w:pPr>
        <w:shd w:val="clear" w:color="auto" w:fill="FFFFFF"/>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 资格后审包括下列的内容</w:t>
      </w:r>
    </w:p>
    <w:p w14:paraId="7F91DA04">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 供应商应满足“前附表”第4项规定的资格要求 ；</w:t>
      </w:r>
    </w:p>
    <w:p w14:paraId="0CFB3001">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1.4.2招标文件有要求供应商法定代表人或其授权代表签字或盖章和加盖供应商公章要求的，供应商须按招标文件要求签署；</w:t>
      </w:r>
    </w:p>
    <w:p w14:paraId="1045B10E">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1.4.3交付时间符合招标文件要求；</w:t>
      </w:r>
    </w:p>
    <w:p w14:paraId="6EE5BD48">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w:t>
      </w:r>
      <w:r>
        <w:rPr>
          <w:rFonts w:hint="eastAsia" w:ascii="仿宋" w:hAnsi="仿宋" w:eastAsia="仿宋" w:cs="仿宋"/>
          <w:color w:val="auto"/>
          <w:kern w:val="0"/>
          <w:sz w:val="24"/>
          <w:highlight w:val="none"/>
          <w:lang w:eastAsia="zh-CN"/>
        </w:rPr>
        <w:t>服务</w:t>
      </w:r>
      <w:r>
        <w:rPr>
          <w:rFonts w:hint="eastAsia" w:ascii="仿宋" w:hAnsi="仿宋" w:eastAsia="仿宋" w:cs="仿宋"/>
          <w:color w:val="auto"/>
          <w:kern w:val="0"/>
          <w:sz w:val="24"/>
          <w:highlight w:val="none"/>
        </w:rPr>
        <w:t>地点符合招标文件规定；</w:t>
      </w:r>
    </w:p>
    <w:p w14:paraId="4A4F2166">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1.4.5投标内容、数量、质量、服务等满足招标文件要求；</w:t>
      </w:r>
    </w:p>
    <w:p w14:paraId="65F2A1DA">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1.4.6符合招标文件中规定的其他实质性要求；</w:t>
      </w:r>
    </w:p>
    <w:p w14:paraId="26BC9F42">
      <w:pPr>
        <w:shd w:val="clear" w:color="auto" w:fill="FFFFFF"/>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1.4.7无法律、法规和规章禁止的其他情况。</w:t>
      </w:r>
    </w:p>
    <w:p w14:paraId="4362B6F7">
      <w:pPr>
        <w:shd w:val="clear" w:color="auto" w:fill="FFFFFF"/>
        <w:spacing w:line="42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 招标范围</w:t>
      </w:r>
    </w:p>
    <w:p w14:paraId="36B9218F">
      <w:pPr>
        <w:shd w:val="clear" w:color="auto" w:fill="FFFFFF"/>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2.1本招标项目招标范围</w:t>
      </w:r>
      <w:r>
        <w:rPr>
          <w:rFonts w:hint="eastAsia" w:ascii="仿宋" w:hAnsi="仿宋" w:eastAsia="仿宋" w:cs="仿宋"/>
          <w:color w:val="auto"/>
          <w:kern w:val="0"/>
          <w:sz w:val="24"/>
          <w:highlight w:val="none"/>
        </w:rPr>
        <w:t>已通过“前附表”第1项</w:t>
      </w:r>
      <w:r>
        <w:rPr>
          <w:rFonts w:hint="eastAsia" w:ascii="仿宋" w:hAnsi="仿宋" w:eastAsia="仿宋" w:cs="仿宋"/>
          <w:color w:val="auto"/>
          <w:sz w:val="24"/>
          <w:highlight w:val="none"/>
        </w:rPr>
        <w:t>采购内容</w:t>
      </w:r>
      <w:r>
        <w:rPr>
          <w:rFonts w:hint="eastAsia" w:ascii="仿宋" w:hAnsi="仿宋" w:eastAsia="仿宋" w:cs="仿宋"/>
          <w:color w:val="auto"/>
          <w:kern w:val="0"/>
          <w:sz w:val="24"/>
          <w:highlight w:val="none"/>
        </w:rPr>
        <w:t>所述，</w:t>
      </w:r>
      <w:r>
        <w:rPr>
          <w:rFonts w:hint="eastAsia" w:ascii="仿宋" w:hAnsi="仿宋" w:eastAsia="仿宋" w:cs="仿宋"/>
          <w:color w:val="auto"/>
          <w:sz w:val="24"/>
          <w:highlight w:val="none"/>
        </w:rPr>
        <w:t>指本项目招标文件中范围内所要求的所有工作内容。</w:t>
      </w:r>
    </w:p>
    <w:p w14:paraId="358B3E2E">
      <w:pPr>
        <w:shd w:val="clear" w:color="auto" w:fill="FFFFFF"/>
        <w:spacing w:line="42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 适用法律及约束力</w:t>
      </w:r>
    </w:p>
    <w:p w14:paraId="7BDAFE9F">
      <w:pPr>
        <w:shd w:val="clear" w:color="auto" w:fill="FFFFFF"/>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本次招标及由本次招标产生的合同受中华人民共和国的相关法律、法规制约和保护。供应商一旦购买了招标文件并参加本项目，即被认为接受了招标文件中的所有条件和规定。</w:t>
      </w:r>
    </w:p>
    <w:p w14:paraId="1EB8258B">
      <w:pPr>
        <w:shd w:val="clear" w:color="auto" w:fill="FFFFFF"/>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3.2供应商应保证，在中华人民共和国境内使用投标成果、服务或其任何一部分时，不会产生因第三方提出侵犯其专利权或其它知识产权而引起的法律和经济纠纷。</w:t>
      </w:r>
    </w:p>
    <w:p w14:paraId="7F2B2D59">
      <w:pPr>
        <w:shd w:val="clear" w:color="auto" w:fill="FFFFFF"/>
        <w:spacing w:line="42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 招标项目实施要求</w:t>
      </w:r>
    </w:p>
    <w:p w14:paraId="6BF1675F">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4.1质量标准已通过“前附表”第3项所述。</w:t>
      </w:r>
    </w:p>
    <w:p w14:paraId="5C9EA694">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4.2 供应商与采购人签订合同后，按照招标文件及合同相关的要求编制现场服务计划。</w:t>
      </w:r>
    </w:p>
    <w:p w14:paraId="5DC024A7">
      <w:pPr>
        <w:shd w:val="clear" w:color="auto" w:fill="FFFFFF"/>
        <w:spacing w:line="42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 交付时间及</w:t>
      </w:r>
      <w:r>
        <w:rPr>
          <w:rFonts w:hint="eastAsia" w:ascii="仿宋" w:hAnsi="仿宋" w:eastAsia="仿宋" w:cs="仿宋"/>
          <w:b/>
          <w:color w:val="auto"/>
          <w:sz w:val="24"/>
          <w:highlight w:val="none"/>
          <w:lang w:eastAsia="zh-CN"/>
        </w:rPr>
        <w:t>服务</w:t>
      </w:r>
      <w:r>
        <w:rPr>
          <w:rFonts w:hint="eastAsia" w:ascii="仿宋" w:hAnsi="仿宋" w:eastAsia="仿宋" w:cs="仿宋"/>
          <w:b/>
          <w:color w:val="auto"/>
          <w:sz w:val="24"/>
          <w:highlight w:val="none"/>
        </w:rPr>
        <w:t>地点</w:t>
      </w:r>
    </w:p>
    <w:p w14:paraId="5DAF97F1">
      <w:pPr>
        <w:shd w:val="clear" w:color="auto" w:fill="FFFFFF"/>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5.1 交付时间已</w:t>
      </w:r>
      <w:r>
        <w:rPr>
          <w:rFonts w:hint="eastAsia" w:ascii="仿宋" w:hAnsi="仿宋" w:eastAsia="仿宋" w:cs="仿宋"/>
          <w:color w:val="auto"/>
          <w:kern w:val="0"/>
          <w:sz w:val="24"/>
          <w:highlight w:val="none"/>
        </w:rPr>
        <w:t>通过“前附表”第15项所述，</w:t>
      </w:r>
      <w:r>
        <w:rPr>
          <w:rFonts w:hint="eastAsia" w:ascii="仿宋" w:hAnsi="仿宋" w:eastAsia="仿宋" w:cs="仿宋"/>
          <w:color w:val="auto"/>
          <w:sz w:val="24"/>
          <w:highlight w:val="none"/>
        </w:rPr>
        <w:t>是指完成本项目采购内容及配套服务工作、验收合格并移交采购人的时间；</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rPr>
        <w:t>地点已</w:t>
      </w:r>
      <w:r>
        <w:rPr>
          <w:rFonts w:hint="eastAsia" w:ascii="仿宋" w:hAnsi="仿宋" w:eastAsia="仿宋" w:cs="仿宋"/>
          <w:color w:val="auto"/>
          <w:kern w:val="0"/>
          <w:sz w:val="24"/>
          <w:highlight w:val="none"/>
        </w:rPr>
        <w:t>通过“前附表”第15项所述</w:t>
      </w:r>
      <w:r>
        <w:rPr>
          <w:rFonts w:hint="eastAsia" w:ascii="仿宋" w:hAnsi="仿宋" w:eastAsia="仿宋" w:cs="仿宋"/>
          <w:color w:val="auto"/>
          <w:sz w:val="24"/>
          <w:highlight w:val="none"/>
        </w:rPr>
        <w:t>。</w:t>
      </w:r>
    </w:p>
    <w:p w14:paraId="182F767D">
      <w:pPr>
        <w:shd w:val="clear" w:color="auto" w:fill="FFFFFF"/>
        <w:spacing w:line="42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6. 资金来源</w:t>
      </w:r>
    </w:p>
    <w:p w14:paraId="13E93A9A">
      <w:pPr>
        <w:shd w:val="clear" w:color="auto" w:fill="FFFFFF"/>
        <w:spacing w:line="420" w:lineRule="exact"/>
        <w:ind w:firstLine="480" w:firstLineChars="200"/>
        <w:rPr>
          <w:rFonts w:hint="eastAsia" w:ascii="仿宋" w:hAnsi="仿宋" w:eastAsia="仿宋" w:cs="仿宋"/>
          <w:b/>
          <w:bCs/>
          <w:color w:val="auto"/>
          <w:kern w:val="0"/>
          <w:sz w:val="24"/>
          <w:highlight w:val="none"/>
        </w:rPr>
      </w:pPr>
      <w:r>
        <w:rPr>
          <w:rFonts w:hint="eastAsia" w:ascii="仿宋" w:hAnsi="仿宋" w:eastAsia="仿宋" w:cs="仿宋"/>
          <w:bCs/>
          <w:color w:val="auto"/>
          <w:kern w:val="0"/>
          <w:sz w:val="24"/>
          <w:highlight w:val="none"/>
        </w:rPr>
        <w:t>6.1</w:t>
      </w:r>
      <w:r>
        <w:rPr>
          <w:rFonts w:hint="eastAsia" w:ascii="仿宋" w:hAnsi="仿宋" w:eastAsia="仿宋" w:cs="仿宋"/>
          <w:color w:val="auto"/>
          <w:kern w:val="0"/>
          <w:sz w:val="24"/>
          <w:highlight w:val="none"/>
        </w:rPr>
        <w:t>采购单位的资金通过“前附表”第 1 项所述的方式获得，并将部分资金用于本项目合同下的合格支付。</w:t>
      </w:r>
    </w:p>
    <w:p w14:paraId="264AE6EC">
      <w:pPr>
        <w:shd w:val="clear" w:color="auto" w:fill="FFFFFF"/>
        <w:spacing w:line="420" w:lineRule="exact"/>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7. 供应商资格要求</w:t>
      </w:r>
    </w:p>
    <w:p w14:paraId="7F6D0412">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供应商资格要求须满足“前附表”第4项要求。</w:t>
      </w:r>
    </w:p>
    <w:p w14:paraId="32E7C233">
      <w:pPr>
        <w:shd w:val="clear" w:color="auto" w:fill="FFFFFF"/>
        <w:spacing w:line="420" w:lineRule="exact"/>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 xml:space="preserve">8. </w:t>
      </w:r>
      <w:r>
        <w:rPr>
          <w:rFonts w:hint="eastAsia" w:ascii="仿宋" w:hAnsi="仿宋" w:eastAsia="仿宋" w:cs="仿宋"/>
          <w:b/>
          <w:bCs/>
          <w:color w:val="auto"/>
          <w:kern w:val="0"/>
          <w:sz w:val="24"/>
          <w:highlight w:val="none"/>
        </w:rPr>
        <w:t>投标费用</w:t>
      </w:r>
    </w:p>
    <w:p w14:paraId="4E428A8A">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供应商应承担其编制投标文件与递交投标文件所涉及的一切费用，不论投标结果如何，采购人或采购代理机构均无义务和责任承担这些费用。</w:t>
      </w:r>
    </w:p>
    <w:p w14:paraId="76310B93">
      <w:pPr>
        <w:shd w:val="clear" w:color="auto" w:fill="FFFFFF"/>
        <w:spacing w:line="42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9. 授权委托</w:t>
      </w:r>
    </w:p>
    <w:p w14:paraId="1AC36F58">
      <w:pPr>
        <w:shd w:val="clear" w:color="auto" w:fill="FFFFFF"/>
        <w:spacing w:line="420" w:lineRule="exact"/>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9.1 供应商代表为法定代表人的，须持有法定代表人资格证明书和法定代表人身份证；供应商代表不是供应商的法定代表人的，须持有法定代表人授权委托书和授权代表人的本人身份证。</w:t>
      </w:r>
    </w:p>
    <w:p w14:paraId="62F47D9F">
      <w:pPr>
        <w:shd w:val="clear" w:color="auto" w:fill="FFFFFF"/>
        <w:spacing w:line="420" w:lineRule="exact"/>
        <w:ind w:firstLine="482" w:firstLineChars="200"/>
        <w:rPr>
          <w:rFonts w:hint="eastAsia" w:ascii="仿宋" w:hAnsi="仿宋" w:eastAsia="仿宋" w:cs="仿宋"/>
          <w:b/>
          <w:bCs/>
          <w:color w:val="auto"/>
          <w:kern w:val="0"/>
          <w:sz w:val="24"/>
          <w:highlight w:val="none"/>
          <w:lang w:eastAsia="zh-CN"/>
        </w:rPr>
      </w:pPr>
      <w:r>
        <w:rPr>
          <w:rFonts w:hint="eastAsia" w:ascii="仿宋" w:hAnsi="仿宋" w:eastAsia="仿宋" w:cs="仿宋"/>
          <w:b/>
          <w:bCs/>
          <w:color w:val="auto"/>
          <w:kern w:val="0"/>
          <w:sz w:val="24"/>
          <w:highlight w:val="none"/>
        </w:rPr>
        <w:t>10. 联合体投标</w:t>
      </w:r>
      <w:r>
        <w:rPr>
          <w:rFonts w:hint="eastAsia" w:ascii="仿宋" w:hAnsi="仿宋" w:eastAsia="仿宋" w:cs="仿宋"/>
          <w:b/>
          <w:bCs/>
          <w:color w:val="auto"/>
          <w:kern w:val="0"/>
          <w:sz w:val="24"/>
          <w:highlight w:val="none"/>
          <w:lang w:eastAsia="zh-CN"/>
        </w:rPr>
        <w:t>（本项目不适用）</w:t>
      </w:r>
    </w:p>
    <w:p w14:paraId="0E2B38E6">
      <w:pPr>
        <w:shd w:val="clear" w:color="auto" w:fill="FFFFFF"/>
        <w:spacing w:line="420" w:lineRule="exact"/>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10.1投标须知前附表中接受联合体投标的，供应商可以联合体形式投标，否则联合体投标视为无效投标；接受联合体投标的，除应符合本章第7</w:t>
      </w:r>
      <w:r>
        <w:rPr>
          <w:rFonts w:hint="eastAsia" w:ascii="仿宋" w:hAnsi="仿宋" w:eastAsia="仿宋" w:cs="仿宋"/>
          <w:bCs/>
          <w:color w:val="auto"/>
          <w:kern w:val="0"/>
          <w:sz w:val="24"/>
          <w:highlight w:val="none"/>
          <w:lang w:val="zh-CN"/>
        </w:rPr>
        <w:t>款</w:t>
      </w:r>
      <w:r>
        <w:rPr>
          <w:rFonts w:hint="eastAsia" w:ascii="仿宋" w:hAnsi="仿宋" w:eastAsia="仿宋" w:cs="仿宋"/>
          <w:bCs/>
          <w:color w:val="auto"/>
          <w:kern w:val="0"/>
          <w:sz w:val="24"/>
          <w:highlight w:val="none"/>
        </w:rPr>
        <w:t xml:space="preserve">规定外，还应遵守以下规定： </w:t>
      </w:r>
    </w:p>
    <w:p w14:paraId="10A150FE">
      <w:pPr>
        <w:shd w:val="clear" w:color="auto" w:fill="FFFFFF"/>
        <w:spacing w:line="420" w:lineRule="exact"/>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（l）联合体各方应按招标文件提供的格式签订</w:t>
      </w:r>
      <w:r>
        <w:rPr>
          <w:rFonts w:hint="eastAsia" w:ascii="仿宋" w:hAnsi="仿宋" w:eastAsia="仿宋" w:cs="仿宋"/>
          <w:bCs/>
          <w:color w:val="auto"/>
          <w:kern w:val="0"/>
          <w:sz w:val="24"/>
          <w:highlight w:val="none"/>
          <w:u w:val="single"/>
        </w:rPr>
        <w:t>联合体协议</w:t>
      </w:r>
      <w:r>
        <w:rPr>
          <w:rFonts w:hint="eastAsia" w:ascii="仿宋" w:hAnsi="仿宋" w:eastAsia="仿宋" w:cs="仿宋"/>
          <w:bCs/>
          <w:color w:val="auto"/>
          <w:kern w:val="0"/>
          <w:sz w:val="24"/>
          <w:highlight w:val="none"/>
        </w:rPr>
        <w:t>，明确联合体牵头人和各方的权利义务、合同工作量比例；</w:t>
      </w:r>
    </w:p>
    <w:p w14:paraId="32CDCA8C">
      <w:pPr>
        <w:shd w:val="clear" w:color="auto" w:fill="FFFFFF"/>
        <w:spacing w:line="420" w:lineRule="exact"/>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（2）联合体各方签订联合体协议书后，不得再单独参加或者与其他供应商组成新的联合体参加同一项目的采购活动。</w:t>
      </w:r>
    </w:p>
    <w:p w14:paraId="317314A7">
      <w:pPr>
        <w:shd w:val="clear" w:color="auto" w:fill="FFFFFF"/>
        <w:spacing w:line="42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11.信用信息查询</w:t>
      </w:r>
    </w:p>
    <w:p w14:paraId="6DB0E731">
      <w:pPr>
        <w:shd w:val="clear" w:color="auto" w:fill="FFFFFF"/>
        <w:spacing w:line="420" w:lineRule="exact"/>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11.1查询渠道：“信用中国”网站（www.creditchina.gov.cn）、中国政府采购网（</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"http://www.ccgp.gov.cn" </w:instrText>
      </w:r>
      <w:r>
        <w:rPr>
          <w:rFonts w:hint="eastAsia" w:ascii="仿宋" w:hAnsi="仿宋" w:eastAsia="仿宋" w:cs="仿宋"/>
          <w:color w:val="auto"/>
          <w:highlight w:val="none"/>
        </w:rPr>
        <w:fldChar w:fldCharType="separate"/>
      </w:r>
      <w:r>
        <w:rPr>
          <w:rStyle w:val="68"/>
          <w:rFonts w:hint="eastAsia" w:ascii="仿宋" w:hAnsi="仿宋" w:eastAsia="仿宋" w:cs="仿宋"/>
          <w:bCs/>
          <w:color w:val="auto"/>
          <w:kern w:val="0"/>
          <w:sz w:val="24"/>
          <w:highlight w:val="none"/>
        </w:rPr>
        <w:t>www.ccgp.gov.cn</w:t>
      </w:r>
      <w:r>
        <w:rPr>
          <w:rStyle w:val="68"/>
          <w:rFonts w:hint="eastAsia" w:ascii="仿宋" w:hAnsi="仿宋" w:eastAsia="仿宋" w:cs="仿宋"/>
          <w:bCs/>
          <w:color w:val="auto"/>
          <w:kern w:val="0"/>
          <w:sz w:val="24"/>
          <w:highlight w:val="none"/>
        </w:rPr>
        <w:fldChar w:fldCharType="end"/>
      </w:r>
      <w:r>
        <w:rPr>
          <w:rFonts w:hint="eastAsia" w:ascii="仿宋" w:hAnsi="仿宋" w:eastAsia="仿宋" w:cs="仿宋"/>
          <w:bCs/>
          <w:color w:val="auto"/>
          <w:kern w:val="0"/>
          <w:sz w:val="24"/>
          <w:highlight w:val="none"/>
        </w:rPr>
        <w:t>）。</w:t>
      </w:r>
    </w:p>
    <w:p w14:paraId="31855BD8">
      <w:pPr>
        <w:shd w:val="clear" w:color="auto" w:fill="FFFFFF"/>
        <w:spacing w:line="420" w:lineRule="exact"/>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11.2根据《关于在政府采购活动中查询及使用信用记录有关问题的通知》(财库[2016]125号)的规定，对被列入“失信被执行人”、“重大税收违法失信主体”、“政府采购严重违法失信行为记录名单”的供应商，拒绝参与本项目政府采购活动。</w:t>
      </w:r>
    </w:p>
    <w:p w14:paraId="241E5BD4">
      <w:pPr>
        <w:shd w:val="clear" w:color="auto" w:fill="FFFFFF"/>
        <w:spacing w:line="420" w:lineRule="exact"/>
        <w:ind w:firstLine="482" w:firstLineChars="200"/>
        <w:rPr>
          <w:rFonts w:hint="eastAsia" w:ascii="仿宋" w:hAnsi="仿宋" w:eastAsia="仿宋" w:cs="仿宋"/>
          <w:color w:val="auto"/>
          <w:sz w:val="24"/>
          <w:highlight w:val="none"/>
        </w:rPr>
      </w:pPr>
      <w:r>
        <w:rPr>
          <w:rFonts w:hint="eastAsia" w:ascii="仿宋" w:hAnsi="仿宋" w:eastAsia="仿宋" w:cs="仿宋"/>
          <w:b/>
          <w:bCs w:val="0"/>
          <w:color w:val="auto"/>
          <w:kern w:val="0"/>
          <w:sz w:val="24"/>
          <w:highlight w:val="none"/>
        </w:rPr>
        <w:t>11.3</w:t>
      </w:r>
      <w:r>
        <w:rPr>
          <w:rFonts w:hint="eastAsia" w:ascii="仿宋" w:hAnsi="仿宋" w:eastAsia="仿宋" w:cs="仿宋"/>
          <w:b/>
          <w:bCs w:val="0"/>
          <w:color w:val="auto"/>
          <w:sz w:val="24"/>
          <w:highlight w:val="none"/>
        </w:rPr>
        <w:t>招标代理机构在开标时间后至资格审查结束前通过上述查询渠道进行网上查询，对存在“失信被执行人”、“重大税收违法失信主体”、“政府采购严重违法失信行为记录名单”情形的供应商，资格审查不合格，投标无效，同时其信用信息查询记录作为证据存档。</w:t>
      </w:r>
    </w:p>
    <w:p w14:paraId="19BF9168">
      <w:pPr>
        <w:shd w:val="clear" w:color="auto" w:fill="FFFFFF"/>
        <w:spacing w:line="420" w:lineRule="exact"/>
        <w:ind w:firstLine="480" w:firstLineChars="200"/>
        <w:rPr>
          <w:rFonts w:hint="eastAsia" w:ascii="仿宋" w:hAnsi="仿宋" w:eastAsia="仿宋" w:cs="仿宋"/>
          <w:bCs/>
          <w:color w:val="auto"/>
          <w:kern w:val="0"/>
          <w:sz w:val="24"/>
          <w:highlight w:val="none"/>
        </w:rPr>
      </w:pPr>
      <w:r>
        <w:rPr>
          <w:rFonts w:hint="eastAsia" w:ascii="仿宋" w:hAnsi="仿宋" w:eastAsia="仿宋" w:cs="仿宋"/>
          <w:color w:val="auto"/>
          <w:sz w:val="24"/>
          <w:highlight w:val="none"/>
        </w:rPr>
        <w:t>11.4两个以上的自然人、法人或者其他组织组成一个联合体，以一个供应商的身份共同参加政府采购活动的，将对所有联合体成员进行信用记录查询，联合体成员存在不良信用记录的，视同联合体存在不良信用记录。</w:t>
      </w:r>
    </w:p>
    <w:p w14:paraId="58B51EB3">
      <w:pPr>
        <w:shd w:val="clear" w:color="auto" w:fill="FFFFFF"/>
        <w:spacing w:line="42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（二）招标文件</w:t>
      </w:r>
    </w:p>
    <w:p w14:paraId="1725FF49">
      <w:pPr>
        <w:shd w:val="clear" w:color="auto" w:fill="FFFFFF"/>
        <w:spacing w:line="42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12. 招标文件的组成</w:t>
      </w:r>
    </w:p>
    <w:p w14:paraId="1A3BD494">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12.1 招标文件包括下列内容</w:t>
      </w:r>
    </w:p>
    <w:p w14:paraId="056FC613">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第一章 招标公告</w:t>
      </w:r>
    </w:p>
    <w:p w14:paraId="6BC312DA">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第二章 投标须知前附表及投标须知</w:t>
      </w:r>
    </w:p>
    <w:p w14:paraId="275D4871">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第三章 合同条款</w:t>
      </w:r>
    </w:p>
    <w:p w14:paraId="01277525">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第四章 采购需求</w:t>
      </w:r>
    </w:p>
    <w:p w14:paraId="39DC0582">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第五章 投标文件格式</w:t>
      </w:r>
    </w:p>
    <w:p w14:paraId="3971453D">
      <w:pPr>
        <w:shd w:val="clear" w:color="auto" w:fill="FFFFFF"/>
        <w:autoSpaceDE w:val="0"/>
        <w:autoSpaceDN w:val="0"/>
        <w:adjustRightInd w:val="0"/>
        <w:spacing w:line="42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12.2</w:t>
      </w:r>
      <w:r>
        <w:rPr>
          <w:rFonts w:hint="eastAsia" w:ascii="仿宋" w:hAnsi="仿宋" w:eastAsia="仿宋" w:cs="仿宋"/>
          <w:b/>
          <w:bCs/>
          <w:color w:val="auto"/>
          <w:sz w:val="24"/>
          <w:highlight w:val="none"/>
          <w:lang w:val="zh-CN"/>
        </w:rPr>
        <w:t>招标的最小单位是标项。招标文件未分标项的，供应商须对全部招标内容投标，不得部分投标；招标文件分标项的，供应商应当以标项为单位编制并提交投标文件。</w:t>
      </w:r>
    </w:p>
    <w:p w14:paraId="5B915BD5">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val="zh-CN"/>
        </w:rPr>
        <w:t>12.3 招标文件如果要求供应商提交备选投标方案的，供应商可以提交备选方案；否则，备选方案将被拒绝。</w:t>
      </w:r>
    </w:p>
    <w:p w14:paraId="27B07492">
      <w:pPr>
        <w:shd w:val="clear" w:color="auto" w:fill="FFFFFF"/>
        <w:spacing w:line="42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12.4 招标文件由本文件及由采购人按招标文件有关规定发出的招标文件补充构成。</w:t>
      </w:r>
    </w:p>
    <w:p w14:paraId="0ADF590D">
      <w:pPr>
        <w:shd w:val="clear" w:color="auto" w:fill="FFFFFF"/>
        <w:spacing w:line="42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12.5 招标文件的澄清、修改、招标答疑会纪要等书面材料在本招标项目中均称招标文件补充。</w:t>
      </w:r>
    </w:p>
    <w:p w14:paraId="0CAE958A">
      <w:pPr>
        <w:shd w:val="clear" w:color="auto" w:fill="FFFFFF"/>
        <w:spacing w:line="42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12.6 招标文件补充作为招标文件的组成部分，对供应商起同等约束作用。如果招标文件补充内容与在此招标文件补充发出之前的招标文件等书面材料中相关内容相冲突，请供应商执行招标文件补充的相关内容，先前发出的招标文件等书面材料中相关内容自动废止。</w:t>
      </w:r>
    </w:p>
    <w:p w14:paraId="5C8F7E39">
      <w:pPr>
        <w:shd w:val="clear" w:color="auto" w:fill="FFFFFF"/>
        <w:spacing w:line="42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12.7 供应商应认真审阅和理解招标文件所有内容，尤其注意可能引起“否决投标”、“拒绝”、“投标无效”、“评审不予通过”等的条款，按照招标文件要求编制投标文件。任何对招标文件的忽略或误解不能作为投标文件存在缺陷或瑕疵的理由，其风险由供应商承担。</w:t>
      </w:r>
    </w:p>
    <w:p w14:paraId="052909FE">
      <w:pPr>
        <w:shd w:val="clear" w:color="auto" w:fill="FFFFFF"/>
        <w:spacing w:line="420" w:lineRule="exact"/>
        <w:ind w:firstLine="482" w:firstLineChars="200"/>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13. 招标文件的获取</w:t>
      </w:r>
    </w:p>
    <w:p w14:paraId="609F343C">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13.1招标文件的提供期限自开始发出之日起不得少于五个工作日，具体期限见招标公告。</w:t>
      </w:r>
    </w:p>
    <w:p w14:paraId="21D3EC01">
      <w:pPr>
        <w:shd w:val="clear" w:color="auto" w:fill="FFFFFF"/>
        <w:spacing w:line="420" w:lineRule="exact"/>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13.2凡符合资格要求并有意参加投标的供应商,均可在</w:t>
      </w:r>
      <w:r>
        <w:rPr>
          <w:rFonts w:hint="eastAsia" w:ascii="仿宋" w:hAnsi="仿宋" w:eastAsia="仿宋" w:cs="仿宋"/>
          <w:color w:val="auto"/>
          <w:kern w:val="0"/>
          <w:sz w:val="24"/>
          <w:highlight w:val="none"/>
        </w:rPr>
        <w:t>本项目公告发布平台免费获取招标文件。</w:t>
      </w:r>
    </w:p>
    <w:p w14:paraId="44D86BF5">
      <w:pPr>
        <w:shd w:val="clear" w:color="auto" w:fill="FFFFFF"/>
        <w:spacing w:line="42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14. 招标文件的澄清或修改</w:t>
      </w:r>
    </w:p>
    <w:p w14:paraId="7CD8C319">
      <w:pPr>
        <w:shd w:val="clear" w:color="auto" w:fill="FFFFFF"/>
        <w:spacing w:line="420" w:lineRule="exact"/>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14.1供应商若对招标文件有任何疑问，应当在获取招标文件或者招标文件公告期限届满之日起7个工作日内提出。本项目接受对招标文件质疑的截止时间见“前附表”第13项，供应商须在截止时间前一次性提出对招标文件质疑内容。供应商提出质疑应当提交质疑函和必要的证明材料。质疑函应当包括下列内容：</w:t>
      </w:r>
    </w:p>
    <w:p w14:paraId="0C6C8736">
      <w:pPr>
        <w:shd w:val="clear" w:color="auto" w:fill="FFFFFF"/>
        <w:spacing w:line="420" w:lineRule="exact"/>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14.1.1供应商的姓名或者名称、地址、邮编、联系人及联系电话；</w:t>
      </w:r>
    </w:p>
    <w:p w14:paraId="71314CFC">
      <w:pPr>
        <w:shd w:val="clear" w:color="auto" w:fill="FFFFFF"/>
        <w:spacing w:line="420" w:lineRule="exact"/>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14.1.2质疑项目的名称、编号；</w:t>
      </w:r>
    </w:p>
    <w:p w14:paraId="544AF83F">
      <w:pPr>
        <w:shd w:val="clear" w:color="auto" w:fill="FFFFFF"/>
        <w:spacing w:line="420" w:lineRule="exact"/>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14.1.3具体、明确的质疑事项和与质疑事项相关的请求；</w:t>
      </w:r>
    </w:p>
    <w:p w14:paraId="2D3C11C8">
      <w:pPr>
        <w:shd w:val="clear" w:color="auto" w:fill="FFFFFF"/>
        <w:spacing w:line="420" w:lineRule="exact"/>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14.1.4事实依据；</w:t>
      </w:r>
    </w:p>
    <w:p w14:paraId="66638F3C">
      <w:pPr>
        <w:shd w:val="clear" w:color="auto" w:fill="FFFFFF"/>
        <w:spacing w:line="420" w:lineRule="exact"/>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14.1.5必要的法律依据；</w:t>
      </w:r>
    </w:p>
    <w:p w14:paraId="173D4012">
      <w:pPr>
        <w:shd w:val="clear" w:color="auto" w:fill="FFFFFF"/>
        <w:spacing w:line="420" w:lineRule="exact"/>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14.1.6提出质疑的日期。</w:t>
      </w:r>
    </w:p>
    <w:p w14:paraId="51781431">
      <w:pPr>
        <w:shd w:val="clear" w:color="auto" w:fill="FFFFFF"/>
        <w:spacing w:line="42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供应商为自然人的，应当由本人签字；供应商为法人或者其他组织的，应当由法定代表人、主要负责人，或者其授权代表签字或者盖章，并加盖投标单位公章。</w:t>
      </w:r>
    </w:p>
    <w:p w14:paraId="63FAEFAB">
      <w:pPr>
        <w:shd w:val="clear" w:color="auto" w:fill="FFFFFF"/>
        <w:spacing w:line="42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14.2采购人可以对已发出的招标文件进行必要澄清或者修改，澄清或者修改的内容可能影响投标文件编制的，采购人或者采购代理机构应当在投标截止时间至少15日前，以发布公告或书面形式通知所有获取招标文件的潜在投标人；不足15日的，采购人或者采购代理机构应当顺延提交投标文件的截止时间。</w:t>
      </w:r>
    </w:p>
    <w:p w14:paraId="613EE7CD">
      <w:pPr>
        <w:shd w:val="clear" w:color="auto" w:fill="FFFFFF"/>
        <w:spacing w:line="42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14.3投标文件递交截止时间前，供应商须随时关注本项目招标公告发布网站上本项目的最新的变更公告、更正公告、澄清公告等相关信息，并对上述查看行为自行承担责任；供应商对索取书面修改或者澄清文件或者查阅电子修改或者澄清文件的行为自行承担责任，在投标截止时间后递交的投标文件视为无效投标文件。</w:t>
      </w:r>
    </w:p>
    <w:p w14:paraId="16542ED6">
      <w:pPr>
        <w:shd w:val="clear" w:color="auto" w:fill="FFFFFF"/>
        <w:spacing w:line="420" w:lineRule="exact"/>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15. 投标报价</w:t>
      </w:r>
    </w:p>
    <w:p w14:paraId="2A3CA459">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 本招标项目使用的货币为</w:t>
      </w:r>
      <w:r>
        <w:rPr>
          <w:rFonts w:hint="eastAsia" w:ascii="仿宋" w:hAnsi="仿宋" w:eastAsia="仿宋" w:cs="仿宋"/>
          <w:color w:val="auto"/>
          <w:kern w:val="0"/>
          <w:sz w:val="24"/>
          <w:highlight w:val="none"/>
          <w:u w:val="single"/>
        </w:rPr>
        <w:t xml:space="preserve"> 人民币 </w:t>
      </w:r>
      <w:r>
        <w:rPr>
          <w:rFonts w:hint="eastAsia" w:ascii="仿宋" w:hAnsi="仿宋" w:eastAsia="仿宋" w:cs="仿宋"/>
          <w:color w:val="auto"/>
          <w:kern w:val="0"/>
          <w:sz w:val="24"/>
          <w:highlight w:val="none"/>
        </w:rPr>
        <w:t>，实施时亦以</w:t>
      </w:r>
      <w:r>
        <w:rPr>
          <w:rFonts w:hint="eastAsia" w:ascii="仿宋" w:hAnsi="仿宋" w:eastAsia="仿宋" w:cs="仿宋"/>
          <w:color w:val="auto"/>
          <w:kern w:val="0"/>
          <w:sz w:val="24"/>
          <w:highlight w:val="none"/>
          <w:u w:val="single"/>
        </w:rPr>
        <w:t xml:space="preserve"> 人民币 </w:t>
      </w:r>
      <w:r>
        <w:rPr>
          <w:rFonts w:hint="eastAsia" w:ascii="仿宋" w:hAnsi="仿宋" w:eastAsia="仿宋" w:cs="仿宋"/>
          <w:color w:val="auto"/>
          <w:kern w:val="0"/>
          <w:sz w:val="24"/>
          <w:highlight w:val="none"/>
        </w:rPr>
        <w:t>支付。</w:t>
      </w:r>
    </w:p>
    <w:p w14:paraId="40CF2848">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15.2 投标报价为本招标文件所确定的招标范围内的全部工作内容的价格体现。任何有选择的报价将不予接受（除非采购人另有约定），否则，在评标时将视为投标无效。</w:t>
      </w:r>
    </w:p>
    <w:p w14:paraId="575537BD">
      <w:pPr>
        <w:shd w:val="clear" w:color="auto" w:fill="FFFFFF"/>
        <w:adjustRightInd w:val="0"/>
        <w:snapToGrid w:val="0"/>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15.3所有投标报价均以人民币元为计算单位。只要投报了一个确定数额的总价，无论分项价格是否全部填报了相应的金额或免费字样，报价应被视为已经包含了但并不限于各项购买货物、服务等的费用和所需缴纳的所有税、费等。在其他情况下，由于分项报价填报不完整、不清楚或存在其他任何失误，所导致的任何不利后果均应当由投标人自行承担。</w:t>
      </w:r>
    </w:p>
    <w:p w14:paraId="493C69A2">
      <w:pPr>
        <w:shd w:val="clear" w:color="auto" w:fill="FFFFFF"/>
        <w:adjustRightInd w:val="0"/>
        <w:snapToGrid w:val="0"/>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15.4供应商应按本文件给定的格式填报《开标一览表》及《分项报价明细表》，《开标一览表》中价格填报处不应有空白，如无费用可填报“/”。</w:t>
      </w:r>
    </w:p>
    <w:p w14:paraId="59290E1E">
      <w:pPr>
        <w:shd w:val="clear" w:color="auto" w:fill="FFFFFF"/>
        <w:adjustRightInd w:val="0"/>
        <w:snapToGrid w:val="0"/>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15.5供应商对投标报价若有说明应在《开标一览表》显著处注明，只有开标时公布的报价和优惠才会在评标时予以考虑。报价优惠应对应《开标一览表》及《分项报价明细表》提供相应的明细清单。除报价优惠外，任何超出招标文件要求而额外赠送的货物、免费培训等其他形式的优惠，将不被允许并不予接受。</w:t>
      </w:r>
    </w:p>
    <w:p w14:paraId="1C9E0940">
      <w:pPr>
        <w:shd w:val="clear" w:color="auto" w:fill="FFFFFF"/>
        <w:adjustRightInd w:val="0"/>
        <w:snapToGrid w:val="0"/>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15.6对于有配件、耗材、选件和特殊工具的货物，还应填报投标货物配件、耗材、选件表和备件及特殊工具清单，注明品牌、型号、产地、功能、单价等内容，如招标文件未提供相关格式的，应由投标人自行设计编写。</w:t>
      </w:r>
    </w:p>
    <w:p w14:paraId="2FCA0397">
      <w:pPr>
        <w:shd w:val="clear" w:color="auto" w:fill="FFFFFF"/>
        <w:adjustRightInd w:val="0"/>
        <w:snapToGrid w:val="0"/>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15.7供应商的任何错漏、优惠、竞争性报价不得作为减轻责任、减少服务、增加收费、降低质量的理由。供应商必须自行考虑本项目在实施期间的一切可能产生的费用。在合同执行过程中，采购人将不再另行支付与本项目相关的任何费用。</w:t>
      </w:r>
    </w:p>
    <w:p w14:paraId="2616AC04">
      <w:pPr>
        <w:shd w:val="clear" w:color="auto" w:fill="FFFFFF"/>
        <w:adjustRightInd w:val="0"/>
        <w:snapToGrid w:val="0"/>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15.8投标文件报价出现前后不一致的，除招标文件另有规定外，按照下列规定修正：</w:t>
      </w:r>
    </w:p>
    <w:p w14:paraId="0017DF30">
      <w:pPr>
        <w:shd w:val="clear" w:color="auto" w:fill="FFFFFF"/>
        <w:adjustRightInd w:val="0"/>
        <w:snapToGrid w:val="0"/>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（一）投标文件中《开标一览表》内容与投标文件中相应内容不一致的，以《开标一览表》为准；</w:t>
      </w:r>
    </w:p>
    <w:p w14:paraId="5610C9AC">
      <w:pPr>
        <w:shd w:val="clear" w:color="auto" w:fill="FFFFFF"/>
        <w:adjustRightInd w:val="0"/>
        <w:snapToGrid w:val="0"/>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（二）大写金额和小写金额不一致的，以大写金额为准；</w:t>
      </w:r>
    </w:p>
    <w:p w14:paraId="6D7E48B8">
      <w:pPr>
        <w:shd w:val="clear" w:color="auto" w:fill="FFFFFF"/>
        <w:adjustRightInd w:val="0"/>
        <w:snapToGrid w:val="0"/>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（三）单价金额小数点或者百分比有明显错位的，以《开标一览表》的总价为准，并修改单价；</w:t>
      </w:r>
    </w:p>
    <w:p w14:paraId="045E0568">
      <w:pPr>
        <w:shd w:val="clear" w:color="auto" w:fill="FFFFFF"/>
        <w:adjustRightInd w:val="0"/>
        <w:snapToGrid w:val="0"/>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（四）总价金额与按单价汇总金额不一致的，以单价金额计算结果为准。</w:t>
      </w:r>
    </w:p>
    <w:p w14:paraId="7B9A38F9">
      <w:pPr>
        <w:shd w:val="clear" w:color="auto" w:fill="FFFFFF"/>
        <w:adjustRightInd w:val="0"/>
        <w:snapToGrid w:val="0"/>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同时出现两种以上不一致的，按照前款规定的顺序修正。</w:t>
      </w:r>
    </w:p>
    <w:p w14:paraId="1B66D735">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修正后的报价遵照如下规定处理：供应商的澄清、说明或者补正应当采用书面形式，并加盖公章，或者由法定代表人或其授权的代表签字。供应商的澄清、说明或者补正不得超出投标文件的范围或者改变投标文件的实质性内容。修正后的报价经供应商确认后产生约束力，供应商不确认的，其投标无效。</w:t>
      </w:r>
    </w:p>
    <w:p w14:paraId="7B5D883A">
      <w:pPr>
        <w:shd w:val="clear" w:color="auto" w:fill="FFFFFF"/>
        <w:spacing w:line="420" w:lineRule="exact"/>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16.投标保证金</w:t>
      </w:r>
    </w:p>
    <w:p w14:paraId="3943F1CA">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16.1投标保证金是为了保护采购人和招标机构免遭因供应商的违规、违约行为而引起的风险，采购人/代理机构在受到损害时可根据本须知的有关规定没收供应商的投标保证金。中标人如未能按招标文件要求与采购人签署项目合同并提交履约保证金，视为供应商违约，则采购人有权没收中标人投标保证金。</w:t>
      </w:r>
    </w:p>
    <w:p w14:paraId="53EA6D75">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16.2 供应商应提交投标保证金，并作为其投标的一部分。招标文件《前附表》规定交纳</w:t>
      </w:r>
      <w:r>
        <w:rPr>
          <w:rFonts w:hint="eastAsia" w:ascii="仿宋" w:hAnsi="仿宋" w:eastAsia="仿宋" w:cs="仿宋"/>
          <w:bCs/>
          <w:color w:val="auto"/>
          <w:kern w:val="0"/>
          <w:sz w:val="24"/>
          <w:highlight w:val="none"/>
        </w:rPr>
        <w:t>投标保证金的</w:t>
      </w:r>
      <w:r>
        <w:rPr>
          <w:rFonts w:hint="eastAsia" w:ascii="仿宋" w:hAnsi="仿宋" w:eastAsia="仿宋" w:cs="仿宋"/>
          <w:color w:val="auto"/>
          <w:kern w:val="0"/>
          <w:sz w:val="24"/>
          <w:highlight w:val="none"/>
        </w:rPr>
        <w:t>，</w:t>
      </w:r>
      <w:r>
        <w:rPr>
          <w:rFonts w:hint="eastAsia" w:ascii="仿宋" w:hAnsi="仿宋" w:eastAsia="仿宋" w:cs="仿宋"/>
          <w:bCs/>
          <w:color w:val="auto"/>
          <w:kern w:val="0"/>
          <w:sz w:val="24"/>
          <w:highlight w:val="none"/>
        </w:rPr>
        <w:t>供应商应按招标文件</w:t>
      </w:r>
      <w:r>
        <w:rPr>
          <w:rFonts w:hint="eastAsia" w:ascii="仿宋" w:hAnsi="仿宋" w:eastAsia="仿宋" w:cs="仿宋"/>
          <w:color w:val="auto"/>
          <w:kern w:val="0"/>
          <w:sz w:val="24"/>
          <w:highlight w:val="none"/>
        </w:rPr>
        <w:t>《前附表》规定的要求</w:t>
      </w:r>
      <w:r>
        <w:rPr>
          <w:rFonts w:hint="eastAsia" w:ascii="仿宋" w:hAnsi="仿宋" w:eastAsia="仿宋" w:cs="仿宋"/>
          <w:bCs/>
          <w:color w:val="auto"/>
          <w:kern w:val="0"/>
          <w:sz w:val="24"/>
          <w:highlight w:val="none"/>
        </w:rPr>
        <w:t>提交保证金</w:t>
      </w:r>
      <w:r>
        <w:rPr>
          <w:rFonts w:hint="eastAsia" w:ascii="仿宋" w:hAnsi="仿宋" w:eastAsia="仿宋" w:cs="仿宋"/>
          <w:color w:val="auto"/>
          <w:kern w:val="0"/>
          <w:sz w:val="24"/>
          <w:highlight w:val="none"/>
        </w:rPr>
        <w:t>，</w:t>
      </w:r>
      <w:r>
        <w:rPr>
          <w:rFonts w:hint="eastAsia" w:ascii="仿宋" w:hAnsi="仿宋" w:eastAsia="仿宋" w:cs="仿宋"/>
          <w:bCs/>
          <w:color w:val="auto"/>
          <w:kern w:val="0"/>
          <w:sz w:val="24"/>
          <w:highlight w:val="none"/>
        </w:rPr>
        <w:t>投标保证金有效期应与</w:t>
      </w:r>
      <w:r>
        <w:rPr>
          <w:rFonts w:hint="eastAsia" w:ascii="仿宋" w:hAnsi="仿宋" w:eastAsia="仿宋" w:cs="仿宋"/>
          <w:color w:val="auto"/>
          <w:kern w:val="0"/>
          <w:sz w:val="24"/>
          <w:highlight w:val="none"/>
        </w:rPr>
        <w:t>招标文件规定</w:t>
      </w:r>
      <w:r>
        <w:rPr>
          <w:rFonts w:hint="eastAsia" w:ascii="仿宋" w:hAnsi="仿宋" w:eastAsia="仿宋" w:cs="仿宋"/>
          <w:bCs/>
          <w:color w:val="auto"/>
          <w:kern w:val="0"/>
          <w:sz w:val="24"/>
          <w:highlight w:val="none"/>
        </w:rPr>
        <w:t>的投标有效期一致。</w:t>
      </w:r>
      <w:r>
        <w:rPr>
          <w:rFonts w:hint="eastAsia" w:ascii="仿宋" w:hAnsi="仿宋" w:eastAsia="仿宋" w:cs="仿宋"/>
          <w:b/>
          <w:bCs/>
          <w:color w:val="auto"/>
          <w:kern w:val="0"/>
          <w:sz w:val="24"/>
          <w:highlight w:val="none"/>
        </w:rPr>
        <w:t>供应商</w:t>
      </w:r>
      <w:r>
        <w:rPr>
          <w:rFonts w:hint="eastAsia" w:ascii="仿宋" w:hAnsi="仿宋" w:eastAsia="仿宋" w:cs="仿宋"/>
          <w:b/>
          <w:color w:val="auto"/>
          <w:kern w:val="0"/>
          <w:sz w:val="24"/>
          <w:highlight w:val="none"/>
        </w:rPr>
        <w:t>未按照招标文件《前附表》要求提交投标保证金的，投标无效。</w:t>
      </w:r>
    </w:p>
    <w:p w14:paraId="5136E7D1">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16.3招标文件接受联合体投标的，可以由联合体中的一方或者共同提交投标保证金。以一方名义提交投标保证金的，对联合体各方均具有约束力。</w:t>
      </w:r>
    </w:p>
    <w:p w14:paraId="4A0583EB">
      <w:pPr>
        <w:shd w:val="clear" w:color="auto" w:fill="FFFFFF"/>
        <w:spacing w:line="420" w:lineRule="exact"/>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16.4 未中标人的投标保证金，将在中标通知书发出5个工作日内退还。因违反规定被没收的投标保证金不予退回。</w:t>
      </w:r>
    </w:p>
    <w:p w14:paraId="4F0119E9">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16.5 中标人的投标保证金自采购合同签订之日起5个工作日内退还。</w:t>
      </w:r>
    </w:p>
    <w:p w14:paraId="65B2D51C">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16.6 </w:t>
      </w:r>
      <w:r>
        <w:rPr>
          <w:rFonts w:hint="eastAsia" w:ascii="仿宋" w:hAnsi="仿宋" w:eastAsia="仿宋" w:cs="仿宋"/>
          <w:b/>
          <w:color w:val="auto"/>
          <w:kern w:val="0"/>
          <w:sz w:val="24"/>
          <w:highlight w:val="none"/>
        </w:rPr>
        <w:t>下列任何情况发生时，投标保证金将被没收：</w:t>
      </w:r>
    </w:p>
    <w:p w14:paraId="1E6AF7BF">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16.6.1 供应商在规定的投标有效期内撤回其投标；</w:t>
      </w:r>
    </w:p>
    <w:p w14:paraId="7D238DD3">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16.6.2 中标人无正当理由拒绝按规定与采购人签订合同或未能在规定期限内签署合同的或未按招标文件要求提交履约保证金的。</w:t>
      </w:r>
    </w:p>
    <w:p w14:paraId="712D87F1">
      <w:pPr>
        <w:shd w:val="clear" w:color="auto" w:fill="FFFFFF"/>
        <w:autoSpaceDE w:val="0"/>
        <w:autoSpaceDN w:val="0"/>
        <w:adjustRightInd w:val="0"/>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16.7 </w:t>
      </w:r>
      <w:r>
        <w:rPr>
          <w:rFonts w:hint="eastAsia" w:ascii="仿宋" w:hAnsi="仿宋" w:eastAsia="仿宋" w:cs="仿宋"/>
          <w:b/>
          <w:color w:val="auto"/>
          <w:kern w:val="0"/>
          <w:sz w:val="24"/>
          <w:highlight w:val="none"/>
        </w:rPr>
        <w:t>供应商办理投标保证金退款申请手续须提供以下资料：</w:t>
      </w:r>
    </w:p>
    <w:p w14:paraId="5695DC6B">
      <w:pPr>
        <w:shd w:val="clear" w:color="auto" w:fill="FFFFFF"/>
        <w:autoSpaceDE w:val="0"/>
        <w:autoSpaceDN w:val="0"/>
        <w:adjustRightInd w:val="0"/>
        <w:spacing w:line="420" w:lineRule="exact"/>
        <w:ind w:firstLine="482" w:firstLineChars="200"/>
        <w:jc w:val="left"/>
        <w:rPr>
          <w:rFonts w:hint="eastAsia" w:ascii="仿宋" w:hAnsi="仿宋" w:eastAsia="仿宋" w:cs="仿宋"/>
          <w:b/>
          <w:color w:val="auto"/>
          <w:kern w:val="0"/>
          <w:sz w:val="24"/>
          <w:highlight w:val="none"/>
          <w:u w:val="none"/>
        </w:rPr>
      </w:pPr>
      <w:r>
        <w:rPr>
          <w:rFonts w:hint="eastAsia" w:ascii="仿宋" w:hAnsi="仿宋" w:eastAsia="仿宋" w:cs="仿宋"/>
          <w:b/>
          <w:color w:val="auto"/>
          <w:kern w:val="0"/>
          <w:sz w:val="24"/>
          <w:highlight w:val="none"/>
          <w:u w:val="none"/>
        </w:rPr>
        <w:t>16.7.1 供应商清晰的单位名称、开户银行名称、银行账号、银行行号。</w:t>
      </w:r>
    </w:p>
    <w:p w14:paraId="5F49C5A1">
      <w:pPr>
        <w:shd w:val="clear" w:color="auto" w:fill="FFFFFF"/>
        <w:spacing w:line="420" w:lineRule="exact"/>
        <w:ind w:firstLine="482" w:firstLineChars="200"/>
        <w:rPr>
          <w:rFonts w:hint="eastAsia" w:ascii="仿宋" w:hAnsi="仿宋" w:eastAsia="仿宋" w:cs="仿宋"/>
          <w:color w:val="auto"/>
          <w:kern w:val="0"/>
          <w:sz w:val="24"/>
          <w:highlight w:val="none"/>
          <w:u w:val="none"/>
        </w:rPr>
      </w:pPr>
      <w:r>
        <w:rPr>
          <w:rFonts w:hint="eastAsia" w:ascii="仿宋" w:hAnsi="仿宋" w:eastAsia="仿宋" w:cs="仿宋"/>
          <w:b/>
          <w:color w:val="auto"/>
          <w:kern w:val="0"/>
          <w:sz w:val="24"/>
          <w:highlight w:val="none"/>
          <w:u w:val="none"/>
        </w:rPr>
        <w:t xml:space="preserve">16.7.2 </w:t>
      </w:r>
      <w:r>
        <w:rPr>
          <w:rFonts w:hint="eastAsia" w:ascii="仿宋" w:hAnsi="仿宋" w:eastAsia="仿宋" w:cs="仿宋"/>
          <w:b/>
          <w:snapToGrid w:val="0"/>
          <w:color w:val="auto"/>
          <w:kern w:val="0"/>
          <w:sz w:val="24"/>
          <w:highlight w:val="none"/>
          <w:u w:val="none"/>
        </w:rPr>
        <w:t>中标方办理投标保证金退款申请，</w:t>
      </w:r>
      <w:r>
        <w:rPr>
          <w:rFonts w:hint="eastAsia" w:ascii="仿宋" w:hAnsi="仿宋" w:eastAsia="仿宋" w:cs="仿宋"/>
          <w:b/>
          <w:snapToGrid w:val="0"/>
          <w:color w:val="auto"/>
          <w:kern w:val="0"/>
          <w:sz w:val="24"/>
          <w:highlight w:val="none"/>
          <w:u w:val="none"/>
          <w:lang w:eastAsia="zh-CN"/>
        </w:rPr>
        <w:t>除上述资料外，</w:t>
      </w:r>
      <w:r>
        <w:rPr>
          <w:rFonts w:hint="eastAsia" w:ascii="仿宋" w:hAnsi="仿宋" w:eastAsia="仿宋" w:cs="仿宋"/>
          <w:b/>
          <w:snapToGrid w:val="0"/>
          <w:color w:val="auto"/>
          <w:kern w:val="0"/>
          <w:sz w:val="24"/>
          <w:highlight w:val="none"/>
          <w:u w:val="none"/>
        </w:rPr>
        <w:t>还须提供与采购人签订</w:t>
      </w:r>
      <w:r>
        <w:rPr>
          <w:rFonts w:hint="eastAsia" w:ascii="仿宋" w:hAnsi="仿宋" w:eastAsia="仿宋" w:cs="仿宋"/>
          <w:b/>
          <w:snapToGrid w:val="0"/>
          <w:color w:val="auto"/>
          <w:kern w:val="0"/>
          <w:sz w:val="24"/>
          <w:highlight w:val="none"/>
          <w:u w:val="none"/>
          <w:lang w:eastAsia="zh-CN"/>
        </w:rPr>
        <w:t>加盖双方</w:t>
      </w:r>
      <w:r>
        <w:rPr>
          <w:rFonts w:hint="eastAsia" w:ascii="仿宋" w:hAnsi="仿宋" w:eastAsia="仿宋" w:cs="仿宋"/>
          <w:b/>
          <w:snapToGrid w:val="0"/>
          <w:color w:val="auto"/>
          <w:kern w:val="0"/>
          <w:sz w:val="24"/>
          <w:highlight w:val="none"/>
          <w:u w:val="none"/>
        </w:rPr>
        <w:t>公章的</w:t>
      </w:r>
      <w:r>
        <w:rPr>
          <w:rFonts w:hint="eastAsia" w:ascii="仿宋" w:hAnsi="仿宋" w:eastAsia="仿宋" w:cs="仿宋"/>
          <w:b/>
          <w:snapToGrid w:val="0"/>
          <w:color w:val="auto"/>
          <w:kern w:val="0"/>
          <w:sz w:val="24"/>
          <w:highlight w:val="none"/>
          <w:u w:val="none"/>
          <w:lang w:eastAsia="zh-CN"/>
        </w:rPr>
        <w:t>正式</w:t>
      </w:r>
      <w:r>
        <w:rPr>
          <w:rFonts w:hint="eastAsia" w:ascii="仿宋" w:hAnsi="仿宋" w:eastAsia="仿宋" w:cs="仿宋"/>
          <w:b/>
          <w:snapToGrid w:val="0"/>
          <w:color w:val="auto"/>
          <w:kern w:val="0"/>
          <w:sz w:val="24"/>
          <w:highlight w:val="none"/>
          <w:u w:val="none"/>
        </w:rPr>
        <w:t>合同全本复印件或扫描件一份</w:t>
      </w:r>
      <w:r>
        <w:rPr>
          <w:rFonts w:hint="eastAsia" w:ascii="仿宋" w:hAnsi="仿宋" w:eastAsia="仿宋" w:cs="仿宋"/>
          <w:b/>
          <w:snapToGrid w:val="0"/>
          <w:color w:val="auto"/>
          <w:kern w:val="0"/>
          <w:sz w:val="24"/>
          <w:highlight w:val="none"/>
          <w:u w:val="none"/>
          <w:lang w:eastAsia="zh-CN"/>
        </w:rPr>
        <w:t>（合同签订当日须提供），以便及时公示</w:t>
      </w:r>
      <w:r>
        <w:rPr>
          <w:rFonts w:hint="eastAsia" w:ascii="仿宋" w:hAnsi="仿宋" w:eastAsia="仿宋" w:cs="仿宋"/>
          <w:b/>
          <w:snapToGrid w:val="0"/>
          <w:color w:val="auto"/>
          <w:kern w:val="0"/>
          <w:sz w:val="24"/>
          <w:highlight w:val="none"/>
          <w:u w:val="none"/>
        </w:rPr>
        <w:t>。</w:t>
      </w:r>
    </w:p>
    <w:p w14:paraId="2E351F4F">
      <w:pPr>
        <w:shd w:val="clear" w:color="auto" w:fill="FFFFFF"/>
        <w:spacing w:line="420" w:lineRule="exact"/>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17. 招标答疑会和现场踏勘</w:t>
      </w:r>
    </w:p>
    <w:p w14:paraId="59BC125E">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17.1本项目不组织招标答疑会。</w:t>
      </w:r>
    </w:p>
    <w:p w14:paraId="0E686E2F">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17.2 采购人不组织供应商进行现场踏勘，供应商应自行在投标截止时间前对项目服务现场和周围环境进行勘察，以获取须供应商自己负责的有关编制投标文件和签署合同所需的所有资料。勘察现场所发生的费用及风险由供应商自己承担。</w:t>
      </w:r>
    </w:p>
    <w:p w14:paraId="01035314">
      <w:pPr>
        <w:shd w:val="clear" w:color="auto" w:fill="FFFFFF"/>
        <w:spacing w:line="420" w:lineRule="exact"/>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18. 投标有效期</w:t>
      </w:r>
    </w:p>
    <w:p w14:paraId="4FD3A0B0">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18.1 投标有效期见本须知前附表所规定的期限，在此期限内，凡符合本招标文件要求的投标文件均保持有效。</w:t>
      </w:r>
      <w:r>
        <w:rPr>
          <w:rFonts w:hint="eastAsia" w:ascii="仿宋" w:hAnsi="仿宋" w:eastAsia="仿宋" w:cs="仿宋"/>
          <w:b/>
          <w:color w:val="auto"/>
          <w:kern w:val="0"/>
          <w:sz w:val="24"/>
          <w:highlight w:val="none"/>
        </w:rPr>
        <w:t>投标有效期不足的，投标无效。</w:t>
      </w:r>
    </w:p>
    <w:p w14:paraId="5BD17AE3">
      <w:pPr>
        <w:shd w:val="clear" w:color="auto" w:fill="FFFFFF"/>
        <w:spacing w:line="420" w:lineRule="exact"/>
        <w:ind w:firstLine="480" w:firstLineChars="200"/>
        <w:rPr>
          <w:rFonts w:hint="eastAsia" w:ascii="仿宋" w:hAnsi="仿宋" w:eastAsia="仿宋" w:cs="仿宋"/>
          <w:bCs/>
          <w:color w:val="auto"/>
          <w:kern w:val="0"/>
          <w:sz w:val="24"/>
          <w:highlight w:val="none"/>
        </w:rPr>
      </w:pPr>
      <w:r>
        <w:rPr>
          <w:rFonts w:hint="eastAsia" w:ascii="仿宋" w:hAnsi="仿宋" w:eastAsia="仿宋" w:cs="仿宋"/>
          <w:color w:val="auto"/>
          <w:kern w:val="0"/>
          <w:sz w:val="24"/>
          <w:highlight w:val="none"/>
        </w:rPr>
        <w:t>18.2 在特殊情况下，采购人在原定的投标有效期内，可以根据需要以发布公告或书面形式向供应商提出延长投标有效期的要求，对此要求供应商须以书面形式予以答复。供应商拒绝延长的，其投标在原投标有效期届满后将不再有效，但有权收回其投标保证金；同意延长投标有效期的供应商既不能要求也不允许修改或撤回其投标文件。</w:t>
      </w:r>
    </w:p>
    <w:p w14:paraId="056233AE">
      <w:pPr>
        <w:shd w:val="clear" w:color="auto" w:fill="FFFFFF"/>
        <w:spacing w:line="42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（三） 投标文件的编制</w:t>
      </w:r>
    </w:p>
    <w:p w14:paraId="117947AE">
      <w:pPr>
        <w:shd w:val="clear" w:color="auto" w:fill="FFFFFF"/>
        <w:spacing w:line="42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19. 投标文件编制要求</w:t>
      </w:r>
    </w:p>
    <w:p w14:paraId="65C35714">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19.1供应商提交的投标文件及供应商与采购代理机构就有关投标的所有来往函电均使用中文。</w:t>
      </w:r>
    </w:p>
    <w:p w14:paraId="5FCD879F">
      <w:pPr>
        <w:shd w:val="clear" w:color="auto" w:fill="FFFFFF"/>
        <w:spacing w:line="420" w:lineRule="exact"/>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20. 投标文件编制的依据</w:t>
      </w:r>
    </w:p>
    <w:p w14:paraId="47D754C0">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20.1 采购人提供的采购需求及有关资料；</w:t>
      </w:r>
    </w:p>
    <w:p w14:paraId="723D75A9">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20.2 本招标文件及招标文件的修改或者澄清；</w:t>
      </w:r>
    </w:p>
    <w:p w14:paraId="2C08072B">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20.3 相关的法律、法规和规定。</w:t>
      </w:r>
    </w:p>
    <w:p w14:paraId="0C842A8B">
      <w:pPr>
        <w:shd w:val="clear" w:color="auto" w:fill="FFFFFF"/>
        <w:spacing w:line="42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color w:val="auto"/>
          <w:kern w:val="0"/>
          <w:sz w:val="24"/>
          <w:highlight w:val="none"/>
        </w:rPr>
        <w:t>21. 投标文件的组成：</w:t>
      </w:r>
      <w:r>
        <w:rPr>
          <w:rFonts w:hint="eastAsia" w:ascii="仿宋" w:hAnsi="仿宋" w:eastAsia="仿宋" w:cs="仿宋"/>
          <w:color w:val="auto"/>
          <w:kern w:val="0"/>
          <w:sz w:val="24"/>
          <w:highlight w:val="none"/>
        </w:rPr>
        <w:t>资格响应文件、商务响应文件、技术响应文件、报价响应文件</w:t>
      </w:r>
      <w:r>
        <w:rPr>
          <w:rFonts w:hint="eastAsia" w:ascii="仿宋" w:hAnsi="仿宋" w:eastAsia="仿宋" w:cs="仿宋"/>
          <w:bCs/>
          <w:color w:val="auto"/>
          <w:kern w:val="0"/>
          <w:sz w:val="24"/>
          <w:highlight w:val="none"/>
        </w:rPr>
        <w:t>。</w:t>
      </w:r>
    </w:p>
    <w:p w14:paraId="35173288">
      <w:pPr>
        <w:shd w:val="clear" w:color="auto" w:fill="FFFFFF"/>
        <w:spacing w:line="42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21.1资格响应文件组成</w:t>
      </w:r>
    </w:p>
    <w:p w14:paraId="4D0E8D0C">
      <w:pPr>
        <w:shd w:val="clear" w:color="auto" w:fill="FFFFFF"/>
        <w:spacing w:line="420" w:lineRule="exact"/>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rPr>
        <w:t>（1）供应商营业执照或其他组织资格证书，扫描件；</w:t>
      </w:r>
    </w:p>
    <w:p w14:paraId="26A6E8E9">
      <w:pPr>
        <w:shd w:val="clear" w:color="auto" w:fill="FFFFFF"/>
        <w:spacing w:line="420" w:lineRule="exact"/>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rPr>
        <w:t>（</w:t>
      </w:r>
      <w:r>
        <w:rPr>
          <w:rFonts w:hint="eastAsia" w:ascii="仿宋" w:hAnsi="仿宋" w:eastAsia="仿宋" w:cs="仿宋"/>
          <w:b/>
          <w:bCs w:val="0"/>
          <w:color w:val="auto"/>
          <w:kern w:val="0"/>
          <w:sz w:val="24"/>
          <w:highlight w:val="none"/>
          <w:lang w:val="en-US" w:eastAsia="zh-CN"/>
        </w:rPr>
        <w:t>2</w:t>
      </w:r>
      <w:r>
        <w:rPr>
          <w:rFonts w:hint="eastAsia" w:ascii="仿宋" w:hAnsi="仿宋" w:eastAsia="仿宋" w:cs="仿宋"/>
          <w:b/>
          <w:bCs w:val="0"/>
          <w:color w:val="auto"/>
          <w:kern w:val="0"/>
          <w:sz w:val="24"/>
          <w:highlight w:val="none"/>
        </w:rPr>
        <w:t>）法定代表人资格证明书和法定代表人身份证</w:t>
      </w:r>
      <w:r>
        <w:rPr>
          <w:rFonts w:hint="eastAsia" w:ascii="仿宋" w:hAnsi="仿宋" w:eastAsia="仿宋" w:cs="仿宋"/>
          <w:b/>
          <w:bCs w:val="0"/>
          <w:color w:val="auto"/>
          <w:kern w:val="0"/>
          <w:sz w:val="24"/>
          <w:highlight w:val="none"/>
          <w:lang w:eastAsia="zh-CN"/>
        </w:rPr>
        <w:t>，</w:t>
      </w:r>
      <w:r>
        <w:rPr>
          <w:rFonts w:hint="eastAsia" w:ascii="仿宋" w:hAnsi="仿宋" w:eastAsia="仿宋" w:cs="仿宋"/>
          <w:b/>
          <w:bCs w:val="0"/>
          <w:color w:val="auto"/>
          <w:kern w:val="0"/>
          <w:sz w:val="24"/>
          <w:highlight w:val="none"/>
        </w:rPr>
        <w:t>或者法定代表人授权委托书和被授权人身份证；</w:t>
      </w:r>
    </w:p>
    <w:p w14:paraId="49B3D801">
      <w:pPr>
        <w:shd w:val="clear" w:color="auto" w:fill="FFFFFF"/>
        <w:spacing w:line="420" w:lineRule="exact"/>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rPr>
        <w:t>（3）供应商开标前三个月内任意一个月依法纳税及缴纳社会保险相关证明资料；</w:t>
      </w:r>
    </w:p>
    <w:p w14:paraId="31D67697">
      <w:pPr>
        <w:shd w:val="clear" w:color="auto" w:fill="FFFFFF"/>
        <w:spacing w:line="420" w:lineRule="exact"/>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rPr>
        <w:t>（4）</w:t>
      </w:r>
      <w:r>
        <w:rPr>
          <w:rFonts w:hint="eastAsia" w:ascii="仿宋" w:hAnsi="仿宋" w:eastAsia="仿宋" w:cs="仿宋"/>
          <w:b/>
          <w:bCs/>
          <w:color w:val="auto"/>
          <w:kern w:val="0"/>
          <w:sz w:val="24"/>
          <w:highlight w:val="none"/>
        </w:rPr>
        <w:t>供应商是法人组织的应提供经第三方审计的上一年度（202</w:t>
      </w:r>
      <w:r>
        <w:rPr>
          <w:rFonts w:hint="eastAsia" w:ascii="仿宋" w:hAnsi="仿宋" w:eastAsia="仿宋" w:cs="仿宋"/>
          <w:b/>
          <w:bCs/>
          <w:color w:val="auto"/>
          <w:kern w:val="0"/>
          <w:sz w:val="24"/>
          <w:highlight w:val="none"/>
          <w:lang w:val="en-US" w:eastAsia="zh-CN"/>
        </w:rPr>
        <w:t>4</w:t>
      </w:r>
      <w:r>
        <w:rPr>
          <w:rFonts w:hint="eastAsia" w:ascii="仿宋" w:hAnsi="仿宋" w:eastAsia="仿宋" w:cs="仿宋"/>
          <w:b/>
          <w:bCs/>
          <w:color w:val="auto"/>
          <w:kern w:val="0"/>
          <w:sz w:val="24"/>
          <w:highlight w:val="none"/>
        </w:rPr>
        <w:t>年）的财务审计报告；自成立到投标截止时间，未跨一个自然年度的须提供近一个季度的财务报表或开标前三个月内基本开户银行出具的资信证明</w:t>
      </w:r>
      <w:r>
        <w:rPr>
          <w:rFonts w:hint="eastAsia" w:ascii="仿宋" w:hAnsi="仿宋" w:eastAsia="仿宋" w:cs="仿宋"/>
          <w:b/>
          <w:bCs w:val="0"/>
          <w:color w:val="auto"/>
          <w:kern w:val="0"/>
          <w:sz w:val="24"/>
          <w:highlight w:val="none"/>
        </w:rPr>
        <w:t>；</w:t>
      </w:r>
    </w:p>
    <w:p w14:paraId="5A328B97">
      <w:pPr>
        <w:shd w:val="clear" w:color="auto" w:fill="FFFFFF"/>
        <w:spacing w:line="420" w:lineRule="exact"/>
        <w:ind w:firstLine="482" w:firstLineChars="200"/>
        <w:rPr>
          <w:rFonts w:hint="eastAsia" w:ascii="仿宋" w:hAnsi="仿宋" w:eastAsia="仿宋" w:cs="仿宋"/>
          <w:b/>
          <w:bCs w:val="0"/>
          <w:color w:val="auto"/>
          <w:kern w:val="0"/>
          <w:sz w:val="24"/>
          <w:highlight w:val="none"/>
          <w:lang w:eastAsia="zh-CN"/>
        </w:rPr>
      </w:pPr>
      <w:r>
        <w:rPr>
          <w:rFonts w:hint="eastAsia" w:ascii="仿宋" w:hAnsi="仿宋" w:eastAsia="仿宋" w:cs="仿宋"/>
          <w:b/>
          <w:bCs w:val="0"/>
          <w:color w:val="auto"/>
          <w:kern w:val="0"/>
          <w:sz w:val="24"/>
          <w:highlight w:val="none"/>
        </w:rPr>
        <w:t>（5）供应商参加本次政府采购活动前3年内在经营活动中没有重大违法记录的书面声明</w:t>
      </w:r>
      <w:r>
        <w:rPr>
          <w:rFonts w:hint="eastAsia" w:ascii="仿宋" w:hAnsi="仿宋" w:eastAsia="仿宋" w:cs="仿宋"/>
          <w:b/>
          <w:bCs w:val="0"/>
          <w:color w:val="auto"/>
          <w:kern w:val="0"/>
          <w:sz w:val="24"/>
          <w:highlight w:val="none"/>
          <w:lang w:eastAsia="zh-CN"/>
        </w:rPr>
        <w:t>。</w:t>
      </w:r>
    </w:p>
    <w:p w14:paraId="5FD80F06">
      <w:pPr>
        <w:shd w:val="clear" w:color="auto" w:fill="FFFFFF"/>
        <w:spacing w:line="42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21.2商务响应文件组成包括但不限于以下内容：</w:t>
      </w:r>
    </w:p>
    <w:p w14:paraId="1B741B8E">
      <w:pPr>
        <w:shd w:val="clear" w:color="auto" w:fill="FFFFFF"/>
        <w:spacing w:line="420" w:lineRule="exact"/>
        <w:ind w:firstLine="480" w:firstLineChars="200"/>
        <w:rPr>
          <w:rFonts w:hint="eastAsia" w:ascii="仿宋" w:hAnsi="仿宋" w:eastAsia="仿宋" w:cs="仿宋"/>
          <w:b/>
          <w:bCs w:val="0"/>
          <w:color w:val="auto"/>
          <w:kern w:val="0"/>
          <w:sz w:val="24"/>
          <w:highlight w:val="none"/>
        </w:rPr>
      </w:pPr>
      <w:r>
        <w:rPr>
          <w:rFonts w:hint="eastAsia" w:ascii="仿宋" w:hAnsi="仿宋" w:eastAsia="仿宋" w:cs="仿宋"/>
          <w:bCs/>
          <w:color w:val="auto"/>
          <w:kern w:val="0"/>
          <w:sz w:val="24"/>
          <w:highlight w:val="none"/>
        </w:rPr>
        <w:t>（</w:t>
      </w:r>
      <w:r>
        <w:rPr>
          <w:rFonts w:hint="eastAsia" w:ascii="仿宋" w:hAnsi="仿宋" w:eastAsia="仿宋" w:cs="仿宋"/>
          <w:b/>
          <w:bCs w:val="0"/>
          <w:color w:val="auto"/>
          <w:kern w:val="0"/>
          <w:sz w:val="24"/>
          <w:highlight w:val="none"/>
        </w:rPr>
        <w:t>1）投标承诺书；</w:t>
      </w:r>
    </w:p>
    <w:p w14:paraId="15C677D3">
      <w:pPr>
        <w:shd w:val="clear" w:color="auto" w:fill="FFFFFF"/>
        <w:spacing w:line="420" w:lineRule="exact"/>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rPr>
        <w:t>（</w:t>
      </w:r>
      <w:r>
        <w:rPr>
          <w:rFonts w:hint="eastAsia" w:ascii="仿宋" w:hAnsi="仿宋" w:eastAsia="仿宋" w:cs="仿宋"/>
          <w:b/>
          <w:bCs w:val="0"/>
          <w:color w:val="auto"/>
          <w:kern w:val="0"/>
          <w:sz w:val="24"/>
          <w:highlight w:val="none"/>
          <w:lang w:val="en-US" w:eastAsia="zh-CN"/>
        </w:rPr>
        <w:t>2</w:t>
      </w:r>
      <w:r>
        <w:rPr>
          <w:rFonts w:hint="eastAsia" w:ascii="仿宋" w:hAnsi="仿宋" w:eastAsia="仿宋" w:cs="仿宋"/>
          <w:b/>
          <w:bCs w:val="0"/>
          <w:color w:val="auto"/>
          <w:kern w:val="0"/>
          <w:sz w:val="24"/>
          <w:highlight w:val="none"/>
        </w:rPr>
        <w:t>）商务及合同条款偏离表（须至少包括对本文件《前附表》提出的“投标有效期”、</w:t>
      </w:r>
      <w:r>
        <w:rPr>
          <w:rFonts w:hint="eastAsia" w:ascii="仿宋" w:hAnsi="仿宋" w:eastAsia="仿宋" w:cs="仿宋"/>
          <w:b/>
          <w:bCs w:val="0"/>
          <w:color w:val="auto"/>
          <w:kern w:val="0"/>
          <w:sz w:val="24"/>
          <w:highlight w:val="none"/>
          <w:lang w:eastAsia="zh-CN"/>
        </w:rPr>
        <w:t>“交付时间”、</w:t>
      </w:r>
      <w:r>
        <w:rPr>
          <w:rFonts w:hint="eastAsia" w:ascii="仿宋" w:hAnsi="仿宋" w:eastAsia="仿宋" w:cs="仿宋"/>
          <w:b/>
          <w:bCs w:val="0"/>
          <w:color w:val="auto"/>
          <w:kern w:val="0"/>
          <w:sz w:val="24"/>
          <w:highlight w:val="none"/>
        </w:rPr>
        <w:t>“</w:t>
      </w:r>
      <w:r>
        <w:rPr>
          <w:rFonts w:hint="eastAsia" w:ascii="仿宋" w:hAnsi="仿宋" w:eastAsia="仿宋" w:cs="仿宋"/>
          <w:b/>
          <w:bCs w:val="0"/>
          <w:color w:val="auto"/>
          <w:kern w:val="0"/>
          <w:sz w:val="24"/>
          <w:highlight w:val="none"/>
          <w:lang w:eastAsia="zh-CN"/>
        </w:rPr>
        <w:t>服务</w:t>
      </w:r>
      <w:r>
        <w:rPr>
          <w:rFonts w:hint="eastAsia" w:ascii="仿宋" w:hAnsi="仿宋" w:eastAsia="仿宋" w:cs="仿宋"/>
          <w:b/>
          <w:bCs w:val="0"/>
          <w:color w:val="auto"/>
          <w:kern w:val="0"/>
          <w:sz w:val="24"/>
          <w:highlight w:val="none"/>
        </w:rPr>
        <w:t>地点”、</w:t>
      </w:r>
      <w:r>
        <w:rPr>
          <w:rFonts w:hint="eastAsia" w:ascii="仿宋" w:hAnsi="仿宋" w:eastAsia="仿宋" w:cs="仿宋"/>
          <w:b/>
          <w:bCs w:val="0"/>
          <w:color w:val="auto"/>
          <w:kern w:val="0"/>
          <w:sz w:val="24"/>
          <w:highlight w:val="none"/>
          <w:lang w:eastAsia="zh-CN"/>
        </w:rPr>
        <w:t>“维保期”、</w:t>
      </w:r>
      <w:r>
        <w:rPr>
          <w:rFonts w:hint="eastAsia" w:ascii="仿宋" w:hAnsi="仿宋" w:eastAsia="仿宋" w:cs="仿宋"/>
          <w:b/>
          <w:bCs w:val="0"/>
          <w:color w:val="auto"/>
          <w:kern w:val="0"/>
          <w:sz w:val="24"/>
          <w:highlight w:val="none"/>
        </w:rPr>
        <w:t>“付款方式”</w:t>
      </w:r>
      <w:r>
        <w:rPr>
          <w:rFonts w:hint="eastAsia" w:ascii="仿宋" w:hAnsi="仿宋" w:eastAsia="仿宋" w:cs="仿宋"/>
          <w:b/>
          <w:bCs w:val="0"/>
          <w:color w:val="auto"/>
          <w:kern w:val="0"/>
          <w:sz w:val="24"/>
          <w:highlight w:val="none"/>
          <w:lang w:eastAsia="zh-CN"/>
        </w:rPr>
        <w:t>等</w:t>
      </w:r>
      <w:r>
        <w:rPr>
          <w:rFonts w:hint="eastAsia" w:ascii="仿宋" w:hAnsi="仿宋" w:eastAsia="仿宋" w:cs="仿宋"/>
          <w:b/>
          <w:bCs w:val="0"/>
          <w:color w:val="auto"/>
          <w:kern w:val="0"/>
          <w:sz w:val="24"/>
          <w:highlight w:val="none"/>
        </w:rPr>
        <w:t>项内容</w:t>
      </w:r>
      <w:r>
        <w:rPr>
          <w:rFonts w:hint="eastAsia" w:ascii="仿宋" w:hAnsi="仿宋" w:eastAsia="仿宋" w:cs="仿宋"/>
          <w:b/>
          <w:bCs w:val="0"/>
          <w:color w:val="auto"/>
          <w:kern w:val="0"/>
          <w:sz w:val="24"/>
          <w:highlight w:val="none"/>
          <w:lang w:eastAsia="zh-CN"/>
        </w:rPr>
        <w:t>的响应情况）</w:t>
      </w:r>
      <w:r>
        <w:rPr>
          <w:rFonts w:hint="eastAsia" w:ascii="仿宋" w:hAnsi="仿宋" w:eastAsia="仿宋" w:cs="仿宋"/>
          <w:b/>
          <w:bCs w:val="0"/>
          <w:color w:val="auto"/>
          <w:kern w:val="0"/>
          <w:sz w:val="24"/>
          <w:highlight w:val="none"/>
        </w:rPr>
        <w:t>；</w:t>
      </w:r>
    </w:p>
    <w:p w14:paraId="7BEFEF21">
      <w:pPr>
        <w:shd w:val="clear" w:color="auto" w:fill="FFFFFF"/>
        <w:spacing w:line="420" w:lineRule="exact"/>
        <w:ind w:firstLine="482" w:firstLineChars="200"/>
        <w:rPr>
          <w:rFonts w:hint="eastAsia" w:ascii="仿宋" w:hAnsi="仿宋" w:eastAsia="仿宋" w:cs="仿宋"/>
          <w:b/>
          <w:bCs w:val="0"/>
          <w:color w:val="auto"/>
          <w:kern w:val="0"/>
          <w:sz w:val="24"/>
          <w:highlight w:val="none"/>
          <w:lang w:eastAsia="zh-CN"/>
        </w:rPr>
      </w:pPr>
      <w:r>
        <w:rPr>
          <w:rFonts w:hint="eastAsia" w:ascii="仿宋" w:hAnsi="仿宋" w:eastAsia="仿宋" w:cs="仿宋"/>
          <w:b/>
          <w:bCs w:val="0"/>
          <w:color w:val="auto"/>
          <w:kern w:val="0"/>
          <w:sz w:val="24"/>
          <w:highlight w:val="none"/>
        </w:rPr>
        <w:t>（</w:t>
      </w:r>
      <w:r>
        <w:rPr>
          <w:rFonts w:hint="eastAsia" w:ascii="仿宋" w:hAnsi="仿宋" w:eastAsia="仿宋" w:cs="仿宋"/>
          <w:b/>
          <w:bCs w:val="0"/>
          <w:color w:val="auto"/>
          <w:kern w:val="0"/>
          <w:sz w:val="24"/>
          <w:highlight w:val="none"/>
          <w:lang w:val="en-US" w:eastAsia="zh-CN"/>
        </w:rPr>
        <w:t>3</w:t>
      </w:r>
      <w:r>
        <w:rPr>
          <w:rFonts w:hint="eastAsia" w:ascii="仿宋" w:hAnsi="仿宋" w:eastAsia="仿宋" w:cs="仿宋"/>
          <w:b/>
          <w:bCs w:val="0"/>
          <w:color w:val="auto"/>
          <w:kern w:val="0"/>
          <w:sz w:val="24"/>
          <w:highlight w:val="none"/>
        </w:rPr>
        <w:t>）投标保证金缴纳凭证</w:t>
      </w:r>
      <w:r>
        <w:rPr>
          <w:rFonts w:hint="eastAsia" w:ascii="仿宋" w:hAnsi="仿宋" w:eastAsia="仿宋" w:cs="仿宋"/>
          <w:b/>
          <w:bCs w:val="0"/>
          <w:color w:val="auto"/>
          <w:kern w:val="0"/>
          <w:sz w:val="24"/>
          <w:highlight w:val="none"/>
          <w:lang w:eastAsia="zh-CN"/>
        </w:rPr>
        <w:t>；</w:t>
      </w:r>
    </w:p>
    <w:p w14:paraId="464EA25F">
      <w:pPr>
        <w:pStyle w:val="677"/>
        <w:spacing w:line="420" w:lineRule="exact"/>
        <w:ind w:firstLine="480" w:firstLineChars="200"/>
        <w:rPr>
          <w:rFonts w:hint="eastAsia" w:ascii="仿宋" w:hAnsi="仿宋" w:eastAsia="仿宋" w:cs="仿宋"/>
          <w:color w:val="auto"/>
          <w:sz w:val="24"/>
          <w:szCs w:val="22"/>
          <w:highlight w:val="none"/>
          <w:lang w:val="en-US" w:eastAsia="zh-CN"/>
        </w:rPr>
      </w:pPr>
      <w:r>
        <w:rPr>
          <w:rFonts w:hint="eastAsia" w:ascii="仿宋" w:hAnsi="仿宋" w:eastAsia="仿宋" w:cs="仿宋"/>
          <w:bCs/>
          <w:color w:val="auto"/>
          <w:kern w:val="0"/>
          <w:szCs w:val="24"/>
          <w:highlight w:val="none"/>
        </w:rPr>
        <w:t>（</w:t>
      </w:r>
      <w:r>
        <w:rPr>
          <w:rFonts w:hint="eastAsia" w:ascii="仿宋" w:hAnsi="仿宋" w:eastAsia="仿宋" w:cs="仿宋"/>
          <w:bCs/>
          <w:color w:val="auto"/>
          <w:kern w:val="0"/>
          <w:szCs w:val="24"/>
          <w:highlight w:val="none"/>
          <w:lang w:val="en-US" w:eastAsia="zh-CN"/>
        </w:rPr>
        <w:t>4</w:t>
      </w:r>
      <w:r>
        <w:rPr>
          <w:rFonts w:hint="eastAsia" w:ascii="仿宋" w:hAnsi="仿宋" w:eastAsia="仿宋" w:cs="仿宋"/>
          <w:bCs/>
          <w:color w:val="auto"/>
          <w:kern w:val="0"/>
          <w:szCs w:val="24"/>
          <w:highlight w:val="none"/>
        </w:rPr>
        <w:t>）</w:t>
      </w:r>
      <w:r>
        <w:rPr>
          <w:rFonts w:hint="eastAsia" w:ascii="仿宋" w:hAnsi="仿宋" w:eastAsia="仿宋" w:cs="仿宋"/>
          <w:color w:val="auto"/>
          <w:kern w:val="2"/>
          <w:sz w:val="24"/>
          <w:szCs w:val="24"/>
          <w:highlight w:val="none"/>
          <w:lang w:val="en-US" w:eastAsia="zh-CN" w:bidi="ar-SA"/>
          <w14:ligatures w14:val="standardContextual"/>
        </w:rPr>
        <w:t>供应商或供应商所投软件产品（产前智能超声质控软件系统）生产厂商</w:t>
      </w:r>
      <w:r>
        <w:rPr>
          <w:rFonts w:hint="eastAsia" w:ascii="仿宋" w:hAnsi="仿宋" w:eastAsia="仿宋" w:cs="仿宋"/>
          <w:color w:val="auto"/>
          <w:kern w:val="2"/>
          <w:sz w:val="24"/>
          <w:szCs w:val="24"/>
          <w:highlight w:val="none"/>
          <w:lang w:val="zh-CN" w:eastAsia="zh-CN" w:bidi="ar-SA"/>
        </w:rPr>
        <w:t>自20</w:t>
      </w:r>
      <w:r>
        <w:rPr>
          <w:rFonts w:hint="eastAsia" w:ascii="仿宋" w:hAnsi="仿宋" w:eastAsia="仿宋" w:cs="仿宋"/>
          <w:color w:val="auto"/>
          <w:kern w:val="2"/>
          <w:sz w:val="24"/>
          <w:szCs w:val="24"/>
          <w:highlight w:val="none"/>
          <w:lang w:val="en-US" w:eastAsia="zh-CN" w:bidi="ar-SA"/>
        </w:rPr>
        <w:t>22</w:t>
      </w:r>
      <w:r>
        <w:rPr>
          <w:rFonts w:hint="eastAsia" w:ascii="仿宋" w:hAnsi="仿宋" w:eastAsia="仿宋" w:cs="仿宋"/>
          <w:color w:val="auto"/>
          <w:kern w:val="2"/>
          <w:sz w:val="24"/>
          <w:szCs w:val="24"/>
          <w:highlight w:val="none"/>
          <w:lang w:val="zh-CN" w:eastAsia="zh-CN" w:bidi="ar-SA"/>
        </w:rPr>
        <w:t>年</w:t>
      </w: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kern w:val="2"/>
          <w:sz w:val="24"/>
          <w:szCs w:val="24"/>
          <w:highlight w:val="none"/>
          <w:lang w:val="zh-CN" w:eastAsia="zh-CN" w:bidi="ar-SA"/>
        </w:rPr>
        <w:t>月1日至今类似项目</w:t>
      </w:r>
      <w:r>
        <w:rPr>
          <w:rFonts w:hint="eastAsia" w:ascii="仿宋" w:hAnsi="仿宋" w:eastAsia="仿宋" w:cs="仿宋"/>
          <w:color w:val="auto"/>
          <w:kern w:val="2"/>
          <w:sz w:val="24"/>
          <w:szCs w:val="24"/>
          <w:highlight w:val="none"/>
          <w:lang w:val="en-US" w:eastAsia="zh-CN" w:bidi="ar-SA"/>
          <w14:ligatures w14:val="standardContextual"/>
        </w:rPr>
        <w:t>（AI智能软件开发类）</w:t>
      </w:r>
      <w:r>
        <w:rPr>
          <w:rFonts w:hint="eastAsia" w:ascii="仿宋" w:hAnsi="仿宋" w:eastAsia="仿宋" w:cs="仿宋"/>
          <w:color w:val="auto"/>
          <w:kern w:val="2"/>
          <w:sz w:val="24"/>
          <w:szCs w:val="24"/>
          <w:highlight w:val="none"/>
          <w:lang w:val="zh-CN" w:eastAsia="zh-CN" w:bidi="ar-SA"/>
        </w:rPr>
        <w:t>业绩</w:t>
      </w:r>
      <w:r>
        <w:rPr>
          <w:rFonts w:hint="eastAsia" w:ascii="仿宋" w:hAnsi="仿宋" w:eastAsia="仿宋" w:cs="仿宋"/>
          <w:color w:val="auto"/>
          <w:sz w:val="24"/>
          <w:szCs w:val="22"/>
          <w:highlight w:val="none"/>
          <w:lang w:val="en-US" w:eastAsia="zh-CN"/>
        </w:rPr>
        <w:t>,提供证明资料；</w:t>
      </w:r>
    </w:p>
    <w:p w14:paraId="2DEFE572">
      <w:pPr>
        <w:pStyle w:val="677"/>
        <w:spacing w:line="42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 w:val="24"/>
          <w:szCs w:val="22"/>
          <w:highlight w:val="none"/>
          <w:lang w:val="en-US" w:eastAsia="zh-CN"/>
        </w:rPr>
        <w:t>（5）</w:t>
      </w:r>
      <w:r>
        <w:rPr>
          <w:rFonts w:hint="eastAsia" w:ascii="仿宋" w:hAnsi="仿宋" w:eastAsia="仿宋" w:cs="仿宋"/>
          <w:color w:val="auto"/>
          <w:kern w:val="2"/>
          <w:sz w:val="24"/>
          <w:szCs w:val="24"/>
          <w:highlight w:val="none"/>
          <w:lang w:val="en-US" w:eastAsia="zh-CN" w:bidi="ar-SA"/>
        </w:rPr>
        <w:t>售后服务承诺；</w:t>
      </w:r>
    </w:p>
    <w:p w14:paraId="361C2E33">
      <w:pPr>
        <w:shd w:val="clear" w:color="auto" w:fill="FFFFFF"/>
        <w:spacing w:line="420" w:lineRule="exact"/>
        <w:ind w:firstLine="480" w:firstLineChars="200"/>
        <w:rPr>
          <w:rFonts w:hint="eastAsia" w:ascii="仿宋" w:hAnsi="仿宋" w:eastAsia="仿宋" w:cs="仿宋"/>
          <w:b/>
          <w:bCs/>
          <w:color w:val="auto"/>
          <w:kern w:val="0"/>
          <w:sz w:val="24"/>
          <w:highlight w:val="none"/>
        </w:rPr>
      </w:pPr>
      <w:r>
        <w:rPr>
          <w:rFonts w:hint="eastAsia" w:ascii="仿宋" w:hAnsi="仿宋" w:eastAsia="仿宋" w:cs="仿宋"/>
          <w:bCs/>
          <w:color w:val="auto"/>
          <w:kern w:val="0"/>
          <w:sz w:val="24"/>
          <w:highlight w:val="none"/>
        </w:rPr>
        <w:t>（</w:t>
      </w:r>
      <w:r>
        <w:rPr>
          <w:rFonts w:hint="eastAsia" w:ascii="仿宋" w:hAnsi="仿宋" w:eastAsia="仿宋" w:cs="仿宋"/>
          <w:bCs/>
          <w:color w:val="auto"/>
          <w:kern w:val="0"/>
          <w:sz w:val="24"/>
          <w:highlight w:val="none"/>
          <w:lang w:val="en-US" w:eastAsia="zh-CN"/>
        </w:rPr>
        <w:t>6</w:t>
      </w:r>
      <w:r>
        <w:rPr>
          <w:rFonts w:hint="eastAsia" w:ascii="仿宋" w:hAnsi="仿宋" w:eastAsia="仿宋" w:cs="仿宋"/>
          <w:bCs/>
          <w:color w:val="auto"/>
          <w:kern w:val="0"/>
          <w:sz w:val="24"/>
          <w:highlight w:val="none"/>
        </w:rPr>
        <w:t>）供应商认为有必要提供的其他资料。</w:t>
      </w:r>
      <w:bookmarkEnd w:id="8"/>
      <w:bookmarkEnd w:id="9"/>
    </w:p>
    <w:p w14:paraId="2ECFA0C6">
      <w:pPr>
        <w:shd w:val="clear" w:color="auto" w:fill="FFFFFF"/>
        <w:spacing w:line="42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21.3技术响应文件组成包括但不限于以下内容：</w:t>
      </w:r>
    </w:p>
    <w:p w14:paraId="5E636D05">
      <w:pPr>
        <w:shd w:val="clear" w:color="auto" w:fill="FFFFFF"/>
        <w:spacing w:line="440" w:lineRule="exact"/>
        <w:ind w:firstLine="482" w:firstLineChars="200"/>
        <w:rPr>
          <w:rFonts w:hint="eastAsia" w:ascii="仿宋" w:hAnsi="仿宋" w:eastAsia="仿宋" w:cs="仿宋"/>
          <w:b/>
          <w:bCs/>
          <w:color w:val="auto"/>
          <w:kern w:val="0"/>
          <w:sz w:val="24"/>
          <w:highlight w:val="none"/>
        </w:rPr>
      </w:pPr>
      <w:bookmarkStart w:id="10" w:name="_Hlk519798213"/>
      <w:r>
        <w:rPr>
          <w:rFonts w:hint="eastAsia" w:ascii="仿宋" w:hAnsi="仿宋" w:eastAsia="仿宋" w:cs="仿宋"/>
          <w:b/>
          <w:bCs/>
          <w:color w:val="auto"/>
          <w:kern w:val="0"/>
          <w:sz w:val="24"/>
          <w:highlight w:val="none"/>
        </w:rPr>
        <w:t>（1）技术服务条款偏离表（须对照第四章《采购需求》中“二、技术要求”、“三、其他要求”列明的所有条款按照序号逐条列出是否响应及响应内容</w:t>
      </w:r>
      <w:r>
        <w:rPr>
          <w:rFonts w:hint="eastAsia" w:ascii="仿宋" w:hAnsi="仿宋" w:eastAsia="仿宋" w:cs="仿宋"/>
          <w:b/>
          <w:bCs/>
          <w:color w:val="auto"/>
          <w:kern w:val="0"/>
          <w:sz w:val="24"/>
          <w:highlight w:val="none"/>
          <w:lang w:eastAsia="zh-CN"/>
        </w:rPr>
        <w:t>）</w:t>
      </w:r>
      <w:r>
        <w:rPr>
          <w:rFonts w:hint="eastAsia" w:ascii="仿宋" w:hAnsi="仿宋" w:eastAsia="仿宋" w:cs="仿宋"/>
          <w:b/>
          <w:bCs/>
          <w:color w:val="auto"/>
          <w:kern w:val="0"/>
          <w:sz w:val="24"/>
          <w:highlight w:val="none"/>
        </w:rPr>
        <w:t>；</w:t>
      </w:r>
    </w:p>
    <w:p w14:paraId="13F89D9F">
      <w:pPr>
        <w:shd w:val="clear" w:color="auto" w:fill="FFFFFF"/>
        <w:spacing w:line="44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（2）供应商自行编写的技术文件，包含针对本项目编制的各项方案等；</w:t>
      </w:r>
    </w:p>
    <w:p w14:paraId="3E924B7E">
      <w:pPr>
        <w:shd w:val="clear" w:color="auto" w:fill="FFFFFF"/>
        <w:spacing w:line="440" w:lineRule="exact"/>
        <w:ind w:firstLine="480" w:firstLineChars="200"/>
        <w:rPr>
          <w:rFonts w:hint="eastAsia" w:ascii="仿宋" w:hAnsi="仿宋" w:eastAsia="仿宋" w:cs="仿宋"/>
          <w:b/>
          <w:bCs/>
          <w:color w:val="auto"/>
          <w:kern w:val="0"/>
          <w:sz w:val="24"/>
          <w:highlight w:val="none"/>
        </w:rPr>
      </w:pPr>
      <w:r>
        <w:rPr>
          <w:rFonts w:hint="eastAsia" w:ascii="仿宋" w:hAnsi="仿宋" w:eastAsia="仿宋" w:cs="仿宋"/>
          <w:color w:val="auto"/>
          <w:kern w:val="2"/>
          <w:sz w:val="24"/>
          <w:szCs w:val="24"/>
          <w:highlight w:val="none"/>
          <w:lang w:val="en-US" w:eastAsia="zh-CN" w:bidi="ar-SA"/>
        </w:rPr>
        <w:t>（3）产品详细配置清单（含软/硬件）；</w:t>
      </w:r>
    </w:p>
    <w:bookmarkEnd w:id="10"/>
    <w:p w14:paraId="0C7310CE">
      <w:pPr>
        <w:shd w:val="clear" w:color="auto" w:fill="FFFFFF"/>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）供应商认为有必要提供的其他技术资料。</w:t>
      </w:r>
    </w:p>
    <w:p w14:paraId="5FE641AF">
      <w:pPr>
        <w:shd w:val="clear" w:color="auto" w:fill="FFFFFF"/>
        <w:spacing w:line="42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21.4报价响应文件包括但不限于以下内容：</w:t>
      </w:r>
      <w:r>
        <w:rPr>
          <w:rFonts w:hint="eastAsia" w:ascii="仿宋" w:hAnsi="仿宋" w:eastAsia="仿宋" w:cs="仿宋"/>
          <w:b/>
          <w:bCs/>
          <w:color w:val="auto"/>
          <w:kern w:val="0"/>
          <w:sz w:val="24"/>
          <w:highlight w:val="none"/>
        </w:rPr>
        <w:tab/>
      </w:r>
    </w:p>
    <w:p w14:paraId="50EAF7E8">
      <w:pPr>
        <w:shd w:val="clear" w:color="auto" w:fill="FFFFFF"/>
        <w:spacing w:line="420" w:lineRule="exact"/>
        <w:ind w:firstLine="482" w:firstLineChars="200"/>
        <w:rPr>
          <w:rFonts w:hint="eastAsia" w:ascii="仿宋" w:hAnsi="仿宋" w:eastAsia="仿宋" w:cs="仿宋"/>
          <w:b/>
          <w:bCs w:val="0"/>
          <w:color w:val="auto"/>
          <w:kern w:val="0"/>
          <w:sz w:val="24"/>
          <w:highlight w:val="none"/>
        </w:rPr>
      </w:pPr>
      <w:bookmarkStart w:id="11" w:name="_Hlk519798401"/>
      <w:r>
        <w:rPr>
          <w:rFonts w:hint="eastAsia" w:ascii="仿宋" w:hAnsi="仿宋" w:eastAsia="仿宋" w:cs="仿宋"/>
          <w:b/>
          <w:bCs w:val="0"/>
          <w:color w:val="auto"/>
          <w:kern w:val="0"/>
          <w:sz w:val="24"/>
          <w:highlight w:val="none"/>
        </w:rPr>
        <w:t>（1）开标一览表；</w:t>
      </w:r>
    </w:p>
    <w:p w14:paraId="6F4B8251">
      <w:pPr>
        <w:shd w:val="clear" w:color="auto" w:fill="FFFFFF"/>
        <w:spacing w:line="440" w:lineRule="exact"/>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rPr>
        <w:t>（2）分项报价明细表；</w:t>
      </w:r>
    </w:p>
    <w:p w14:paraId="51B9CC9F">
      <w:pPr>
        <w:shd w:val="clear" w:color="auto" w:fill="FFFFFF"/>
        <w:spacing w:line="440" w:lineRule="exact"/>
        <w:ind w:firstLine="480" w:firstLineChars="200"/>
        <w:rPr>
          <w:rFonts w:hint="eastAsia" w:ascii="仿宋" w:hAnsi="仿宋" w:eastAsia="仿宋" w:cs="仿宋"/>
          <w:bCs/>
          <w:color w:val="auto"/>
          <w:highlight w:val="none"/>
        </w:rPr>
      </w:pPr>
      <w:r>
        <w:rPr>
          <w:rFonts w:hint="eastAsia" w:ascii="仿宋" w:hAnsi="仿宋" w:eastAsia="仿宋" w:cs="仿宋"/>
          <w:bCs/>
          <w:color w:val="auto"/>
          <w:kern w:val="0"/>
          <w:sz w:val="24"/>
          <w:highlight w:val="none"/>
        </w:rPr>
        <w:t>（3）报价需要的其他资料。</w:t>
      </w:r>
    </w:p>
    <w:bookmarkEnd w:id="11"/>
    <w:p w14:paraId="6855D262">
      <w:pPr>
        <w:shd w:val="clear" w:color="auto" w:fill="FFFFFF"/>
        <w:spacing w:line="44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22. 投标文件的编制及格式</w:t>
      </w:r>
    </w:p>
    <w:p w14:paraId="3D61C793">
      <w:pPr>
        <w:shd w:val="clear" w:color="auto" w:fill="FFFFFF"/>
        <w:spacing w:line="42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22.1 供应商提供的投标文件应按照本须知第20条规定的内容编制，其中，第21.1（1）—（</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）、第21.2（1）—（</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）、第21.3（1）、第21.4（1）—（2）为必备项，供应商在投标文件中必须提供有关材料，如果缺项或不符合要求，将导致投标无效。</w:t>
      </w:r>
    </w:p>
    <w:p w14:paraId="71E9696D">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22.2供应商提供的投标文件应当使用招标文件所提供投标文件格式（表格可按照同样格式扩展），并保证所提供的资料的真实性。未提供格式的，供应商可自行编制。</w:t>
      </w:r>
    </w:p>
    <w:p w14:paraId="31CF9450">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22.3投标文件严禁涂改或行间插字和增删，除非这些修改是根据采购人的指示进行的，或者是供应商造成的必须修改的错误，</w:t>
      </w:r>
      <w:r>
        <w:rPr>
          <w:rFonts w:hint="eastAsia" w:ascii="仿宋" w:hAnsi="仿宋" w:eastAsia="仿宋" w:cs="仿宋"/>
          <w:color w:val="auto"/>
          <w:sz w:val="24"/>
          <w:highlight w:val="none"/>
        </w:rPr>
        <w:t>必要的修改处必须有供应商法人代表或其授权代表人签字并加盖供应商公章，</w:t>
      </w:r>
      <w:r>
        <w:rPr>
          <w:rFonts w:hint="eastAsia" w:ascii="仿宋" w:hAnsi="仿宋" w:eastAsia="仿宋" w:cs="仿宋"/>
          <w:b/>
          <w:color w:val="auto"/>
          <w:sz w:val="24"/>
          <w:highlight w:val="none"/>
        </w:rPr>
        <w:t>否则，投标无效。</w:t>
      </w:r>
    </w:p>
    <w:p w14:paraId="587EF0F6">
      <w:pPr>
        <w:shd w:val="clear" w:color="auto" w:fill="FFFFFF"/>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22.4</w:t>
      </w:r>
      <w:r>
        <w:rPr>
          <w:rFonts w:hint="eastAsia" w:ascii="仿宋" w:hAnsi="仿宋" w:eastAsia="仿宋" w:cs="仿宋"/>
          <w:bCs/>
          <w:color w:val="auto"/>
          <w:sz w:val="24"/>
          <w:highlight w:val="none"/>
        </w:rPr>
        <w:t>供应商应当按照招标文件的要求编制投标文件。投标文件应当对招标文件提出的要求和条件作出明确响应。</w:t>
      </w:r>
    </w:p>
    <w:p w14:paraId="6D1C8167">
      <w:pPr>
        <w:shd w:val="clear" w:color="auto" w:fill="FFFFFF"/>
        <w:spacing w:line="420" w:lineRule="exact"/>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23. 投标文件的份数和签署</w:t>
      </w:r>
    </w:p>
    <w:p w14:paraId="026AFB14">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23.1 供应商应当按照本须知前附表第5项规定的份数提交投标文件。</w:t>
      </w:r>
    </w:p>
    <w:p w14:paraId="59310F38">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23.2 投标文件签署要求均应符合招标文件相关规定。</w:t>
      </w:r>
    </w:p>
    <w:p w14:paraId="78C6B184">
      <w:pPr>
        <w:shd w:val="clear" w:color="auto" w:fill="FFFFFF"/>
        <w:spacing w:line="420" w:lineRule="exact"/>
        <w:ind w:firstLine="480" w:firstLineChars="200"/>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23.3投标文件未按照上述规定编制，</w:t>
      </w:r>
      <w:r>
        <w:rPr>
          <w:rFonts w:hint="eastAsia" w:ascii="仿宋" w:hAnsi="仿宋" w:eastAsia="仿宋" w:cs="仿宋"/>
          <w:color w:val="auto"/>
          <w:sz w:val="24"/>
          <w:highlight w:val="none"/>
        </w:rPr>
        <w:t>符合性审查</w:t>
      </w:r>
      <w:r>
        <w:rPr>
          <w:rFonts w:hint="eastAsia" w:ascii="仿宋" w:hAnsi="仿宋" w:eastAsia="仿宋" w:cs="仿宋"/>
          <w:color w:val="auto"/>
          <w:kern w:val="0"/>
          <w:sz w:val="24"/>
          <w:highlight w:val="none"/>
        </w:rPr>
        <w:t>将不予以通过。</w:t>
      </w:r>
    </w:p>
    <w:p w14:paraId="355FDE37">
      <w:pPr>
        <w:shd w:val="clear" w:color="auto" w:fill="FFFFFF"/>
        <w:spacing w:line="420" w:lineRule="exact"/>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（四） 投标文件的递交</w:t>
      </w:r>
    </w:p>
    <w:p w14:paraId="3152DA54">
      <w:pPr>
        <w:shd w:val="clear" w:color="auto" w:fill="FFFFFF"/>
        <w:spacing w:line="42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24.电子版投标文件</w:t>
      </w:r>
    </w:p>
    <w:p w14:paraId="4F7D2C17">
      <w:pPr>
        <w:shd w:val="clear" w:color="auto" w:fill="FFFFFF"/>
        <w:spacing w:line="42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color w:val="auto"/>
          <w:sz w:val="24"/>
          <w:highlight w:val="none"/>
        </w:rPr>
        <w:t>24.1供应商</w:t>
      </w:r>
      <w:r>
        <w:rPr>
          <w:rFonts w:hint="eastAsia" w:ascii="仿宋" w:hAnsi="仿宋" w:eastAsia="仿宋" w:cs="仿宋"/>
          <w:b/>
          <w:bCs/>
          <w:color w:val="auto"/>
          <w:kern w:val="0"/>
          <w:sz w:val="24"/>
          <w:highlight w:val="none"/>
        </w:rPr>
        <w:t>须在投标截止时间前通过CA在政采云平台上传加密的电子投标文件；</w:t>
      </w:r>
      <w:r>
        <w:rPr>
          <w:rFonts w:hint="eastAsia" w:ascii="仿宋" w:hAnsi="仿宋" w:eastAsia="仿宋" w:cs="仿宋"/>
          <w:b/>
          <w:color w:val="auto"/>
          <w:kern w:val="0"/>
          <w:sz w:val="24"/>
          <w:highlight w:val="none"/>
        </w:rPr>
        <w:t>投标截止时间以政采云平台显示的时间为准，逾期系统将自动关闭，</w:t>
      </w:r>
      <w:r>
        <w:rPr>
          <w:rFonts w:hint="eastAsia" w:ascii="仿宋" w:hAnsi="仿宋" w:eastAsia="仿宋" w:cs="仿宋"/>
          <w:b/>
          <w:bCs/>
          <w:color w:val="auto"/>
          <w:kern w:val="0"/>
          <w:sz w:val="24"/>
          <w:highlight w:val="none"/>
        </w:rPr>
        <w:t>逾期上传的或者未成功上传到平台的投标文件，投标无效。</w:t>
      </w:r>
    </w:p>
    <w:p w14:paraId="44A3A10C">
      <w:pPr>
        <w:shd w:val="clear" w:color="auto" w:fill="FFFFFF"/>
        <w:spacing w:line="420" w:lineRule="exact"/>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25. 投标文件的提交</w:t>
      </w:r>
    </w:p>
    <w:p w14:paraId="6BEFDF8A">
      <w:pPr>
        <w:shd w:val="clear" w:color="auto" w:fill="FFFFFF"/>
        <w:spacing w:line="420" w:lineRule="exact"/>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供应商应当按照本投标须知前附表所规定的地点，于投标截止时间前上传加密的电子投标文件。纸质版投标文件按照本投标须知前附表相关规定提交。</w:t>
      </w:r>
    </w:p>
    <w:p w14:paraId="2C589253">
      <w:pPr>
        <w:shd w:val="clear" w:color="auto" w:fill="FFFFFF"/>
        <w:spacing w:line="420" w:lineRule="exact"/>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26.</w:t>
      </w:r>
      <w:r>
        <w:rPr>
          <w:rFonts w:hint="eastAsia" w:ascii="仿宋" w:hAnsi="仿宋" w:eastAsia="仿宋" w:cs="仿宋"/>
          <w:b/>
          <w:bCs/>
          <w:color w:val="auto"/>
          <w:kern w:val="0"/>
          <w:sz w:val="24"/>
          <w:highlight w:val="none"/>
        </w:rPr>
        <w:t>加密的电子投标文件</w:t>
      </w:r>
      <w:r>
        <w:rPr>
          <w:rFonts w:hint="eastAsia" w:ascii="仿宋" w:hAnsi="仿宋" w:eastAsia="仿宋" w:cs="仿宋"/>
          <w:b/>
          <w:color w:val="auto"/>
          <w:kern w:val="0"/>
          <w:sz w:val="24"/>
          <w:highlight w:val="none"/>
        </w:rPr>
        <w:t>提交的截止时间</w:t>
      </w:r>
    </w:p>
    <w:p w14:paraId="0167F883">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26.1 投标文件提交的截止时间详见本投标须知前附表规定。</w:t>
      </w:r>
    </w:p>
    <w:p w14:paraId="2FE34429">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26.2 采购人可按本招标文件第14条规定以修改补充通知的方式，酌情延长提交投标书的截止时间。在上述情况下，采购人与供应商在原投标截止时间前的全部权利和义务，将适用于延长后新的投标截止时间。</w:t>
      </w:r>
    </w:p>
    <w:p w14:paraId="19024FD4">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26.3 至投标文件递交截止时间，采购人收到的投标文件少于3个的，不得开标。评标过程中有效供应商少于3个的，应终止评标，由采购人依法重新组织招标。</w:t>
      </w:r>
    </w:p>
    <w:p w14:paraId="59C270D5">
      <w:pPr>
        <w:shd w:val="clear" w:color="auto" w:fill="FFFFFF"/>
        <w:spacing w:line="420" w:lineRule="exact"/>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27. 迟交的</w:t>
      </w:r>
      <w:r>
        <w:rPr>
          <w:rFonts w:hint="eastAsia" w:ascii="仿宋" w:hAnsi="仿宋" w:eastAsia="仿宋" w:cs="仿宋"/>
          <w:b/>
          <w:bCs/>
          <w:color w:val="auto"/>
          <w:kern w:val="0"/>
          <w:sz w:val="24"/>
          <w:highlight w:val="none"/>
        </w:rPr>
        <w:t>加密的电子投标文件</w:t>
      </w:r>
    </w:p>
    <w:p w14:paraId="31766FA6">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供应商在本投标须知前附表规定的投标截止时间以后提交的投标文件将被拒绝并退回。</w:t>
      </w:r>
    </w:p>
    <w:p w14:paraId="5DC958F5">
      <w:pPr>
        <w:shd w:val="clear" w:color="auto" w:fill="FFFFFF"/>
        <w:spacing w:line="420" w:lineRule="exact"/>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 xml:space="preserve">28. </w:t>
      </w:r>
      <w:r>
        <w:rPr>
          <w:rFonts w:hint="eastAsia" w:ascii="仿宋" w:hAnsi="仿宋" w:eastAsia="仿宋" w:cs="仿宋"/>
          <w:b/>
          <w:bCs/>
          <w:color w:val="auto"/>
          <w:kern w:val="0"/>
          <w:sz w:val="24"/>
          <w:highlight w:val="none"/>
        </w:rPr>
        <w:t>加密的电子投标文件</w:t>
      </w:r>
      <w:r>
        <w:rPr>
          <w:rFonts w:hint="eastAsia" w:ascii="仿宋" w:hAnsi="仿宋" w:eastAsia="仿宋" w:cs="仿宋"/>
          <w:b/>
          <w:color w:val="auto"/>
          <w:kern w:val="0"/>
          <w:sz w:val="24"/>
          <w:highlight w:val="none"/>
        </w:rPr>
        <w:t>的补充、修改与撤回</w:t>
      </w:r>
    </w:p>
    <w:p w14:paraId="58051DFD">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28.1 供应商在投标须知前附表规定的投标截止时间之前，可以补充、修改或撤回已提交的投标文件。</w:t>
      </w:r>
    </w:p>
    <w:p w14:paraId="3208434B">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28.2 在投标截止时间之后，供应商不得补充、修改投标文件。</w:t>
      </w:r>
    </w:p>
    <w:p w14:paraId="067CD65C">
      <w:pPr>
        <w:shd w:val="clear" w:color="auto" w:fill="FFFFFF"/>
        <w:spacing w:line="420" w:lineRule="exact"/>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（五） 开标</w:t>
      </w:r>
    </w:p>
    <w:p w14:paraId="50ADF5A0">
      <w:pPr>
        <w:shd w:val="clear" w:color="auto" w:fill="FFFFFF"/>
        <w:spacing w:line="420" w:lineRule="exact"/>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29. 开标</w:t>
      </w:r>
    </w:p>
    <w:p w14:paraId="50802C97">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29.1本项目采用不见面开标方式，招标会将于投标须知前附表规定的时间和地点召开，</w:t>
      </w:r>
      <w:r>
        <w:rPr>
          <w:rFonts w:hint="eastAsia" w:ascii="仿宋" w:hAnsi="仿宋" w:eastAsia="仿宋" w:cs="仿宋"/>
          <w:bCs/>
          <w:color w:val="auto"/>
          <w:kern w:val="0"/>
          <w:sz w:val="24"/>
          <w:highlight w:val="none"/>
        </w:rPr>
        <w:t>供应商无需到达开标现场，仅需在任意地点通过政采云平台完成开标签到、远程解密、报价确认等交互环节。</w:t>
      </w:r>
      <w:r>
        <w:rPr>
          <w:rFonts w:hint="eastAsia" w:ascii="仿宋" w:hAnsi="仿宋" w:eastAsia="仿宋" w:cs="仿宋"/>
          <w:color w:val="auto"/>
          <w:kern w:val="0"/>
          <w:sz w:val="24"/>
          <w:highlight w:val="none"/>
        </w:rPr>
        <w:t>供应商应在投标截止时间前登录政采云平台签到，同时确保开标期间电脑网络环境畅通，浏览器配置无误，可完成正常的解密和操作。评标委员会成员到场集中评标，但不得参加开标活动。</w:t>
      </w:r>
      <w:r>
        <w:rPr>
          <w:rFonts w:hint="eastAsia" w:ascii="仿宋" w:hAnsi="仿宋" w:eastAsia="仿宋" w:cs="仿宋"/>
          <w:b/>
          <w:color w:val="auto"/>
          <w:kern w:val="0"/>
          <w:sz w:val="24"/>
          <w:highlight w:val="none"/>
        </w:rPr>
        <w:t>投标截止时间前不得开启投标文件。</w:t>
      </w:r>
    </w:p>
    <w:p w14:paraId="228EB96A">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29.2 开标程序</w:t>
      </w:r>
    </w:p>
    <w:p w14:paraId="1DF8A46E">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29.2.1供应商不足3个的，不得开标。</w:t>
      </w:r>
    </w:p>
    <w:p w14:paraId="47D14563">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29.2.2 开标由采购人或采购代理机构主持；</w:t>
      </w:r>
    </w:p>
    <w:p w14:paraId="7CE2CF27">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29.2.3 宣读开标纪律，介绍采购人代表、监督人员；</w:t>
      </w:r>
    </w:p>
    <w:p w14:paraId="45538B83">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29.2.4 供应商解密，解密时长30分钟；</w:t>
      </w:r>
    </w:p>
    <w:p w14:paraId="6E4883C7">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29.2.5由采购代理机构工作人员开启报价签字时段，供应商在规定时间内对</w:t>
      </w:r>
      <w:r>
        <w:rPr>
          <w:rFonts w:hint="eastAsia" w:ascii="仿宋" w:hAnsi="仿宋" w:eastAsia="仿宋" w:cs="仿宋"/>
          <w:color w:val="auto"/>
          <w:kern w:val="0"/>
          <w:sz w:val="24"/>
          <w:highlight w:val="none"/>
          <w:lang w:eastAsia="zh-CN"/>
        </w:rPr>
        <w:t>报价</w:t>
      </w:r>
      <w:r>
        <w:rPr>
          <w:rFonts w:hint="eastAsia" w:ascii="仿宋" w:hAnsi="仿宋" w:eastAsia="仿宋" w:cs="仿宋"/>
          <w:color w:val="auto"/>
          <w:kern w:val="0"/>
          <w:sz w:val="24"/>
          <w:highlight w:val="none"/>
        </w:rPr>
        <w:t>内容进行签字确认，本项目报价签字时段设定为30分钟，如供应商未在规定时间内签字确认，后果自负。</w:t>
      </w:r>
    </w:p>
    <w:p w14:paraId="11832F19">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29.2.6开标结束后由采购人</w:t>
      </w:r>
      <w:r>
        <w:rPr>
          <w:rFonts w:hint="eastAsia" w:ascii="仿宋" w:hAnsi="仿宋" w:eastAsia="仿宋" w:cs="仿宋"/>
          <w:color w:val="auto"/>
          <w:kern w:val="0"/>
          <w:sz w:val="24"/>
          <w:highlight w:val="none"/>
          <w:lang w:eastAsia="zh-CN"/>
        </w:rPr>
        <w:t>或者采购代理机构</w:t>
      </w:r>
      <w:r>
        <w:rPr>
          <w:rFonts w:hint="eastAsia" w:ascii="仿宋" w:hAnsi="仿宋" w:eastAsia="仿宋" w:cs="仿宋"/>
          <w:color w:val="auto"/>
          <w:kern w:val="0"/>
          <w:sz w:val="24"/>
          <w:highlight w:val="none"/>
        </w:rPr>
        <w:t>对供应商进行资格审查；资格审查不合格的，投标无效；</w:t>
      </w:r>
    </w:p>
    <w:p w14:paraId="36B2B370">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29.2.7 按本文件第 28 条已提交了可接受的撤回通知的投标文件及无效投标文件将不予开启。</w:t>
      </w:r>
    </w:p>
    <w:p w14:paraId="4226239E">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29.3 公开招标数额标准以上的采购项目，投标截止后供应商不足3家或者通过资格审查或符合性审查的供应商不足3家的，除采购任务取消情形外，可按照以下方式处理：</w:t>
      </w:r>
    </w:p>
    <w:p w14:paraId="48B20B24">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（一）招标文件存在不合理条款或者招标程序不符合规定的，采购人、采购代理机构改正后依法重新招标；</w:t>
      </w:r>
    </w:p>
    <w:p w14:paraId="5667829E">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（二）招标文件没有不合理条款、招标程序符合规定，需要采用其他采购方式采购的，采购人应当依法报财政部门批准。</w:t>
      </w:r>
    </w:p>
    <w:p w14:paraId="67B1F151">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29.4供应商法定代表人或法定代表人授权委托人参与开标远程交互时，中途不得更换，在解密、废标、澄清、提疑、传送文件等特殊情况下需要交互时，供应商一端参与交互的人员将均被视为是供应商的授权委托人或法人代表，供应商不得以不承认交互人员的资格或身份等为借口推脱，供应商自行承担随意更换人员所导致的一切后果。</w:t>
      </w:r>
    </w:p>
    <w:p w14:paraId="48F8EBC9">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29.5采购人或采购代理机构应对开标过程进行记录，由相关工作人员签字确认后随招标文件一并存档。</w:t>
      </w:r>
    </w:p>
    <w:p w14:paraId="4380C622">
      <w:pPr>
        <w:shd w:val="clear" w:color="auto" w:fill="FFFFFF"/>
        <w:spacing w:line="420" w:lineRule="exact"/>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30. 资格审查</w:t>
      </w:r>
    </w:p>
    <w:p w14:paraId="3412D483">
      <w:pPr>
        <w:shd w:val="clear" w:color="auto" w:fill="FFFFFF"/>
        <w:spacing w:line="420" w:lineRule="exact"/>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30.1开标结束后，采购人</w:t>
      </w:r>
      <w:r>
        <w:rPr>
          <w:rFonts w:hint="eastAsia" w:ascii="仿宋" w:hAnsi="仿宋" w:eastAsia="仿宋" w:cs="仿宋"/>
          <w:b/>
          <w:color w:val="auto"/>
          <w:kern w:val="0"/>
          <w:sz w:val="24"/>
          <w:highlight w:val="none"/>
          <w:lang w:eastAsia="zh-CN"/>
        </w:rPr>
        <w:t>或采购代理机构</w:t>
      </w:r>
      <w:r>
        <w:rPr>
          <w:rFonts w:hint="eastAsia" w:ascii="仿宋" w:hAnsi="仿宋" w:eastAsia="仿宋" w:cs="仿宋"/>
          <w:b/>
          <w:color w:val="auto"/>
          <w:kern w:val="0"/>
          <w:sz w:val="24"/>
          <w:highlight w:val="none"/>
        </w:rPr>
        <w:t>按照本须知21.1条资格响应文件要求的（1）-（</w:t>
      </w:r>
      <w:r>
        <w:rPr>
          <w:rFonts w:hint="eastAsia" w:ascii="仿宋" w:hAnsi="仿宋" w:eastAsia="仿宋" w:cs="仿宋"/>
          <w:b/>
          <w:color w:val="auto"/>
          <w:kern w:val="0"/>
          <w:sz w:val="24"/>
          <w:highlight w:val="none"/>
          <w:lang w:val="en-US" w:eastAsia="zh-CN"/>
        </w:rPr>
        <w:t>5</w:t>
      </w:r>
      <w:r>
        <w:rPr>
          <w:rFonts w:hint="eastAsia" w:ascii="仿宋" w:hAnsi="仿宋" w:eastAsia="仿宋" w:cs="仿宋"/>
          <w:b/>
          <w:color w:val="auto"/>
          <w:kern w:val="0"/>
          <w:sz w:val="24"/>
          <w:highlight w:val="none"/>
        </w:rPr>
        <w:t>）项内容对各供应商进行资格审查，同时由招标代理机构按照《投标须知前附表》第4.2项要求对所有供应商进行信用记录查询，并将查询结果书面记录资料提交采购人。供应商资格审查不合格的，其投标无效。</w:t>
      </w:r>
    </w:p>
    <w:p w14:paraId="52FF89C7">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30.2合格供应商不足三家的，不进行评标。</w:t>
      </w:r>
    </w:p>
    <w:p w14:paraId="1A4ED249">
      <w:pPr>
        <w:shd w:val="clear" w:color="auto" w:fill="FFFFFF"/>
        <w:spacing w:line="420" w:lineRule="exact"/>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（六） 评标</w:t>
      </w:r>
    </w:p>
    <w:p w14:paraId="6B9A9E63">
      <w:pPr>
        <w:shd w:val="clear" w:color="auto" w:fill="FFFFFF"/>
        <w:spacing w:line="420" w:lineRule="exact"/>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31. 评标委员会与评标</w:t>
      </w:r>
    </w:p>
    <w:p w14:paraId="32DAB7D4">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31.1 评标工作由采购人依法组建的评标委员会负责。评标委员会的名单在评标结果公告前应当保密。</w:t>
      </w:r>
    </w:p>
    <w:p w14:paraId="74D1CAFA">
      <w:pPr>
        <w:shd w:val="clear" w:color="auto" w:fill="FFFFFF"/>
        <w:spacing w:line="420" w:lineRule="exact"/>
        <w:ind w:firstLine="480" w:firstLineChars="2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 xml:space="preserve">31.2 </w:t>
      </w:r>
      <w:r>
        <w:rPr>
          <w:rFonts w:hint="eastAsia" w:ascii="仿宋" w:hAnsi="仿宋" w:eastAsia="仿宋" w:cs="仿宋"/>
          <w:color w:val="auto"/>
          <w:sz w:val="24"/>
          <w:szCs w:val="24"/>
          <w:highlight w:val="none"/>
        </w:rPr>
        <w:t>评标委员会由采购人代表和评审专家组成，成员人数应当为5人以上单数，其中评审专家不得少于成员总数的三分之二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highlight w:val="none"/>
          <w:lang w:eastAsia="zh-CN"/>
        </w:rPr>
        <w:t>评审专家从</w:t>
      </w:r>
      <w:r>
        <w:rPr>
          <w:rFonts w:hint="eastAsia" w:ascii="仿宋" w:hAnsi="仿宋" w:eastAsia="仿宋" w:cs="仿宋"/>
          <w:color w:val="auto"/>
          <w:kern w:val="0"/>
          <w:sz w:val="24"/>
          <w:highlight w:val="none"/>
        </w:rPr>
        <w:t>新疆政府采购网政采云平台专家库中随机抽取</w:t>
      </w:r>
      <w:r>
        <w:rPr>
          <w:rFonts w:hint="eastAsia" w:ascii="仿宋" w:hAnsi="仿宋" w:eastAsia="仿宋" w:cs="仿宋"/>
          <w:color w:val="auto"/>
          <w:kern w:val="0"/>
          <w:sz w:val="24"/>
          <w:highlight w:val="none"/>
          <w:lang w:eastAsia="zh-CN"/>
        </w:rPr>
        <w:t>产生。</w:t>
      </w:r>
    </w:p>
    <w:p w14:paraId="68102C4F">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31.3 开标结束后，开始评标，评标采用保密方式进行。</w:t>
      </w:r>
    </w:p>
    <w:p w14:paraId="1888921B">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31.4 评标委员会组长由评标委员会成员推举产生，并与评标委员会其他成员有同等的权利和义务。采购人代表不得担任评标委员会组长。</w:t>
      </w:r>
    </w:p>
    <w:p w14:paraId="6D1C0AEC">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31.5 评标委员会成员应当客观、公正地履行职责，遵守职业道德，对所提出的评审意见承担个人责任。</w:t>
      </w:r>
    </w:p>
    <w:p w14:paraId="382B5378">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31.6 评标委员会根据招标文件确定的评比标准和方法，对投标文件进行系统地评审和比较。招标文件中没有规定的标准和方法不得作为评标的依据。</w:t>
      </w:r>
    </w:p>
    <w:p w14:paraId="7081BCB4">
      <w:pPr>
        <w:shd w:val="clear" w:color="auto" w:fill="FFFFFF"/>
        <w:spacing w:line="420" w:lineRule="exact"/>
        <w:ind w:firstLine="480" w:firstLineChars="200"/>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31.7在评标过程中，评标委员会发现有证据表明供应商以他人的名义投标、串通投标、以行贿手段谋取中标或者以其他弄虚作假方式投标的，该供应商的投标作无效标处理。并在评标报告中说明。</w:t>
      </w:r>
    </w:p>
    <w:p w14:paraId="30200525">
      <w:pPr>
        <w:shd w:val="clear" w:color="auto" w:fill="FFFFFF"/>
        <w:spacing w:line="420" w:lineRule="exact"/>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32. 投标文件的澄清</w:t>
      </w:r>
    </w:p>
    <w:p w14:paraId="704A1006">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32.1 为有助于对投标文件进行审查、评估和比较，供应商对评审中评标委员会提出的投标文件中含义不明确、同类问题表述不一致或者有明显文字和计算错误的内容，应通过政采云平台进行澄清、说明或者补正。供应商的澄清、说明或者补正不得超出投标文件的范围或者改变投标文件的实质性内容。</w:t>
      </w:r>
    </w:p>
    <w:p w14:paraId="3A36C2AE">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32.2 供应商未按照要求对投标文件进行澄清、说明或者补正的，评标委员会可以否决其投标。</w:t>
      </w:r>
    </w:p>
    <w:p w14:paraId="39944A9A">
      <w:pPr>
        <w:shd w:val="clear" w:color="auto" w:fill="FFFFFF"/>
        <w:spacing w:line="420" w:lineRule="exact"/>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33. 投标文件的评审、比较</w:t>
      </w:r>
    </w:p>
    <w:p w14:paraId="6399C35E">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33.1 投标文件符合性审查</w:t>
      </w:r>
    </w:p>
    <w:p w14:paraId="520C6299">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33.1.1评标委员会应当对通过资格审查的供应商的投标文件进行符合性审查，以确定其是否满足招标文件的实质性要求。通过符合性审查的供应商的投标文件进入详细评审。</w:t>
      </w:r>
    </w:p>
    <w:p w14:paraId="04179416">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 投标文件的详细评审</w:t>
      </w:r>
    </w:p>
    <w:p w14:paraId="0A6C1D3A">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33.2.1</w:t>
      </w:r>
      <w:r>
        <w:rPr>
          <w:rFonts w:hint="eastAsia" w:ascii="仿宋" w:hAnsi="仿宋" w:eastAsia="仿宋" w:cs="仿宋"/>
          <w:bCs/>
          <w:color w:val="auto"/>
          <w:kern w:val="0"/>
          <w:sz w:val="24"/>
          <w:highlight w:val="none"/>
        </w:rPr>
        <w:t>综合评分法是指投标文件满足招标文件全部实质性要求，且按照评审因素的量化指标评审综合得分（即商务部分、技术部分、报价部分合计分值）最高的供应商为中标候选人的评标方法。采用综合评分法的，评标委员会将按供应商综合得分顺序由高到低依次排名，得分相同的，按投标报价由低到高顺序排列。得分及报价相同的，按技术指标优劣顺序排列。得分最高的前一至三名供应商将成为中标候选人。</w:t>
      </w:r>
    </w:p>
    <w:p w14:paraId="23CA875C">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33.2.2 评审中，评标委员会可以对投标文件中含义不明确、同类问题表述不一致或者有明显文字和计算错误的内容，在规定的时限内要求供应商作出必要的澄清、说明或者补正。</w:t>
      </w:r>
    </w:p>
    <w:p w14:paraId="21F42731">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33.2.3评标委员会认为供应商的报价明显低于其他通过符合性审查供应商的报价，有可能影响产品质量或者不能诚信履约的，应当要求其在评标现场合理的时间内提供相关说明，必要时提交相关证明材料；供应商不能证明其报价合理性的，评标委员会应当将其作为无效投标处理。</w:t>
      </w:r>
    </w:p>
    <w:p w14:paraId="32F51CB5">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评标委员会发现招标文件存在歧义、重大缺陷导致评标工作无法进行，或者招标文件内容违反国家有关强制性规定的，应当停止评标工作，与采购人和采购代理机构沟通并作书面记录。采购人和采购代理机构确认后，应当修改招标文件，重新组织采购活动。</w:t>
      </w:r>
    </w:p>
    <w:p w14:paraId="782386E2">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评标报告由评标委员会全体成员签字。评标委员会成员对需要共同认定的事项存在争议的，应当按照少数服从多数的原则作出结论。持不同意见的评标委员会成员应当在评标报告上签署不同意见及理由，否则视为同意评标报告。</w:t>
      </w:r>
    </w:p>
    <w:p w14:paraId="18DFF49A">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评标结果汇总完成后，除下列情形外，任何人不得修改评标结果：</w:t>
      </w:r>
    </w:p>
    <w:p w14:paraId="49747AAD">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（一）分值汇总计算错误的；</w:t>
      </w:r>
    </w:p>
    <w:p w14:paraId="4BF57D16">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（二）分项评分超出评分标准范围的；</w:t>
      </w:r>
    </w:p>
    <w:p w14:paraId="2D23ABD4">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（三）评标委员会成员对客观评审因素评分不一致的；</w:t>
      </w:r>
    </w:p>
    <w:p w14:paraId="2EDBBDB3">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（四）经评标委员会认定评分畸高、畸低的。</w:t>
      </w:r>
    </w:p>
    <w:p w14:paraId="68773566">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3496BF39">
      <w:pPr>
        <w:shd w:val="clear" w:color="auto" w:fill="FFFFFF"/>
        <w:spacing w:line="420" w:lineRule="exact"/>
        <w:ind w:firstLine="480" w:firstLineChars="200"/>
        <w:rPr>
          <w:rFonts w:hint="eastAsia" w:ascii="仿宋" w:hAnsi="仿宋" w:eastAsia="仿宋" w:cs="仿宋"/>
          <w:bCs/>
          <w:color w:val="auto"/>
          <w:kern w:val="0"/>
          <w:sz w:val="24"/>
          <w:highlight w:val="none"/>
        </w:rPr>
      </w:pPr>
      <w:r>
        <w:rPr>
          <w:rFonts w:hint="eastAsia" w:ascii="仿宋" w:hAnsi="仿宋" w:eastAsia="仿宋" w:cs="仿宋"/>
          <w:color w:val="auto"/>
          <w:kern w:val="0"/>
          <w:sz w:val="24"/>
          <w:highlight w:val="none"/>
        </w:rPr>
        <w:t>33.2.</w:t>
      </w: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rPr>
        <w:t xml:space="preserve"> 评标委员会依据投标须知前附表规定的评标方法，对供应商的投标文件进行评审和比较，</w:t>
      </w:r>
      <w:r>
        <w:rPr>
          <w:rFonts w:hint="eastAsia" w:ascii="仿宋" w:hAnsi="仿宋" w:eastAsia="仿宋" w:cs="仿宋"/>
          <w:bCs/>
          <w:color w:val="auto"/>
          <w:kern w:val="0"/>
          <w:sz w:val="24"/>
          <w:highlight w:val="none"/>
        </w:rPr>
        <w:t>供应商最终得分等于商务部分、技术部分、报价部分得分之和。评标委员会确定供应商最终得分向采购人提出书面报告，并推荐合格的中标候选人。</w:t>
      </w:r>
    </w:p>
    <w:p w14:paraId="29471B7A">
      <w:pPr>
        <w:shd w:val="clear" w:color="auto" w:fill="FFFFFF"/>
        <w:spacing w:line="420" w:lineRule="exact"/>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 评标的办法和标准</w:t>
      </w:r>
    </w:p>
    <w:p w14:paraId="5E1BFB3C">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34.1 本招标项目评标办法为：</w:t>
      </w:r>
      <w:r>
        <w:rPr>
          <w:rFonts w:hint="eastAsia" w:ascii="仿宋" w:hAnsi="仿宋" w:eastAsia="仿宋" w:cs="仿宋"/>
          <w:b/>
          <w:color w:val="auto"/>
          <w:kern w:val="0"/>
          <w:sz w:val="24"/>
          <w:highlight w:val="none"/>
        </w:rPr>
        <w:t>综合评分法</w:t>
      </w:r>
    </w:p>
    <w:p w14:paraId="49D2C83B">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 审查</w:t>
      </w:r>
    </w:p>
    <w:p w14:paraId="47A8035F">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34.2.1 资格审查</w:t>
      </w:r>
    </w:p>
    <w:p w14:paraId="68D36927">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34.2.2 投标文件符合性审查</w:t>
      </w:r>
    </w:p>
    <w:p w14:paraId="75654D72">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34.2.3 投标文件详细评审</w:t>
      </w:r>
    </w:p>
    <w:p w14:paraId="17735B89">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（1）投标报价评审</w:t>
      </w:r>
    </w:p>
    <w:p w14:paraId="5147B544">
      <w:pPr>
        <w:shd w:val="clear" w:color="auto" w:fill="FFFFFF"/>
        <w:spacing w:line="42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（2）投标文件商务部分、技术部分评审</w:t>
      </w:r>
    </w:p>
    <w:p w14:paraId="4E71DCCF">
      <w:pPr>
        <w:shd w:val="clear" w:color="auto" w:fill="FFFFFF"/>
        <w:spacing w:line="420" w:lineRule="exact"/>
        <w:ind w:firstLine="48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 w:val="24"/>
          <w:highlight w:val="none"/>
        </w:rPr>
        <w:t>34.3 评标的具体评审办法和标准</w:t>
      </w:r>
    </w:p>
    <w:p w14:paraId="11DCFA89">
      <w:pPr>
        <w:shd w:val="clear" w:color="auto" w:fill="FFFFFF"/>
        <w:tabs>
          <w:tab w:val="left" w:pos="3045"/>
        </w:tabs>
        <w:autoSpaceDE w:val="0"/>
        <w:autoSpaceDN w:val="0"/>
        <w:adjustRightInd w:val="0"/>
        <w:snapToGrid w:val="0"/>
        <w:spacing w:line="360" w:lineRule="exact"/>
        <w:rPr>
          <w:rFonts w:hint="eastAsia" w:ascii="仿宋" w:hAnsi="仿宋" w:eastAsia="仿宋" w:cs="仿宋"/>
          <w:b/>
          <w:color w:val="auto"/>
          <w:sz w:val="24"/>
          <w:highlight w:val="none"/>
        </w:rPr>
      </w:pPr>
    </w:p>
    <w:p w14:paraId="04C89F19">
      <w:pPr>
        <w:shd w:val="clear" w:color="auto" w:fill="FFFFFF"/>
        <w:tabs>
          <w:tab w:val="left" w:pos="3045"/>
        </w:tabs>
        <w:autoSpaceDE w:val="0"/>
        <w:autoSpaceDN w:val="0"/>
        <w:adjustRightInd w:val="0"/>
        <w:snapToGrid w:val="0"/>
        <w:spacing w:line="360" w:lineRule="exact"/>
        <w:rPr>
          <w:rFonts w:hint="eastAsia" w:ascii="仿宋" w:hAnsi="仿宋" w:eastAsia="仿宋" w:cs="仿宋"/>
          <w:b/>
          <w:color w:val="auto"/>
          <w:sz w:val="24"/>
          <w:highlight w:val="none"/>
        </w:rPr>
      </w:pPr>
    </w:p>
    <w:p w14:paraId="3CEFA2D1">
      <w:pPr>
        <w:shd w:val="clear" w:color="auto" w:fill="FFFFFF"/>
        <w:tabs>
          <w:tab w:val="left" w:pos="3045"/>
        </w:tabs>
        <w:autoSpaceDE w:val="0"/>
        <w:autoSpaceDN w:val="0"/>
        <w:adjustRightInd w:val="0"/>
        <w:snapToGrid w:val="0"/>
        <w:spacing w:line="360" w:lineRule="exact"/>
        <w:rPr>
          <w:rFonts w:hint="eastAsia" w:ascii="仿宋" w:hAnsi="仿宋" w:eastAsia="仿宋" w:cs="仿宋"/>
          <w:b/>
          <w:color w:val="auto"/>
          <w:sz w:val="24"/>
          <w:highlight w:val="none"/>
        </w:rPr>
      </w:pPr>
    </w:p>
    <w:p w14:paraId="75FB70C4">
      <w:pPr>
        <w:shd w:val="clear" w:color="auto" w:fill="FFFFFF"/>
        <w:tabs>
          <w:tab w:val="left" w:pos="3045"/>
        </w:tabs>
        <w:autoSpaceDE w:val="0"/>
        <w:autoSpaceDN w:val="0"/>
        <w:adjustRightInd w:val="0"/>
        <w:snapToGrid w:val="0"/>
        <w:spacing w:line="360" w:lineRule="exact"/>
        <w:rPr>
          <w:rFonts w:hint="eastAsia" w:ascii="仿宋" w:hAnsi="仿宋" w:eastAsia="仿宋" w:cs="仿宋"/>
          <w:b/>
          <w:color w:val="auto"/>
          <w:sz w:val="24"/>
          <w:highlight w:val="none"/>
        </w:rPr>
      </w:pPr>
    </w:p>
    <w:p w14:paraId="626AFC04">
      <w:pPr>
        <w:widowControl/>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105616ED">
      <w:pPr>
        <w:shd w:val="clear" w:color="auto" w:fill="FFFFFF"/>
        <w:tabs>
          <w:tab w:val="left" w:pos="3045"/>
        </w:tabs>
        <w:autoSpaceDE w:val="0"/>
        <w:autoSpaceDN w:val="0"/>
        <w:adjustRightInd w:val="0"/>
        <w:snapToGrid w:val="0"/>
        <w:spacing w:line="36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34.3.1资格审查</w:t>
      </w:r>
    </w:p>
    <w:p w14:paraId="219A5AF7">
      <w:pPr>
        <w:shd w:val="clear" w:color="auto" w:fill="FFFFFF"/>
        <w:tabs>
          <w:tab w:val="left" w:pos="3045"/>
        </w:tabs>
        <w:autoSpaceDE w:val="0"/>
        <w:autoSpaceDN w:val="0"/>
        <w:adjustRightInd w:val="0"/>
        <w:snapToGrid w:val="0"/>
        <w:spacing w:line="360" w:lineRule="exact"/>
        <w:rPr>
          <w:rFonts w:hint="eastAsia" w:ascii="仿宋" w:hAnsi="仿宋" w:eastAsia="仿宋" w:cs="仿宋"/>
          <w:b/>
          <w:color w:val="auto"/>
          <w:sz w:val="24"/>
          <w:highlight w:val="none"/>
        </w:rPr>
      </w:pPr>
    </w:p>
    <w:tbl>
      <w:tblPr>
        <w:tblStyle w:val="59"/>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567"/>
        <w:gridCol w:w="4252"/>
        <w:gridCol w:w="1134"/>
        <w:gridCol w:w="1134"/>
        <w:gridCol w:w="1134"/>
        <w:gridCol w:w="709"/>
      </w:tblGrid>
      <w:tr w14:paraId="19DDA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trPr>
        <w:tc>
          <w:tcPr>
            <w:tcW w:w="851" w:type="dxa"/>
            <w:tcBorders>
              <w:bottom w:val="single" w:color="auto" w:sz="4" w:space="0"/>
            </w:tcBorders>
            <w:vAlign w:val="center"/>
          </w:tcPr>
          <w:p w14:paraId="76023F70">
            <w:pPr>
              <w:shd w:val="clear" w:color="auto" w:fill="FFFFFF"/>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w:t>
            </w:r>
          </w:p>
        </w:tc>
        <w:tc>
          <w:tcPr>
            <w:tcW w:w="4819" w:type="dxa"/>
            <w:gridSpan w:val="2"/>
            <w:tcBorders>
              <w:bottom w:val="single" w:color="auto" w:sz="4" w:space="0"/>
            </w:tcBorders>
            <w:vAlign w:val="center"/>
          </w:tcPr>
          <w:p w14:paraId="5030045D">
            <w:pPr>
              <w:shd w:val="clear" w:color="auto" w:fill="FFFFFF"/>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  审  内  容</w:t>
            </w:r>
          </w:p>
        </w:tc>
        <w:tc>
          <w:tcPr>
            <w:tcW w:w="1134" w:type="dxa"/>
            <w:tcBorders>
              <w:bottom w:val="single" w:color="auto" w:sz="4" w:space="0"/>
            </w:tcBorders>
            <w:vAlign w:val="center"/>
          </w:tcPr>
          <w:p w14:paraId="24B504FD">
            <w:pPr>
              <w:shd w:val="clear" w:color="auto" w:fill="FFFFFF"/>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供应商1</w:t>
            </w:r>
          </w:p>
        </w:tc>
        <w:tc>
          <w:tcPr>
            <w:tcW w:w="1134" w:type="dxa"/>
            <w:tcBorders>
              <w:bottom w:val="single" w:color="auto" w:sz="4" w:space="0"/>
            </w:tcBorders>
            <w:vAlign w:val="center"/>
          </w:tcPr>
          <w:p w14:paraId="5831B746">
            <w:pPr>
              <w:shd w:val="clear" w:color="auto" w:fill="FFFFFF"/>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供应商2</w:t>
            </w:r>
          </w:p>
        </w:tc>
        <w:tc>
          <w:tcPr>
            <w:tcW w:w="1134" w:type="dxa"/>
            <w:tcBorders>
              <w:bottom w:val="single" w:color="auto" w:sz="4" w:space="0"/>
            </w:tcBorders>
            <w:vAlign w:val="center"/>
          </w:tcPr>
          <w:p w14:paraId="10AF8D9D">
            <w:pPr>
              <w:shd w:val="clear" w:color="auto" w:fill="FFFFFF"/>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供应商3</w:t>
            </w:r>
          </w:p>
        </w:tc>
        <w:tc>
          <w:tcPr>
            <w:tcW w:w="709" w:type="dxa"/>
            <w:tcBorders>
              <w:bottom w:val="single" w:color="auto" w:sz="4" w:space="0"/>
            </w:tcBorders>
            <w:vAlign w:val="center"/>
          </w:tcPr>
          <w:p w14:paraId="6378FE93">
            <w:pPr>
              <w:shd w:val="clear" w:color="auto" w:fill="FFFFFF"/>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供应商N</w:t>
            </w:r>
          </w:p>
        </w:tc>
      </w:tr>
      <w:tr w14:paraId="1B814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rPr>
        <w:tc>
          <w:tcPr>
            <w:tcW w:w="851" w:type="dxa"/>
            <w:vMerge w:val="restart"/>
            <w:vAlign w:val="center"/>
          </w:tcPr>
          <w:p w14:paraId="5AEE2E85">
            <w:pPr>
              <w:shd w:val="clear" w:color="auto" w:fill="FFFFFF"/>
              <w:spacing w:line="360" w:lineRule="exact"/>
              <w:jc w:val="center"/>
              <w:rPr>
                <w:rFonts w:hint="eastAsia" w:ascii="仿宋" w:hAnsi="仿宋" w:eastAsia="仿宋" w:cs="仿宋"/>
                <w:b/>
                <w:color w:val="auto"/>
                <w:sz w:val="24"/>
                <w:highlight w:val="none"/>
              </w:rPr>
            </w:pPr>
          </w:p>
          <w:p w14:paraId="63A162A9">
            <w:pPr>
              <w:shd w:val="clear" w:color="auto" w:fill="FFFFFF"/>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资</w:t>
            </w:r>
          </w:p>
          <w:p w14:paraId="0FA4777F">
            <w:pPr>
              <w:shd w:val="clear" w:color="auto" w:fill="FFFFFF"/>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格</w:t>
            </w:r>
          </w:p>
          <w:p w14:paraId="187BEF77">
            <w:pPr>
              <w:shd w:val="clear" w:color="auto" w:fill="FFFFFF"/>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审</w:t>
            </w:r>
          </w:p>
          <w:p w14:paraId="1AE7D38A">
            <w:pPr>
              <w:shd w:val="clear" w:color="auto" w:fill="FFFFFF"/>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查</w:t>
            </w:r>
          </w:p>
          <w:p w14:paraId="148D82B8">
            <w:pPr>
              <w:shd w:val="clear" w:color="auto" w:fill="FFFFFF"/>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表</w:t>
            </w:r>
          </w:p>
          <w:p w14:paraId="50859938">
            <w:pPr>
              <w:shd w:val="clear" w:color="auto" w:fill="FFFFFF"/>
              <w:spacing w:line="360" w:lineRule="exact"/>
              <w:jc w:val="center"/>
              <w:rPr>
                <w:rFonts w:hint="eastAsia" w:ascii="仿宋" w:hAnsi="仿宋" w:eastAsia="仿宋" w:cs="仿宋"/>
                <w:color w:val="auto"/>
                <w:sz w:val="24"/>
                <w:highlight w:val="none"/>
              </w:rPr>
            </w:pPr>
          </w:p>
        </w:tc>
        <w:tc>
          <w:tcPr>
            <w:tcW w:w="567" w:type="dxa"/>
            <w:vAlign w:val="center"/>
          </w:tcPr>
          <w:p w14:paraId="6429B949">
            <w:pPr>
              <w:shd w:val="clear" w:color="auto" w:fill="FFFFFF"/>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252" w:type="dxa"/>
            <w:vAlign w:val="center"/>
          </w:tcPr>
          <w:p w14:paraId="3B6190DF">
            <w:pPr>
              <w:keepNext w:val="0"/>
              <w:keepLines w:val="0"/>
              <w:pageBreakBefore w:val="0"/>
              <w:widowControl w:val="0"/>
              <w:shd w:val="clear" w:color="auto" w:fill="FFFFFF"/>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供应商营业执照或其他组织资格证书</w:t>
            </w:r>
            <w:r>
              <w:rPr>
                <w:rFonts w:hint="eastAsia" w:ascii="仿宋" w:hAnsi="仿宋" w:eastAsia="仿宋" w:cs="仿宋"/>
                <w:color w:val="auto"/>
                <w:sz w:val="24"/>
                <w:highlight w:val="none"/>
                <w:lang w:eastAsia="zh-CN"/>
              </w:rPr>
              <w:t>，</w:t>
            </w:r>
            <w:r>
              <w:rPr>
                <w:rFonts w:hint="eastAsia" w:ascii="仿宋" w:hAnsi="仿宋" w:eastAsia="仿宋" w:cs="仿宋"/>
                <w:bCs/>
                <w:color w:val="auto"/>
                <w:kern w:val="0"/>
                <w:sz w:val="24"/>
                <w:highlight w:val="none"/>
              </w:rPr>
              <w:t>扫描件</w:t>
            </w:r>
          </w:p>
        </w:tc>
        <w:tc>
          <w:tcPr>
            <w:tcW w:w="1134" w:type="dxa"/>
            <w:vAlign w:val="center"/>
          </w:tcPr>
          <w:p w14:paraId="7563C13B">
            <w:pPr>
              <w:shd w:val="clear" w:color="auto" w:fill="FFFFFF"/>
              <w:spacing w:line="360" w:lineRule="exact"/>
              <w:rPr>
                <w:rFonts w:hint="eastAsia" w:ascii="仿宋" w:hAnsi="仿宋" w:eastAsia="仿宋" w:cs="仿宋"/>
                <w:color w:val="auto"/>
                <w:sz w:val="24"/>
                <w:highlight w:val="none"/>
              </w:rPr>
            </w:pPr>
          </w:p>
        </w:tc>
        <w:tc>
          <w:tcPr>
            <w:tcW w:w="1134" w:type="dxa"/>
            <w:vAlign w:val="center"/>
          </w:tcPr>
          <w:p w14:paraId="556191E0">
            <w:pPr>
              <w:shd w:val="clear" w:color="auto" w:fill="FFFFFF"/>
              <w:spacing w:line="360" w:lineRule="exact"/>
              <w:rPr>
                <w:rFonts w:hint="eastAsia" w:ascii="仿宋" w:hAnsi="仿宋" w:eastAsia="仿宋" w:cs="仿宋"/>
                <w:color w:val="auto"/>
                <w:sz w:val="24"/>
                <w:highlight w:val="none"/>
              </w:rPr>
            </w:pPr>
          </w:p>
        </w:tc>
        <w:tc>
          <w:tcPr>
            <w:tcW w:w="1134" w:type="dxa"/>
            <w:vAlign w:val="center"/>
          </w:tcPr>
          <w:p w14:paraId="50BD3DE4">
            <w:pPr>
              <w:shd w:val="clear" w:color="auto" w:fill="FFFFFF"/>
              <w:spacing w:line="360" w:lineRule="exact"/>
              <w:rPr>
                <w:rFonts w:hint="eastAsia" w:ascii="仿宋" w:hAnsi="仿宋" w:eastAsia="仿宋" w:cs="仿宋"/>
                <w:color w:val="auto"/>
                <w:sz w:val="24"/>
                <w:highlight w:val="none"/>
              </w:rPr>
            </w:pPr>
          </w:p>
        </w:tc>
        <w:tc>
          <w:tcPr>
            <w:tcW w:w="709" w:type="dxa"/>
            <w:vAlign w:val="center"/>
          </w:tcPr>
          <w:p w14:paraId="47F44E93">
            <w:pPr>
              <w:shd w:val="clear" w:color="auto" w:fill="FFFFFF"/>
              <w:spacing w:line="360" w:lineRule="exact"/>
              <w:rPr>
                <w:rFonts w:hint="eastAsia" w:ascii="仿宋" w:hAnsi="仿宋" w:eastAsia="仿宋" w:cs="仿宋"/>
                <w:color w:val="auto"/>
                <w:sz w:val="24"/>
                <w:highlight w:val="none"/>
              </w:rPr>
            </w:pPr>
          </w:p>
        </w:tc>
      </w:tr>
      <w:tr w14:paraId="18D1C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1" w:hRule="atLeast"/>
        </w:trPr>
        <w:tc>
          <w:tcPr>
            <w:tcW w:w="851" w:type="dxa"/>
            <w:vMerge w:val="continue"/>
            <w:vAlign w:val="center"/>
          </w:tcPr>
          <w:p w14:paraId="587910B4">
            <w:pPr>
              <w:shd w:val="clear" w:color="auto" w:fill="FFFFFF"/>
              <w:spacing w:line="360" w:lineRule="exact"/>
              <w:jc w:val="center"/>
              <w:rPr>
                <w:rFonts w:hint="eastAsia" w:ascii="仿宋" w:hAnsi="仿宋" w:eastAsia="仿宋" w:cs="仿宋"/>
                <w:color w:val="auto"/>
                <w:sz w:val="24"/>
                <w:highlight w:val="none"/>
              </w:rPr>
            </w:pPr>
          </w:p>
        </w:tc>
        <w:tc>
          <w:tcPr>
            <w:tcW w:w="567" w:type="dxa"/>
            <w:vAlign w:val="center"/>
          </w:tcPr>
          <w:p w14:paraId="39FF2AA7">
            <w:pPr>
              <w:shd w:val="clear" w:color="auto" w:fill="FFFFFF"/>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252" w:type="dxa"/>
            <w:vAlign w:val="center"/>
          </w:tcPr>
          <w:p w14:paraId="3C1455BD">
            <w:pPr>
              <w:keepNext w:val="0"/>
              <w:keepLines w:val="0"/>
              <w:pageBreakBefore w:val="0"/>
              <w:widowControl w:val="0"/>
              <w:shd w:val="clear" w:color="auto" w:fill="FFFFFF"/>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法定代表人资格证明书和法定代表人身份证，或者法定代表人授权委托书和被授权人身份证</w:t>
            </w:r>
          </w:p>
        </w:tc>
        <w:tc>
          <w:tcPr>
            <w:tcW w:w="1134" w:type="dxa"/>
            <w:vAlign w:val="center"/>
          </w:tcPr>
          <w:p w14:paraId="2C497F4C">
            <w:pPr>
              <w:shd w:val="clear" w:color="auto" w:fill="FFFFFF"/>
              <w:spacing w:line="360" w:lineRule="exact"/>
              <w:rPr>
                <w:rFonts w:hint="eastAsia" w:ascii="仿宋" w:hAnsi="仿宋" w:eastAsia="仿宋" w:cs="仿宋"/>
                <w:color w:val="auto"/>
                <w:sz w:val="24"/>
                <w:highlight w:val="none"/>
              </w:rPr>
            </w:pPr>
          </w:p>
        </w:tc>
        <w:tc>
          <w:tcPr>
            <w:tcW w:w="1134" w:type="dxa"/>
            <w:vAlign w:val="center"/>
          </w:tcPr>
          <w:p w14:paraId="7A458990">
            <w:pPr>
              <w:shd w:val="clear" w:color="auto" w:fill="FFFFFF"/>
              <w:spacing w:line="360" w:lineRule="exact"/>
              <w:rPr>
                <w:rFonts w:hint="eastAsia" w:ascii="仿宋" w:hAnsi="仿宋" w:eastAsia="仿宋" w:cs="仿宋"/>
                <w:color w:val="auto"/>
                <w:sz w:val="24"/>
                <w:highlight w:val="none"/>
              </w:rPr>
            </w:pPr>
          </w:p>
        </w:tc>
        <w:tc>
          <w:tcPr>
            <w:tcW w:w="1134" w:type="dxa"/>
            <w:vAlign w:val="center"/>
          </w:tcPr>
          <w:p w14:paraId="084F0ED2">
            <w:pPr>
              <w:shd w:val="clear" w:color="auto" w:fill="FFFFFF"/>
              <w:spacing w:line="360" w:lineRule="exact"/>
              <w:rPr>
                <w:rFonts w:hint="eastAsia" w:ascii="仿宋" w:hAnsi="仿宋" w:eastAsia="仿宋" w:cs="仿宋"/>
                <w:color w:val="auto"/>
                <w:sz w:val="24"/>
                <w:highlight w:val="none"/>
              </w:rPr>
            </w:pPr>
          </w:p>
        </w:tc>
        <w:tc>
          <w:tcPr>
            <w:tcW w:w="709" w:type="dxa"/>
            <w:vAlign w:val="center"/>
          </w:tcPr>
          <w:p w14:paraId="0ACCD3E1">
            <w:pPr>
              <w:shd w:val="clear" w:color="auto" w:fill="FFFFFF"/>
              <w:spacing w:line="360" w:lineRule="exact"/>
              <w:rPr>
                <w:rFonts w:hint="eastAsia" w:ascii="仿宋" w:hAnsi="仿宋" w:eastAsia="仿宋" w:cs="仿宋"/>
                <w:color w:val="auto"/>
                <w:sz w:val="24"/>
                <w:highlight w:val="none"/>
              </w:rPr>
            </w:pPr>
          </w:p>
        </w:tc>
      </w:tr>
      <w:tr w14:paraId="53F1F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trPr>
        <w:tc>
          <w:tcPr>
            <w:tcW w:w="851" w:type="dxa"/>
            <w:vMerge w:val="continue"/>
            <w:vAlign w:val="center"/>
          </w:tcPr>
          <w:p w14:paraId="0528617A">
            <w:pPr>
              <w:shd w:val="clear" w:color="auto" w:fill="FFFFFF"/>
              <w:spacing w:line="360" w:lineRule="exact"/>
              <w:jc w:val="center"/>
              <w:rPr>
                <w:rFonts w:hint="eastAsia" w:ascii="仿宋" w:hAnsi="仿宋" w:eastAsia="仿宋" w:cs="仿宋"/>
                <w:color w:val="auto"/>
                <w:sz w:val="24"/>
                <w:highlight w:val="none"/>
              </w:rPr>
            </w:pPr>
          </w:p>
        </w:tc>
        <w:tc>
          <w:tcPr>
            <w:tcW w:w="567" w:type="dxa"/>
            <w:vAlign w:val="center"/>
          </w:tcPr>
          <w:p w14:paraId="478B0300">
            <w:pPr>
              <w:shd w:val="clear" w:color="auto" w:fill="FFFFFF"/>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252" w:type="dxa"/>
            <w:vAlign w:val="center"/>
          </w:tcPr>
          <w:p w14:paraId="250C5FA2">
            <w:pPr>
              <w:keepNext w:val="0"/>
              <w:keepLines w:val="0"/>
              <w:pageBreakBefore w:val="0"/>
              <w:widowControl w:val="0"/>
              <w:shd w:val="clear" w:color="auto" w:fill="FFFFFF"/>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highlight w:val="none"/>
              </w:rPr>
            </w:pPr>
            <w:r>
              <w:rPr>
                <w:rFonts w:hint="eastAsia" w:ascii="仿宋" w:hAnsi="仿宋" w:eastAsia="仿宋" w:cs="仿宋"/>
                <w:bCs/>
                <w:color w:val="auto"/>
                <w:kern w:val="0"/>
                <w:sz w:val="24"/>
                <w:highlight w:val="none"/>
              </w:rPr>
              <w:t>供应商开标前三个月内任意一个月依法纳税及缴纳社会保险相关证明资料</w:t>
            </w:r>
          </w:p>
        </w:tc>
        <w:tc>
          <w:tcPr>
            <w:tcW w:w="1134" w:type="dxa"/>
            <w:vAlign w:val="center"/>
          </w:tcPr>
          <w:p w14:paraId="7535FB8B">
            <w:pPr>
              <w:shd w:val="clear" w:color="auto" w:fill="FFFFFF"/>
              <w:spacing w:line="360" w:lineRule="exact"/>
              <w:rPr>
                <w:rFonts w:hint="eastAsia" w:ascii="仿宋" w:hAnsi="仿宋" w:eastAsia="仿宋" w:cs="仿宋"/>
                <w:color w:val="auto"/>
                <w:sz w:val="24"/>
                <w:highlight w:val="none"/>
              </w:rPr>
            </w:pPr>
          </w:p>
        </w:tc>
        <w:tc>
          <w:tcPr>
            <w:tcW w:w="1134" w:type="dxa"/>
            <w:vAlign w:val="center"/>
          </w:tcPr>
          <w:p w14:paraId="760B249A">
            <w:pPr>
              <w:shd w:val="clear" w:color="auto" w:fill="FFFFFF"/>
              <w:spacing w:line="360" w:lineRule="exact"/>
              <w:rPr>
                <w:rFonts w:hint="eastAsia" w:ascii="仿宋" w:hAnsi="仿宋" w:eastAsia="仿宋" w:cs="仿宋"/>
                <w:color w:val="auto"/>
                <w:sz w:val="24"/>
                <w:highlight w:val="none"/>
              </w:rPr>
            </w:pPr>
          </w:p>
        </w:tc>
        <w:tc>
          <w:tcPr>
            <w:tcW w:w="1134" w:type="dxa"/>
            <w:vAlign w:val="center"/>
          </w:tcPr>
          <w:p w14:paraId="6FB24A46">
            <w:pPr>
              <w:shd w:val="clear" w:color="auto" w:fill="FFFFFF"/>
              <w:spacing w:line="360" w:lineRule="exact"/>
              <w:rPr>
                <w:rFonts w:hint="eastAsia" w:ascii="仿宋" w:hAnsi="仿宋" w:eastAsia="仿宋" w:cs="仿宋"/>
                <w:color w:val="auto"/>
                <w:sz w:val="24"/>
                <w:highlight w:val="none"/>
              </w:rPr>
            </w:pPr>
          </w:p>
        </w:tc>
        <w:tc>
          <w:tcPr>
            <w:tcW w:w="709" w:type="dxa"/>
            <w:vAlign w:val="center"/>
          </w:tcPr>
          <w:p w14:paraId="640C2C6D">
            <w:pPr>
              <w:shd w:val="clear" w:color="auto" w:fill="FFFFFF"/>
              <w:spacing w:line="360" w:lineRule="exact"/>
              <w:rPr>
                <w:rFonts w:hint="eastAsia" w:ascii="仿宋" w:hAnsi="仿宋" w:eastAsia="仿宋" w:cs="仿宋"/>
                <w:color w:val="auto"/>
                <w:sz w:val="24"/>
                <w:highlight w:val="none"/>
              </w:rPr>
            </w:pPr>
          </w:p>
        </w:tc>
      </w:tr>
      <w:tr w14:paraId="18CC9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9" w:hRule="atLeast"/>
        </w:trPr>
        <w:tc>
          <w:tcPr>
            <w:tcW w:w="851" w:type="dxa"/>
            <w:vMerge w:val="continue"/>
            <w:vAlign w:val="center"/>
          </w:tcPr>
          <w:p w14:paraId="32F71ACD">
            <w:pPr>
              <w:shd w:val="clear" w:color="auto" w:fill="FFFFFF"/>
              <w:spacing w:line="360" w:lineRule="exact"/>
              <w:jc w:val="center"/>
              <w:rPr>
                <w:rFonts w:hint="eastAsia" w:ascii="仿宋" w:hAnsi="仿宋" w:eastAsia="仿宋" w:cs="仿宋"/>
                <w:color w:val="auto"/>
                <w:sz w:val="24"/>
                <w:highlight w:val="none"/>
              </w:rPr>
            </w:pPr>
          </w:p>
        </w:tc>
        <w:tc>
          <w:tcPr>
            <w:tcW w:w="567" w:type="dxa"/>
            <w:vAlign w:val="center"/>
          </w:tcPr>
          <w:p w14:paraId="5DD75C35">
            <w:pPr>
              <w:shd w:val="clear" w:color="auto" w:fill="FFFFFF"/>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4252" w:type="dxa"/>
            <w:vAlign w:val="center"/>
          </w:tcPr>
          <w:p w14:paraId="0D3394E3">
            <w:pPr>
              <w:keepNext w:val="0"/>
              <w:keepLines w:val="0"/>
              <w:pageBreakBefore w:val="0"/>
              <w:widowControl w:val="0"/>
              <w:shd w:val="clear" w:color="auto" w:fill="FFFFFF"/>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highlight w:val="none"/>
                <w:lang w:eastAsia="zh-CN"/>
              </w:rPr>
            </w:pPr>
            <w:bookmarkStart w:id="12" w:name="OLE_LINK12"/>
            <w:r>
              <w:rPr>
                <w:rFonts w:hint="eastAsia" w:ascii="仿宋" w:hAnsi="仿宋" w:eastAsia="仿宋" w:cs="仿宋"/>
                <w:color w:val="auto"/>
                <w:sz w:val="24"/>
                <w:highlight w:val="none"/>
              </w:rPr>
              <w:t>供应商是法人组织的应提供经第三方审计的上一年度（2024年）的财务审计报告；自成立到投标截止时间，未跨一个自然年度的须提供近一个季度的财务报表或开标前三个月内基本开户银行出具的资信证明</w:t>
            </w:r>
            <w:r>
              <w:rPr>
                <w:rFonts w:hint="eastAsia" w:ascii="仿宋" w:hAnsi="仿宋" w:eastAsia="仿宋" w:cs="仿宋"/>
                <w:color w:val="auto"/>
                <w:sz w:val="24"/>
                <w:highlight w:val="none"/>
                <w:lang w:eastAsia="zh-CN"/>
              </w:rPr>
              <w:t>；</w:t>
            </w:r>
            <w:bookmarkEnd w:id="12"/>
          </w:p>
        </w:tc>
        <w:tc>
          <w:tcPr>
            <w:tcW w:w="1134" w:type="dxa"/>
            <w:vAlign w:val="center"/>
          </w:tcPr>
          <w:p w14:paraId="5EE2A432">
            <w:pPr>
              <w:shd w:val="clear" w:color="auto" w:fill="FFFFFF"/>
              <w:spacing w:line="360" w:lineRule="exact"/>
              <w:rPr>
                <w:rFonts w:hint="eastAsia" w:ascii="仿宋" w:hAnsi="仿宋" w:eastAsia="仿宋" w:cs="仿宋"/>
                <w:color w:val="auto"/>
                <w:sz w:val="24"/>
                <w:highlight w:val="none"/>
              </w:rPr>
            </w:pPr>
          </w:p>
        </w:tc>
        <w:tc>
          <w:tcPr>
            <w:tcW w:w="1134" w:type="dxa"/>
            <w:vAlign w:val="center"/>
          </w:tcPr>
          <w:p w14:paraId="3067A4F9">
            <w:pPr>
              <w:shd w:val="clear" w:color="auto" w:fill="FFFFFF"/>
              <w:spacing w:line="360" w:lineRule="exact"/>
              <w:rPr>
                <w:rFonts w:hint="eastAsia" w:ascii="仿宋" w:hAnsi="仿宋" w:eastAsia="仿宋" w:cs="仿宋"/>
                <w:color w:val="auto"/>
                <w:sz w:val="24"/>
                <w:highlight w:val="none"/>
              </w:rPr>
            </w:pPr>
          </w:p>
        </w:tc>
        <w:tc>
          <w:tcPr>
            <w:tcW w:w="1134" w:type="dxa"/>
            <w:vAlign w:val="center"/>
          </w:tcPr>
          <w:p w14:paraId="425EC50B">
            <w:pPr>
              <w:shd w:val="clear" w:color="auto" w:fill="FFFFFF"/>
              <w:spacing w:line="360" w:lineRule="exact"/>
              <w:rPr>
                <w:rFonts w:hint="eastAsia" w:ascii="仿宋" w:hAnsi="仿宋" w:eastAsia="仿宋" w:cs="仿宋"/>
                <w:color w:val="auto"/>
                <w:sz w:val="24"/>
                <w:highlight w:val="none"/>
              </w:rPr>
            </w:pPr>
          </w:p>
        </w:tc>
        <w:tc>
          <w:tcPr>
            <w:tcW w:w="709" w:type="dxa"/>
            <w:vAlign w:val="center"/>
          </w:tcPr>
          <w:p w14:paraId="583C7ADD">
            <w:pPr>
              <w:shd w:val="clear" w:color="auto" w:fill="FFFFFF"/>
              <w:spacing w:line="360" w:lineRule="exact"/>
              <w:rPr>
                <w:rFonts w:hint="eastAsia" w:ascii="仿宋" w:hAnsi="仿宋" w:eastAsia="仿宋" w:cs="仿宋"/>
                <w:color w:val="auto"/>
                <w:sz w:val="24"/>
                <w:highlight w:val="none"/>
              </w:rPr>
            </w:pPr>
          </w:p>
        </w:tc>
      </w:tr>
      <w:tr w14:paraId="17717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5" w:hRule="atLeast"/>
        </w:trPr>
        <w:tc>
          <w:tcPr>
            <w:tcW w:w="851" w:type="dxa"/>
            <w:vMerge w:val="continue"/>
            <w:vAlign w:val="center"/>
          </w:tcPr>
          <w:p w14:paraId="72189E04">
            <w:pPr>
              <w:shd w:val="clear" w:color="auto" w:fill="FFFFFF"/>
              <w:spacing w:line="360" w:lineRule="exact"/>
              <w:jc w:val="center"/>
              <w:rPr>
                <w:rFonts w:hint="eastAsia" w:ascii="仿宋" w:hAnsi="仿宋" w:eastAsia="仿宋" w:cs="仿宋"/>
                <w:color w:val="auto"/>
                <w:sz w:val="24"/>
                <w:highlight w:val="none"/>
              </w:rPr>
            </w:pPr>
          </w:p>
        </w:tc>
        <w:tc>
          <w:tcPr>
            <w:tcW w:w="567" w:type="dxa"/>
            <w:vAlign w:val="center"/>
          </w:tcPr>
          <w:p w14:paraId="4CD39048">
            <w:pPr>
              <w:shd w:val="clear" w:color="auto" w:fill="FFFFFF"/>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4252" w:type="dxa"/>
            <w:vAlign w:val="center"/>
          </w:tcPr>
          <w:p w14:paraId="75B38BCF">
            <w:pPr>
              <w:keepNext w:val="0"/>
              <w:keepLines w:val="0"/>
              <w:pageBreakBefore w:val="0"/>
              <w:widowControl w:val="0"/>
              <w:shd w:val="clear" w:color="auto" w:fill="FFFFFF"/>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highlight w:val="none"/>
              </w:rPr>
            </w:pPr>
            <w:r>
              <w:rPr>
                <w:rFonts w:hint="eastAsia" w:ascii="仿宋" w:hAnsi="仿宋" w:eastAsia="仿宋" w:cs="仿宋"/>
                <w:bCs/>
                <w:color w:val="auto"/>
                <w:kern w:val="0"/>
                <w:sz w:val="24"/>
                <w:highlight w:val="none"/>
              </w:rPr>
              <w:t>供应商参加本次政府采购活动前3年内在经营活动中没有重大违法记录的书面声明</w:t>
            </w:r>
          </w:p>
        </w:tc>
        <w:tc>
          <w:tcPr>
            <w:tcW w:w="1134" w:type="dxa"/>
            <w:vAlign w:val="center"/>
          </w:tcPr>
          <w:p w14:paraId="33D27032">
            <w:pPr>
              <w:shd w:val="clear" w:color="auto" w:fill="FFFFFF"/>
              <w:spacing w:line="360" w:lineRule="exact"/>
              <w:rPr>
                <w:rFonts w:hint="eastAsia" w:ascii="仿宋" w:hAnsi="仿宋" w:eastAsia="仿宋" w:cs="仿宋"/>
                <w:color w:val="auto"/>
                <w:sz w:val="24"/>
                <w:highlight w:val="none"/>
              </w:rPr>
            </w:pPr>
          </w:p>
        </w:tc>
        <w:tc>
          <w:tcPr>
            <w:tcW w:w="1134" w:type="dxa"/>
            <w:vAlign w:val="center"/>
          </w:tcPr>
          <w:p w14:paraId="257DB8F0">
            <w:pPr>
              <w:shd w:val="clear" w:color="auto" w:fill="FFFFFF"/>
              <w:spacing w:line="360" w:lineRule="exact"/>
              <w:rPr>
                <w:rFonts w:hint="eastAsia" w:ascii="仿宋" w:hAnsi="仿宋" w:eastAsia="仿宋" w:cs="仿宋"/>
                <w:color w:val="auto"/>
                <w:sz w:val="24"/>
                <w:highlight w:val="none"/>
              </w:rPr>
            </w:pPr>
          </w:p>
        </w:tc>
        <w:tc>
          <w:tcPr>
            <w:tcW w:w="1134" w:type="dxa"/>
            <w:vAlign w:val="center"/>
          </w:tcPr>
          <w:p w14:paraId="44F6BB41">
            <w:pPr>
              <w:shd w:val="clear" w:color="auto" w:fill="FFFFFF"/>
              <w:spacing w:line="360" w:lineRule="exact"/>
              <w:rPr>
                <w:rFonts w:hint="eastAsia" w:ascii="仿宋" w:hAnsi="仿宋" w:eastAsia="仿宋" w:cs="仿宋"/>
                <w:color w:val="auto"/>
                <w:sz w:val="24"/>
                <w:highlight w:val="none"/>
              </w:rPr>
            </w:pPr>
          </w:p>
        </w:tc>
        <w:tc>
          <w:tcPr>
            <w:tcW w:w="709" w:type="dxa"/>
            <w:vAlign w:val="center"/>
          </w:tcPr>
          <w:p w14:paraId="48730BA9">
            <w:pPr>
              <w:shd w:val="clear" w:color="auto" w:fill="FFFFFF"/>
              <w:spacing w:line="360" w:lineRule="exact"/>
              <w:rPr>
                <w:rFonts w:hint="eastAsia" w:ascii="仿宋" w:hAnsi="仿宋" w:eastAsia="仿宋" w:cs="仿宋"/>
                <w:color w:val="auto"/>
                <w:sz w:val="24"/>
                <w:highlight w:val="none"/>
              </w:rPr>
            </w:pPr>
          </w:p>
        </w:tc>
      </w:tr>
      <w:tr w14:paraId="11725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851" w:type="dxa"/>
            <w:vMerge w:val="continue"/>
            <w:vAlign w:val="center"/>
          </w:tcPr>
          <w:p w14:paraId="3B4DDE80">
            <w:pPr>
              <w:shd w:val="clear" w:color="auto" w:fill="FFFFFF"/>
              <w:spacing w:line="360" w:lineRule="exact"/>
              <w:jc w:val="center"/>
              <w:rPr>
                <w:rFonts w:hint="eastAsia" w:ascii="仿宋" w:hAnsi="仿宋" w:eastAsia="仿宋" w:cs="仿宋"/>
                <w:color w:val="auto"/>
                <w:sz w:val="24"/>
                <w:highlight w:val="none"/>
              </w:rPr>
            </w:pPr>
          </w:p>
        </w:tc>
        <w:tc>
          <w:tcPr>
            <w:tcW w:w="567" w:type="dxa"/>
            <w:vAlign w:val="center"/>
          </w:tcPr>
          <w:p w14:paraId="5123C3E5">
            <w:pPr>
              <w:shd w:val="clear" w:color="auto" w:fill="FFFFFF"/>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4252" w:type="dxa"/>
            <w:vAlign w:val="center"/>
          </w:tcPr>
          <w:p w14:paraId="1BE16C26">
            <w:pPr>
              <w:keepNext w:val="0"/>
              <w:keepLines w:val="0"/>
              <w:pageBreakBefore w:val="0"/>
              <w:widowControl w:val="0"/>
              <w:shd w:val="clear" w:color="auto" w:fill="FFFFFF"/>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信用查询记录未出现《投标须知前附表》第4.2项所述违法或失信情形</w:t>
            </w:r>
          </w:p>
        </w:tc>
        <w:tc>
          <w:tcPr>
            <w:tcW w:w="1134" w:type="dxa"/>
            <w:vAlign w:val="center"/>
          </w:tcPr>
          <w:p w14:paraId="47C5517E">
            <w:pPr>
              <w:shd w:val="clear" w:color="auto" w:fill="FFFFFF"/>
              <w:spacing w:line="360" w:lineRule="exact"/>
              <w:rPr>
                <w:rFonts w:hint="eastAsia" w:ascii="仿宋" w:hAnsi="仿宋" w:eastAsia="仿宋" w:cs="仿宋"/>
                <w:color w:val="auto"/>
                <w:sz w:val="24"/>
                <w:highlight w:val="none"/>
              </w:rPr>
            </w:pPr>
          </w:p>
        </w:tc>
        <w:tc>
          <w:tcPr>
            <w:tcW w:w="1134" w:type="dxa"/>
            <w:vAlign w:val="center"/>
          </w:tcPr>
          <w:p w14:paraId="258DBB8C">
            <w:pPr>
              <w:shd w:val="clear" w:color="auto" w:fill="FFFFFF"/>
              <w:spacing w:line="360" w:lineRule="exact"/>
              <w:rPr>
                <w:rFonts w:hint="eastAsia" w:ascii="仿宋" w:hAnsi="仿宋" w:eastAsia="仿宋" w:cs="仿宋"/>
                <w:color w:val="auto"/>
                <w:sz w:val="24"/>
                <w:highlight w:val="none"/>
              </w:rPr>
            </w:pPr>
          </w:p>
        </w:tc>
        <w:tc>
          <w:tcPr>
            <w:tcW w:w="1134" w:type="dxa"/>
            <w:vAlign w:val="center"/>
          </w:tcPr>
          <w:p w14:paraId="4F710F73">
            <w:pPr>
              <w:shd w:val="clear" w:color="auto" w:fill="FFFFFF"/>
              <w:spacing w:line="360" w:lineRule="exact"/>
              <w:rPr>
                <w:rFonts w:hint="eastAsia" w:ascii="仿宋" w:hAnsi="仿宋" w:eastAsia="仿宋" w:cs="仿宋"/>
                <w:color w:val="auto"/>
                <w:sz w:val="24"/>
                <w:highlight w:val="none"/>
              </w:rPr>
            </w:pPr>
          </w:p>
        </w:tc>
        <w:tc>
          <w:tcPr>
            <w:tcW w:w="709" w:type="dxa"/>
            <w:vAlign w:val="center"/>
          </w:tcPr>
          <w:p w14:paraId="423C8603">
            <w:pPr>
              <w:shd w:val="clear" w:color="auto" w:fill="FFFFFF"/>
              <w:spacing w:line="360" w:lineRule="exact"/>
              <w:rPr>
                <w:rFonts w:hint="eastAsia" w:ascii="仿宋" w:hAnsi="仿宋" w:eastAsia="仿宋" w:cs="仿宋"/>
                <w:color w:val="auto"/>
                <w:sz w:val="24"/>
                <w:highlight w:val="none"/>
              </w:rPr>
            </w:pPr>
          </w:p>
        </w:tc>
      </w:tr>
      <w:tr w14:paraId="0F9DC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5670" w:type="dxa"/>
            <w:gridSpan w:val="3"/>
            <w:vAlign w:val="center"/>
          </w:tcPr>
          <w:p w14:paraId="7FA221B0">
            <w:pPr>
              <w:shd w:val="clear" w:color="auto" w:fill="FFFFFF"/>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结论</w:t>
            </w:r>
          </w:p>
        </w:tc>
        <w:tc>
          <w:tcPr>
            <w:tcW w:w="1134" w:type="dxa"/>
            <w:vAlign w:val="center"/>
          </w:tcPr>
          <w:p w14:paraId="4A6B8ED2">
            <w:pPr>
              <w:shd w:val="clear" w:color="auto" w:fill="FFFFFF"/>
              <w:spacing w:line="360" w:lineRule="exact"/>
              <w:rPr>
                <w:rFonts w:hint="eastAsia" w:ascii="仿宋" w:hAnsi="仿宋" w:eastAsia="仿宋" w:cs="仿宋"/>
                <w:color w:val="auto"/>
                <w:sz w:val="24"/>
                <w:highlight w:val="none"/>
              </w:rPr>
            </w:pPr>
          </w:p>
        </w:tc>
        <w:tc>
          <w:tcPr>
            <w:tcW w:w="1134" w:type="dxa"/>
            <w:vAlign w:val="center"/>
          </w:tcPr>
          <w:p w14:paraId="5333C474">
            <w:pPr>
              <w:shd w:val="clear" w:color="auto" w:fill="FFFFFF"/>
              <w:spacing w:line="360" w:lineRule="exact"/>
              <w:rPr>
                <w:rFonts w:hint="eastAsia" w:ascii="仿宋" w:hAnsi="仿宋" w:eastAsia="仿宋" w:cs="仿宋"/>
                <w:color w:val="auto"/>
                <w:sz w:val="24"/>
                <w:highlight w:val="none"/>
              </w:rPr>
            </w:pPr>
          </w:p>
        </w:tc>
        <w:tc>
          <w:tcPr>
            <w:tcW w:w="1134" w:type="dxa"/>
            <w:vAlign w:val="center"/>
          </w:tcPr>
          <w:p w14:paraId="709E0238">
            <w:pPr>
              <w:shd w:val="clear" w:color="auto" w:fill="FFFFFF"/>
              <w:spacing w:line="360" w:lineRule="exact"/>
              <w:rPr>
                <w:rFonts w:hint="eastAsia" w:ascii="仿宋" w:hAnsi="仿宋" w:eastAsia="仿宋" w:cs="仿宋"/>
                <w:color w:val="auto"/>
                <w:sz w:val="24"/>
                <w:highlight w:val="none"/>
              </w:rPr>
            </w:pPr>
          </w:p>
        </w:tc>
        <w:tc>
          <w:tcPr>
            <w:tcW w:w="709" w:type="dxa"/>
            <w:vAlign w:val="center"/>
          </w:tcPr>
          <w:p w14:paraId="07D4C87A">
            <w:pPr>
              <w:shd w:val="clear" w:color="auto" w:fill="FFFFFF"/>
              <w:spacing w:line="360" w:lineRule="exact"/>
              <w:rPr>
                <w:rFonts w:hint="eastAsia" w:ascii="仿宋" w:hAnsi="仿宋" w:eastAsia="仿宋" w:cs="仿宋"/>
                <w:color w:val="auto"/>
                <w:sz w:val="24"/>
                <w:highlight w:val="none"/>
              </w:rPr>
            </w:pPr>
          </w:p>
        </w:tc>
      </w:tr>
      <w:tr w14:paraId="6DE4D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3" w:hRule="atLeast"/>
        </w:trPr>
        <w:tc>
          <w:tcPr>
            <w:tcW w:w="9781" w:type="dxa"/>
            <w:gridSpan w:val="7"/>
            <w:vAlign w:val="center"/>
          </w:tcPr>
          <w:p w14:paraId="680FE54A">
            <w:pPr>
              <w:shd w:val="clear" w:color="auto" w:fill="FFFFFF"/>
              <w:spacing w:line="360" w:lineRule="exact"/>
              <w:rPr>
                <w:rFonts w:hint="eastAsia" w:ascii="仿宋" w:hAnsi="仿宋" w:eastAsia="仿宋" w:cs="仿宋"/>
                <w:b/>
                <w:color w:val="auto"/>
                <w:sz w:val="24"/>
                <w:highlight w:val="none"/>
              </w:rPr>
            </w:pPr>
            <w:r>
              <w:rPr>
                <w:rFonts w:hint="eastAsia" w:ascii="仿宋" w:hAnsi="仿宋" w:eastAsia="仿宋" w:cs="仿宋"/>
                <w:color w:val="auto"/>
                <w:sz w:val="24"/>
                <w:highlight w:val="none"/>
              </w:rPr>
              <w:t>备注：资格审查不合格的供应商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投标无效。</w:t>
            </w:r>
          </w:p>
        </w:tc>
      </w:tr>
    </w:tbl>
    <w:p w14:paraId="23D5FF9F">
      <w:pPr>
        <w:shd w:val="clear" w:color="auto" w:fill="FFFFFF"/>
        <w:tabs>
          <w:tab w:val="left" w:pos="3045"/>
        </w:tabs>
        <w:autoSpaceDE w:val="0"/>
        <w:autoSpaceDN w:val="0"/>
        <w:adjustRightInd w:val="0"/>
        <w:snapToGrid w:val="0"/>
        <w:spacing w:line="360" w:lineRule="exact"/>
        <w:rPr>
          <w:rFonts w:hint="eastAsia" w:ascii="仿宋" w:hAnsi="仿宋" w:eastAsia="仿宋" w:cs="仿宋"/>
          <w:b/>
          <w:color w:val="auto"/>
          <w:sz w:val="24"/>
          <w:highlight w:val="none"/>
        </w:rPr>
      </w:pPr>
    </w:p>
    <w:p w14:paraId="294F102E">
      <w:pPr>
        <w:widowControl/>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5074C664">
      <w:pPr>
        <w:shd w:val="clear" w:color="auto" w:fill="FFFFFF"/>
        <w:tabs>
          <w:tab w:val="left" w:pos="3045"/>
        </w:tabs>
        <w:autoSpaceDE w:val="0"/>
        <w:autoSpaceDN w:val="0"/>
        <w:adjustRightInd w:val="0"/>
        <w:snapToGrid w:val="0"/>
        <w:spacing w:line="360" w:lineRule="exact"/>
        <w:rPr>
          <w:rFonts w:hint="eastAsia" w:ascii="仿宋" w:hAnsi="仿宋" w:eastAsia="仿宋" w:cs="仿宋"/>
          <w:b/>
          <w:color w:val="auto"/>
          <w:kern w:val="0"/>
          <w:sz w:val="24"/>
          <w:highlight w:val="none"/>
        </w:rPr>
      </w:pPr>
      <w:r>
        <w:rPr>
          <w:rFonts w:hint="eastAsia" w:ascii="仿宋" w:hAnsi="仿宋" w:eastAsia="仿宋" w:cs="仿宋"/>
          <w:b/>
          <w:color w:val="auto"/>
          <w:sz w:val="24"/>
          <w:highlight w:val="none"/>
        </w:rPr>
        <w:t>34.3.2符合性审查</w:t>
      </w:r>
    </w:p>
    <w:tbl>
      <w:tblPr>
        <w:tblStyle w:val="59"/>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567"/>
        <w:gridCol w:w="4537"/>
        <w:gridCol w:w="988"/>
        <w:gridCol w:w="977"/>
        <w:gridCol w:w="1047"/>
        <w:gridCol w:w="814"/>
      </w:tblGrid>
      <w:tr w14:paraId="36AD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851" w:type="dxa"/>
            <w:tcBorders>
              <w:bottom w:val="single" w:color="auto" w:sz="4" w:space="0"/>
            </w:tcBorders>
            <w:vAlign w:val="center"/>
          </w:tcPr>
          <w:p w14:paraId="1F34724B">
            <w:pPr>
              <w:shd w:val="clear" w:color="auto" w:fill="FFFFFF"/>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w:t>
            </w:r>
          </w:p>
        </w:tc>
        <w:tc>
          <w:tcPr>
            <w:tcW w:w="5104" w:type="dxa"/>
            <w:gridSpan w:val="2"/>
            <w:tcBorders>
              <w:bottom w:val="single" w:color="auto" w:sz="4" w:space="0"/>
            </w:tcBorders>
            <w:vAlign w:val="center"/>
          </w:tcPr>
          <w:p w14:paraId="577DBE02">
            <w:pPr>
              <w:shd w:val="clear" w:color="auto" w:fill="FFFFFF"/>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  审  内  容</w:t>
            </w:r>
          </w:p>
        </w:tc>
        <w:tc>
          <w:tcPr>
            <w:tcW w:w="988" w:type="dxa"/>
            <w:tcBorders>
              <w:bottom w:val="single" w:color="auto" w:sz="4" w:space="0"/>
            </w:tcBorders>
            <w:vAlign w:val="center"/>
          </w:tcPr>
          <w:p w14:paraId="26B84C6F">
            <w:pPr>
              <w:shd w:val="clear" w:color="auto" w:fill="FFFFFF"/>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供应商1</w:t>
            </w:r>
          </w:p>
        </w:tc>
        <w:tc>
          <w:tcPr>
            <w:tcW w:w="977" w:type="dxa"/>
            <w:tcBorders>
              <w:bottom w:val="single" w:color="auto" w:sz="4" w:space="0"/>
            </w:tcBorders>
            <w:vAlign w:val="center"/>
          </w:tcPr>
          <w:p w14:paraId="71F7CA31">
            <w:pPr>
              <w:shd w:val="clear" w:color="auto" w:fill="FFFFFF"/>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供应商2</w:t>
            </w:r>
          </w:p>
        </w:tc>
        <w:tc>
          <w:tcPr>
            <w:tcW w:w="1047" w:type="dxa"/>
            <w:tcBorders>
              <w:bottom w:val="single" w:color="auto" w:sz="4" w:space="0"/>
            </w:tcBorders>
            <w:vAlign w:val="center"/>
          </w:tcPr>
          <w:p w14:paraId="73D409E7">
            <w:pPr>
              <w:shd w:val="clear" w:color="auto" w:fill="FFFFFF"/>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供应商3</w:t>
            </w:r>
          </w:p>
        </w:tc>
        <w:tc>
          <w:tcPr>
            <w:tcW w:w="814" w:type="dxa"/>
            <w:tcBorders>
              <w:bottom w:val="single" w:color="auto" w:sz="4" w:space="0"/>
            </w:tcBorders>
            <w:vAlign w:val="center"/>
          </w:tcPr>
          <w:p w14:paraId="6EC0DB9F">
            <w:pPr>
              <w:shd w:val="clear" w:color="auto" w:fill="FFFFFF"/>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供应商N</w:t>
            </w:r>
          </w:p>
        </w:tc>
      </w:tr>
      <w:tr w14:paraId="5EE4B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851" w:type="dxa"/>
            <w:vMerge w:val="restart"/>
            <w:vAlign w:val="center"/>
          </w:tcPr>
          <w:p w14:paraId="33F8A6CB">
            <w:pPr>
              <w:shd w:val="clear" w:color="auto" w:fill="FFFFFF"/>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符</w:t>
            </w:r>
          </w:p>
          <w:p w14:paraId="08C5EE6F">
            <w:pPr>
              <w:shd w:val="clear" w:color="auto" w:fill="FFFFFF"/>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w:t>
            </w:r>
          </w:p>
          <w:p w14:paraId="33EAB552">
            <w:pPr>
              <w:shd w:val="clear" w:color="auto" w:fill="FFFFFF"/>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性</w:t>
            </w:r>
          </w:p>
          <w:p w14:paraId="2CEB5282">
            <w:pPr>
              <w:shd w:val="clear" w:color="auto" w:fill="FFFFFF"/>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审</w:t>
            </w:r>
          </w:p>
          <w:p w14:paraId="6A7A727D">
            <w:pPr>
              <w:shd w:val="clear" w:color="auto" w:fill="FFFFFF"/>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查</w:t>
            </w:r>
          </w:p>
          <w:p w14:paraId="5B833BA9">
            <w:pPr>
              <w:shd w:val="clear" w:color="auto" w:fill="FFFFFF"/>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表</w:t>
            </w:r>
          </w:p>
          <w:p w14:paraId="43BAD776">
            <w:pPr>
              <w:shd w:val="clear" w:color="auto" w:fill="FFFFFF"/>
              <w:spacing w:line="360" w:lineRule="exact"/>
              <w:jc w:val="center"/>
              <w:rPr>
                <w:rFonts w:hint="eastAsia" w:ascii="仿宋" w:hAnsi="仿宋" w:eastAsia="仿宋" w:cs="仿宋"/>
                <w:color w:val="auto"/>
                <w:sz w:val="24"/>
                <w:highlight w:val="none"/>
              </w:rPr>
            </w:pPr>
          </w:p>
        </w:tc>
        <w:tc>
          <w:tcPr>
            <w:tcW w:w="567" w:type="dxa"/>
            <w:vAlign w:val="center"/>
          </w:tcPr>
          <w:p w14:paraId="747FAF52">
            <w:pPr>
              <w:shd w:val="clear" w:color="auto" w:fill="FFFFFF"/>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537" w:type="dxa"/>
            <w:vAlign w:val="center"/>
          </w:tcPr>
          <w:p w14:paraId="0B368136">
            <w:pPr>
              <w:keepNext w:val="0"/>
              <w:keepLines w:val="0"/>
              <w:pageBreakBefore w:val="0"/>
              <w:widowControl w:val="0"/>
              <w:shd w:val="clear" w:color="auto" w:fill="FFFFFF"/>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投标文件按照招标文件要求在所有要求签章处逐一签署及加盖公章</w:t>
            </w:r>
          </w:p>
        </w:tc>
        <w:tc>
          <w:tcPr>
            <w:tcW w:w="988" w:type="dxa"/>
            <w:vAlign w:val="center"/>
          </w:tcPr>
          <w:p w14:paraId="7B57A159">
            <w:pPr>
              <w:shd w:val="clear" w:color="auto" w:fill="FFFFFF"/>
              <w:spacing w:line="360" w:lineRule="exact"/>
              <w:rPr>
                <w:rFonts w:hint="eastAsia" w:ascii="仿宋" w:hAnsi="仿宋" w:eastAsia="仿宋" w:cs="仿宋"/>
                <w:color w:val="auto"/>
                <w:sz w:val="24"/>
                <w:highlight w:val="none"/>
              </w:rPr>
            </w:pPr>
          </w:p>
        </w:tc>
        <w:tc>
          <w:tcPr>
            <w:tcW w:w="977" w:type="dxa"/>
            <w:vAlign w:val="center"/>
          </w:tcPr>
          <w:p w14:paraId="56F4F714">
            <w:pPr>
              <w:shd w:val="clear" w:color="auto" w:fill="FFFFFF"/>
              <w:spacing w:line="360" w:lineRule="exact"/>
              <w:rPr>
                <w:rFonts w:hint="eastAsia" w:ascii="仿宋" w:hAnsi="仿宋" w:eastAsia="仿宋" w:cs="仿宋"/>
                <w:color w:val="auto"/>
                <w:sz w:val="24"/>
                <w:highlight w:val="none"/>
              </w:rPr>
            </w:pPr>
          </w:p>
        </w:tc>
        <w:tc>
          <w:tcPr>
            <w:tcW w:w="1047" w:type="dxa"/>
            <w:vAlign w:val="center"/>
          </w:tcPr>
          <w:p w14:paraId="2462E772">
            <w:pPr>
              <w:shd w:val="clear" w:color="auto" w:fill="FFFFFF"/>
              <w:spacing w:line="360" w:lineRule="exact"/>
              <w:rPr>
                <w:rFonts w:hint="eastAsia" w:ascii="仿宋" w:hAnsi="仿宋" w:eastAsia="仿宋" w:cs="仿宋"/>
                <w:color w:val="auto"/>
                <w:sz w:val="24"/>
                <w:highlight w:val="none"/>
              </w:rPr>
            </w:pPr>
          </w:p>
        </w:tc>
        <w:tc>
          <w:tcPr>
            <w:tcW w:w="814" w:type="dxa"/>
            <w:vAlign w:val="center"/>
          </w:tcPr>
          <w:p w14:paraId="46EBA52D">
            <w:pPr>
              <w:shd w:val="clear" w:color="auto" w:fill="FFFFFF"/>
              <w:spacing w:line="360" w:lineRule="exact"/>
              <w:rPr>
                <w:rFonts w:hint="eastAsia" w:ascii="仿宋" w:hAnsi="仿宋" w:eastAsia="仿宋" w:cs="仿宋"/>
                <w:color w:val="auto"/>
                <w:sz w:val="24"/>
                <w:highlight w:val="none"/>
              </w:rPr>
            </w:pPr>
          </w:p>
        </w:tc>
      </w:tr>
      <w:tr w14:paraId="103B2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trPr>
        <w:tc>
          <w:tcPr>
            <w:tcW w:w="851" w:type="dxa"/>
            <w:vMerge w:val="continue"/>
            <w:vAlign w:val="center"/>
          </w:tcPr>
          <w:p w14:paraId="0B29CBC7">
            <w:pPr>
              <w:shd w:val="clear" w:color="auto" w:fill="FFFFFF"/>
              <w:spacing w:line="360" w:lineRule="exact"/>
              <w:jc w:val="center"/>
              <w:rPr>
                <w:rFonts w:hint="eastAsia" w:ascii="仿宋" w:hAnsi="仿宋" w:eastAsia="仿宋" w:cs="仿宋"/>
                <w:color w:val="auto"/>
                <w:sz w:val="24"/>
                <w:highlight w:val="none"/>
              </w:rPr>
            </w:pPr>
          </w:p>
        </w:tc>
        <w:tc>
          <w:tcPr>
            <w:tcW w:w="567" w:type="dxa"/>
            <w:vAlign w:val="center"/>
          </w:tcPr>
          <w:p w14:paraId="6E7BE59F">
            <w:pPr>
              <w:shd w:val="clear" w:color="auto" w:fill="FFFFFF"/>
              <w:spacing w:line="36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4537" w:type="dxa"/>
            <w:vAlign w:val="center"/>
          </w:tcPr>
          <w:p w14:paraId="1B872689">
            <w:pPr>
              <w:keepNext w:val="0"/>
              <w:keepLines w:val="0"/>
              <w:pageBreakBefore w:val="0"/>
              <w:widowControl w:val="0"/>
              <w:shd w:val="clear" w:color="auto" w:fill="FFFFFF"/>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投标人按招标文件的规定</w:t>
            </w:r>
            <w:r>
              <w:rPr>
                <w:rFonts w:hint="eastAsia" w:ascii="仿宋" w:hAnsi="仿宋" w:eastAsia="仿宋" w:cs="仿宋"/>
                <w:color w:val="auto"/>
                <w:sz w:val="24"/>
                <w:highlight w:val="none"/>
                <w:lang w:eastAsia="zh-CN"/>
              </w:rPr>
              <w:t>缴纳了</w:t>
            </w:r>
            <w:r>
              <w:rPr>
                <w:rFonts w:hint="eastAsia" w:ascii="仿宋" w:hAnsi="仿宋" w:eastAsia="仿宋" w:cs="仿宋"/>
                <w:color w:val="auto"/>
                <w:sz w:val="24"/>
                <w:highlight w:val="none"/>
              </w:rPr>
              <w:t>投标保证金</w:t>
            </w:r>
          </w:p>
        </w:tc>
        <w:tc>
          <w:tcPr>
            <w:tcW w:w="988" w:type="dxa"/>
            <w:vAlign w:val="center"/>
          </w:tcPr>
          <w:p w14:paraId="1C779252">
            <w:pPr>
              <w:shd w:val="clear" w:color="auto" w:fill="FFFFFF"/>
              <w:spacing w:line="360" w:lineRule="exact"/>
              <w:rPr>
                <w:rFonts w:hint="eastAsia" w:ascii="仿宋" w:hAnsi="仿宋" w:eastAsia="仿宋" w:cs="仿宋"/>
                <w:color w:val="auto"/>
                <w:sz w:val="24"/>
                <w:highlight w:val="none"/>
              </w:rPr>
            </w:pPr>
          </w:p>
        </w:tc>
        <w:tc>
          <w:tcPr>
            <w:tcW w:w="977" w:type="dxa"/>
            <w:vAlign w:val="center"/>
          </w:tcPr>
          <w:p w14:paraId="07383B17">
            <w:pPr>
              <w:shd w:val="clear" w:color="auto" w:fill="FFFFFF"/>
              <w:spacing w:line="360" w:lineRule="exact"/>
              <w:rPr>
                <w:rFonts w:hint="eastAsia" w:ascii="仿宋" w:hAnsi="仿宋" w:eastAsia="仿宋" w:cs="仿宋"/>
                <w:color w:val="auto"/>
                <w:sz w:val="24"/>
                <w:highlight w:val="none"/>
              </w:rPr>
            </w:pPr>
          </w:p>
        </w:tc>
        <w:tc>
          <w:tcPr>
            <w:tcW w:w="1047" w:type="dxa"/>
            <w:vAlign w:val="center"/>
          </w:tcPr>
          <w:p w14:paraId="3F8C7945">
            <w:pPr>
              <w:shd w:val="clear" w:color="auto" w:fill="FFFFFF"/>
              <w:spacing w:line="360" w:lineRule="exact"/>
              <w:rPr>
                <w:rFonts w:hint="eastAsia" w:ascii="仿宋" w:hAnsi="仿宋" w:eastAsia="仿宋" w:cs="仿宋"/>
                <w:color w:val="auto"/>
                <w:sz w:val="24"/>
                <w:highlight w:val="none"/>
              </w:rPr>
            </w:pPr>
          </w:p>
        </w:tc>
        <w:tc>
          <w:tcPr>
            <w:tcW w:w="814" w:type="dxa"/>
            <w:vAlign w:val="center"/>
          </w:tcPr>
          <w:p w14:paraId="7DD28FFA">
            <w:pPr>
              <w:shd w:val="clear" w:color="auto" w:fill="FFFFFF"/>
              <w:spacing w:line="360" w:lineRule="exact"/>
              <w:rPr>
                <w:rFonts w:hint="eastAsia" w:ascii="仿宋" w:hAnsi="仿宋" w:eastAsia="仿宋" w:cs="仿宋"/>
                <w:color w:val="auto"/>
                <w:sz w:val="24"/>
                <w:highlight w:val="none"/>
              </w:rPr>
            </w:pPr>
          </w:p>
        </w:tc>
      </w:tr>
      <w:tr w14:paraId="49078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851" w:type="dxa"/>
            <w:vMerge w:val="continue"/>
            <w:vAlign w:val="center"/>
          </w:tcPr>
          <w:p w14:paraId="13CCE396">
            <w:pPr>
              <w:shd w:val="clear" w:color="auto" w:fill="FFFFFF"/>
              <w:spacing w:line="360" w:lineRule="exact"/>
              <w:jc w:val="center"/>
              <w:rPr>
                <w:rFonts w:hint="eastAsia" w:ascii="仿宋" w:hAnsi="仿宋" w:eastAsia="仿宋" w:cs="仿宋"/>
                <w:color w:val="auto"/>
                <w:sz w:val="24"/>
                <w:highlight w:val="none"/>
              </w:rPr>
            </w:pPr>
          </w:p>
        </w:tc>
        <w:tc>
          <w:tcPr>
            <w:tcW w:w="567" w:type="dxa"/>
            <w:vAlign w:val="center"/>
          </w:tcPr>
          <w:p w14:paraId="31C9EFA8">
            <w:pPr>
              <w:shd w:val="clear" w:color="auto" w:fill="FFFFFF"/>
              <w:spacing w:line="36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4537" w:type="dxa"/>
            <w:vAlign w:val="center"/>
          </w:tcPr>
          <w:p w14:paraId="750B70E7">
            <w:pPr>
              <w:keepNext w:val="0"/>
              <w:keepLines w:val="0"/>
              <w:pageBreakBefore w:val="0"/>
              <w:widowControl w:val="0"/>
              <w:shd w:val="clear" w:color="auto" w:fill="FFFFFF"/>
              <w:kinsoku/>
              <w:wordWrap/>
              <w:overflowPunct/>
              <w:topLinePunct w:val="0"/>
              <w:autoSpaceDE/>
              <w:autoSpaceDN/>
              <w:bidi w:val="0"/>
              <w:adjustRightInd/>
              <w:snapToGrid/>
              <w:spacing w:line="34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投标文件按照招标文件第二章第21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项</w:t>
            </w:r>
            <w:r>
              <w:rPr>
                <w:rFonts w:hint="eastAsia" w:ascii="仿宋" w:hAnsi="仿宋" w:eastAsia="仿宋" w:cs="仿宋"/>
                <w:color w:val="auto"/>
                <w:sz w:val="24"/>
                <w:highlight w:val="none"/>
                <w:lang w:eastAsia="zh-CN"/>
              </w:rPr>
              <w:t>、第</w:t>
            </w:r>
            <w:r>
              <w:rPr>
                <w:rFonts w:hint="eastAsia" w:ascii="仿宋" w:hAnsi="仿宋" w:eastAsia="仿宋" w:cs="仿宋"/>
                <w:color w:val="auto"/>
                <w:sz w:val="24"/>
                <w:highlight w:val="none"/>
                <w:lang w:val="en-US" w:eastAsia="zh-CN"/>
              </w:rPr>
              <w:t>21.3项</w:t>
            </w:r>
            <w:r>
              <w:rPr>
                <w:rFonts w:hint="eastAsia" w:ascii="仿宋" w:hAnsi="仿宋" w:eastAsia="仿宋" w:cs="仿宋"/>
                <w:color w:val="auto"/>
                <w:sz w:val="24"/>
                <w:highlight w:val="none"/>
              </w:rPr>
              <w:t>要求的商务、技术</w:t>
            </w:r>
            <w:r>
              <w:rPr>
                <w:rFonts w:hint="eastAsia" w:ascii="仿宋" w:hAnsi="仿宋" w:eastAsia="仿宋" w:cs="仿宋"/>
                <w:color w:val="auto"/>
                <w:sz w:val="24"/>
                <w:highlight w:val="none"/>
                <w:lang w:eastAsia="zh-CN"/>
              </w:rPr>
              <w:t>响应文件组成相关要求</w:t>
            </w:r>
            <w:r>
              <w:rPr>
                <w:rFonts w:hint="eastAsia" w:ascii="仿宋" w:hAnsi="仿宋" w:eastAsia="仿宋" w:cs="仿宋"/>
                <w:color w:val="auto"/>
                <w:sz w:val="24"/>
                <w:highlight w:val="none"/>
                <w:lang w:val="en-US" w:eastAsia="zh-CN"/>
              </w:rPr>
              <w:t>提</w:t>
            </w:r>
            <w:r>
              <w:rPr>
                <w:rFonts w:hint="eastAsia" w:ascii="仿宋" w:hAnsi="仿宋" w:eastAsia="仿宋" w:cs="仿宋"/>
                <w:color w:val="auto"/>
                <w:sz w:val="24"/>
                <w:highlight w:val="none"/>
              </w:rPr>
              <w:t>供必备项内容且符合要求</w:t>
            </w:r>
          </w:p>
        </w:tc>
        <w:tc>
          <w:tcPr>
            <w:tcW w:w="988" w:type="dxa"/>
            <w:vAlign w:val="center"/>
          </w:tcPr>
          <w:p w14:paraId="0E1DA48E">
            <w:pPr>
              <w:shd w:val="clear" w:color="auto" w:fill="FFFFFF"/>
              <w:spacing w:line="360" w:lineRule="exact"/>
              <w:rPr>
                <w:rFonts w:hint="eastAsia" w:ascii="仿宋" w:hAnsi="仿宋" w:eastAsia="仿宋" w:cs="仿宋"/>
                <w:color w:val="auto"/>
                <w:sz w:val="24"/>
                <w:highlight w:val="none"/>
              </w:rPr>
            </w:pPr>
          </w:p>
        </w:tc>
        <w:tc>
          <w:tcPr>
            <w:tcW w:w="977" w:type="dxa"/>
            <w:vAlign w:val="center"/>
          </w:tcPr>
          <w:p w14:paraId="24E444DF">
            <w:pPr>
              <w:shd w:val="clear" w:color="auto" w:fill="FFFFFF"/>
              <w:spacing w:line="360" w:lineRule="exact"/>
              <w:rPr>
                <w:rFonts w:hint="eastAsia" w:ascii="仿宋" w:hAnsi="仿宋" w:eastAsia="仿宋" w:cs="仿宋"/>
                <w:color w:val="auto"/>
                <w:sz w:val="24"/>
                <w:highlight w:val="none"/>
              </w:rPr>
            </w:pPr>
          </w:p>
        </w:tc>
        <w:tc>
          <w:tcPr>
            <w:tcW w:w="1047" w:type="dxa"/>
            <w:vAlign w:val="center"/>
          </w:tcPr>
          <w:p w14:paraId="6BFA04B0">
            <w:pPr>
              <w:shd w:val="clear" w:color="auto" w:fill="FFFFFF"/>
              <w:spacing w:line="360" w:lineRule="exact"/>
              <w:rPr>
                <w:rFonts w:hint="eastAsia" w:ascii="仿宋" w:hAnsi="仿宋" w:eastAsia="仿宋" w:cs="仿宋"/>
                <w:color w:val="auto"/>
                <w:sz w:val="24"/>
                <w:highlight w:val="none"/>
              </w:rPr>
            </w:pPr>
          </w:p>
        </w:tc>
        <w:tc>
          <w:tcPr>
            <w:tcW w:w="814" w:type="dxa"/>
            <w:vAlign w:val="center"/>
          </w:tcPr>
          <w:p w14:paraId="3D971AD8">
            <w:pPr>
              <w:shd w:val="clear" w:color="auto" w:fill="FFFFFF"/>
              <w:spacing w:line="360" w:lineRule="exact"/>
              <w:rPr>
                <w:rFonts w:hint="eastAsia" w:ascii="仿宋" w:hAnsi="仿宋" w:eastAsia="仿宋" w:cs="仿宋"/>
                <w:color w:val="auto"/>
                <w:sz w:val="24"/>
                <w:highlight w:val="none"/>
              </w:rPr>
            </w:pPr>
          </w:p>
        </w:tc>
      </w:tr>
      <w:tr w14:paraId="3A3B0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trPr>
        <w:tc>
          <w:tcPr>
            <w:tcW w:w="851" w:type="dxa"/>
            <w:vMerge w:val="continue"/>
            <w:vAlign w:val="center"/>
          </w:tcPr>
          <w:p w14:paraId="07C0813B">
            <w:pPr>
              <w:shd w:val="clear" w:color="auto" w:fill="FFFFFF"/>
              <w:spacing w:line="360" w:lineRule="exact"/>
              <w:jc w:val="center"/>
              <w:rPr>
                <w:rFonts w:hint="eastAsia" w:ascii="仿宋" w:hAnsi="仿宋" w:eastAsia="仿宋" w:cs="仿宋"/>
                <w:color w:val="auto"/>
                <w:sz w:val="24"/>
                <w:highlight w:val="none"/>
              </w:rPr>
            </w:pPr>
          </w:p>
        </w:tc>
        <w:tc>
          <w:tcPr>
            <w:tcW w:w="567" w:type="dxa"/>
            <w:vAlign w:val="center"/>
          </w:tcPr>
          <w:p w14:paraId="262C2CF7">
            <w:pPr>
              <w:shd w:val="clear" w:color="auto" w:fill="FFFFFF"/>
              <w:spacing w:line="36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4537" w:type="dxa"/>
            <w:vAlign w:val="center"/>
          </w:tcPr>
          <w:p w14:paraId="25994272">
            <w:pPr>
              <w:keepNext w:val="0"/>
              <w:keepLines w:val="0"/>
              <w:pageBreakBefore w:val="0"/>
              <w:widowControl w:val="0"/>
              <w:shd w:val="clear" w:color="auto" w:fill="FFFFFF"/>
              <w:kinsoku/>
              <w:wordWrap/>
              <w:overflowPunct/>
              <w:topLinePunct w:val="0"/>
              <w:autoSpaceDE/>
              <w:autoSpaceDN/>
              <w:bidi w:val="0"/>
              <w:adjustRightInd/>
              <w:snapToGrid/>
              <w:spacing w:line="34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投标文件《</w:t>
            </w:r>
            <w:r>
              <w:rPr>
                <w:rFonts w:hint="eastAsia" w:ascii="仿宋" w:hAnsi="仿宋" w:eastAsia="仿宋" w:cs="仿宋"/>
                <w:bCs/>
                <w:color w:val="auto"/>
                <w:kern w:val="0"/>
                <w:sz w:val="24"/>
                <w:highlight w:val="none"/>
              </w:rPr>
              <w:t>商务及合同条款偏离表</w:t>
            </w:r>
            <w:r>
              <w:rPr>
                <w:rFonts w:hint="eastAsia" w:ascii="仿宋" w:hAnsi="仿宋" w:eastAsia="仿宋" w:cs="仿宋"/>
                <w:color w:val="auto"/>
                <w:sz w:val="24"/>
                <w:highlight w:val="none"/>
              </w:rPr>
              <w:t>》载明的“投标有效期”、“</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rPr>
              <w:t>地点”、“付款方式”符合招标文件要求，未出现负偏离</w:t>
            </w:r>
          </w:p>
        </w:tc>
        <w:tc>
          <w:tcPr>
            <w:tcW w:w="988" w:type="dxa"/>
            <w:vAlign w:val="center"/>
          </w:tcPr>
          <w:p w14:paraId="7C1ED78A">
            <w:pPr>
              <w:shd w:val="clear" w:color="auto" w:fill="FFFFFF"/>
              <w:spacing w:line="360" w:lineRule="exact"/>
              <w:rPr>
                <w:rFonts w:hint="eastAsia" w:ascii="仿宋" w:hAnsi="仿宋" w:eastAsia="仿宋" w:cs="仿宋"/>
                <w:color w:val="auto"/>
                <w:sz w:val="24"/>
                <w:highlight w:val="none"/>
              </w:rPr>
            </w:pPr>
          </w:p>
        </w:tc>
        <w:tc>
          <w:tcPr>
            <w:tcW w:w="977" w:type="dxa"/>
            <w:vAlign w:val="center"/>
          </w:tcPr>
          <w:p w14:paraId="3B63FE1A">
            <w:pPr>
              <w:shd w:val="clear" w:color="auto" w:fill="FFFFFF"/>
              <w:spacing w:line="360" w:lineRule="exact"/>
              <w:rPr>
                <w:rFonts w:hint="eastAsia" w:ascii="仿宋" w:hAnsi="仿宋" w:eastAsia="仿宋" w:cs="仿宋"/>
                <w:color w:val="auto"/>
                <w:sz w:val="24"/>
                <w:highlight w:val="none"/>
              </w:rPr>
            </w:pPr>
          </w:p>
        </w:tc>
        <w:tc>
          <w:tcPr>
            <w:tcW w:w="1047" w:type="dxa"/>
            <w:vAlign w:val="center"/>
          </w:tcPr>
          <w:p w14:paraId="77A2ED0A">
            <w:pPr>
              <w:shd w:val="clear" w:color="auto" w:fill="FFFFFF"/>
              <w:spacing w:line="360" w:lineRule="exact"/>
              <w:rPr>
                <w:rFonts w:hint="eastAsia" w:ascii="仿宋" w:hAnsi="仿宋" w:eastAsia="仿宋" w:cs="仿宋"/>
                <w:color w:val="auto"/>
                <w:sz w:val="24"/>
                <w:highlight w:val="none"/>
              </w:rPr>
            </w:pPr>
          </w:p>
        </w:tc>
        <w:tc>
          <w:tcPr>
            <w:tcW w:w="814" w:type="dxa"/>
            <w:vAlign w:val="center"/>
          </w:tcPr>
          <w:p w14:paraId="284EAF23">
            <w:pPr>
              <w:shd w:val="clear" w:color="auto" w:fill="FFFFFF"/>
              <w:spacing w:line="360" w:lineRule="exact"/>
              <w:rPr>
                <w:rFonts w:hint="eastAsia" w:ascii="仿宋" w:hAnsi="仿宋" w:eastAsia="仿宋" w:cs="仿宋"/>
                <w:color w:val="auto"/>
                <w:sz w:val="24"/>
                <w:highlight w:val="none"/>
              </w:rPr>
            </w:pPr>
          </w:p>
        </w:tc>
      </w:tr>
      <w:tr w14:paraId="64D83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851" w:type="dxa"/>
            <w:vMerge w:val="continue"/>
            <w:vAlign w:val="center"/>
          </w:tcPr>
          <w:p w14:paraId="44C3EE90">
            <w:pPr>
              <w:shd w:val="clear" w:color="auto" w:fill="FFFFFF"/>
              <w:spacing w:line="360" w:lineRule="exact"/>
              <w:jc w:val="center"/>
              <w:rPr>
                <w:rFonts w:hint="eastAsia" w:ascii="仿宋" w:hAnsi="仿宋" w:eastAsia="仿宋" w:cs="仿宋"/>
                <w:color w:val="auto"/>
                <w:sz w:val="24"/>
                <w:highlight w:val="none"/>
              </w:rPr>
            </w:pPr>
          </w:p>
        </w:tc>
        <w:tc>
          <w:tcPr>
            <w:tcW w:w="567" w:type="dxa"/>
            <w:vAlign w:val="center"/>
          </w:tcPr>
          <w:p w14:paraId="4F3A7B1A">
            <w:pPr>
              <w:shd w:val="clear" w:color="auto" w:fill="FFFFFF"/>
              <w:spacing w:line="36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c>
          <w:tcPr>
            <w:tcW w:w="4537" w:type="dxa"/>
            <w:vAlign w:val="center"/>
          </w:tcPr>
          <w:p w14:paraId="1C46CCD5">
            <w:pPr>
              <w:keepNext w:val="0"/>
              <w:keepLines w:val="0"/>
              <w:pageBreakBefore w:val="0"/>
              <w:widowControl w:val="0"/>
              <w:shd w:val="clear" w:color="auto" w:fill="FFFFFF"/>
              <w:kinsoku/>
              <w:wordWrap/>
              <w:overflowPunct/>
              <w:topLinePunct w:val="0"/>
              <w:autoSpaceDE/>
              <w:autoSpaceDN/>
              <w:bidi w:val="0"/>
              <w:adjustRightInd/>
              <w:snapToGrid/>
              <w:spacing w:line="34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评审期间，未发现投标文件存在提供虚假材料情形</w:t>
            </w:r>
          </w:p>
        </w:tc>
        <w:tc>
          <w:tcPr>
            <w:tcW w:w="988" w:type="dxa"/>
            <w:vAlign w:val="center"/>
          </w:tcPr>
          <w:p w14:paraId="3189FCE5">
            <w:pPr>
              <w:shd w:val="clear" w:color="auto" w:fill="FFFFFF"/>
              <w:spacing w:line="360" w:lineRule="exact"/>
              <w:rPr>
                <w:rFonts w:hint="eastAsia" w:ascii="仿宋" w:hAnsi="仿宋" w:eastAsia="仿宋" w:cs="仿宋"/>
                <w:color w:val="auto"/>
                <w:sz w:val="24"/>
                <w:highlight w:val="none"/>
              </w:rPr>
            </w:pPr>
          </w:p>
        </w:tc>
        <w:tc>
          <w:tcPr>
            <w:tcW w:w="977" w:type="dxa"/>
            <w:vAlign w:val="center"/>
          </w:tcPr>
          <w:p w14:paraId="73EC191B">
            <w:pPr>
              <w:shd w:val="clear" w:color="auto" w:fill="FFFFFF"/>
              <w:spacing w:line="360" w:lineRule="exact"/>
              <w:rPr>
                <w:rFonts w:hint="eastAsia" w:ascii="仿宋" w:hAnsi="仿宋" w:eastAsia="仿宋" w:cs="仿宋"/>
                <w:color w:val="auto"/>
                <w:sz w:val="24"/>
                <w:highlight w:val="none"/>
              </w:rPr>
            </w:pPr>
          </w:p>
        </w:tc>
        <w:tc>
          <w:tcPr>
            <w:tcW w:w="1047" w:type="dxa"/>
            <w:vAlign w:val="center"/>
          </w:tcPr>
          <w:p w14:paraId="1E71F12B">
            <w:pPr>
              <w:shd w:val="clear" w:color="auto" w:fill="FFFFFF"/>
              <w:spacing w:line="360" w:lineRule="exact"/>
              <w:rPr>
                <w:rFonts w:hint="eastAsia" w:ascii="仿宋" w:hAnsi="仿宋" w:eastAsia="仿宋" w:cs="仿宋"/>
                <w:color w:val="auto"/>
                <w:sz w:val="24"/>
                <w:highlight w:val="none"/>
              </w:rPr>
            </w:pPr>
          </w:p>
        </w:tc>
        <w:tc>
          <w:tcPr>
            <w:tcW w:w="814" w:type="dxa"/>
            <w:vAlign w:val="center"/>
          </w:tcPr>
          <w:p w14:paraId="0CD4E24B">
            <w:pPr>
              <w:shd w:val="clear" w:color="auto" w:fill="FFFFFF"/>
              <w:spacing w:line="360" w:lineRule="exact"/>
              <w:rPr>
                <w:rFonts w:hint="eastAsia" w:ascii="仿宋" w:hAnsi="仿宋" w:eastAsia="仿宋" w:cs="仿宋"/>
                <w:color w:val="auto"/>
                <w:sz w:val="24"/>
                <w:highlight w:val="none"/>
              </w:rPr>
            </w:pPr>
          </w:p>
        </w:tc>
      </w:tr>
      <w:tr w14:paraId="26EC6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851" w:type="dxa"/>
            <w:vMerge w:val="continue"/>
            <w:vAlign w:val="center"/>
          </w:tcPr>
          <w:p w14:paraId="532174DC">
            <w:pPr>
              <w:shd w:val="clear" w:color="auto" w:fill="FFFFFF"/>
              <w:spacing w:line="360" w:lineRule="exact"/>
              <w:jc w:val="center"/>
              <w:rPr>
                <w:rFonts w:hint="eastAsia" w:ascii="仿宋" w:hAnsi="仿宋" w:eastAsia="仿宋" w:cs="仿宋"/>
                <w:color w:val="auto"/>
                <w:sz w:val="24"/>
                <w:highlight w:val="none"/>
              </w:rPr>
            </w:pPr>
          </w:p>
        </w:tc>
        <w:tc>
          <w:tcPr>
            <w:tcW w:w="567" w:type="dxa"/>
            <w:vAlign w:val="center"/>
          </w:tcPr>
          <w:p w14:paraId="136FE3F7">
            <w:pPr>
              <w:shd w:val="clear" w:color="auto" w:fill="FFFFFF"/>
              <w:spacing w:line="36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p>
        </w:tc>
        <w:tc>
          <w:tcPr>
            <w:tcW w:w="4537" w:type="dxa"/>
            <w:vAlign w:val="center"/>
          </w:tcPr>
          <w:p w14:paraId="00D7B47F">
            <w:pPr>
              <w:keepNext w:val="0"/>
              <w:keepLines w:val="0"/>
              <w:pageBreakBefore w:val="0"/>
              <w:widowControl w:val="0"/>
              <w:shd w:val="clear" w:color="auto" w:fill="FFFFFF"/>
              <w:kinsoku/>
              <w:wordWrap/>
              <w:overflowPunct/>
              <w:topLinePunct w:val="0"/>
              <w:autoSpaceDE/>
              <w:autoSpaceDN/>
              <w:bidi w:val="0"/>
              <w:adjustRightInd/>
              <w:snapToGrid/>
              <w:spacing w:line="34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投标文件未附有采购人不能接受的条件</w:t>
            </w:r>
          </w:p>
        </w:tc>
        <w:tc>
          <w:tcPr>
            <w:tcW w:w="988" w:type="dxa"/>
            <w:vAlign w:val="center"/>
          </w:tcPr>
          <w:p w14:paraId="2374A891">
            <w:pPr>
              <w:shd w:val="clear" w:color="auto" w:fill="FFFFFF"/>
              <w:spacing w:line="360" w:lineRule="exact"/>
              <w:rPr>
                <w:rFonts w:hint="eastAsia" w:ascii="仿宋" w:hAnsi="仿宋" w:eastAsia="仿宋" w:cs="仿宋"/>
                <w:color w:val="auto"/>
                <w:sz w:val="24"/>
                <w:highlight w:val="none"/>
              </w:rPr>
            </w:pPr>
          </w:p>
        </w:tc>
        <w:tc>
          <w:tcPr>
            <w:tcW w:w="977" w:type="dxa"/>
            <w:vAlign w:val="center"/>
          </w:tcPr>
          <w:p w14:paraId="1DB2CAC2">
            <w:pPr>
              <w:shd w:val="clear" w:color="auto" w:fill="FFFFFF"/>
              <w:spacing w:line="360" w:lineRule="exact"/>
              <w:rPr>
                <w:rFonts w:hint="eastAsia" w:ascii="仿宋" w:hAnsi="仿宋" w:eastAsia="仿宋" w:cs="仿宋"/>
                <w:color w:val="auto"/>
                <w:sz w:val="24"/>
                <w:highlight w:val="none"/>
              </w:rPr>
            </w:pPr>
          </w:p>
        </w:tc>
        <w:tc>
          <w:tcPr>
            <w:tcW w:w="1047" w:type="dxa"/>
            <w:vAlign w:val="center"/>
          </w:tcPr>
          <w:p w14:paraId="4EC066B3">
            <w:pPr>
              <w:shd w:val="clear" w:color="auto" w:fill="FFFFFF"/>
              <w:spacing w:line="360" w:lineRule="exact"/>
              <w:rPr>
                <w:rFonts w:hint="eastAsia" w:ascii="仿宋" w:hAnsi="仿宋" w:eastAsia="仿宋" w:cs="仿宋"/>
                <w:color w:val="auto"/>
                <w:sz w:val="24"/>
                <w:highlight w:val="none"/>
              </w:rPr>
            </w:pPr>
          </w:p>
        </w:tc>
        <w:tc>
          <w:tcPr>
            <w:tcW w:w="814" w:type="dxa"/>
            <w:vAlign w:val="center"/>
          </w:tcPr>
          <w:p w14:paraId="7BD78BDF">
            <w:pPr>
              <w:shd w:val="clear" w:color="auto" w:fill="FFFFFF"/>
              <w:spacing w:line="360" w:lineRule="exact"/>
              <w:rPr>
                <w:rFonts w:hint="eastAsia" w:ascii="仿宋" w:hAnsi="仿宋" w:eastAsia="仿宋" w:cs="仿宋"/>
                <w:color w:val="auto"/>
                <w:sz w:val="24"/>
                <w:highlight w:val="none"/>
              </w:rPr>
            </w:pPr>
          </w:p>
        </w:tc>
      </w:tr>
      <w:tr w14:paraId="5C3CD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851" w:type="dxa"/>
            <w:vMerge w:val="continue"/>
            <w:vAlign w:val="center"/>
          </w:tcPr>
          <w:p w14:paraId="159786F0">
            <w:pPr>
              <w:shd w:val="clear" w:color="auto" w:fill="FFFFFF"/>
              <w:spacing w:line="360" w:lineRule="exact"/>
              <w:jc w:val="center"/>
              <w:rPr>
                <w:rFonts w:hint="eastAsia" w:ascii="仿宋" w:hAnsi="仿宋" w:eastAsia="仿宋" w:cs="仿宋"/>
                <w:color w:val="auto"/>
                <w:sz w:val="24"/>
                <w:highlight w:val="none"/>
              </w:rPr>
            </w:pPr>
          </w:p>
        </w:tc>
        <w:tc>
          <w:tcPr>
            <w:tcW w:w="567" w:type="dxa"/>
            <w:vAlign w:val="center"/>
          </w:tcPr>
          <w:p w14:paraId="7F7A9CE6">
            <w:pPr>
              <w:shd w:val="clear" w:color="auto" w:fill="FFFFFF"/>
              <w:spacing w:line="36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w:t>
            </w:r>
          </w:p>
        </w:tc>
        <w:tc>
          <w:tcPr>
            <w:tcW w:w="4537" w:type="dxa"/>
            <w:vAlign w:val="center"/>
          </w:tcPr>
          <w:p w14:paraId="4BDC9D1D">
            <w:pPr>
              <w:keepNext w:val="0"/>
              <w:keepLines w:val="0"/>
              <w:pageBreakBefore w:val="0"/>
              <w:widowControl w:val="0"/>
              <w:shd w:val="clear" w:color="auto" w:fill="FFFFFF"/>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符合法律、法规和招标文件中规定的实质性要求</w:t>
            </w:r>
          </w:p>
        </w:tc>
        <w:tc>
          <w:tcPr>
            <w:tcW w:w="988" w:type="dxa"/>
            <w:vAlign w:val="center"/>
          </w:tcPr>
          <w:p w14:paraId="7E820D4E">
            <w:pPr>
              <w:shd w:val="clear" w:color="auto" w:fill="FFFFFF"/>
              <w:spacing w:line="360" w:lineRule="exact"/>
              <w:rPr>
                <w:rFonts w:hint="eastAsia" w:ascii="仿宋" w:hAnsi="仿宋" w:eastAsia="仿宋" w:cs="仿宋"/>
                <w:color w:val="auto"/>
                <w:sz w:val="24"/>
                <w:highlight w:val="none"/>
              </w:rPr>
            </w:pPr>
          </w:p>
        </w:tc>
        <w:tc>
          <w:tcPr>
            <w:tcW w:w="977" w:type="dxa"/>
            <w:vAlign w:val="center"/>
          </w:tcPr>
          <w:p w14:paraId="167AF36A">
            <w:pPr>
              <w:shd w:val="clear" w:color="auto" w:fill="FFFFFF"/>
              <w:spacing w:line="360" w:lineRule="exact"/>
              <w:rPr>
                <w:rFonts w:hint="eastAsia" w:ascii="仿宋" w:hAnsi="仿宋" w:eastAsia="仿宋" w:cs="仿宋"/>
                <w:color w:val="auto"/>
                <w:sz w:val="24"/>
                <w:highlight w:val="none"/>
              </w:rPr>
            </w:pPr>
          </w:p>
        </w:tc>
        <w:tc>
          <w:tcPr>
            <w:tcW w:w="1047" w:type="dxa"/>
            <w:vAlign w:val="center"/>
          </w:tcPr>
          <w:p w14:paraId="0B3C6771">
            <w:pPr>
              <w:shd w:val="clear" w:color="auto" w:fill="FFFFFF"/>
              <w:spacing w:line="360" w:lineRule="exact"/>
              <w:rPr>
                <w:rFonts w:hint="eastAsia" w:ascii="仿宋" w:hAnsi="仿宋" w:eastAsia="仿宋" w:cs="仿宋"/>
                <w:color w:val="auto"/>
                <w:sz w:val="24"/>
                <w:highlight w:val="none"/>
              </w:rPr>
            </w:pPr>
          </w:p>
        </w:tc>
        <w:tc>
          <w:tcPr>
            <w:tcW w:w="814" w:type="dxa"/>
            <w:vAlign w:val="center"/>
          </w:tcPr>
          <w:p w14:paraId="330067A8">
            <w:pPr>
              <w:shd w:val="clear" w:color="auto" w:fill="FFFFFF"/>
              <w:spacing w:line="360" w:lineRule="exact"/>
              <w:rPr>
                <w:rFonts w:hint="eastAsia" w:ascii="仿宋" w:hAnsi="仿宋" w:eastAsia="仿宋" w:cs="仿宋"/>
                <w:color w:val="auto"/>
                <w:sz w:val="24"/>
                <w:highlight w:val="none"/>
              </w:rPr>
            </w:pPr>
          </w:p>
        </w:tc>
      </w:tr>
      <w:tr w14:paraId="64495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trPr>
        <w:tc>
          <w:tcPr>
            <w:tcW w:w="851" w:type="dxa"/>
            <w:vMerge w:val="restart"/>
            <w:vAlign w:val="center"/>
          </w:tcPr>
          <w:p w14:paraId="029F45BF">
            <w:pPr>
              <w:shd w:val="clear" w:color="auto" w:fill="FFFFFF"/>
              <w:spacing w:line="360" w:lineRule="exact"/>
              <w:jc w:val="center"/>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报价符合性审查</w:t>
            </w:r>
          </w:p>
        </w:tc>
        <w:tc>
          <w:tcPr>
            <w:tcW w:w="567" w:type="dxa"/>
            <w:vAlign w:val="center"/>
          </w:tcPr>
          <w:p w14:paraId="0E6ACB08">
            <w:pPr>
              <w:shd w:val="clear" w:color="auto" w:fill="FFFFFF"/>
              <w:spacing w:line="360" w:lineRule="exact"/>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8</w:t>
            </w:r>
          </w:p>
        </w:tc>
        <w:tc>
          <w:tcPr>
            <w:tcW w:w="4537" w:type="dxa"/>
            <w:vAlign w:val="center"/>
          </w:tcPr>
          <w:p w14:paraId="06A5AAAF">
            <w:pPr>
              <w:keepNext w:val="0"/>
              <w:keepLines w:val="0"/>
              <w:pageBreakBefore w:val="0"/>
              <w:widowControl w:val="0"/>
              <w:shd w:val="clear" w:color="auto" w:fill="FFFFFF"/>
              <w:kinsoku/>
              <w:wordWrap/>
              <w:overflowPunct/>
              <w:topLinePunct w:val="0"/>
              <w:autoSpaceDE/>
              <w:autoSpaceDN/>
              <w:bidi w:val="0"/>
              <w:adjustRightInd/>
              <w:snapToGrid/>
              <w:spacing w:line="34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投标总报价未超过本项目的最高限价</w:t>
            </w:r>
          </w:p>
        </w:tc>
        <w:tc>
          <w:tcPr>
            <w:tcW w:w="988" w:type="dxa"/>
            <w:vAlign w:val="center"/>
          </w:tcPr>
          <w:p w14:paraId="0D636123">
            <w:pPr>
              <w:shd w:val="clear" w:color="auto" w:fill="FFFFFF"/>
              <w:spacing w:line="360" w:lineRule="exact"/>
              <w:rPr>
                <w:rFonts w:hint="eastAsia" w:ascii="仿宋" w:hAnsi="仿宋" w:eastAsia="仿宋" w:cs="仿宋"/>
                <w:color w:val="auto"/>
                <w:sz w:val="24"/>
                <w:highlight w:val="none"/>
              </w:rPr>
            </w:pPr>
          </w:p>
        </w:tc>
        <w:tc>
          <w:tcPr>
            <w:tcW w:w="977" w:type="dxa"/>
            <w:vAlign w:val="center"/>
          </w:tcPr>
          <w:p w14:paraId="324910AB">
            <w:pPr>
              <w:shd w:val="clear" w:color="auto" w:fill="FFFFFF"/>
              <w:spacing w:line="360" w:lineRule="exact"/>
              <w:rPr>
                <w:rFonts w:hint="eastAsia" w:ascii="仿宋" w:hAnsi="仿宋" w:eastAsia="仿宋" w:cs="仿宋"/>
                <w:color w:val="auto"/>
                <w:sz w:val="24"/>
                <w:highlight w:val="none"/>
              </w:rPr>
            </w:pPr>
          </w:p>
        </w:tc>
        <w:tc>
          <w:tcPr>
            <w:tcW w:w="1047" w:type="dxa"/>
            <w:vAlign w:val="center"/>
          </w:tcPr>
          <w:p w14:paraId="0E3D54C5">
            <w:pPr>
              <w:shd w:val="clear" w:color="auto" w:fill="FFFFFF"/>
              <w:spacing w:line="360" w:lineRule="exact"/>
              <w:rPr>
                <w:rFonts w:hint="eastAsia" w:ascii="仿宋" w:hAnsi="仿宋" w:eastAsia="仿宋" w:cs="仿宋"/>
                <w:color w:val="auto"/>
                <w:sz w:val="24"/>
                <w:highlight w:val="none"/>
              </w:rPr>
            </w:pPr>
          </w:p>
        </w:tc>
        <w:tc>
          <w:tcPr>
            <w:tcW w:w="814" w:type="dxa"/>
            <w:vAlign w:val="center"/>
          </w:tcPr>
          <w:p w14:paraId="7FEB07D0">
            <w:pPr>
              <w:shd w:val="clear" w:color="auto" w:fill="FFFFFF"/>
              <w:spacing w:line="360" w:lineRule="exact"/>
              <w:rPr>
                <w:rFonts w:hint="eastAsia" w:ascii="仿宋" w:hAnsi="仿宋" w:eastAsia="仿宋" w:cs="仿宋"/>
                <w:color w:val="auto"/>
                <w:sz w:val="24"/>
                <w:highlight w:val="none"/>
              </w:rPr>
            </w:pPr>
          </w:p>
        </w:tc>
      </w:tr>
      <w:tr w14:paraId="5BDA3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6" w:hRule="atLeast"/>
        </w:trPr>
        <w:tc>
          <w:tcPr>
            <w:tcW w:w="851" w:type="dxa"/>
            <w:vMerge w:val="continue"/>
            <w:vAlign w:val="center"/>
          </w:tcPr>
          <w:p w14:paraId="097E204F">
            <w:pPr>
              <w:shd w:val="clear" w:color="auto" w:fill="FFFFFF"/>
              <w:spacing w:line="360" w:lineRule="exact"/>
              <w:jc w:val="center"/>
              <w:rPr>
                <w:rFonts w:hint="eastAsia" w:ascii="仿宋" w:hAnsi="仿宋" w:eastAsia="仿宋" w:cs="仿宋"/>
                <w:b/>
                <w:color w:val="auto"/>
                <w:sz w:val="24"/>
                <w:highlight w:val="none"/>
              </w:rPr>
            </w:pPr>
          </w:p>
        </w:tc>
        <w:tc>
          <w:tcPr>
            <w:tcW w:w="567" w:type="dxa"/>
            <w:vAlign w:val="center"/>
          </w:tcPr>
          <w:p w14:paraId="4639CA93">
            <w:pPr>
              <w:shd w:val="clear" w:color="auto" w:fill="FFFFFF"/>
              <w:spacing w:line="36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lang w:val="en-US" w:eastAsia="zh-CN"/>
              </w:rPr>
              <w:t>9</w:t>
            </w:r>
          </w:p>
        </w:tc>
        <w:tc>
          <w:tcPr>
            <w:tcW w:w="4537" w:type="dxa"/>
            <w:vAlign w:val="center"/>
          </w:tcPr>
          <w:p w14:paraId="3945DB9A">
            <w:pPr>
              <w:keepNext w:val="0"/>
              <w:keepLines w:val="0"/>
              <w:pageBreakBefore w:val="0"/>
              <w:widowControl w:val="0"/>
              <w:shd w:val="clear" w:color="auto" w:fill="FFFFFF"/>
              <w:kinsoku/>
              <w:wordWrap/>
              <w:overflowPunct/>
              <w:topLinePunct w:val="0"/>
              <w:autoSpaceDE/>
              <w:autoSpaceDN/>
              <w:bidi w:val="0"/>
              <w:adjustRightInd/>
              <w:snapToGrid/>
              <w:spacing w:line="340" w:lineRule="exac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rPr>
              <w:t>供应商报价响应文件按照投标须知第21.4项要求提供必备项内容，且未出现对同一项目做出两个以上报价且未明确效力的</w:t>
            </w:r>
          </w:p>
        </w:tc>
        <w:tc>
          <w:tcPr>
            <w:tcW w:w="988" w:type="dxa"/>
            <w:vAlign w:val="center"/>
          </w:tcPr>
          <w:p w14:paraId="7E2487AA">
            <w:pPr>
              <w:shd w:val="clear" w:color="auto" w:fill="FFFFFF"/>
              <w:spacing w:line="360" w:lineRule="exact"/>
              <w:rPr>
                <w:rFonts w:hint="eastAsia" w:ascii="仿宋" w:hAnsi="仿宋" w:eastAsia="仿宋" w:cs="仿宋"/>
                <w:color w:val="auto"/>
                <w:sz w:val="24"/>
                <w:highlight w:val="none"/>
              </w:rPr>
            </w:pPr>
          </w:p>
        </w:tc>
        <w:tc>
          <w:tcPr>
            <w:tcW w:w="977" w:type="dxa"/>
            <w:vAlign w:val="center"/>
          </w:tcPr>
          <w:p w14:paraId="653565B5">
            <w:pPr>
              <w:shd w:val="clear" w:color="auto" w:fill="FFFFFF"/>
              <w:spacing w:line="360" w:lineRule="exact"/>
              <w:rPr>
                <w:rFonts w:hint="eastAsia" w:ascii="仿宋" w:hAnsi="仿宋" w:eastAsia="仿宋" w:cs="仿宋"/>
                <w:color w:val="auto"/>
                <w:sz w:val="24"/>
                <w:highlight w:val="none"/>
              </w:rPr>
            </w:pPr>
          </w:p>
        </w:tc>
        <w:tc>
          <w:tcPr>
            <w:tcW w:w="1047" w:type="dxa"/>
            <w:vAlign w:val="center"/>
          </w:tcPr>
          <w:p w14:paraId="671E3C0F">
            <w:pPr>
              <w:shd w:val="clear" w:color="auto" w:fill="FFFFFF"/>
              <w:spacing w:line="360" w:lineRule="exact"/>
              <w:rPr>
                <w:rFonts w:hint="eastAsia" w:ascii="仿宋" w:hAnsi="仿宋" w:eastAsia="仿宋" w:cs="仿宋"/>
                <w:color w:val="auto"/>
                <w:sz w:val="24"/>
                <w:highlight w:val="none"/>
              </w:rPr>
            </w:pPr>
          </w:p>
        </w:tc>
        <w:tc>
          <w:tcPr>
            <w:tcW w:w="814" w:type="dxa"/>
            <w:vAlign w:val="center"/>
          </w:tcPr>
          <w:p w14:paraId="210EFD76">
            <w:pPr>
              <w:shd w:val="clear" w:color="auto" w:fill="FFFFFF"/>
              <w:spacing w:line="360" w:lineRule="exact"/>
              <w:rPr>
                <w:rFonts w:hint="eastAsia" w:ascii="仿宋" w:hAnsi="仿宋" w:eastAsia="仿宋" w:cs="仿宋"/>
                <w:color w:val="auto"/>
                <w:sz w:val="24"/>
                <w:highlight w:val="none"/>
              </w:rPr>
            </w:pPr>
          </w:p>
        </w:tc>
      </w:tr>
      <w:tr w14:paraId="42D08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5955" w:type="dxa"/>
            <w:gridSpan w:val="3"/>
            <w:vAlign w:val="center"/>
          </w:tcPr>
          <w:p w14:paraId="643B349B">
            <w:pPr>
              <w:shd w:val="clear" w:color="auto" w:fill="FFFFFF"/>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结论</w:t>
            </w:r>
          </w:p>
        </w:tc>
        <w:tc>
          <w:tcPr>
            <w:tcW w:w="988" w:type="dxa"/>
            <w:vAlign w:val="center"/>
          </w:tcPr>
          <w:p w14:paraId="216BAADC">
            <w:pPr>
              <w:shd w:val="clear" w:color="auto" w:fill="FFFFFF"/>
              <w:spacing w:line="360" w:lineRule="exact"/>
              <w:rPr>
                <w:rFonts w:hint="eastAsia" w:ascii="仿宋" w:hAnsi="仿宋" w:eastAsia="仿宋" w:cs="仿宋"/>
                <w:color w:val="auto"/>
                <w:sz w:val="24"/>
                <w:highlight w:val="none"/>
              </w:rPr>
            </w:pPr>
          </w:p>
        </w:tc>
        <w:tc>
          <w:tcPr>
            <w:tcW w:w="977" w:type="dxa"/>
            <w:vAlign w:val="center"/>
          </w:tcPr>
          <w:p w14:paraId="7A13F05A">
            <w:pPr>
              <w:shd w:val="clear" w:color="auto" w:fill="FFFFFF"/>
              <w:spacing w:line="360" w:lineRule="exact"/>
              <w:rPr>
                <w:rFonts w:hint="eastAsia" w:ascii="仿宋" w:hAnsi="仿宋" w:eastAsia="仿宋" w:cs="仿宋"/>
                <w:color w:val="auto"/>
                <w:sz w:val="24"/>
                <w:highlight w:val="none"/>
              </w:rPr>
            </w:pPr>
          </w:p>
        </w:tc>
        <w:tc>
          <w:tcPr>
            <w:tcW w:w="1047" w:type="dxa"/>
            <w:vAlign w:val="center"/>
          </w:tcPr>
          <w:p w14:paraId="0BB0F07A">
            <w:pPr>
              <w:shd w:val="clear" w:color="auto" w:fill="FFFFFF"/>
              <w:spacing w:line="360" w:lineRule="exact"/>
              <w:rPr>
                <w:rFonts w:hint="eastAsia" w:ascii="仿宋" w:hAnsi="仿宋" w:eastAsia="仿宋" w:cs="仿宋"/>
                <w:color w:val="auto"/>
                <w:sz w:val="24"/>
                <w:highlight w:val="none"/>
              </w:rPr>
            </w:pPr>
          </w:p>
        </w:tc>
        <w:tc>
          <w:tcPr>
            <w:tcW w:w="814" w:type="dxa"/>
            <w:vAlign w:val="center"/>
          </w:tcPr>
          <w:p w14:paraId="628A958E">
            <w:pPr>
              <w:shd w:val="clear" w:color="auto" w:fill="FFFFFF"/>
              <w:spacing w:line="360" w:lineRule="exact"/>
              <w:rPr>
                <w:rFonts w:hint="eastAsia" w:ascii="仿宋" w:hAnsi="仿宋" w:eastAsia="仿宋" w:cs="仿宋"/>
                <w:color w:val="auto"/>
                <w:sz w:val="24"/>
                <w:highlight w:val="none"/>
              </w:rPr>
            </w:pPr>
          </w:p>
        </w:tc>
      </w:tr>
      <w:tr w14:paraId="5278B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9781" w:type="dxa"/>
            <w:gridSpan w:val="7"/>
            <w:vAlign w:val="center"/>
          </w:tcPr>
          <w:p w14:paraId="549E582C">
            <w:pPr>
              <w:shd w:val="clear" w:color="auto" w:fill="FFFFFF"/>
              <w:spacing w:line="360" w:lineRule="exact"/>
              <w:rPr>
                <w:rFonts w:hint="eastAsia" w:ascii="仿宋" w:hAnsi="仿宋" w:eastAsia="仿宋" w:cs="仿宋"/>
                <w:b/>
                <w:color w:val="auto"/>
                <w:sz w:val="24"/>
                <w:highlight w:val="none"/>
              </w:rPr>
            </w:pPr>
            <w:r>
              <w:rPr>
                <w:rFonts w:hint="eastAsia" w:ascii="仿宋" w:hAnsi="仿宋" w:eastAsia="仿宋" w:cs="仿宋"/>
                <w:color w:val="auto"/>
                <w:sz w:val="24"/>
                <w:highlight w:val="none"/>
              </w:rPr>
              <w:t>备注：</w:t>
            </w:r>
            <w:r>
              <w:rPr>
                <w:rFonts w:hint="eastAsia" w:ascii="仿宋" w:hAnsi="仿宋" w:eastAsia="仿宋" w:cs="仿宋"/>
                <w:color w:val="auto"/>
                <w:sz w:val="24"/>
                <w:highlight w:val="none"/>
                <w:lang w:eastAsia="zh-CN"/>
              </w:rPr>
              <w:t>符合性</w:t>
            </w:r>
            <w:r>
              <w:rPr>
                <w:rFonts w:hint="eastAsia" w:ascii="仿宋" w:hAnsi="仿宋" w:eastAsia="仿宋" w:cs="仿宋"/>
                <w:color w:val="auto"/>
                <w:sz w:val="24"/>
                <w:highlight w:val="none"/>
              </w:rPr>
              <w:t>审查不合格的供应商，投标无效。</w:t>
            </w:r>
          </w:p>
        </w:tc>
      </w:tr>
    </w:tbl>
    <w:p w14:paraId="37CA9EAB">
      <w:pPr>
        <w:shd w:val="clear" w:color="auto" w:fill="FFFFFF"/>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18"/>
          <w:szCs w:val="18"/>
          <w:highlight w:val="none"/>
        </w:rPr>
        <w:br w:type="page"/>
      </w:r>
      <w:r>
        <w:rPr>
          <w:rFonts w:hint="eastAsia" w:ascii="仿宋" w:hAnsi="仿宋" w:eastAsia="仿宋" w:cs="仿宋"/>
          <w:b/>
          <w:color w:val="auto"/>
          <w:sz w:val="24"/>
          <w:highlight w:val="none"/>
        </w:rPr>
        <w:t>34.3.2详细评审</w:t>
      </w:r>
    </w:p>
    <w:p w14:paraId="2C82EBFD">
      <w:pPr>
        <w:pStyle w:val="524"/>
        <w:shd w:val="clear" w:color="auto" w:fill="FFFFFF"/>
        <w:spacing w:line="440" w:lineRule="exact"/>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符合性评审合格的供应商方可进入详细评审阶段。详细评审分为投标文件商务、技术部分评审和投标报价评审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合计满分100分。</w:t>
      </w:r>
    </w:p>
    <w:p w14:paraId="68B390E0">
      <w:pPr>
        <w:shd w:val="clear" w:color="auto" w:fill="FFFFFF"/>
        <w:spacing w:line="440" w:lineRule="exact"/>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 xml:space="preserve">34.3.3具体评审内容及标准 </w:t>
      </w:r>
      <w:r>
        <w:rPr>
          <w:rFonts w:hint="eastAsia" w:ascii="仿宋" w:hAnsi="仿宋" w:eastAsia="仿宋" w:cs="仿宋"/>
          <w:b/>
          <w:color w:val="auto"/>
          <w:sz w:val="24"/>
          <w:highlight w:val="none"/>
          <w:lang w:val="en-US" w:eastAsia="zh-CN"/>
        </w:rPr>
        <w:t xml:space="preserve"> </w:t>
      </w:r>
    </w:p>
    <w:p w14:paraId="7EAE7FB8">
      <w:pPr>
        <w:pStyle w:val="524"/>
        <w:shd w:val="clear" w:color="auto" w:fill="FFFFFF"/>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报价评审</w:t>
      </w:r>
    </w:p>
    <w:tbl>
      <w:tblPr>
        <w:tblStyle w:val="5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6"/>
        <w:gridCol w:w="987"/>
        <w:gridCol w:w="6653"/>
      </w:tblGrid>
      <w:tr w14:paraId="37A07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120" w:type="pct"/>
          </w:tcPr>
          <w:p w14:paraId="64013937">
            <w:pPr>
              <w:shd w:val="clear" w:color="auto" w:fill="FFFFFF"/>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评审因素</w:t>
            </w:r>
          </w:p>
        </w:tc>
        <w:tc>
          <w:tcPr>
            <w:tcW w:w="501" w:type="pct"/>
            <w:vAlign w:val="center"/>
          </w:tcPr>
          <w:p w14:paraId="5DC5B61A">
            <w:pPr>
              <w:shd w:val="clear" w:color="auto" w:fill="FFFFFF"/>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分值</w:t>
            </w:r>
          </w:p>
        </w:tc>
        <w:tc>
          <w:tcPr>
            <w:tcW w:w="3378" w:type="pct"/>
            <w:vAlign w:val="center"/>
          </w:tcPr>
          <w:p w14:paraId="6EF6817A">
            <w:pPr>
              <w:shd w:val="clear" w:color="auto" w:fill="FFFFFF"/>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评分标准</w:t>
            </w:r>
          </w:p>
        </w:tc>
      </w:tr>
      <w:tr w14:paraId="73DEA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7" w:hRule="atLeast"/>
          <w:jc w:val="center"/>
        </w:trPr>
        <w:tc>
          <w:tcPr>
            <w:tcW w:w="1120" w:type="pct"/>
            <w:vAlign w:val="center"/>
          </w:tcPr>
          <w:p w14:paraId="7EB3D698">
            <w:pPr>
              <w:shd w:val="clear" w:color="auto" w:fill="FFFFFF"/>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价格部分</w:t>
            </w:r>
          </w:p>
        </w:tc>
        <w:tc>
          <w:tcPr>
            <w:tcW w:w="501" w:type="pct"/>
            <w:vAlign w:val="center"/>
          </w:tcPr>
          <w:p w14:paraId="00CEEEA9">
            <w:pPr>
              <w:shd w:val="clear" w:color="auto" w:fill="FFFFFF"/>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0分</w:t>
            </w:r>
          </w:p>
        </w:tc>
        <w:tc>
          <w:tcPr>
            <w:tcW w:w="3378" w:type="pct"/>
            <w:vAlign w:val="center"/>
          </w:tcPr>
          <w:p w14:paraId="70B55A19">
            <w:pPr>
              <w:keepNext w:val="0"/>
              <w:keepLines w:val="0"/>
              <w:pageBreakBefore w:val="0"/>
              <w:widowControl w:val="0"/>
              <w:shd w:val="clear" w:color="auto" w:fill="FFFFFF"/>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采用低价优先法计算，即满足招标文件要求且投标价格最低的投标报价为评标基准价，其价格分为满分。</w:t>
            </w:r>
          </w:p>
          <w:p w14:paraId="37DC5BC8">
            <w:pPr>
              <w:keepNext w:val="0"/>
              <w:keepLines w:val="0"/>
              <w:pageBreakBefore w:val="0"/>
              <w:widowControl w:val="0"/>
              <w:shd w:val="clear" w:color="auto" w:fill="FFFFFF"/>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其他供应商的价格分统一按照下列公式计算:</w:t>
            </w:r>
          </w:p>
          <w:p w14:paraId="6EC4E5D3">
            <w:pPr>
              <w:keepNext w:val="0"/>
              <w:keepLines w:val="0"/>
              <w:pageBreakBefore w:val="0"/>
              <w:widowControl w:val="0"/>
              <w:shd w:val="clear" w:color="auto" w:fill="FFFFFF"/>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投标报价得分=(评标基准价/投标报价)×</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0（小数点保留两位）</w:t>
            </w:r>
          </w:p>
          <w:p w14:paraId="561BFDF4">
            <w:pPr>
              <w:pStyle w:val="677"/>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仿宋" w:hAnsi="仿宋" w:eastAsia="仿宋" w:cs="仿宋"/>
                <w:color w:val="auto"/>
                <w:highlight w:val="none"/>
                <w:lang w:eastAsia="zh-CN"/>
              </w:rPr>
            </w:pPr>
            <w:r>
              <w:rPr>
                <w:rFonts w:hint="eastAsia" w:ascii="仿宋" w:hAnsi="仿宋" w:eastAsia="仿宋" w:cs="仿宋"/>
                <w:color w:val="auto"/>
                <w:sz w:val="24"/>
                <w:highlight w:val="none"/>
              </w:rPr>
              <w:t>注：对小微企业价格优惠计算方法按本须知“前附表”18.2项执行</w:t>
            </w:r>
            <w:r>
              <w:rPr>
                <w:rFonts w:hint="eastAsia" w:ascii="仿宋" w:hAnsi="仿宋" w:eastAsia="仿宋" w:cs="仿宋"/>
                <w:color w:val="auto"/>
                <w:sz w:val="24"/>
                <w:highlight w:val="none"/>
                <w:lang w:eastAsia="zh-CN"/>
              </w:rPr>
              <w:t>。</w:t>
            </w:r>
          </w:p>
        </w:tc>
      </w:tr>
    </w:tbl>
    <w:p w14:paraId="79C9AF21">
      <w:pPr>
        <w:pStyle w:val="524"/>
        <w:shd w:val="clear" w:color="auto" w:fill="FFFFFF"/>
        <w:spacing w:line="440" w:lineRule="exact"/>
        <w:jc w:val="center"/>
        <w:rPr>
          <w:rFonts w:hint="eastAsia" w:ascii="仿宋" w:hAnsi="仿宋" w:eastAsia="仿宋" w:cs="仿宋"/>
          <w:b/>
          <w:color w:val="auto"/>
          <w:sz w:val="24"/>
          <w:szCs w:val="24"/>
          <w:highlight w:val="none"/>
        </w:rPr>
      </w:pPr>
    </w:p>
    <w:p w14:paraId="23100CE1">
      <w:pPr>
        <w:shd w:val="clear" w:color="auto" w:fill="FFFFFF"/>
        <w:spacing w:line="440" w:lineRule="exact"/>
        <w:jc w:val="center"/>
        <w:rPr>
          <w:rFonts w:hint="eastAsia" w:ascii="仿宋" w:hAnsi="仿宋" w:eastAsia="仿宋" w:cs="仿宋"/>
          <w:color w:val="auto"/>
          <w:highlight w:val="none"/>
          <w:lang w:eastAsia="zh-CN"/>
        </w:rPr>
      </w:pPr>
      <w:r>
        <w:rPr>
          <w:rFonts w:hint="eastAsia" w:ascii="仿宋" w:hAnsi="仿宋" w:eastAsia="仿宋" w:cs="仿宋"/>
          <w:b/>
          <w:color w:val="auto"/>
          <w:sz w:val="24"/>
          <w:highlight w:val="none"/>
        </w:rPr>
        <w:t>商务技术评审</w:t>
      </w:r>
    </w:p>
    <w:tbl>
      <w:tblPr>
        <w:tblStyle w:val="59"/>
        <w:tblW w:w="5076" w:type="pct"/>
        <w:tblInd w:w="-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52"/>
        <w:gridCol w:w="1261"/>
        <w:gridCol w:w="723"/>
        <w:gridCol w:w="6779"/>
      </w:tblGrid>
      <w:tr w14:paraId="137F4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536" w:type="pct"/>
            <w:shd w:val="clear" w:color="auto" w:fill="auto"/>
            <w:tcMar>
              <w:top w:w="15" w:type="dxa"/>
              <w:left w:w="15" w:type="dxa"/>
              <w:right w:w="15" w:type="dxa"/>
            </w:tcMar>
            <w:vAlign w:val="center"/>
          </w:tcPr>
          <w:p w14:paraId="297B04F6">
            <w:pPr>
              <w:keepNext w:val="0"/>
              <w:keepLines w:val="0"/>
              <w:pageBreakBefore w:val="0"/>
              <w:widowControl/>
              <w:kinsoku/>
              <w:wordWrap/>
              <w:overflowPunct/>
              <w:topLinePunct w:val="0"/>
              <w:autoSpaceDE/>
              <w:autoSpaceDN/>
              <w:bidi w:val="0"/>
              <w:adjustRightInd/>
              <w:spacing w:line="340" w:lineRule="exact"/>
              <w:ind w:left="0" w:right="0" w:firstLine="0"/>
              <w:jc w:val="center"/>
              <w:textAlignment w:val="top"/>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评审因素</w:t>
            </w:r>
          </w:p>
        </w:tc>
        <w:tc>
          <w:tcPr>
            <w:tcW w:w="642" w:type="pct"/>
            <w:shd w:val="clear" w:color="auto" w:fill="auto"/>
            <w:tcMar>
              <w:top w:w="15" w:type="dxa"/>
              <w:left w:w="15" w:type="dxa"/>
              <w:right w:w="15" w:type="dxa"/>
            </w:tcMar>
            <w:vAlign w:val="center"/>
          </w:tcPr>
          <w:p w14:paraId="55BFD7A1">
            <w:pPr>
              <w:keepNext w:val="0"/>
              <w:keepLines w:val="0"/>
              <w:pageBreakBefore w:val="0"/>
              <w:widowControl/>
              <w:kinsoku/>
              <w:wordWrap/>
              <w:overflowPunct/>
              <w:topLinePunct w:val="0"/>
              <w:autoSpaceDE/>
              <w:autoSpaceDN/>
              <w:bidi w:val="0"/>
              <w:adjustRightInd/>
              <w:spacing w:line="340" w:lineRule="exact"/>
              <w:ind w:left="0" w:right="0" w:firstLine="0"/>
              <w:jc w:val="center"/>
              <w:textAlignment w:val="top"/>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评审内容</w:t>
            </w:r>
          </w:p>
        </w:tc>
        <w:tc>
          <w:tcPr>
            <w:tcW w:w="368" w:type="pct"/>
            <w:shd w:val="clear" w:color="auto" w:fill="auto"/>
            <w:tcMar>
              <w:top w:w="15" w:type="dxa"/>
              <w:left w:w="15" w:type="dxa"/>
              <w:right w:w="15" w:type="dxa"/>
            </w:tcMar>
            <w:vAlign w:val="center"/>
          </w:tcPr>
          <w:p w14:paraId="2590634B">
            <w:pPr>
              <w:keepNext w:val="0"/>
              <w:keepLines w:val="0"/>
              <w:pageBreakBefore w:val="0"/>
              <w:widowControl/>
              <w:kinsoku/>
              <w:wordWrap/>
              <w:overflowPunct/>
              <w:topLinePunct w:val="0"/>
              <w:autoSpaceDE/>
              <w:autoSpaceDN/>
              <w:bidi w:val="0"/>
              <w:adjustRightInd/>
              <w:spacing w:line="340" w:lineRule="exact"/>
              <w:ind w:left="0" w:right="0" w:firstLine="0"/>
              <w:jc w:val="center"/>
              <w:textAlignment w:val="top"/>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分值</w:t>
            </w:r>
          </w:p>
        </w:tc>
        <w:tc>
          <w:tcPr>
            <w:tcW w:w="3452" w:type="pct"/>
            <w:shd w:val="clear" w:color="auto" w:fill="auto"/>
            <w:tcMar>
              <w:top w:w="15" w:type="dxa"/>
              <w:left w:w="15" w:type="dxa"/>
              <w:right w:w="15" w:type="dxa"/>
            </w:tcMar>
            <w:vAlign w:val="center"/>
          </w:tcPr>
          <w:p w14:paraId="0613F565">
            <w:pPr>
              <w:keepNext w:val="0"/>
              <w:keepLines w:val="0"/>
              <w:pageBreakBefore w:val="0"/>
              <w:widowControl/>
              <w:kinsoku/>
              <w:wordWrap/>
              <w:overflowPunct/>
              <w:topLinePunct w:val="0"/>
              <w:autoSpaceDE/>
              <w:autoSpaceDN/>
              <w:bidi w:val="0"/>
              <w:adjustRightInd/>
              <w:spacing w:line="340" w:lineRule="exact"/>
              <w:ind w:left="0" w:right="0" w:firstLine="0"/>
              <w:jc w:val="center"/>
              <w:textAlignment w:val="top"/>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评分标准</w:t>
            </w:r>
          </w:p>
        </w:tc>
      </w:tr>
      <w:tr w14:paraId="10473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5" w:hRule="atLeast"/>
        </w:trPr>
        <w:tc>
          <w:tcPr>
            <w:tcW w:w="536" w:type="pct"/>
            <w:vMerge w:val="restart"/>
            <w:shd w:val="clear" w:color="auto" w:fill="auto"/>
            <w:tcMar>
              <w:top w:w="15" w:type="dxa"/>
              <w:left w:w="15" w:type="dxa"/>
              <w:right w:w="15" w:type="dxa"/>
            </w:tcMar>
            <w:vAlign w:val="center"/>
          </w:tcPr>
          <w:p w14:paraId="687BECFF">
            <w:pPr>
              <w:keepNext w:val="0"/>
              <w:keepLines w:val="0"/>
              <w:pageBreakBefore w:val="0"/>
              <w:widowControl/>
              <w:kinsoku/>
              <w:wordWrap/>
              <w:overflowPunct/>
              <w:topLinePunct w:val="0"/>
              <w:autoSpaceDE/>
              <w:autoSpaceDN/>
              <w:bidi w:val="0"/>
              <w:adjustRightInd/>
              <w:spacing w:line="340" w:lineRule="exact"/>
              <w:ind w:left="0" w:right="0" w:firstLine="0"/>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商务部分（</w:t>
            </w:r>
            <w:r>
              <w:rPr>
                <w:rFonts w:hint="eastAsia" w:ascii="仿宋" w:hAnsi="仿宋" w:eastAsia="仿宋" w:cs="仿宋"/>
                <w:color w:val="auto"/>
                <w:kern w:val="0"/>
                <w:sz w:val="24"/>
                <w:highlight w:val="none"/>
                <w:lang w:val="en-US" w:eastAsia="zh-CN"/>
              </w:rPr>
              <w:t>23</w:t>
            </w:r>
            <w:r>
              <w:rPr>
                <w:rFonts w:hint="eastAsia" w:ascii="仿宋" w:hAnsi="仿宋" w:eastAsia="仿宋" w:cs="仿宋"/>
                <w:color w:val="auto"/>
                <w:kern w:val="0"/>
                <w:sz w:val="24"/>
                <w:highlight w:val="none"/>
              </w:rPr>
              <w:t>分）</w:t>
            </w:r>
          </w:p>
        </w:tc>
        <w:tc>
          <w:tcPr>
            <w:tcW w:w="642" w:type="pct"/>
            <w:shd w:val="clear" w:color="auto" w:fill="auto"/>
            <w:noWrap/>
            <w:tcMar>
              <w:top w:w="15" w:type="dxa"/>
              <w:left w:w="15" w:type="dxa"/>
              <w:right w:w="15" w:type="dxa"/>
            </w:tcMar>
            <w:vAlign w:val="center"/>
          </w:tcPr>
          <w:p w14:paraId="48BCD2FD">
            <w:pPr>
              <w:keepNext w:val="0"/>
              <w:keepLines w:val="0"/>
              <w:pageBreakBefore w:val="0"/>
              <w:shd w:val="clear" w:color="auto" w:fill="FFFFFF"/>
              <w:kinsoku/>
              <w:wordWrap/>
              <w:overflowPunct/>
              <w:topLinePunct w:val="0"/>
              <w:autoSpaceDE/>
              <w:autoSpaceDN/>
              <w:bidi w:val="0"/>
              <w:adjustRightInd/>
              <w:spacing w:line="340" w:lineRule="exact"/>
              <w:ind w:left="0" w:right="0" w:firstLine="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履约能力</w:t>
            </w:r>
          </w:p>
        </w:tc>
        <w:tc>
          <w:tcPr>
            <w:tcW w:w="368" w:type="pct"/>
            <w:shd w:val="clear" w:color="auto" w:fill="auto"/>
            <w:tcMar>
              <w:top w:w="15" w:type="dxa"/>
              <w:left w:w="15" w:type="dxa"/>
              <w:right w:w="15" w:type="dxa"/>
            </w:tcMar>
            <w:vAlign w:val="center"/>
          </w:tcPr>
          <w:p w14:paraId="145F7337">
            <w:pPr>
              <w:pStyle w:val="677"/>
              <w:keepNext w:val="0"/>
              <w:keepLines w:val="0"/>
              <w:pageBreakBefore w:val="0"/>
              <w:kinsoku/>
              <w:wordWrap/>
              <w:overflowPunct/>
              <w:topLinePunct w:val="0"/>
              <w:autoSpaceDE/>
              <w:autoSpaceDN/>
              <w:bidi w:val="0"/>
              <w:adjustRightInd/>
              <w:spacing w:line="340" w:lineRule="exact"/>
              <w:ind w:left="0" w:right="0" w:firstLine="0" w:firstLineChars="0"/>
              <w:jc w:val="center"/>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2</w:t>
            </w:r>
          </w:p>
        </w:tc>
        <w:tc>
          <w:tcPr>
            <w:tcW w:w="3452" w:type="pct"/>
            <w:shd w:val="clear" w:color="auto" w:fill="auto"/>
            <w:tcMar>
              <w:top w:w="15" w:type="dxa"/>
              <w:left w:w="15" w:type="dxa"/>
              <w:right w:w="15" w:type="dxa"/>
            </w:tcMar>
            <w:vAlign w:val="center"/>
          </w:tcPr>
          <w:p w14:paraId="1DAD3F0F">
            <w:pPr>
              <w:pStyle w:val="677"/>
              <w:keepNext w:val="0"/>
              <w:keepLines w:val="0"/>
              <w:pageBreakBefore w:val="0"/>
              <w:kinsoku/>
              <w:wordWrap/>
              <w:overflowPunct/>
              <w:topLinePunct w:val="0"/>
              <w:autoSpaceDE/>
              <w:autoSpaceDN/>
              <w:bidi w:val="0"/>
              <w:adjustRightInd/>
              <w:snapToGrid/>
              <w:spacing w:line="340" w:lineRule="exact"/>
              <w:ind w:left="0" w:right="0" w:firstLine="0" w:firstLineChars="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供应商具有：</w:t>
            </w:r>
          </w:p>
          <w:p w14:paraId="5D97981B">
            <w:pPr>
              <w:pStyle w:val="677"/>
              <w:keepNext w:val="0"/>
              <w:keepLines w:val="0"/>
              <w:pageBreakBefore w:val="0"/>
              <w:numPr>
                <w:ilvl w:val="0"/>
                <w:numId w:val="0"/>
              </w:numPr>
              <w:kinsoku/>
              <w:wordWrap/>
              <w:overflowPunct/>
              <w:topLinePunct w:val="0"/>
              <w:autoSpaceDE/>
              <w:autoSpaceDN/>
              <w:bidi w:val="0"/>
              <w:adjustRightInd/>
              <w:snapToGrid/>
              <w:spacing w:line="340" w:lineRule="exact"/>
              <w:ind w:left="0" w:right="0" w:firstLine="0" w:firstLineChars="0"/>
              <w:rPr>
                <w:rFonts w:hint="eastAsia" w:ascii="仿宋" w:hAnsi="仿宋" w:eastAsia="仿宋" w:cs="仿宋"/>
                <w:color w:val="auto"/>
                <w:highlight w:val="none"/>
                <w:lang w:eastAsia="zh-CN"/>
              </w:rPr>
            </w:pPr>
            <w:r>
              <w:rPr>
                <w:rFonts w:hint="eastAsia" w:ascii="仿宋" w:hAnsi="仿宋" w:eastAsia="仿宋" w:cs="仿宋"/>
                <w:color w:val="auto"/>
                <w:kern w:val="2"/>
                <w:sz w:val="24"/>
                <w:szCs w:val="20"/>
                <w:highlight w:val="none"/>
                <w:lang w:val="en-US" w:eastAsia="zh-CN" w:bidi="ar-SA"/>
              </w:rPr>
              <w:t>（1）</w:t>
            </w:r>
            <w:r>
              <w:rPr>
                <w:rFonts w:hint="eastAsia" w:ascii="仿宋" w:hAnsi="仿宋" w:eastAsia="仿宋" w:cs="仿宋"/>
                <w:color w:val="auto"/>
                <w:highlight w:val="none"/>
                <w:lang w:eastAsia="zh-CN"/>
              </w:rPr>
              <w:t>ISO20000 IT信息技术服务管理体系认证证书，得</w:t>
            </w:r>
            <w:r>
              <w:rPr>
                <w:rFonts w:hint="eastAsia" w:ascii="仿宋" w:hAnsi="仿宋" w:eastAsia="仿宋" w:cs="仿宋"/>
                <w:color w:val="auto"/>
                <w:highlight w:val="none"/>
                <w:lang w:val="en-US" w:eastAsia="zh-CN"/>
              </w:rPr>
              <w:t>1分</w:t>
            </w:r>
            <w:r>
              <w:rPr>
                <w:rFonts w:hint="eastAsia" w:ascii="仿宋" w:hAnsi="仿宋" w:eastAsia="仿宋" w:cs="仿宋"/>
                <w:color w:val="auto"/>
                <w:highlight w:val="none"/>
                <w:lang w:eastAsia="zh-CN"/>
              </w:rPr>
              <w:t>；</w:t>
            </w:r>
          </w:p>
          <w:p w14:paraId="1AB92FD5">
            <w:pPr>
              <w:pStyle w:val="677"/>
              <w:keepNext w:val="0"/>
              <w:keepLines w:val="0"/>
              <w:pageBreakBefore w:val="0"/>
              <w:numPr>
                <w:ilvl w:val="0"/>
                <w:numId w:val="0"/>
              </w:numPr>
              <w:kinsoku/>
              <w:wordWrap/>
              <w:overflowPunct/>
              <w:topLinePunct w:val="0"/>
              <w:autoSpaceDE/>
              <w:autoSpaceDN/>
              <w:bidi w:val="0"/>
              <w:adjustRightInd/>
              <w:snapToGrid/>
              <w:spacing w:line="340" w:lineRule="exact"/>
              <w:ind w:left="0" w:right="0" w:firstLine="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lang w:eastAsia="zh-CN"/>
              </w:rPr>
              <w:t>）ISO27001 信息安全管理体系认证证书，得</w:t>
            </w:r>
            <w:r>
              <w:rPr>
                <w:rFonts w:hint="eastAsia" w:ascii="仿宋" w:hAnsi="仿宋" w:eastAsia="仿宋" w:cs="仿宋"/>
                <w:color w:val="auto"/>
                <w:highlight w:val="none"/>
                <w:lang w:val="en-US" w:eastAsia="zh-CN"/>
              </w:rPr>
              <w:t>1分。</w:t>
            </w:r>
          </w:p>
          <w:p w14:paraId="4585D322">
            <w:pPr>
              <w:pStyle w:val="677"/>
              <w:keepNext w:val="0"/>
              <w:keepLines w:val="0"/>
              <w:pageBreakBefore w:val="0"/>
              <w:numPr>
                <w:ilvl w:val="0"/>
                <w:numId w:val="0"/>
              </w:numPr>
              <w:kinsoku/>
              <w:wordWrap/>
              <w:overflowPunct/>
              <w:topLinePunct w:val="0"/>
              <w:autoSpaceDE/>
              <w:autoSpaceDN/>
              <w:bidi w:val="0"/>
              <w:adjustRightInd/>
              <w:snapToGrid/>
              <w:spacing w:line="340" w:lineRule="exact"/>
              <w:ind w:left="0" w:right="0" w:firstLine="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须提供有效证书的清晰扫描件，否则不予认定。</w:t>
            </w:r>
          </w:p>
        </w:tc>
      </w:tr>
      <w:tr w14:paraId="01E0F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atLeast"/>
        </w:trPr>
        <w:tc>
          <w:tcPr>
            <w:tcW w:w="536" w:type="pct"/>
            <w:vMerge w:val="continue"/>
            <w:shd w:val="clear" w:color="auto" w:fill="auto"/>
            <w:tcMar>
              <w:top w:w="15" w:type="dxa"/>
              <w:left w:w="15" w:type="dxa"/>
              <w:right w:w="15" w:type="dxa"/>
            </w:tcMar>
            <w:vAlign w:val="center"/>
          </w:tcPr>
          <w:p w14:paraId="1C67F914">
            <w:pPr>
              <w:keepNext w:val="0"/>
              <w:keepLines w:val="0"/>
              <w:pageBreakBefore w:val="0"/>
              <w:kinsoku/>
              <w:wordWrap/>
              <w:overflowPunct/>
              <w:topLinePunct w:val="0"/>
              <w:autoSpaceDE/>
              <w:autoSpaceDN/>
              <w:bidi w:val="0"/>
              <w:adjustRightInd/>
              <w:spacing w:line="340" w:lineRule="exact"/>
              <w:ind w:left="0" w:right="0" w:firstLine="0"/>
              <w:rPr>
                <w:rFonts w:hint="eastAsia" w:ascii="仿宋" w:hAnsi="仿宋" w:eastAsia="仿宋" w:cs="仿宋"/>
                <w:color w:val="auto"/>
                <w:sz w:val="24"/>
                <w:highlight w:val="none"/>
              </w:rPr>
            </w:pPr>
          </w:p>
        </w:tc>
        <w:tc>
          <w:tcPr>
            <w:tcW w:w="642" w:type="pct"/>
            <w:shd w:val="clear" w:color="auto" w:fill="auto"/>
            <w:tcMar>
              <w:top w:w="15" w:type="dxa"/>
              <w:left w:w="15" w:type="dxa"/>
              <w:right w:w="15" w:type="dxa"/>
            </w:tcMar>
            <w:vAlign w:val="center"/>
          </w:tcPr>
          <w:p w14:paraId="3EEE8CF9">
            <w:pPr>
              <w:keepNext w:val="0"/>
              <w:keepLines w:val="0"/>
              <w:pageBreakBefore w:val="0"/>
              <w:shd w:val="clear" w:color="auto" w:fill="FFFFFF"/>
              <w:kinsoku/>
              <w:wordWrap/>
              <w:overflowPunct/>
              <w:topLinePunct w:val="0"/>
              <w:autoSpaceDE/>
              <w:autoSpaceDN/>
              <w:bidi w:val="0"/>
              <w:adjustRightInd/>
              <w:spacing w:line="340" w:lineRule="exact"/>
              <w:ind w:left="0" w:right="0" w:firstLine="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14:ligatures w14:val="standardContextual"/>
              </w:rPr>
              <w:t>交付期</w:t>
            </w:r>
          </w:p>
        </w:tc>
        <w:tc>
          <w:tcPr>
            <w:tcW w:w="368" w:type="pct"/>
            <w:shd w:val="clear" w:color="auto" w:fill="auto"/>
            <w:tcMar>
              <w:top w:w="15" w:type="dxa"/>
              <w:left w:w="15" w:type="dxa"/>
              <w:right w:w="15" w:type="dxa"/>
            </w:tcMar>
            <w:vAlign w:val="center"/>
          </w:tcPr>
          <w:p w14:paraId="737B7842">
            <w:pPr>
              <w:pStyle w:val="677"/>
              <w:keepNext w:val="0"/>
              <w:keepLines w:val="0"/>
              <w:pageBreakBefore w:val="0"/>
              <w:kinsoku/>
              <w:wordWrap/>
              <w:overflowPunct/>
              <w:topLinePunct w:val="0"/>
              <w:autoSpaceDE/>
              <w:autoSpaceDN/>
              <w:bidi w:val="0"/>
              <w:adjustRightInd/>
              <w:spacing w:line="340" w:lineRule="exact"/>
              <w:ind w:left="0" w:right="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c>
          <w:tcPr>
            <w:tcW w:w="3452" w:type="pct"/>
            <w:shd w:val="clear" w:color="auto" w:fill="auto"/>
            <w:tcMar>
              <w:top w:w="15" w:type="dxa"/>
              <w:left w:w="15" w:type="dxa"/>
              <w:right w:w="15" w:type="dxa"/>
            </w:tcMar>
            <w:vAlign w:val="center"/>
          </w:tcPr>
          <w:p w14:paraId="465D624A">
            <w:pPr>
              <w:pStyle w:val="677"/>
              <w:keepNext w:val="0"/>
              <w:keepLines w:val="0"/>
              <w:pageBreakBefore w:val="0"/>
              <w:kinsoku/>
              <w:wordWrap/>
              <w:overflowPunct/>
              <w:topLinePunct w:val="0"/>
              <w:autoSpaceDE/>
              <w:autoSpaceDN/>
              <w:bidi w:val="0"/>
              <w:adjustRightInd/>
              <w:snapToGrid/>
              <w:spacing w:line="340" w:lineRule="exact"/>
              <w:ind w:left="0" w:right="0"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14:ligatures w14:val="standardContextual"/>
              </w:rPr>
              <w:t>满足招标文件规定的交付时间要求得1分，在此基础上每提前10个日历日（含当天）加1分，最多得3分。不响应招标文件交付时间要求的，不得分。</w:t>
            </w:r>
          </w:p>
        </w:tc>
      </w:tr>
      <w:tr w14:paraId="67B73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atLeast"/>
        </w:trPr>
        <w:tc>
          <w:tcPr>
            <w:tcW w:w="536" w:type="pct"/>
            <w:vMerge w:val="continue"/>
            <w:shd w:val="clear" w:color="auto" w:fill="auto"/>
            <w:tcMar>
              <w:top w:w="15" w:type="dxa"/>
              <w:left w:w="15" w:type="dxa"/>
              <w:right w:w="15" w:type="dxa"/>
            </w:tcMar>
            <w:vAlign w:val="center"/>
          </w:tcPr>
          <w:p w14:paraId="4B44F0B2">
            <w:pPr>
              <w:keepNext w:val="0"/>
              <w:keepLines w:val="0"/>
              <w:pageBreakBefore w:val="0"/>
              <w:kinsoku/>
              <w:wordWrap/>
              <w:overflowPunct/>
              <w:topLinePunct w:val="0"/>
              <w:autoSpaceDE/>
              <w:autoSpaceDN/>
              <w:bidi w:val="0"/>
              <w:adjustRightInd/>
              <w:spacing w:line="340" w:lineRule="exact"/>
              <w:ind w:left="0" w:right="0" w:firstLine="0"/>
              <w:rPr>
                <w:rFonts w:hint="eastAsia" w:ascii="仿宋" w:hAnsi="仿宋" w:eastAsia="仿宋" w:cs="仿宋"/>
                <w:color w:val="auto"/>
                <w:sz w:val="24"/>
                <w:highlight w:val="none"/>
              </w:rPr>
            </w:pPr>
          </w:p>
        </w:tc>
        <w:tc>
          <w:tcPr>
            <w:tcW w:w="642" w:type="pct"/>
            <w:shd w:val="clear" w:color="auto" w:fill="auto"/>
            <w:tcMar>
              <w:top w:w="15" w:type="dxa"/>
              <w:left w:w="15" w:type="dxa"/>
              <w:right w:w="15" w:type="dxa"/>
            </w:tcMar>
            <w:vAlign w:val="center"/>
          </w:tcPr>
          <w:p w14:paraId="6C9AF8E2">
            <w:pPr>
              <w:keepNext w:val="0"/>
              <w:keepLines w:val="0"/>
              <w:pageBreakBefore w:val="0"/>
              <w:shd w:val="clear" w:color="auto" w:fill="FFFFFF"/>
              <w:kinsoku/>
              <w:wordWrap/>
              <w:overflowPunct/>
              <w:topLinePunct w:val="0"/>
              <w:autoSpaceDE/>
              <w:autoSpaceDN/>
              <w:bidi w:val="0"/>
              <w:adjustRightInd/>
              <w:spacing w:line="340" w:lineRule="exact"/>
              <w:ind w:left="0" w:right="0" w:firstLine="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14:ligatures w14:val="standardContextual"/>
              </w:rPr>
              <w:t>项目经验</w:t>
            </w:r>
          </w:p>
        </w:tc>
        <w:tc>
          <w:tcPr>
            <w:tcW w:w="368" w:type="pct"/>
            <w:shd w:val="clear" w:color="auto" w:fill="auto"/>
            <w:tcMar>
              <w:top w:w="15" w:type="dxa"/>
              <w:left w:w="15" w:type="dxa"/>
              <w:right w:w="15" w:type="dxa"/>
            </w:tcMar>
            <w:vAlign w:val="center"/>
          </w:tcPr>
          <w:p w14:paraId="15AEB7B2">
            <w:pPr>
              <w:pStyle w:val="524"/>
              <w:keepNext w:val="0"/>
              <w:keepLines w:val="0"/>
              <w:pageBreakBefore w:val="0"/>
              <w:widowControl w:val="0"/>
              <w:shd w:val="clear" w:color="auto" w:fill="FFFFFF"/>
              <w:kinsoku/>
              <w:wordWrap/>
              <w:overflowPunct/>
              <w:topLinePunct w:val="0"/>
              <w:autoSpaceDE/>
              <w:autoSpaceDN/>
              <w:bidi w:val="0"/>
              <w:adjustRightInd/>
              <w:spacing w:line="340" w:lineRule="exact"/>
              <w:ind w:left="0" w:right="0" w:firstLine="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w:t>
            </w:r>
          </w:p>
        </w:tc>
        <w:tc>
          <w:tcPr>
            <w:tcW w:w="3452" w:type="pct"/>
            <w:shd w:val="clear" w:color="auto" w:fill="auto"/>
            <w:tcMar>
              <w:top w:w="15" w:type="dxa"/>
              <w:left w:w="15" w:type="dxa"/>
              <w:right w:w="15" w:type="dxa"/>
            </w:tcMar>
            <w:vAlign w:val="center"/>
          </w:tcPr>
          <w:p w14:paraId="3D937845">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right="0" w:firstLine="0" w:firstLineChars="0"/>
              <w:textAlignment w:val="center"/>
              <w:rPr>
                <w:rFonts w:hint="eastAsia" w:ascii="仿宋" w:hAnsi="仿宋" w:eastAsia="仿宋" w:cs="仿宋"/>
                <w:color w:val="auto"/>
                <w:kern w:val="2"/>
                <w:sz w:val="24"/>
                <w:szCs w:val="24"/>
                <w:highlight w:val="none"/>
                <w:lang w:val="en-US" w:eastAsia="zh-CN" w:bidi="ar-SA"/>
                <w14:ligatures w14:val="standardContextual"/>
              </w:rPr>
            </w:pPr>
            <w:bookmarkStart w:id="13" w:name="OLE_LINK1"/>
            <w:r>
              <w:rPr>
                <w:rFonts w:hint="eastAsia" w:ascii="仿宋" w:hAnsi="仿宋" w:eastAsia="仿宋" w:cs="仿宋"/>
                <w:color w:val="auto"/>
                <w:kern w:val="2"/>
                <w:sz w:val="24"/>
                <w:szCs w:val="24"/>
                <w:highlight w:val="none"/>
                <w:lang w:val="en-US" w:eastAsia="zh-CN" w:bidi="ar-SA"/>
                <w14:ligatures w14:val="standardContextual"/>
              </w:rPr>
              <w:t>提供供应商或供应商所投软件产品生产厂商自2022年1月1日至今类似项目（AI智能软件开发类）业绩，提供2个不同采购单位业绩，得基本分2分，在此基础上每增加一项业绩得1.5分，最多得8分。</w:t>
            </w:r>
          </w:p>
          <w:p w14:paraId="18549244">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right="0" w:firstLine="0" w:firstLineChars="0"/>
              <w:textAlignment w:val="center"/>
              <w:rPr>
                <w:rFonts w:hint="eastAsia" w:ascii="仿宋" w:hAnsi="仿宋" w:eastAsia="仿宋" w:cs="仿宋"/>
                <w:color w:val="auto"/>
                <w:kern w:val="2"/>
                <w:sz w:val="24"/>
                <w:szCs w:val="24"/>
                <w:highlight w:val="none"/>
                <w:lang w:val="en-US" w:eastAsia="zh-CN" w:bidi="ar-SA"/>
                <w14:ligatures w14:val="standardContextual"/>
              </w:rPr>
            </w:pPr>
            <w:r>
              <w:rPr>
                <w:rFonts w:hint="eastAsia" w:ascii="仿宋" w:hAnsi="仿宋" w:eastAsia="仿宋" w:cs="仿宋"/>
                <w:color w:val="auto"/>
                <w:kern w:val="2"/>
                <w:sz w:val="24"/>
                <w:szCs w:val="24"/>
                <w:highlight w:val="none"/>
                <w:lang w:val="en-US" w:eastAsia="zh-CN" w:bidi="ar-SA"/>
                <w14:ligatures w14:val="standardContextual"/>
              </w:rPr>
              <w:t>须提供合同及客户满意度反馈表作为业绩证明资料。合同应能清晰反映服务内容、合同金额、签订日期、签字盖章信息；客户满意度反馈表应能清晰反映客户的满意度为良好或以上含义、以及客户方公章信息。未按要求提供证明资料的评审时不予认可。本项评审中“软件产品生产厂商”是指供应商所投“产前智能超声质控软件系统”的软件开发商。</w:t>
            </w:r>
            <w:bookmarkEnd w:id="13"/>
          </w:p>
        </w:tc>
      </w:tr>
      <w:tr w14:paraId="205CC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atLeast"/>
        </w:trPr>
        <w:tc>
          <w:tcPr>
            <w:tcW w:w="536" w:type="pct"/>
            <w:vMerge w:val="continue"/>
            <w:shd w:val="clear" w:color="auto" w:fill="auto"/>
            <w:tcMar>
              <w:top w:w="15" w:type="dxa"/>
              <w:left w:w="15" w:type="dxa"/>
              <w:right w:w="15" w:type="dxa"/>
            </w:tcMar>
            <w:vAlign w:val="center"/>
          </w:tcPr>
          <w:p w14:paraId="19CC4228">
            <w:pPr>
              <w:keepNext w:val="0"/>
              <w:keepLines w:val="0"/>
              <w:pageBreakBefore w:val="0"/>
              <w:kinsoku/>
              <w:wordWrap/>
              <w:overflowPunct/>
              <w:topLinePunct w:val="0"/>
              <w:autoSpaceDE/>
              <w:autoSpaceDN/>
              <w:bidi w:val="0"/>
              <w:adjustRightInd/>
              <w:spacing w:line="340" w:lineRule="exact"/>
              <w:ind w:left="0" w:right="0" w:firstLine="0"/>
              <w:rPr>
                <w:rFonts w:hint="eastAsia" w:ascii="仿宋" w:hAnsi="仿宋" w:eastAsia="仿宋" w:cs="仿宋"/>
                <w:color w:val="auto"/>
                <w:sz w:val="24"/>
                <w:highlight w:val="none"/>
              </w:rPr>
            </w:pPr>
          </w:p>
        </w:tc>
        <w:tc>
          <w:tcPr>
            <w:tcW w:w="642" w:type="pct"/>
            <w:vMerge w:val="restart"/>
            <w:shd w:val="clear" w:color="auto" w:fill="auto"/>
            <w:tcMar>
              <w:top w:w="15" w:type="dxa"/>
              <w:left w:w="15" w:type="dxa"/>
              <w:right w:w="15" w:type="dxa"/>
            </w:tcMar>
            <w:vAlign w:val="center"/>
          </w:tcPr>
          <w:p w14:paraId="759C0892">
            <w:pPr>
              <w:keepNext w:val="0"/>
              <w:keepLines w:val="0"/>
              <w:pageBreakBefore w:val="0"/>
              <w:shd w:val="clear" w:color="auto" w:fill="FFFFFF"/>
              <w:kinsoku/>
              <w:wordWrap/>
              <w:overflowPunct/>
              <w:topLinePunct w:val="0"/>
              <w:autoSpaceDE/>
              <w:autoSpaceDN/>
              <w:bidi w:val="0"/>
              <w:adjustRightInd/>
              <w:spacing w:line="340" w:lineRule="exact"/>
              <w:ind w:left="0" w:right="0" w:firstLine="0"/>
              <w:jc w:val="center"/>
              <w:rPr>
                <w:rFonts w:hint="eastAsia" w:ascii="仿宋" w:hAnsi="仿宋" w:eastAsia="仿宋" w:cs="仿宋"/>
                <w:color w:val="auto"/>
                <w:kern w:val="2"/>
                <w:sz w:val="24"/>
                <w:szCs w:val="24"/>
                <w:highlight w:val="none"/>
                <w:lang w:val="en-US" w:eastAsia="zh-CN" w:bidi="ar-SA"/>
                <w14:ligatures w14:val="standardContextual"/>
              </w:rPr>
            </w:pPr>
            <w:r>
              <w:rPr>
                <w:rFonts w:hint="eastAsia" w:ascii="仿宋" w:hAnsi="仿宋" w:eastAsia="仿宋" w:cs="仿宋"/>
                <w:color w:val="auto"/>
                <w:kern w:val="2"/>
                <w:sz w:val="24"/>
                <w:szCs w:val="24"/>
                <w:highlight w:val="none"/>
                <w:lang w:val="en-US" w:eastAsia="zh-CN" w:bidi="ar-SA"/>
                <w14:ligatures w14:val="standardContextual"/>
              </w:rPr>
              <w:t>售后服务</w:t>
            </w:r>
          </w:p>
        </w:tc>
        <w:tc>
          <w:tcPr>
            <w:tcW w:w="368" w:type="pct"/>
            <w:vMerge w:val="restart"/>
            <w:shd w:val="clear" w:color="auto" w:fill="auto"/>
            <w:tcMar>
              <w:top w:w="15" w:type="dxa"/>
              <w:left w:w="15" w:type="dxa"/>
              <w:right w:w="15" w:type="dxa"/>
            </w:tcMar>
            <w:vAlign w:val="center"/>
          </w:tcPr>
          <w:p w14:paraId="11748D02">
            <w:pPr>
              <w:pStyle w:val="677"/>
              <w:keepNext w:val="0"/>
              <w:keepLines w:val="0"/>
              <w:pageBreakBefore w:val="0"/>
              <w:kinsoku/>
              <w:wordWrap/>
              <w:overflowPunct/>
              <w:topLinePunct w:val="0"/>
              <w:autoSpaceDE/>
              <w:autoSpaceDN/>
              <w:bidi w:val="0"/>
              <w:adjustRightInd/>
              <w:spacing w:line="340" w:lineRule="exact"/>
              <w:ind w:left="0" w:right="0" w:firstLine="0" w:firstLineChars="0"/>
              <w:jc w:val="center"/>
              <w:rPr>
                <w:rFonts w:hint="eastAsia" w:ascii="仿宋" w:hAnsi="仿宋" w:eastAsia="仿宋" w:cs="仿宋"/>
                <w:color w:val="auto"/>
                <w:szCs w:val="22"/>
                <w:highlight w:val="none"/>
                <w:lang w:val="en-US" w:eastAsia="zh-CN"/>
              </w:rPr>
            </w:pPr>
            <w:r>
              <w:rPr>
                <w:rFonts w:hint="eastAsia" w:ascii="仿宋" w:hAnsi="仿宋" w:eastAsia="仿宋" w:cs="仿宋"/>
                <w:color w:val="auto"/>
                <w:szCs w:val="22"/>
                <w:highlight w:val="none"/>
                <w:lang w:val="en-US" w:eastAsia="zh-CN"/>
              </w:rPr>
              <w:t>10</w:t>
            </w:r>
          </w:p>
        </w:tc>
        <w:tc>
          <w:tcPr>
            <w:tcW w:w="3452" w:type="pct"/>
            <w:shd w:val="clear" w:color="auto" w:fill="auto"/>
            <w:tcMar>
              <w:top w:w="15" w:type="dxa"/>
              <w:left w:w="15" w:type="dxa"/>
              <w:right w:w="15" w:type="dxa"/>
            </w:tcMar>
            <w:vAlign w:val="center"/>
          </w:tcPr>
          <w:p w14:paraId="101B6CB3">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right="0" w:rightChars="0" w:firstLine="0" w:firstLineChars="0"/>
              <w:textAlignment w:val="center"/>
              <w:rPr>
                <w:rFonts w:hint="eastAsia" w:ascii="仿宋" w:hAnsi="仿宋" w:eastAsia="仿宋" w:cs="仿宋"/>
                <w:color w:val="auto"/>
                <w:kern w:val="2"/>
                <w:sz w:val="24"/>
                <w:szCs w:val="24"/>
                <w:highlight w:val="none"/>
                <w:lang w:val="en-US" w:eastAsia="zh-CN" w:bidi="ar-SA"/>
                <w14:ligatures w14:val="standardContextual"/>
              </w:rPr>
            </w:pPr>
            <w:r>
              <w:rPr>
                <w:rFonts w:hint="eastAsia" w:ascii="仿宋" w:hAnsi="仿宋" w:eastAsia="仿宋" w:cs="仿宋"/>
                <w:color w:val="auto"/>
                <w:kern w:val="2"/>
                <w:sz w:val="24"/>
                <w:szCs w:val="24"/>
                <w:highlight w:val="none"/>
                <w:lang w:val="en-US" w:eastAsia="zh-CN" w:bidi="ar-SA"/>
                <w14:ligatures w14:val="standardContextual"/>
              </w:rPr>
              <w:t>1、维保期满足招标文件要求得2分，在此基础上每延长一年加2分，最多得4分。</w:t>
            </w:r>
          </w:p>
        </w:tc>
      </w:tr>
      <w:tr w14:paraId="60BC2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36" w:type="pct"/>
            <w:vMerge w:val="continue"/>
            <w:shd w:val="clear" w:color="auto" w:fill="auto"/>
            <w:tcMar>
              <w:top w:w="15" w:type="dxa"/>
              <w:left w:w="15" w:type="dxa"/>
              <w:right w:w="15" w:type="dxa"/>
            </w:tcMar>
            <w:vAlign w:val="center"/>
          </w:tcPr>
          <w:p w14:paraId="25BDE350">
            <w:pPr>
              <w:keepNext w:val="0"/>
              <w:keepLines w:val="0"/>
              <w:pageBreakBefore w:val="0"/>
              <w:kinsoku/>
              <w:wordWrap/>
              <w:overflowPunct/>
              <w:topLinePunct w:val="0"/>
              <w:autoSpaceDE/>
              <w:autoSpaceDN/>
              <w:bidi w:val="0"/>
              <w:adjustRightInd/>
              <w:spacing w:line="340" w:lineRule="exact"/>
              <w:ind w:left="0" w:right="0" w:firstLine="0"/>
              <w:rPr>
                <w:rFonts w:hint="eastAsia" w:ascii="仿宋" w:hAnsi="仿宋" w:eastAsia="仿宋" w:cs="仿宋"/>
                <w:color w:val="auto"/>
                <w:sz w:val="24"/>
                <w:highlight w:val="none"/>
              </w:rPr>
            </w:pPr>
          </w:p>
        </w:tc>
        <w:tc>
          <w:tcPr>
            <w:tcW w:w="642" w:type="pct"/>
            <w:vMerge w:val="continue"/>
            <w:shd w:val="clear" w:color="auto" w:fill="auto"/>
            <w:tcMar>
              <w:top w:w="15" w:type="dxa"/>
              <w:left w:w="15" w:type="dxa"/>
              <w:right w:w="15" w:type="dxa"/>
            </w:tcMar>
            <w:vAlign w:val="center"/>
          </w:tcPr>
          <w:p w14:paraId="1E8299A6">
            <w:pPr>
              <w:keepNext w:val="0"/>
              <w:keepLines w:val="0"/>
              <w:pageBreakBefore w:val="0"/>
              <w:shd w:val="clear" w:color="auto" w:fill="FFFFFF"/>
              <w:kinsoku/>
              <w:wordWrap/>
              <w:overflowPunct/>
              <w:topLinePunct w:val="0"/>
              <w:autoSpaceDE/>
              <w:autoSpaceDN/>
              <w:bidi w:val="0"/>
              <w:adjustRightInd/>
              <w:spacing w:line="340" w:lineRule="exact"/>
              <w:ind w:left="0" w:right="0" w:firstLine="0"/>
              <w:jc w:val="center"/>
              <w:rPr>
                <w:rFonts w:hint="eastAsia" w:ascii="仿宋" w:hAnsi="仿宋" w:eastAsia="仿宋" w:cs="仿宋"/>
                <w:color w:val="auto"/>
                <w:kern w:val="2"/>
                <w:sz w:val="24"/>
                <w:szCs w:val="24"/>
                <w:highlight w:val="none"/>
                <w:lang w:val="en-US" w:eastAsia="zh-CN" w:bidi="ar-SA"/>
                <w14:ligatures w14:val="standardContextual"/>
              </w:rPr>
            </w:pPr>
          </w:p>
        </w:tc>
        <w:tc>
          <w:tcPr>
            <w:tcW w:w="368" w:type="pct"/>
            <w:vMerge w:val="continue"/>
            <w:shd w:val="clear" w:color="auto" w:fill="auto"/>
            <w:tcMar>
              <w:top w:w="15" w:type="dxa"/>
              <w:left w:w="15" w:type="dxa"/>
              <w:right w:w="15" w:type="dxa"/>
            </w:tcMar>
            <w:vAlign w:val="center"/>
          </w:tcPr>
          <w:p w14:paraId="6862EDE9">
            <w:pPr>
              <w:pStyle w:val="677"/>
              <w:keepNext w:val="0"/>
              <w:keepLines w:val="0"/>
              <w:pageBreakBefore w:val="0"/>
              <w:kinsoku/>
              <w:wordWrap/>
              <w:overflowPunct/>
              <w:topLinePunct w:val="0"/>
              <w:autoSpaceDE/>
              <w:autoSpaceDN/>
              <w:bidi w:val="0"/>
              <w:adjustRightInd/>
              <w:spacing w:line="340" w:lineRule="exact"/>
              <w:ind w:left="0" w:right="0" w:firstLine="0" w:firstLineChars="0"/>
              <w:jc w:val="center"/>
              <w:rPr>
                <w:rFonts w:hint="eastAsia" w:ascii="仿宋" w:hAnsi="仿宋" w:eastAsia="仿宋" w:cs="仿宋"/>
                <w:color w:val="auto"/>
                <w:szCs w:val="22"/>
                <w:highlight w:val="none"/>
                <w:lang w:val="en-US" w:eastAsia="zh-CN"/>
              </w:rPr>
            </w:pPr>
          </w:p>
        </w:tc>
        <w:tc>
          <w:tcPr>
            <w:tcW w:w="3452" w:type="pct"/>
            <w:shd w:val="clear" w:color="auto" w:fill="auto"/>
            <w:tcMar>
              <w:top w:w="15" w:type="dxa"/>
              <w:left w:w="15" w:type="dxa"/>
              <w:right w:w="15" w:type="dxa"/>
            </w:tcMar>
            <w:vAlign w:val="center"/>
          </w:tcPr>
          <w:p w14:paraId="4AC0A000">
            <w:pPr>
              <w:keepNext w:val="0"/>
              <w:keepLines w:val="0"/>
              <w:pageBreakBefore w:val="0"/>
              <w:widowControl/>
              <w:numPr>
                <w:ilvl w:val="0"/>
                <w:numId w:val="0"/>
              </w:numPr>
              <w:kinsoku/>
              <w:wordWrap/>
              <w:overflowPunct/>
              <w:topLinePunct w:val="0"/>
              <w:autoSpaceDE/>
              <w:autoSpaceDN/>
              <w:bidi w:val="0"/>
              <w:adjustRightInd/>
              <w:snapToGrid/>
              <w:spacing w:line="340" w:lineRule="exact"/>
              <w:ind w:leftChars="0" w:right="0" w:rightChars="0"/>
              <w:textAlignment w:val="center"/>
              <w:rPr>
                <w:rFonts w:hint="eastAsia" w:ascii="仿宋" w:hAnsi="仿宋" w:eastAsia="仿宋" w:cs="仿宋"/>
                <w:color w:val="auto"/>
                <w:kern w:val="2"/>
                <w:sz w:val="24"/>
                <w:szCs w:val="24"/>
                <w:highlight w:val="none"/>
                <w:lang w:val="en-US" w:eastAsia="zh-CN" w:bidi="ar-SA"/>
                <w14:ligatures w14:val="standardContextual"/>
              </w:rPr>
            </w:pPr>
            <w:r>
              <w:rPr>
                <w:rFonts w:hint="eastAsia" w:ascii="仿宋" w:hAnsi="仿宋" w:eastAsia="仿宋" w:cs="仿宋"/>
                <w:color w:val="auto"/>
                <w:kern w:val="2"/>
                <w:sz w:val="24"/>
                <w:szCs w:val="24"/>
                <w:highlight w:val="none"/>
                <w:lang w:val="en-US" w:eastAsia="zh-CN" w:bidi="ar-SA"/>
                <w14:ligatures w14:val="standardContextual"/>
              </w:rPr>
              <w:t>2、供应商疆内有售后服务网点，具备专业服务人员，具有售后服务保障能力，提供详细证明资料（自有房屋证明或房屋租赁合同、服务人员简历及供应商为其缴纳</w:t>
            </w:r>
            <w:bookmarkStart w:id="14" w:name="OLE_LINK4"/>
            <w:r>
              <w:rPr>
                <w:rFonts w:hint="eastAsia" w:ascii="仿宋" w:hAnsi="仿宋" w:eastAsia="仿宋" w:cs="仿宋"/>
                <w:color w:val="auto"/>
                <w:kern w:val="2"/>
                <w:sz w:val="24"/>
                <w:szCs w:val="24"/>
                <w:highlight w:val="none"/>
                <w:lang w:val="en-US" w:eastAsia="zh-CN" w:bidi="ar-SA"/>
                <w14:ligatures w14:val="standardContextual"/>
              </w:rPr>
              <w:t>的近开标前三个月内任意一个月的社保证明材料</w:t>
            </w:r>
            <w:bookmarkEnd w:id="14"/>
            <w:r>
              <w:rPr>
                <w:rFonts w:hint="eastAsia" w:ascii="仿宋" w:hAnsi="仿宋" w:eastAsia="仿宋" w:cs="仿宋"/>
                <w:color w:val="auto"/>
                <w:kern w:val="2"/>
                <w:sz w:val="24"/>
                <w:szCs w:val="24"/>
                <w:highlight w:val="none"/>
                <w:lang w:val="en-US" w:eastAsia="zh-CN" w:bidi="ar-SA"/>
                <w14:ligatures w14:val="standardContextual"/>
              </w:rPr>
              <w:t>），得2分，否则不得分。</w:t>
            </w:r>
          </w:p>
        </w:tc>
      </w:tr>
      <w:tr w14:paraId="0B73E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2" w:hRule="atLeast"/>
        </w:trPr>
        <w:tc>
          <w:tcPr>
            <w:tcW w:w="536" w:type="pct"/>
            <w:vMerge w:val="continue"/>
            <w:shd w:val="clear" w:color="auto" w:fill="auto"/>
            <w:tcMar>
              <w:top w:w="15" w:type="dxa"/>
              <w:left w:w="15" w:type="dxa"/>
              <w:right w:w="15" w:type="dxa"/>
            </w:tcMar>
            <w:vAlign w:val="center"/>
          </w:tcPr>
          <w:p w14:paraId="1E46F499">
            <w:pPr>
              <w:keepNext w:val="0"/>
              <w:keepLines w:val="0"/>
              <w:pageBreakBefore w:val="0"/>
              <w:kinsoku/>
              <w:wordWrap/>
              <w:overflowPunct/>
              <w:topLinePunct w:val="0"/>
              <w:autoSpaceDE/>
              <w:autoSpaceDN/>
              <w:bidi w:val="0"/>
              <w:adjustRightInd/>
              <w:spacing w:line="340" w:lineRule="exact"/>
              <w:ind w:left="0" w:right="0" w:firstLine="0"/>
              <w:rPr>
                <w:rFonts w:hint="eastAsia" w:ascii="仿宋" w:hAnsi="仿宋" w:eastAsia="仿宋" w:cs="仿宋"/>
                <w:color w:val="auto"/>
                <w:sz w:val="24"/>
                <w:highlight w:val="none"/>
              </w:rPr>
            </w:pPr>
          </w:p>
        </w:tc>
        <w:tc>
          <w:tcPr>
            <w:tcW w:w="642" w:type="pct"/>
            <w:vMerge w:val="continue"/>
            <w:shd w:val="clear" w:color="auto" w:fill="auto"/>
            <w:tcMar>
              <w:top w:w="15" w:type="dxa"/>
              <w:left w:w="15" w:type="dxa"/>
              <w:right w:w="15" w:type="dxa"/>
            </w:tcMar>
            <w:vAlign w:val="center"/>
          </w:tcPr>
          <w:p w14:paraId="2F0617F7">
            <w:pPr>
              <w:keepNext w:val="0"/>
              <w:keepLines w:val="0"/>
              <w:pageBreakBefore w:val="0"/>
              <w:shd w:val="clear" w:color="auto" w:fill="FFFFFF"/>
              <w:kinsoku/>
              <w:wordWrap/>
              <w:overflowPunct/>
              <w:topLinePunct w:val="0"/>
              <w:autoSpaceDE/>
              <w:autoSpaceDN/>
              <w:bidi w:val="0"/>
              <w:adjustRightInd/>
              <w:spacing w:line="340" w:lineRule="exact"/>
              <w:ind w:left="0" w:right="0" w:firstLine="0"/>
              <w:jc w:val="center"/>
              <w:rPr>
                <w:rFonts w:hint="eastAsia" w:ascii="仿宋" w:hAnsi="仿宋" w:eastAsia="仿宋" w:cs="仿宋"/>
                <w:color w:val="auto"/>
                <w:kern w:val="0"/>
                <w:sz w:val="24"/>
                <w:highlight w:val="none"/>
                <w:lang w:val="en-US" w:eastAsia="zh-CN"/>
              </w:rPr>
            </w:pPr>
          </w:p>
        </w:tc>
        <w:tc>
          <w:tcPr>
            <w:tcW w:w="368" w:type="pct"/>
            <w:vMerge w:val="continue"/>
            <w:shd w:val="clear" w:color="auto" w:fill="auto"/>
            <w:tcMar>
              <w:top w:w="15" w:type="dxa"/>
              <w:left w:w="15" w:type="dxa"/>
              <w:right w:w="15" w:type="dxa"/>
            </w:tcMar>
            <w:vAlign w:val="center"/>
          </w:tcPr>
          <w:p w14:paraId="3CE237A8">
            <w:pPr>
              <w:pStyle w:val="524"/>
              <w:keepNext w:val="0"/>
              <w:keepLines w:val="0"/>
              <w:pageBreakBefore w:val="0"/>
              <w:widowControl w:val="0"/>
              <w:shd w:val="clear" w:color="auto" w:fill="FFFFFF"/>
              <w:kinsoku/>
              <w:wordWrap/>
              <w:overflowPunct/>
              <w:topLinePunct w:val="0"/>
              <w:autoSpaceDE/>
              <w:autoSpaceDN/>
              <w:bidi w:val="0"/>
              <w:adjustRightInd/>
              <w:spacing w:line="340" w:lineRule="exact"/>
              <w:ind w:left="0" w:right="0" w:firstLine="0"/>
              <w:jc w:val="center"/>
              <w:rPr>
                <w:rFonts w:hint="eastAsia" w:ascii="仿宋" w:hAnsi="仿宋" w:eastAsia="仿宋" w:cs="仿宋"/>
                <w:color w:val="auto"/>
                <w:kern w:val="2"/>
                <w:sz w:val="24"/>
                <w:szCs w:val="24"/>
                <w:highlight w:val="none"/>
                <w:lang w:val="en-US" w:eastAsia="zh-CN" w:bidi="ar-SA"/>
              </w:rPr>
            </w:pPr>
          </w:p>
        </w:tc>
        <w:tc>
          <w:tcPr>
            <w:tcW w:w="3452" w:type="pct"/>
            <w:tcBorders>
              <w:bottom w:val="single" w:color="auto" w:sz="4" w:space="0"/>
            </w:tcBorders>
            <w:shd w:val="clear" w:color="auto" w:fill="auto"/>
            <w:tcMar>
              <w:top w:w="15" w:type="dxa"/>
              <w:left w:w="15" w:type="dxa"/>
              <w:right w:w="15" w:type="dxa"/>
            </w:tcMar>
            <w:vAlign w:val="center"/>
          </w:tcPr>
          <w:p w14:paraId="05037847">
            <w:pPr>
              <w:pStyle w:val="163"/>
              <w:keepNext w:val="0"/>
              <w:keepLines w:val="0"/>
              <w:pageBreakBefore w:val="0"/>
              <w:kinsoku/>
              <w:wordWrap/>
              <w:overflowPunct/>
              <w:topLinePunct w:val="0"/>
              <w:autoSpaceDE/>
              <w:autoSpaceDN/>
              <w:bidi w:val="0"/>
              <w:adjustRightInd/>
              <w:snapToGrid/>
              <w:spacing w:before="0" w:after="0" w:line="340" w:lineRule="exact"/>
              <w:ind w:left="0" w:right="0" w:firstLine="0"/>
              <w:rPr>
                <w:rFonts w:hint="eastAsia" w:ascii="仿宋" w:hAnsi="仿宋" w:eastAsia="仿宋" w:cs="仿宋"/>
                <w:color w:val="auto"/>
                <w:kern w:val="2"/>
                <w:sz w:val="24"/>
                <w:szCs w:val="24"/>
                <w:highlight w:val="none"/>
                <w:lang w:val="en-US" w:eastAsia="zh-CN" w:bidi="ar-SA"/>
                <w14:ligatures w14:val="standardContextual"/>
              </w:rPr>
            </w:pPr>
            <w:r>
              <w:rPr>
                <w:rFonts w:hint="eastAsia" w:ascii="仿宋" w:hAnsi="仿宋" w:eastAsia="仿宋" w:cs="仿宋"/>
                <w:color w:val="auto"/>
                <w:kern w:val="2"/>
                <w:sz w:val="24"/>
                <w:szCs w:val="24"/>
                <w:highlight w:val="none"/>
                <w:lang w:val="en-US" w:eastAsia="zh-CN" w:bidi="ar-SA"/>
                <w14:ligatures w14:val="standardContextual"/>
              </w:rPr>
              <w:t>3、供应商应结合本项目整体建设要求、全面且合理制定本项目的售后服务方案，至少包含售后服务内容、故障响应时间、售后服务人员安排、服务保障计划及措施、培训方案等：</w:t>
            </w:r>
          </w:p>
          <w:p w14:paraId="19CD359E">
            <w:pPr>
              <w:pStyle w:val="163"/>
              <w:keepNext w:val="0"/>
              <w:keepLines w:val="0"/>
              <w:pageBreakBefore w:val="0"/>
              <w:kinsoku/>
              <w:wordWrap/>
              <w:overflowPunct/>
              <w:topLinePunct w:val="0"/>
              <w:autoSpaceDE/>
              <w:autoSpaceDN/>
              <w:bidi w:val="0"/>
              <w:adjustRightInd/>
              <w:snapToGrid/>
              <w:spacing w:before="0" w:after="0" w:line="340" w:lineRule="exact"/>
              <w:ind w:left="0" w:right="0" w:firstLine="0"/>
              <w:rPr>
                <w:rFonts w:hint="eastAsia" w:ascii="仿宋" w:hAnsi="仿宋" w:eastAsia="仿宋" w:cs="仿宋"/>
                <w:color w:val="auto"/>
                <w:kern w:val="2"/>
                <w:sz w:val="24"/>
                <w:szCs w:val="24"/>
                <w:highlight w:val="none"/>
                <w:lang w:val="en-US" w:eastAsia="zh-CN" w:bidi="ar-SA"/>
                <w14:ligatures w14:val="standardContextual"/>
              </w:rPr>
            </w:pPr>
            <w:r>
              <w:rPr>
                <w:rFonts w:hint="eastAsia" w:ascii="仿宋" w:hAnsi="仿宋" w:eastAsia="仿宋" w:cs="仿宋"/>
                <w:color w:val="auto"/>
                <w:kern w:val="2"/>
                <w:sz w:val="24"/>
                <w:szCs w:val="24"/>
                <w:highlight w:val="none"/>
                <w:lang w:val="en-US" w:eastAsia="zh-CN" w:bidi="ar-SA"/>
                <w14:ligatures w14:val="standardContextual"/>
              </w:rPr>
              <w:t>①方案包含上述所有内容，完整详实，承诺内容清楚准确，符合项目实际需求，得4分；</w:t>
            </w:r>
          </w:p>
          <w:p w14:paraId="138A1DA3">
            <w:pPr>
              <w:pStyle w:val="163"/>
              <w:keepNext w:val="0"/>
              <w:keepLines w:val="0"/>
              <w:pageBreakBefore w:val="0"/>
              <w:kinsoku/>
              <w:wordWrap/>
              <w:overflowPunct/>
              <w:topLinePunct w:val="0"/>
              <w:autoSpaceDE/>
              <w:autoSpaceDN/>
              <w:bidi w:val="0"/>
              <w:adjustRightInd/>
              <w:snapToGrid/>
              <w:spacing w:before="0" w:after="0" w:line="340" w:lineRule="exact"/>
              <w:ind w:left="0" w:right="0" w:firstLine="0"/>
              <w:rPr>
                <w:rFonts w:hint="eastAsia" w:ascii="仿宋" w:hAnsi="仿宋" w:eastAsia="仿宋" w:cs="仿宋"/>
                <w:color w:val="auto"/>
                <w:kern w:val="2"/>
                <w:sz w:val="24"/>
                <w:szCs w:val="24"/>
                <w:highlight w:val="none"/>
                <w:lang w:val="en-US" w:eastAsia="zh-CN" w:bidi="ar-SA"/>
                <w14:ligatures w14:val="standardContextual"/>
              </w:rPr>
            </w:pPr>
            <w:r>
              <w:rPr>
                <w:rFonts w:hint="eastAsia" w:ascii="仿宋" w:hAnsi="仿宋" w:eastAsia="仿宋" w:cs="仿宋"/>
                <w:color w:val="auto"/>
                <w:kern w:val="2"/>
                <w:sz w:val="24"/>
                <w:szCs w:val="24"/>
                <w:highlight w:val="none"/>
                <w:lang w:val="en-US" w:eastAsia="zh-CN" w:bidi="ar-SA"/>
                <w14:ligatures w14:val="standardContextual"/>
              </w:rPr>
              <w:t>②每缺少上述任何一项内容或针对上述任一项内容出现不符合项目实际需求或具有不足或瑕疵的，扣1分，最多扣4分；</w:t>
            </w:r>
          </w:p>
          <w:p w14:paraId="5C8EA915">
            <w:pPr>
              <w:pStyle w:val="163"/>
              <w:keepNext w:val="0"/>
              <w:keepLines w:val="0"/>
              <w:pageBreakBefore w:val="0"/>
              <w:kinsoku/>
              <w:wordWrap/>
              <w:overflowPunct/>
              <w:topLinePunct w:val="0"/>
              <w:autoSpaceDE/>
              <w:autoSpaceDN/>
              <w:bidi w:val="0"/>
              <w:adjustRightInd/>
              <w:snapToGrid/>
              <w:spacing w:before="0" w:after="0" w:line="340" w:lineRule="exact"/>
              <w:ind w:left="0" w:right="0" w:firstLine="0"/>
              <w:rPr>
                <w:rFonts w:hint="eastAsia" w:ascii="仿宋" w:hAnsi="仿宋" w:eastAsia="仿宋" w:cs="仿宋"/>
                <w:color w:val="auto"/>
                <w:kern w:val="2"/>
                <w:sz w:val="24"/>
                <w:szCs w:val="24"/>
                <w:highlight w:val="none"/>
                <w:lang w:val="en-US" w:eastAsia="zh-CN" w:bidi="ar-SA"/>
                <w14:ligatures w14:val="standardContextual"/>
              </w:rPr>
            </w:pPr>
            <w:r>
              <w:rPr>
                <w:rFonts w:hint="eastAsia" w:ascii="仿宋" w:hAnsi="仿宋" w:eastAsia="仿宋" w:cs="仿宋"/>
                <w:color w:val="auto"/>
                <w:kern w:val="2"/>
                <w:sz w:val="24"/>
                <w:szCs w:val="24"/>
                <w:highlight w:val="none"/>
                <w:lang w:val="en-US" w:eastAsia="zh-CN" w:bidi="ar-SA"/>
                <w14:ligatures w14:val="standardContextual"/>
              </w:rPr>
              <w:t>③未提供方案或方案明显与本项目实际情况不符，得0分。</w:t>
            </w:r>
          </w:p>
          <w:p w14:paraId="60E391E1">
            <w:pPr>
              <w:keepNext w:val="0"/>
              <w:keepLines w:val="0"/>
              <w:pageBreakBefore w:val="0"/>
              <w:widowControl/>
              <w:kinsoku/>
              <w:wordWrap/>
              <w:overflowPunct/>
              <w:topLinePunct w:val="0"/>
              <w:autoSpaceDE/>
              <w:autoSpaceDN/>
              <w:bidi w:val="0"/>
              <w:adjustRightInd/>
              <w:snapToGrid/>
              <w:spacing w:line="340" w:lineRule="exact"/>
              <w:ind w:left="0" w:right="0" w:firstLine="0"/>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14:ligatures w14:val="standardContextual"/>
              </w:rPr>
              <w:t>（本评分标准中所称“不足或瑕疵”指内容不完整或缺少关键点；非专门针对本项目或不适用本项目特性、套用其他项目内容；对同一问题前后表述矛盾；存在逻辑漏洞、科学原理或常识错误；不利于本项目目标的实现、现有技术条件下不可能出现的情形等以上任意一种情形。）</w:t>
            </w:r>
          </w:p>
        </w:tc>
      </w:tr>
      <w:tr w14:paraId="09518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536" w:type="pct"/>
            <w:vMerge w:val="restart"/>
            <w:shd w:val="clear" w:color="auto" w:fill="auto"/>
            <w:tcMar>
              <w:top w:w="15" w:type="dxa"/>
              <w:left w:w="15" w:type="dxa"/>
              <w:right w:w="15" w:type="dxa"/>
            </w:tcMar>
            <w:vAlign w:val="center"/>
          </w:tcPr>
          <w:p w14:paraId="09DD9BEA">
            <w:pPr>
              <w:keepNext w:val="0"/>
              <w:keepLines w:val="0"/>
              <w:pageBreakBefore w:val="0"/>
              <w:widowControl/>
              <w:kinsoku/>
              <w:wordWrap/>
              <w:overflowPunct/>
              <w:topLinePunct w:val="0"/>
              <w:autoSpaceDE/>
              <w:autoSpaceDN/>
              <w:bidi w:val="0"/>
              <w:adjustRightInd/>
              <w:snapToGrid w:val="0"/>
              <w:spacing w:line="340" w:lineRule="exact"/>
              <w:ind w:left="0" w:right="0" w:firstLine="0"/>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技术部分（</w:t>
            </w:r>
            <w:r>
              <w:rPr>
                <w:rFonts w:hint="eastAsia" w:ascii="仿宋" w:hAnsi="仿宋" w:eastAsia="仿宋" w:cs="仿宋"/>
                <w:color w:val="auto"/>
                <w:kern w:val="0"/>
                <w:sz w:val="24"/>
                <w:highlight w:val="none"/>
                <w:lang w:val="en-US" w:eastAsia="zh-CN"/>
              </w:rPr>
              <w:t>57</w:t>
            </w:r>
            <w:r>
              <w:rPr>
                <w:rFonts w:hint="eastAsia" w:ascii="仿宋" w:hAnsi="仿宋" w:eastAsia="仿宋" w:cs="仿宋"/>
                <w:color w:val="auto"/>
                <w:kern w:val="0"/>
                <w:sz w:val="24"/>
                <w:highlight w:val="none"/>
              </w:rPr>
              <w:t>分）</w:t>
            </w:r>
          </w:p>
        </w:tc>
        <w:tc>
          <w:tcPr>
            <w:tcW w:w="642" w:type="pct"/>
            <w:shd w:val="clear" w:color="auto" w:fill="auto"/>
            <w:tcMar>
              <w:top w:w="15" w:type="dxa"/>
              <w:left w:w="15" w:type="dxa"/>
              <w:right w:w="15" w:type="dxa"/>
            </w:tcMar>
            <w:vAlign w:val="center"/>
          </w:tcPr>
          <w:p w14:paraId="155EF9B4">
            <w:pPr>
              <w:pStyle w:val="677"/>
              <w:keepNext w:val="0"/>
              <w:keepLines w:val="0"/>
              <w:pageBreakBefore w:val="0"/>
              <w:kinsoku/>
              <w:wordWrap/>
              <w:overflowPunct/>
              <w:topLinePunct w:val="0"/>
              <w:autoSpaceDE/>
              <w:autoSpaceDN/>
              <w:bidi w:val="0"/>
              <w:adjustRightInd/>
              <w:spacing w:line="340" w:lineRule="exact"/>
              <w:ind w:left="0" w:right="0" w:firstLine="0" w:firstLineChars="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技术参数</w:t>
            </w:r>
          </w:p>
          <w:p w14:paraId="0F031BE2">
            <w:pPr>
              <w:pStyle w:val="677"/>
              <w:keepNext w:val="0"/>
              <w:keepLines w:val="0"/>
              <w:pageBreakBefore w:val="0"/>
              <w:kinsoku/>
              <w:wordWrap/>
              <w:overflowPunct/>
              <w:topLinePunct w:val="0"/>
              <w:autoSpaceDE/>
              <w:autoSpaceDN/>
              <w:bidi w:val="0"/>
              <w:adjustRightInd/>
              <w:spacing w:line="340" w:lineRule="exact"/>
              <w:ind w:left="0" w:right="0" w:firstLine="0" w:firstLineChars="0"/>
              <w:jc w:val="center"/>
              <w:rPr>
                <w:rFonts w:hint="eastAsia" w:ascii="仿宋" w:hAnsi="仿宋" w:eastAsia="仿宋" w:cs="仿宋"/>
                <w:color w:val="auto"/>
                <w:highlight w:val="none"/>
              </w:rPr>
            </w:pPr>
            <w:r>
              <w:rPr>
                <w:rFonts w:hint="eastAsia" w:ascii="仿宋" w:hAnsi="仿宋" w:eastAsia="仿宋" w:cs="仿宋"/>
                <w:color w:val="auto"/>
                <w:szCs w:val="24"/>
                <w:highlight w:val="none"/>
              </w:rPr>
              <w:t>响应</w:t>
            </w:r>
          </w:p>
        </w:tc>
        <w:tc>
          <w:tcPr>
            <w:tcW w:w="368" w:type="pct"/>
            <w:shd w:val="clear" w:color="auto" w:fill="auto"/>
            <w:tcMar>
              <w:top w:w="15" w:type="dxa"/>
              <w:left w:w="15" w:type="dxa"/>
              <w:right w:w="15" w:type="dxa"/>
            </w:tcMar>
            <w:vAlign w:val="center"/>
          </w:tcPr>
          <w:p w14:paraId="0BF42882">
            <w:pPr>
              <w:pStyle w:val="677"/>
              <w:keepNext w:val="0"/>
              <w:keepLines w:val="0"/>
              <w:pageBreakBefore w:val="0"/>
              <w:kinsoku/>
              <w:wordWrap/>
              <w:overflowPunct/>
              <w:topLinePunct w:val="0"/>
              <w:autoSpaceDE/>
              <w:autoSpaceDN/>
              <w:bidi w:val="0"/>
              <w:adjustRightInd/>
              <w:spacing w:line="340" w:lineRule="exact"/>
              <w:ind w:left="0" w:right="0"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color w:val="auto"/>
                <w:kern w:val="2"/>
                <w:sz w:val="24"/>
                <w:szCs w:val="24"/>
                <w:highlight w:val="none"/>
                <w:lang w:val="en-US" w:eastAsia="zh-CN" w:bidi="ar-SA"/>
              </w:rPr>
              <w:t>40</w:t>
            </w:r>
          </w:p>
        </w:tc>
        <w:tc>
          <w:tcPr>
            <w:tcW w:w="3452" w:type="pct"/>
            <w:shd w:val="clear" w:color="auto" w:fill="auto"/>
            <w:tcMar>
              <w:top w:w="15" w:type="dxa"/>
              <w:left w:w="15" w:type="dxa"/>
              <w:right w:w="15" w:type="dxa"/>
            </w:tcMar>
            <w:vAlign w:val="center"/>
          </w:tcPr>
          <w:p w14:paraId="0AF645B3">
            <w:pPr>
              <w:pStyle w:val="163"/>
              <w:keepNext w:val="0"/>
              <w:keepLines w:val="0"/>
              <w:pageBreakBefore w:val="0"/>
              <w:kinsoku/>
              <w:wordWrap/>
              <w:overflowPunct/>
              <w:topLinePunct w:val="0"/>
              <w:autoSpaceDE/>
              <w:autoSpaceDN/>
              <w:bidi w:val="0"/>
              <w:adjustRightInd/>
              <w:snapToGrid/>
              <w:spacing w:before="0" w:after="0" w:line="340" w:lineRule="exact"/>
              <w:ind w:left="0" w:right="0" w:firstLine="0"/>
              <w:rPr>
                <w:rFonts w:hint="eastAsia" w:ascii="仿宋" w:hAnsi="仿宋" w:eastAsia="仿宋" w:cs="仿宋"/>
                <w:color w:val="auto"/>
                <w:kern w:val="2"/>
                <w:sz w:val="24"/>
                <w:szCs w:val="24"/>
                <w:highlight w:val="none"/>
                <w:lang w:val="en-US" w:eastAsia="zh-CN" w:bidi="ar-SA"/>
                <w14:ligatures w14:val="standardContextual"/>
              </w:rPr>
            </w:pPr>
            <w:r>
              <w:rPr>
                <w:rFonts w:hint="eastAsia" w:ascii="仿宋" w:hAnsi="仿宋" w:eastAsia="仿宋" w:cs="仿宋"/>
                <w:color w:val="auto"/>
                <w:kern w:val="2"/>
                <w:sz w:val="24"/>
                <w:szCs w:val="24"/>
                <w:highlight w:val="none"/>
                <w:lang w:val="en-US" w:eastAsia="zh-CN" w:bidi="ar-SA"/>
                <w14:ligatures w14:val="standardContextual"/>
              </w:rPr>
              <w:t>供应商提供的《技术服务条款偏离表》须对照第四章《采购需求》中“二、技术要求”、“三、其他要求”列明的所有条款按照序号逐条列出是否响应及响应内容，评审标准如下：</w:t>
            </w:r>
          </w:p>
          <w:p w14:paraId="7D9AF4EE">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right="0" w:rightChars="0" w:firstLine="0" w:firstLineChars="0"/>
              <w:textAlignment w:val="center"/>
              <w:rPr>
                <w:rFonts w:hint="eastAsia" w:ascii="仿宋" w:hAnsi="仿宋" w:eastAsia="仿宋" w:cs="仿宋"/>
                <w:color w:val="auto"/>
                <w:kern w:val="2"/>
                <w:sz w:val="24"/>
                <w:szCs w:val="24"/>
                <w:highlight w:val="none"/>
                <w:lang w:val="en-US" w:eastAsia="zh-CN" w:bidi="ar-SA"/>
                <w14:ligatures w14:val="standardContextual"/>
              </w:rPr>
            </w:pPr>
            <w:r>
              <w:rPr>
                <w:rFonts w:hint="eastAsia" w:ascii="仿宋" w:hAnsi="仿宋" w:eastAsia="仿宋" w:cs="仿宋"/>
                <w:color w:val="auto"/>
                <w:kern w:val="2"/>
                <w:sz w:val="24"/>
                <w:szCs w:val="24"/>
                <w:highlight w:val="none"/>
                <w:lang w:val="en-US" w:eastAsia="zh-CN" w:bidi="ar-SA"/>
                <w14:ligatures w14:val="standardContextual"/>
              </w:rPr>
              <w:t>（1）未标注★号的条款为一般参数条款，满足《采购需求》所有一般参数条款并提供相关证明材料的，得基本分20分；对一般参数条款每出现1条负偏离，扣1 分，最多扣20分；</w:t>
            </w:r>
          </w:p>
          <w:p w14:paraId="08888160">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right="0" w:rightChars="0" w:firstLine="0" w:firstLineChars="0"/>
              <w:textAlignment w:val="center"/>
              <w:rPr>
                <w:rFonts w:hint="eastAsia" w:ascii="仿宋" w:hAnsi="仿宋" w:eastAsia="仿宋" w:cs="仿宋"/>
                <w:color w:val="auto"/>
                <w:kern w:val="2"/>
                <w:sz w:val="24"/>
                <w:szCs w:val="24"/>
                <w:highlight w:val="none"/>
                <w:lang w:val="en-US" w:eastAsia="zh-CN" w:bidi="ar-SA"/>
                <w14:ligatures w14:val="standardContextual"/>
              </w:rPr>
            </w:pPr>
            <w:r>
              <w:rPr>
                <w:rFonts w:hint="eastAsia" w:ascii="仿宋" w:hAnsi="仿宋" w:eastAsia="仿宋" w:cs="仿宋"/>
                <w:color w:val="auto"/>
                <w:kern w:val="2"/>
                <w:sz w:val="24"/>
                <w:szCs w:val="24"/>
                <w:highlight w:val="none"/>
                <w:lang w:val="en-US" w:eastAsia="zh-CN" w:bidi="ar-SA"/>
                <w14:ligatures w14:val="standardContextual"/>
              </w:rPr>
              <w:t>（2）标注★号的条款为重要参数条款，满足一项重要参数条款并按提供相关证明材料的，得1分，最多得20分。</w:t>
            </w:r>
          </w:p>
          <w:p w14:paraId="24ACE944">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right="0" w:rightChars="0" w:firstLine="0" w:firstLineChars="0"/>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kern w:val="2"/>
                <w:sz w:val="24"/>
                <w:szCs w:val="24"/>
                <w:highlight w:val="none"/>
                <w:lang w:val="en-US" w:eastAsia="zh-CN" w:bidi="ar-SA"/>
                <w14:ligatures w14:val="standardContextual"/>
              </w:rPr>
              <w:t>注：供应商应针对技术参数条款提供证明资料，</w:t>
            </w:r>
            <w:r>
              <w:rPr>
                <w:rFonts w:hint="eastAsia" w:ascii="仿宋" w:hAnsi="仿宋" w:eastAsia="仿宋" w:cs="仿宋"/>
                <w:b/>
                <w:bCs/>
                <w:color w:val="auto"/>
                <w:kern w:val="2"/>
                <w:sz w:val="24"/>
                <w:szCs w:val="24"/>
                <w:highlight w:val="none"/>
                <w:lang w:val="en-US" w:eastAsia="zh-CN" w:bidi="ar-SA"/>
                <w14:ligatures w14:val="standardContextual"/>
              </w:rPr>
              <w:t>证明资料以产品功能界面配置截图或第三方检测报告或承诺函为准</w:t>
            </w:r>
            <w:r>
              <w:rPr>
                <w:rFonts w:hint="eastAsia" w:ascii="仿宋" w:hAnsi="仿宋" w:eastAsia="仿宋" w:cs="仿宋"/>
                <w:color w:val="auto"/>
                <w:kern w:val="2"/>
                <w:sz w:val="24"/>
                <w:szCs w:val="24"/>
                <w:highlight w:val="none"/>
                <w:lang w:val="en-US" w:eastAsia="zh-CN" w:bidi="ar-SA"/>
                <w14:ligatures w14:val="standardContextual"/>
              </w:rPr>
              <w:t>，并须在技术服务条款偏离表中备注此项证明资料在《投标文件》的具体页码索引，同时在技术支持资料中做出明确标识。未提供相关证明资料的、或所提供证明资料与其响应内容不符的、或未按要求注明具体页码的，均视为负偏离。</w:t>
            </w:r>
          </w:p>
        </w:tc>
      </w:tr>
      <w:tr w14:paraId="09A8E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536" w:type="pct"/>
            <w:vMerge w:val="continue"/>
            <w:shd w:val="clear" w:color="auto" w:fill="auto"/>
            <w:tcMar>
              <w:top w:w="15" w:type="dxa"/>
              <w:left w:w="15" w:type="dxa"/>
              <w:right w:w="15" w:type="dxa"/>
            </w:tcMar>
            <w:vAlign w:val="center"/>
          </w:tcPr>
          <w:p w14:paraId="6A54F04B">
            <w:pPr>
              <w:keepNext w:val="0"/>
              <w:keepLines w:val="0"/>
              <w:pageBreakBefore w:val="0"/>
              <w:widowControl/>
              <w:kinsoku/>
              <w:wordWrap/>
              <w:overflowPunct/>
              <w:topLinePunct w:val="0"/>
              <w:autoSpaceDE/>
              <w:autoSpaceDN/>
              <w:bidi w:val="0"/>
              <w:adjustRightInd/>
              <w:snapToGrid w:val="0"/>
              <w:spacing w:line="340" w:lineRule="exact"/>
              <w:ind w:left="0" w:right="0" w:firstLine="0"/>
              <w:textAlignment w:val="center"/>
              <w:rPr>
                <w:rFonts w:hint="eastAsia" w:ascii="仿宋" w:hAnsi="仿宋" w:eastAsia="仿宋" w:cs="仿宋"/>
                <w:color w:val="auto"/>
                <w:kern w:val="0"/>
                <w:sz w:val="24"/>
                <w:highlight w:val="none"/>
              </w:rPr>
            </w:pPr>
          </w:p>
        </w:tc>
        <w:tc>
          <w:tcPr>
            <w:tcW w:w="642" w:type="pct"/>
            <w:shd w:val="clear" w:color="auto" w:fill="auto"/>
            <w:tcMar>
              <w:top w:w="15" w:type="dxa"/>
              <w:left w:w="15" w:type="dxa"/>
              <w:right w:w="15" w:type="dxa"/>
            </w:tcMar>
            <w:vAlign w:val="center"/>
          </w:tcPr>
          <w:p w14:paraId="7F3A1A37">
            <w:pPr>
              <w:pStyle w:val="677"/>
              <w:keepNext w:val="0"/>
              <w:keepLines w:val="0"/>
              <w:pageBreakBefore w:val="0"/>
              <w:kinsoku/>
              <w:wordWrap/>
              <w:overflowPunct/>
              <w:topLinePunct w:val="0"/>
              <w:autoSpaceDE/>
              <w:autoSpaceDN/>
              <w:bidi w:val="0"/>
              <w:adjustRightInd/>
              <w:spacing w:line="340" w:lineRule="exact"/>
              <w:ind w:left="0" w:right="0" w:firstLine="0" w:firstLineChars="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项目实施</w:t>
            </w:r>
          </w:p>
          <w:p w14:paraId="370A97E3">
            <w:pPr>
              <w:pStyle w:val="677"/>
              <w:keepNext w:val="0"/>
              <w:keepLines w:val="0"/>
              <w:pageBreakBefore w:val="0"/>
              <w:kinsoku/>
              <w:wordWrap/>
              <w:overflowPunct/>
              <w:topLinePunct w:val="0"/>
              <w:autoSpaceDE/>
              <w:autoSpaceDN/>
              <w:bidi w:val="0"/>
              <w:adjustRightInd/>
              <w:spacing w:line="340" w:lineRule="exact"/>
              <w:ind w:left="0" w:right="0" w:firstLine="0" w:firstLineChars="0"/>
              <w:jc w:val="center"/>
              <w:rPr>
                <w:rFonts w:hint="eastAsia" w:ascii="仿宋" w:hAnsi="仿宋" w:eastAsia="仿宋" w:cs="仿宋"/>
                <w:color w:val="auto"/>
                <w:kern w:val="0"/>
                <w:highlight w:val="none"/>
              </w:rPr>
            </w:pPr>
            <w:r>
              <w:rPr>
                <w:rFonts w:hint="eastAsia" w:ascii="仿宋" w:hAnsi="仿宋" w:eastAsia="仿宋" w:cs="仿宋"/>
                <w:color w:val="auto"/>
                <w:szCs w:val="24"/>
                <w:highlight w:val="none"/>
              </w:rPr>
              <w:t>方案</w:t>
            </w:r>
          </w:p>
        </w:tc>
        <w:tc>
          <w:tcPr>
            <w:tcW w:w="368" w:type="pct"/>
            <w:shd w:val="clear" w:color="auto" w:fill="auto"/>
            <w:tcMar>
              <w:top w:w="15" w:type="dxa"/>
              <w:left w:w="15" w:type="dxa"/>
              <w:right w:w="15" w:type="dxa"/>
            </w:tcMar>
            <w:vAlign w:val="center"/>
          </w:tcPr>
          <w:p w14:paraId="3872F6A8">
            <w:pPr>
              <w:pStyle w:val="677"/>
              <w:keepNext w:val="0"/>
              <w:keepLines w:val="0"/>
              <w:pageBreakBefore w:val="0"/>
              <w:kinsoku/>
              <w:wordWrap/>
              <w:overflowPunct/>
              <w:topLinePunct w:val="0"/>
              <w:autoSpaceDE/>
              <w:autoSpaceDN/>
              <w:bidi w:val="0"/>
              <w:adjustRightInd/>
              <w:spacing w:line="340" w:lineRule="exact"/>
              <w:ind w:left="0" w:right="0" w:firstLine="0" w:firstLineChars="0"/>
              <w:jc w:val="center"/>
              <w:rPr>
                <w:rFonts w:hint="eastAsia" w:ascii="仿宋" w:hAnsi="仿宋" w:eastAsia="仿宋" w:cs="仿宋"/>
                <w:color w:val="auto"/>
                <w:kern w:val="0"/>
                <w:highlight w:val="none"/>
                <w:lang w:val="en-US" w:eastAsia="zh-CN"/>
              </w:rPr>
            </w:pPr>
            <w:r>
              <w:rPr>
                <w:rFonts w:hint="eastAsia" w:ascii="仿宋" w:hAnsi="仿宋" w:eastAsia="仿宋" w:cs="仿宋"/>
                <w:color w:val="auto"/>
                <w:kern w:val="2"/>
                <w:sz w:val="24"/>
                <w:szCs w:val="24"/>
                <w:highlight w:val="none"/>
                <w:lang w:val="en-US" w:eastAsia="zh-CN" w:bidi="ar-SA"/>
              </w:rPr>
              <w:t>5</w:t>
            </w:r>
          </w:p>
        </w:tc>
        <w:tc>
          <w:tcPr>
            <w:tcW w:w="3452" w:type="pct"/>
            <w:shd w:val="clear" w:color="auto" w:fill="auto"/>
            <w:tcMar>
              <w:top w:w="15" w:type="dxa"/>
              <w:left w:w="15" w:type="dxa"/>
              <w:right w:w="15" w:type="dxa"/>
            </w:tcMar>
            <w:vAlign w:val="center"/>
          </w:tcPr>
          <w:p w14:paraId="6C2EFB7F">
            <w:pPr>
              <w:keepNext w:val="0"/>
              <w:keepLines w:val="0"/>
              <w:pageBreakBefore w:val="0"/>
              <w:widowControl/>
              <w:kinsoku/>
              <w:wordWrap/>
              <w:overflowPunct/>
              <w:topLinePunct w:val="0"/>
              <w:autoSpaceDE/>
              <w:autoSpaceDN/>
              <w:bidi w:val="0"/>
              <w:adjustRightInd/>
              <w:snapToGrid/>
              <w:spacing w:line="340" w:lineRule="exact"/>
              <w:ind w:left="0" w:right="0" w:firstLine="0"/>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投标人需提供项目实施方案：</w:t>
            </w:r>
          </w:p>
          <w:p w14:paraId="66A1B540">
            <w:pPr>
              <w:keepNext w:val="0"/>
              <w:keepLines w:val="0"/>
              <w:pageBreakBefore w:val="0"/>
              <w:widowControl/>
              <w:kinsoku/>
              <w:wordWrap/>
              <w:overflowPunct/>
              <w:topLinePunct w:val="0"/>
              <w:autoSpaceDE/>
              <w:autoSpaceDN/>
              <w:bidi w:val="0"/>
              <w:adjustRightInd/>
              <w:snapToGrid/>
              <w:spacing w:line="340" w:lineRule="exact"/>
              <w:ind w:left="0" w:right="0" w:firstLine="0"/>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项目实施方案清晰完整，目标明确，且方案重点内容突出，措施具体，对项目需求分析理解深刻、有延展性，流程规划描述详细、规划合理得</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分；</w:t>
            </w:r>
          </w:p>
          <w:p w14:paraId="45D242B5">
            <w:pPr>
              <w:keepNext w:val="0"/>
              <w:keepLines w:val="0"/>
              <w:pageBreakBefore w:val="0"/>
              <w:widowControl/>
              <w:kinsoku/>
              <w:wordWrap/>
              <w:overflowPunct/>
              <w:topLinePunct w:val="0"/>
              <w:autoSpaceDE/>
              <w:autoSpaceDN/>
              <w:bidi w:val="0"/>
              <w:adjustRightInd/>
              <w:snapToGrid/>
              <w:spacing w:line="340" w:lineRule="exact"/>
              <w:ind w:left="0" w:right="0" w:firstLine="0"/>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项目实施方案基本符合本项目要求，且方案有重点内容、措施列举，对项目需求有分析，流程规划基本合理得3分；</w:t>
            </w:r>
          </w:p>
          <w:p w14:paraId="0D701001">
            <w:pPr>
              <w:keepNext w:val="0"/>
              <w:keepLines w:val="0"/>
              <w:pageBreakBefore w:val="0"/>
              <w:widowControl/>
              <w:kinsoku/>
              <w:wordWrap/>
              <w:overflowPunct/>
              <w:topLinePunct w:val="0"/>
              <w:autoSpaceDE/>
              <w:autoSpaceDN/>
              <w:bidi w:val="0"/>
              <w:adjustRightInd/>
              <w:snapToGrid/>
              <w:spacing w:line="340" w:lineRule="exact"/>
              <w:ind w:left="0" w:right="0" w:firstLine="0"/>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项目实施方案简单，方案重点内容不全或不突出，对项目需求分析不全面得1分；</w:t>
            </w:r>
          </w:p>
          <w:p w14:paraId="2E6499E5">
            <w:pPr>
              <w:keepNext w:val="0"/>
              <w:keepLines w:val="0"/>
              <w:pageBreakBefore w:val="0"/>
              <w:widowControl/>
              <w:kinsoku/>
              <w:wordWrap/>
              <w:overflowPunct/>
              <w:topLinePunct w:val="0"/>
              <w:autoSpaceDE/>
              <w:autoSpaceDN/>
              <w:bidi w:val="0"/>
              <w:adjustRightInd/>
              <w:snapToGrid/>
              <w:spacing w:line="340" w:lineRule="exact"/>
              <w:ind w:left="0" w:right="0" w:firstLine="0"/>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未提供</w:t>
            </w:r>
            <w:r>
              <w:rPr>
                <w:rFonts w:hint="eastAsia" w:ascii="仿宋" w:hAnsi="仿宋" w:eastAsia="仿宋" w:cs="仿宋"/>
                <w:color w:val="auto"/>
                <w:kern w:val="0"/>
                <w:sz w:val="24"/>
                <w:highlight w:val="none"/>
                <w:lang w:eastAsia="zh-CN"/>
              </w:rPr>
              <w:t>的或明显与本项目实际不符的，</w:t>
            </w:r>
            <w:r>
              <w:rPr>
                <w:rFonts w:hint="eastAsia" w:ascii="仿宋" w:hAnsi="仿宋" w:eastAsia="仿宋" w:cs="仿宋"/>
                <w:color w:val="auto"/>
                <w:kern w:val="0"/>
                <w:sz w:val="24"/>
                <w:highlight w:val="none"/>
              </w:rPr>
              <w:t>得0分。</w:t>
            </w:r>
          </w:p>
        </w:tc>
      </w:tr>
      <w:tr w14:paraId="59FE2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536" w:type="pct"/>
            <w:vMerge w:val="continue"/>
            <w:shd w:val="clear" w:color="auto" w:fill="auto"/>
            <w:tcMar>
              <w:top w:w="15" w:type="dxa"/>
              <w:left w:w="15" w:type="dxa"/>
              <w:right w:w="15" w:type="dxa"/>
            </w:tcMar>
            <w:vAlign w:val="center"/>
          </w:tcPr>
          <w:p w14:paraId="7F1ECC46">
            <w:pPr>
              <w:keepNext w:val="0"/>
              <w:keepLines w:val="0"/>
              <w:pageBreakBefore w:val="0"/>
              <w:widowControl/>
              <w:kinsoku/>
              <w:wordWrap/>
              <w:overflowPunct/>
              <w:topLinePunct w:val="0"/>
              <w:autoSpaceDE/>
              <w:autoSpaceDN/>
              <w:bidi w:val="0"/>
              <w:adjustRightInd/>
              <w:snapToGrid w:val="0"/>
              <w:spacing w:line="340" w:lineRule="exact"/>
              <w:ind w:left="0" w:right="0" w:firstLine="0"/>
              <w:textAlignment w:val="center"/>
              <w:rPr>
                <w:rFonts w:hint="eastAsia" w:ascii="仿宋" w:hAnsi="仿宋" w:eastAsia="仿宋" w:cs="仿宋"/>
                <w:color w:val="auto"/>
                <w:kern w:val="0"/>
                <w:sz w:val="24"/>
                <w:highlight w:val="none"/>
              </w:rPr>
            </w:pPr>
          </w:p>
        </w:tc>
        <w:tc>
          <w:tcPr>
            <w:tcW w:w="642" w:type="pct"/>
            <w:shd w:val="clear" w:color="auto" w:fill="auto"/>
            <w:tcMar>
              <w:top w:w="15" w:type="dxa"/>
              <w:left w:w="15" w:type="dxa"/>
              <w:right w:w="15" w:type="dxa"/>
            </w:tcMar>
            <w:vAlign w:val="center"/>
          </w:tcPr>
          <w:p w14:paraId="35BC27BF">
            <w:pPr>
              <w:pStyle w:val="677"/>
              <w:keepNext w:val="0"/>
              <w:keepLines w:val="0"/>
              <w:pageBreakBefore w:val="0"/>
              <w:kinsoku/>
              <w:wordWrap/>
              <w:overflowPunct/>
              <w:topLinePunct w:val="0"/>
              <w:autoSpaceDE/>
              <w:autoSpaceDN/>
              <w:bidi w:val="0"/>
              <w:adjustRightInd/>
              <w:spacing w:line="340" w:lineRule="exact"/>
              <w:ind w:left="0" w:right="0" w:firstLine="0" w:firstLineChars="0"/>
              <w:jc w:val="center"/>
              <w:rPr>
                <w:rFonts w:hint="eastAsia" w:ascii="仿宋" w:hAnsi="仿宋" w:eastAsia="仿宋" w:cs="仿宋"/>
                <w:color w:val="auto"/>
                <w:kern w:val="0"/>
                <w:highlight w:val="none"/>
              </w:rPr>
            </w:pPr>
            <w:r>
              <w:rPr>
                <w:rFonts w:hint="eastAsia" w:ascii="仿宋" w:hAnsi="仿宋" w:eastAsia="仿宋" w:cs="仿宋"/>
                <w:color w:val="auto"/>
                <w:kern w:val="2"/>
                <w:sz w:val="24"/>
                <w:szCs w:val="24"/>
                <w:highlight w:val="none"/>
                <w:lang w:val="en-US" w:eastAsia="zh-CN" w:bidi="ar-SA"/>
                <w14:ligatures w14:val="standardContextual"/>
              </w:rPr>
              <w:t>技术支持方案</w:t>
            </w:r>
          </w:p>
        </w:tc>
        <w:tc>
          <w:tcPr>
            <w:tcW w:w="368" w:type="pct"/>
            <w:shd w:val="clear" w:color="auto" w:fill="auto"/>
            <w:tcMar>
              <w:top w:w="15" w:type="dxa"/>
              <w:left w:w="15" w:type="dxa"/>
              <w:right w:w="15" w:type="dxa"/>
            </w:tcMar>
            <w:vAlign w:val="center"/>
          </w:tcPr>
          <w:p w14:paraId="129313E1">
            <w:pPr>
              <w:keepNext w:val="0"/>
              <w:keepLines w:val="0"/>
              <w:pageBreakBefore w:val="0"/>
              <w:widowControl/>
              <w:kinsoku/>
              <w:wordWrap/>
              <w:overflowPunct/>
              <w:topLinePunct w:val="0"/>
              <w:autoSpaceDE/>
              <w:autoSpaceDN/>
              <w:bidi w:val="0"/>
              <w:adjustRightInd/>
              <w:spacing w:line="340" w:lineRule="exact"/>
              <w:ind w:left="0" w:right="0" w:firstLine="0"/>
              <w:jc w:val="center"/>
              <w:textAlignment w:val="center"/>
              <w:rPr>
                <w:rFonts w:hint="eastAsia" w:ascii="仿宋" w:hAnsi="仿宋" w:eastAsia="仿宋" w:cs="仿宋"/>
                <w:color w:val="auto"/>
                <w:sz w:val="24"/>
                <w:highlight w:val="none"/>
                <w:lang w:val="zh-CN" w:eastAsia="zh-CN"/>
              </w:rPr>
            </w:pPr>
            <w:r>
              <w:rPr>
                <w:rFonts w:hint="eastAsia" w:ascii="仿宋" w:hAnsi="仿宋" w:eastAsia="仿宋" w:cs="仿宋"/>
                <w:color w:val="auto"/>
                <w:kern w:val="2"/>
                <w:sz w:val="24"/>
                <w:szCs w:val="24"/>
                <w:highlight w:val="none"/>
                <w:lang w:val="en-US" w:eastAsia="zh-CN" w:bidi="ar-SA"/>
              </w:rPr>
              <w:t>7</w:t>
            </w:r>
          </w:p>
        </w:tc>
        <w:tc>
          <w:tcPr>
            <w:tcW w:w="3452" w:type="pct"/>
            <w:shd w:val="clear" w:color="auto" w:fill="auto"/>
            <w:tcMar>
              <w:top w:w="15" w:type="dxa"/>
              <w:left w:w="15" w:type="dxa"/>
              <w:right w:w="15" w:type="dxa"/>
            </w:tcMar>
            <w:vAlign w:val="center"/>
          </w:tcPr>
          <w:p w14:paraId="11FFE61D">
            <w:pPr>
              <w:keepNext w:val="0"/>
              <w:keepLines w:val="0"/>
              <w:pageBreakBefore w:val="0"/>
              <w:widowControl/>
              <w:kinsoku/>
              <w:wordWrap/>
              <w:overflowPunct/>
              <w:topLinePunct w:val="0"/>
              <w:autoSpaceDE/>
              <w:autoSpaceDN/>
              <w:bidi w:val="0"/>
              <w:adjustRightInd/>
              <w:snapToGrid/>
              <w:spacing w:line="340" w:lineRule="exact"/>
              <w:ind w:left="0" w:right="0" w:firstLine="0"/>
              <w:textAlignment w:val="center"/>
              <w:rPr>
                <w:rFonts w:hint="eastAsia" w:ascii="仿宋" w:hAnsi="仿宋" w:eastAsia="仿宋" w:cs="仿宋"/>
                <w:color w:val="auto"/>
                <w:highlight w:val="none"/>
                <w:lang w:val="zh-CN" w:eastAsia="zh-CN"/>
              </w:rPr>
            </w:pPr>
            <w:r>
              <w:rPr>
                <w:rFonts w:hint="eastAsia" w:ascii="仿宋" w:hAnsi="仿宋" w:eastAsia="仿宋" w:cs="仿宋"/>
                <w:color w:val="auto"/>
                <w:kern w:val="0"/>
                <w:sz w:val="24"/>
                <w:highlight w:val="none"/>
                <w:lang w:val="zh-CN" w:eastAsia="zh-CN"/>
              </w:rPr>
              <w:t>供应商针对本项目，承诺提供产前智能超声质控软件系统5个授权点位并配备相应硬件设备的，得基础分4分。在此基础上，须为库尔勒市医共体成员单位的远程会诊及智能质控做好支撑服务，并配备必要的硬件设备，每增加一个授权点位及配套硬件加1.5分，最多得7分。须提供承诺函，未提供的不得分。</w:t>
            </w:r>
          </w:p>
        </w:tc>
      </w:tr>
      <w:tr w14:paraId="413C2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536" w:type="pct"/>
            <w:vMerge w:val="continue"/>
            <w:shd w:val="clear" w:color="auto" w:fill="auto"/>
            <w:tcMar>
              <w:top w:w="15" w:type="dxa"/>
              <w:left w:w="15" w:type="dxa"/>
              <w:right w:w="15" w:type="dxa"/>
            </w:tcMar>
            <w:vAlign w:val="center"/>
          </w:tcPr>
          <w:p w14:paraId="217F84F8">
            <w:pPr>
              <w:keepNext w:val="0"/>
              <w:keepLines w:val="0"/>
              <w:pageBreakBefore w:val="0"/>
              <w:widowControl/>
              <w:kinsoku/>
              <w:wordWrap/>
              <w:overflowPunct/>
              <w:topLinePunct w:val="0"/>
              <w:autoSpaceDE/>
              <w:autoSpaceDN/>
              <w:bidi w:val="0"/>
              <w:adjustRightInd/>
              <w:snapToGrid w:val="0"/>
              <w:spacing w:line="340" w:lineRule="exact"/>
              <w:ind w:left="0" w:right="0" w:firstLine="0"/>
              <w:textAlignment w:val="center"/>
              <w:rPr>
                <w:rFonts w:hint="eastAsia" w:ascii="仿宋" w:hAnsi="仿宋" w:eastAsia="仿宋" w:cs="仿宋"/>
                <w:color w:val="auto"/>
                <w:kern w:val="0"/>
                <w:sz w:val="24"/>
                <w:highlight w:val="none"/>
              </w:rPr>
            </w:pPr>
          </w:p>
        </w:tc>
        <w:tc>
          <w:tcPr>
            <w:tcW w:w="642" w:type="pct"/>
            <w:shd w:val="clear" w:color="auto" w:fill="auto"/>
            <w:tcMar>
              <w:top w:w="15" w:type="dxa"/>
              <w:left w:w="15" w:type="dxa"/>
              <w:right w:w="15" w:type="dxa"/>
            </w:tcMar>
            <w:vAlign w:val="center"/>
          </w:tcPr>
          <w:p w14:paraId="02B63DEF">
            <w:pPr>
              <w:pStyle w:val="677"/>
              <w:keepNext w:val="0"/>
              <w:keepLines w:val="0"/>
              <w:pageBreakBefore w:val="0"/>
              <w:kinsoku/>
              <w:wordWrap/>
              <w:overflowPunct/>
              <w:topLinePunct w:val="0"/>
              <w:autoSpaceDE/>
              <w:autoSpaceDN/>
              <w:bidi w:val="0"/>
              <w:adjustRightInd/>
              <w:spacing w:line="340" w:lineRule="exact"/>
              <w:ind w:left="0" w:right="0" w:firstLine="0" w:firstLineChars="0"/>
              <w:jc w:val="center"/>
              <w:rPr>
                <w:rFonts w:hint="eastAsia" w:ascii="仿宋" w:hAnsi="仿宋" w:eastAsia="仿宋" w:cs="仿宋"/>
                <w:color w:val="auto"/>
                <w:kern w:val="0"/>
                <w:highlight w:val="none"/>
              </w:rPr>
            </w:pPr>
            <w:r>
              <w:rPr>
                <w:rFonts w:hint="eastAsia" w:ascii="仿宋" w:hAnsi="仿宋" w:eastAsia="仿宋" w:cs="仿宋"/>
                <w:color w:val="auto"/>
                <w:kern w:val="2"/>
                <w:sz w:val="24"/>
                <w:szCs w:val="24"/>
                <w:highlight w:val="none"/>
                <w:lang w:val="en-US" w:eastAsia="zh-CN" w:bidi="ar-SA"/>
                <w14:ligatures w14:val="standardContextual"/>
              </w:rPr>
              <w:t>项目人员配置</w:t>
            </w:r>
          </w:p>
        </w:tc>
        <w:tc>
          <w:tcPr>
            <w:tcW w:w="368" w:type="pct"/>
            <w:shd w:val="clear" w:color="auto" w:fill="auto"/>
            <w:tcMar>
              <w:top w:w="15" w:type="dxa"/>
              <w:left w:w="15" w:type="dxa"/>
              <w:right w:w="15" w:type="dxa"/>
            </w:tcMar>
            <w:vAlign w:val="center"/>
          </w:tcPr>
          <w:p w14:paraId="0FFB6189">
            <w:pPr>
              <w:keepNext w:val="0"/>
              <w:keepLines w:val="0"/>
              <w:pageBreakBefore w:val="0"/>
              <w:widowControl/>
              <w:kinsoku/>
              <w:wordWrap/>
              <w:overflowPunct/>
              <w:topLinePunct w:val="0"/>
              <w:autoSpaceDE/>
              <w:autoSpaceDN/>
              <w:bidi w:val="0"/>
              <w:adjustRightInd/>
              <w:spacing w:line="340" w:lineRule="exact"/>
              <w:ind w:left="0" w:right="0" w:firstLine="0"/>
              <w:jc w:val="center"/>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3452" w:type="pct"/>
            <w:shd w:val="clear" w:color="auto" w:fill="auto"/>
            <w:tcMar>
              <w:top w:w="15" w:type="dxa"/>
              <w:left w:w="15" w:type="dxa"/>
              <w:right w:w="15" w:type="dxa"/>
            </w:tcMar>
            <w:vAlign w:val="center"/>
          </w:tcPr>
          <w:p w14:paraId="7842D792">
            <w:pPr>
              <w:keepNext w:val="0"/>
              <w:keepLines w:val="0"/>
              <w:pageBreakBefore w:val="0"/>
              <w:widowControl/>
              <w:kinsoku/>
              <w:wordWrap/>
              <w:overflowPunct/>
              <w:topLinePunct w:val="0"/>
              <w:autoSpaceDE/>
              <w:autoSpaceDN/>
              <w:bidi w:val="0"/>
              <w:adjustRightInd/>
              <w:snapToGrid/>
              <w:spacing w:line="340" w:lineRule="exact"/>
              <w:ind w:left="0" w:right="0" w:firstLine="0"/>
              <w:textAlignment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根据供应商提供的《服务团队人员配置一览表》及相关证明资料评审：</w:t>
            </w:r>
          </w:p>
          <w:p w14:paraId="183366C1">
            <w:pPr>
              <w:pStyle w:val="163"/>
              <w:keepNext w:val="0"/>
              <w:keepLines w:val="0"/>
              <w:pageBreakBefore w:val="0"/>
              <w:numPr>
                <w:ilvl w:val="0"/>
                <w:numId w:val="0"/>
              </w:numPr>
              <w:kinsoku/>
              <w:wordWrap/>
              <w:overflowPunct/>
              <w:topLinePunct w:val="0"/>
              <w:autoSpaceDE/>
              <w:autoSpaceDN/>
              <w:bidi w:val="0"/>
              <w:adjustRightInd/>
              <w:snapToGrid/>
              <w:spacing w:before="0" w:after="0" w:line="340" w:lineRule="exact"/>
              <w:ind w:left="0" w:right="0" w:firstLine="0"/>
              <w:rPr>
                <w:rFonts w:hint="eastAsia" w:ascii="仿宋" w:hAnsi="仿宋" w:eastAsia="仿宋" w:cs="仿宋"/>
                <w:color w:val="auto"/>
                <w:sz w:val="24"/>
                <w:highlight w:val="none"/>
                <w:lang w:val="zh-CN"/>
              </w:rPr>
            </w:pPr>
            <w:r>
              <w:rPr>
                <w:rFonts w:hint="eastAsia" w:ascii="仿宋" w:hAnsi="仿宋" w:eastAsia="仿宋" w:cs="仿宋"/>
                <w:color w:val="auto"/>
                <w:kern w:val="2"/>
                <w:sz w:val="24"/>
                <w:szCs w:val="22"/>
                <w:highlight w:val="none"/>
                <w:lang w:val="zh-CN" w:eastAsia="zh-CN" w:bidi="ar-SA"/>
              </w:rPr>
              <w:t>（1）</w:t>
            </w:r>
            <w:r>
              <w:rPr>
                <w:rFonts w:hint="eastAsia" w:ascii="仿宋" w:hAnsi="仿宋" w:eastAsia="仿宋" w:cs="仿宋"/>
                <w:color w:val="auto"/>
                <w:sz w:val="24"/>
                <w:highlight w:val="none"/>
                <w:lang w:val="zh-CN"/>
              </w:rPr>
              <w:t>所投产品厂商或供应商配备不少于4人的服务团队完成本项目建设工作的，得1分，否则，不得分；</w:t>
            </w:r>
          </w:p>
          <w:p w14:paraId="51867B75">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right="0" w:rightChars="0" w:firstLine="0" w:firstLineChars="0"/>
              <w:textAlignment w:val="center"/>
              <w:rPr>
                <w:rFonts w:hint="eastAsia" w:ascii="仿宋" w:hAnsi="仿宋" w:eastAsia="仿宋" w:cs="仿宋"/>
                <w:color w:val="auto"/>
                <w:sz w:val="24"/>
                <w:highlight w:val="none"/>
                <w:lang w:val="zh-CN"/>
              </w:rPr>
            </w:pPr>
            <w:r>
              <w:rPr>
                <w:rFonts w:hint="eastAsia" w:ascii="仿宋" w:hAnsi="仿宋" w:eastAsia="仿宋" w:cs="仿宋"/>
                <w:color w:val="auto"/>
                <w:kern w:val="2"/>
                <w:sz w:val="24"/>
                <w:szCs w:val="24"/>
                <w:highlight w:val="none"/>
                <w:lang w:val="zh-CN" w:eastAsia="zh-CN" w:bidi="ar-SA"/>
              </w:rPr>
              <w:t>（2）</w:t>
            </w:r>
            <w:r>
              <w:rPr>
                <w:rFonts w:hint="eastAsia" w:ascii="仿宋" w:hAnsi="仿宋" w:eastAsia="仿宋" w:cs="仿宋"/>
                <w:color w:val="auto"/>
                <w:sz w:val="24"/>
                <w:highlight w:val="none"/>
                <w:lang w:val="zh-CN"/>
              </w:rPr>
              <w:t>项目团队人员具有计算机技术与软件专业技术资格（软考）类证书（系统架构设计师、信息系统项目管理师、软件设计师、系统分析师、系统集成项目管理工程师、数据库系统工程师资格证书）的，每提供1人得1分，最多得4分。1人多个资格证书只计算1次分值，多人同一类资格证书只计算1次分值。须提供人员有效证书</w:t>
            </w:r>
            <w:r>
              <w:rPr>
                <w:rFonts w:hint="eastAsia" w:ascii="仿宋" w:hAnsi="仿宋" w:eastAsia="仿宋" w:cs="仿宋"/>
                <w:color w:val="auto"/>
                <w:sz w:val="24"/>
                <w:highlight w:val="none"/>
                <w:lang w:val="en-US" w:eastAsia="zh-CN"/>
              </w:rPr>
              <w:t>扫描件</w:t>
            </w:r>
            <w:r>
              <w:rPr>
                <w:rFonts w:hint="eastAsia" w:ascii="仿宋" w:hAnsi="仿宋" w:eastAsia="仿宋" w:cs="仿宋"/>
                <w:color w:val="auto"/>
                <w:sz w:val="24"/>
                <w:highlight w:val="none"/>
                <w:lang w:val="zh-CN"/>
              </w:rPr>
              <w:t>、产品厂商或供应商为其缴纳的</w:t>
            </w:r>
            <w:r>
              <w:rPr>
                <w:rFonts w:hint="eastAsia" w:ascii="仿宋" w:hAnsi="仿宋" w:eastAsia="仿宋" w:cs="仿宋"/>
                <w:color w:val="auto"/>
                <w:kern w:val="2"/>
                <w:sz w:val="24"/>
                <w:szCs w:val="24"/>
                <w:highlight w:val="none"/>
                <w:lang w:val="en-US" w:eastAsia="zh-CN" w:bidi="ar-SA"/>
                <w14:ligatures w14:val="standardContextual"/>
              </w:rPr>
              <w:t>的近开标前三个月内任意一个月的社保证明材料。未按要求提供证明资料的不得分。</w:t>
            </w:r>
          </w:p>
        </w:tc>
      </w:tr>
    </w:tbl>
    <w:p w14:paraId="0E7F3C40">
      <w:pPr>
        <w:shd w:val="clear" w:color="auto" w:fill="FFFFFF"/>
        <w:spacing w:line="440" w:lineRule="exact"/>
        <w:rPr>
          <w:rFonts w:hint="eastAsia" w:ascii="仿宋" w:hAnsi="仿宋" w:eastAsia="仿宋" w:cs="仿宋"/>
          <w:b/>
          <w:color w:val="auto"/>
          <w:kern w:val="0"/>
          <w:sz w:val="24"/>
          <w:highlight w:val="none"/>
        </w:rPr>
      </w:pPr>
    </w:p>
    <w:p w14:paraId="5B6E07FA">
      <w:pPr>
        <w:shd w:val="clear" w:color="auto" w:fill="FFFFFF"/>
        <w:spacing w:line="440" w:lineRule="exact"/>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35. 定标原则</w:t>
      </w:r>
    </w:p>
    <w:p w14:paraId="30559CEA">
      <w:pPr>
        <w:shd w:val="clear" w:color="auto" w:fill="FFFFFF"/>
        <w:spacing w:line="440" w:lineRule="exact"/>
        <w:ind w:firstLine="484" w:firstLineChars="20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35.1 评标委员会依据投标须知前附表规定的评标方法和标准，按照供应商综合得分排序确定出前三名作为中标候选人推荐给采购人。</w:t>
      </w:r>
    </w:p>
    <w:p w14:paraId="3C34C6DB">
      <w:pPr>
        <w:shd w:val="clear" w:color="auto" w:fill="FFFFFF"/>
        <w:spacing w:line="440" w:lineRule="exact"/>
        <w:ind w:firstLine="484" w:firstLineChars="20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35.2采购代理机构应当在评标结束后2个工作日内将评标报告送采购人。</w:t>
      </w:r>
      <w:r>
        <w:rPr>
          <w:rFonts w:hint="eastAsia" w:ascii="仿宋" w:hAnsi="仿宋" w:eastAsia="仿宋" w:cs="仿宋"/>
          <w:bCs/>
          <w:color w:val="auto"/>
          <w:kern w:val="0"/>
          <w:sz w:val="24"/>
          <w:highlight w:val="none"/>
        </w:rPr>
        <w:t>采购人应当自收到评标报告之日起５个工作日内，在评标报告确定的中标候选人名单中按顺序确定中标人。</w:t>
      </w:r>
    </w:p>
    <w:p w14:paraId="3F4AF058">
      <w:pPr>
        <w:shd w:val="clear" w:color="auto" w:fill="FFFFFF"/>
        <w:spacing w:line="440" w:lineRule="exact"/>
        <w:ind w:firstLine="487" w:firstLineChars="202"/>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36. 评标过程的保密</w:t>
      </w:r>
    </w:p>
    <w:p w14:paraId="625E1B05">
      <w:pPr>
        <w:shd w:val="clear" w:color="auto" w:fill="FFFFFF"/>
        <w:spacing w:line="440" w:lineRule="exact"/>
        <w:ind w:firstLine="484" w:firstLineChars="20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36.1凡属于对投标文件的审查、澄清、评价和比较有关的资料、中标候选人的推荐情况以及与评标有关的其他任何情况，评标委员会成员和与评标活动有关的工作人员不得对任何单位和个人透露。</w:t>
      </w:r>
    </w:p>
    <w:p w14:paraId="636ECD02">
      <w:pPr>
        <w:shd w:val="clear" w:color="auto" w:fill="FFFFFF"/>
        <w:spacing w:line="440" w:lineRule="exact"/>
        <w:ind w:firstLine="484" w:firstLineChars="20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36.2 在投标文件的评审和比较、中标候选人推荐以及授予合同的过程中，供应商向采购人或者评标委员会施加影响的任何行为，都将会导致其投标被拒绝。</w:t>
      </w:r>
    </w:p>
    <w:p w14:paraId="6CFF1107">
      <w:pPr>
        <w:shd w:val="clear" w:color="auto" w:fill="FFFFFF"/>
        <w:spacing w:line="440" w:lineRule="exact"/>
        <w:ind w:firstLine="484" w:firstLineChars="20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36.3 中标人确定后，采购人不对未中标人就评标过程以及未能中标原因做出任何解释。未中标人不得向评标委员会组成人员或者其他有关人员索问评标过程的情况和材料。</w:t>
      </w:r>
    </w:p>
    <w:p w14:paraId="3C88C8D9">
      <w:pPr>
        <w:shd w:val="clear" w:color="auto" w:fill="FFFFFF"/>
        <w:spacing w:line="440" w:lineRule="exact"/>
        <w:ind w:firstLine="487" w:firstLineChars="202"/>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（七） 授予合同</w:t>
      </w:r>
    </w:p>
    <w:p w14:paraId="5B7A8B0A">
      <w:pPr>
        <w:shd w:val="clear" w:color="auto" w:fill="FFFFFF"/>
        <w:spacing w:line="440" w:lineRule="exact"/>
        <w:ind w:firstLine="487" w:firstLineChars="202"/>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37. 确定中标人</w:t>
      </w:r>
    </w:p>
    <w:p w14:paraId="682B267A">
      <w:pPr>
        <w:shd w:val="clear" w:color="auto" w:fill="FFFFFF"/>
        <w:spacing w:line="440" w:lineRule="exact"/>
        <w:ind w:firstLine="484" w:firstLineChars="20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37.1 中标的标准</w:t>
      </w:r>
    </w:p>
    <w:p w14:paraId="1115174D">
      <w:pPr>
        <w:shd w:val="clear" w:color="auto" w:fill="FFFFFF"/>
        <w:spacing w:line="440" w:lineRule="exact"/>
        <w:ind w:firstLine="484" w:firstLineChars="20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37.1.1投标文件满足招标文件全部实质性要求；</w:t>
      </w:r>
    </w:p>
    <w:p w14:paraId="6D9A3E14">
      <w:pPr>
        <w:shd w:val="clear" w:color="auto" w:fill="FFFFFF"/>
        <w:spacing w:line="440" w:lineRule="exact"/>
        <w:ind w:firstLine="484" w:firstLineChars="20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37.1.2 具有良好的履行合同的能力和条件；</w:t>
      </w:r>
    </w:p>
    <w:p w14:paraId="0CCE4B9A">
      <w:pPr>
        <w:shd w:val="clear" w:color="auto" w:fill="FFFFFF"/>
        <w:spacing w:line="440" w:lineRule="exact"/>
        <w:ind w:firstLine="484" w:firstLineChars="20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37.1.3 能够最大限度满足招标文件的各项要求；</w:t>
      </w:r>
    </w:p>
    <w:p w14:paraId="12999A9B">
      <w:pPr>
        <w:shd w:val="clear" w:color="auto" w:fill="FFFFFF"/>
        <w:spacing w:line="440" w:lineRule="exact"/>
        <w:ind w:firstLine="484" w:firstLineChars="20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37.2 采购人将确定资格合格的中标候选人为中标人。</w:t>
      </w:r>
    </w:p>
    <w:p w14:paraId="58E108A0">
      <w:pPr>
        <w:shd w:val="clear" w:color="auto" w:fill="FFFFFF"/>
        <w:spacing w:line="440" w:lineRule="exact"/>
        <w:ind w:firstLine="487" w:firstLineChars="202"/>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38. 授予合同的准则</w:t>
      </w:r>
    </w:p>
    <w:p w14:paraId="6C9D264B">
      <w:pPr>
        <w:shd w:val="clear" w:color="auto" w:fill="FFFFFF"/>
        <w:spacing w:line="440" w:lineRule="exact"/>
        <w:ind w:firstLine="484" w:firstLineChars="20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38.1 采购人将把合同授予经确认的中标人。</w:t>
      </w:r>
    </w:p>
    <w:p w14:paraId="6C287F17">
      <w:pPr>
        <w:shd w:val="clear" w:color="auto" w:fill="FFFFFF"/>
        <w:spacing w:line="440" w:lineRule="exact"/>
        <w:ind w:firstLine="487" w:firstLineChars="202"/>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39. 中标通知</w:t>
      </w:r>
    </w:p>
    <w:p w14:paraId="7BFFBCCE">
      <w:pPr>
        <w:shd w:val="clear" w:color="auto" w:fill="FFFFFF"/>
        <w:spacing w:line="440" w:lineRule="exact"/>
        <w:ind w:firstLine="484" w:firstLineChars="20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39.1采购人依据评标委员会推荐的中标候选人排序确定排名第一的中标候选人为中标人后，将</w:t>
      </w:r>
      <w:r>
        <w:rPr>
          <w:rFonts w:hint="eastAsia" w:ascii="仿宋" w:hAnsi="仿宋" w:eastAsia="仿宋" w:cs="仿宋"/>
          <w:color w:val="auto"/>
          <w:sz w:val="24"/>
          <w:highlight w:val="none"/>
        </w:rPr>
        <w:t>对中标结果公示1工作日，同时向中标人发出中标通知书。</w:t>
      </w:r>
    </w:p>
    <w:p w14:paraId="0241AC5B">
      <w:pPr>
        <w:shd w:val="clear" w:color="auto" w:fill="FFFFFF"/>
        <w:spacing w:line="440" w:lineRule="exact"/>
        <w:ind w:firstLine="484" w:firstLineChars="202"/>
        <w:rPr>
          <w:rFonts w:hint="eastAsia" w:ascii="仿宋" w:hAnsi="仿宋" w:eastAsia="仿宋" w:cs="仿宋"/>
          <w:color w:val="auto"/>
          <w:sz w:val="24"/>
          <w:highlight w:val="none"/>
        </w:rPr>
      </w:pPr>
      <w:r>
        <w:rPr>
          <w:rFonts w:hint="eastAsia" w:ascii="仿宋" w:hAnsi="仿宋" w:eastAsia="仿宋" w:cs="仿宋"/>
          <w:color w:val="auto"/>
          <w:sz w:val="24"/>
          <w:highlight w:val="none"/>
        </w:rPr>
        <w:t>39.2 供应商对中标或者成交结果有异议的，可以在知道或者应知其权益受到损害之日起7个工作日内，按照《政府采购质疑和投诉办法》（财政部94号令）向采购人或采购代理机构提出质疑。采购人在收到供应商的书面质疑后7个工作日内作出答复，并以书面形式通知质疑供应商和其他有关供应商；作出答复前，将暂停采购活动。</w:t>
      </w:r>
    </w:p>
    <w:p w14:paraId="6795BF98">
      <w:pPr>
        <w:shd w:val="clear" w:color="auto" w:fill="FFFFFF"/>
        <w:spacing w:line="440" w:lineRule="exact"/>
        <w:ind w:firstLine="484" w:firstLineChars="20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39.3 中标通知书对采购人和中标人具有法律约束力。中标通知书发出后，采购人不得违法改变中标结果，中标人无正当理由不得放弃中标。 </w:t>
      </w:r>
    </w:p>
    <w:p w14:paraId="214D4D5C">
      <w:pPr>
        <w:shd w:val="clear" w:color="auto" w:fill="FFFFFF"/>
        <w:spacing w:line="440" w:lineRule="exact"/>
        <w:ind w:firstLine="487" w:firstLineChars="202"/>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40. 合同的签订</w:t>
      </w:r>
    </w:p>
    <w:p w14:paraId="6057ED91">
      <w:pPr>
        <w:shd w:val="clear" w:color="auto" w:fill="FFFFFF"/>
        <w:spacing w:line="440" w:lineRule="exact"/>
        <w:ind w:firstLine="484" w:firstLineChars="20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40.1采购人应当自中标通知书发出之日起30日内，按照招标文件和中标人投标文件的规定，与中标人签订政府采购合同。所签订的合同不得对招标文件确定的事项和中标人投标文件作实质性修改。</w:t>
      </w:r>
    </w:p>
    <w:p w14:paraId="51BF3DA7">
      <w:pPr>
        <w:shd w:val="clear" w:color="auto" w:fill="FFFFFF"/>
        <w:spacing w:line="440" w:lineRule="exact"/>
        <w:ind w:firstLine="484" w:firstLineChars="20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40.2 招标文件要求中标人提交履约保证金或者其他形式履约担保的，中标人应当提交；拒绝提交的，视为放弃中标项目，且投标保证金将被没收。</w:t>
      </w:r>
    </w:p>
    <w:p w14:paraId="0C417F20">
      <w:pPr>
        <w:shd w:val="clear" w:color="auto" w:fill="FFFFFF"/>
        <w:spacing w:line="440" w:lineRule="exact"/>
        <w:ind w:firstLine="484" w:firstLineChars="20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40.3 招标文件和中标人的投标文件均是该书面合同的附件。</w:t>
      </w:r>
    </w:p>
    <w:p w14:paraId="1C44B793">
      <w:pPr>
        <w:shd w:val="clear" w:color="auto" w:fill="FFFFFF"/>
        <w:spacing w:line="440" w:lineRule="exact"/>
        <w:ind w:firstLine="484" w:firstLineChars="20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40.4 中标人因不可抗力或自身原因不能履行采购合同的，采购人可以与排位在中标人之后第一位的中标候选人签订采购合同，以此类推，或采购人重新组织招标。</w:t>
      </w:r>
    </w:p>
    <w:p w14:paraId="0D0B9F81">
      <w:pPr>
        <w:shd w:val="clear" w:color="auto" w:fill="FFFFFF"/>
        <w:spacing w:line="440" w:lineRule="exact"/>
        <w:ind w:firstLine="484" w:firstLineChars="20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40.5 政府采购合同自签订之日起2个工作日内，采购人应当在网上发布合同公告。</w:t>
      </w:r>
    </w:p>
    <w:p w14:paraId="114B6010">
      <w:pPr>
        <w:shd w:val="clear" w:color="auto" w:fill="FFFFFF"/>
        <w:spacing w:line="440" w:lineRule="exact"/>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41.质疑与投诉</w:t>
      </w:r>
    </w:p>
    <w:p w14:paraId="421F685B">
      <w:pPr>
        <w:shd w:val="clear" w:color="auto" w:fill="FFFFFF"/>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41.1供应商认为招标文件、采购过程、中标或者成交结果使自己的权益受到损害的，可以在知道或者应知其权益受到损害之日起7个工作日内，向采购人、采购代理机构提出质疑。本项目对招标文件内容提出质疑截止时间见前附表第13项规定。供应商须在法定质疑期内一次性提出针对同一采购程序环节的质疑。</w:t>
      </w:r>
    </w:p>
    <w:p w14:paraId="45386B52">
      <w:pPr>
        <w:shd w:val="clear" w:color="auto" w:fill="FFFFFF"/>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41.2、质疑函内容</w:t>
      </w:r>
    </w:p>
    <w:p w14:paraId="1277C22F">
      <w:pPr>
        <w:shd w:val="clear" w:color="auto" w:fill="FFFFFF"/>
        <w:spacing w:line="440" w:lineRule="exact"/>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（1）供应商的姓名或者名称、地址、邮编、联系人及联系电话；</w:t>
      </w:r>
    </w:p>
    <w:p w14:paraId="578876C2">
      <w:pPr>
        <w:shd w:val="clear" w:color="auto" w:fill="FFFFFF"/>
        <w:spacing w:line="440" w:lineRule="exact"/>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（2）质疑项目的名称、编号；</w:t>
      </w:r>
    </w:p>
    <w:p w14:paraId="628E2429">
      <w:pPr>
        <w:shd w:val="clear" w:color="auto" w:fill="FFFFFF"/>
        <w:spacing w:line="440" w:lineRule="exact"/>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（3）具体、明确的质疑事项和与质疑事项相关的请求；</w:t>
      </w:r>
    </w:p>
    <w:p w14:paraId="7D84C77C">
      <w:pPr>
        <w:shd w:val="clear" w:color="auto" w:fill="FFFFFF"/>
        <w:spacing w:line="440" w:lineRule="exact"/>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（4）事实依据；</w:t>
      </w:r>
    </w:p>
    <w:p w14:paraId="65D1D694">
      <w:pPr>
        <w:shd w:val="clear" w:color="auto" w:fill="FFFFFF"/>
        <w:spacing w:line="440" w:lineRule="exact"/>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（5）必要的法律依据；</w:t>
      </w:r>
    </w:p>
    <w:p w14:paraId="7066B4CB">
      <w:pPr>
        <w:shd w:val="clear" w:color="auto" w:fill="FFFFFF"/>
        <w:spacing w:line="440" w:lineRule="exact"/>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（6）提出质疑的日期。</w:t>
      </w:r>
    </w:p>
    <w:p w14:paraId="698B6584">
      <w:pPr>
        <w:shd w:val="clear" w:color="auto" w:fill="FFFFFF"/>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供应商为自然人的，应当由本人签字；供应商为法人或者其他组织的，应当由法定代表人、主要负责人，或者其授权代表签字或者盖章，并加盖投标单位公章。</w:t>
      </w:r>
    </w:p>
    <w:p w14:paraId="0A6F0503">
      <w:pPr>
        <w:shd w:val="clear" w:color="auto" w:fill="FFFFFF"/>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41.3采购人在收到供应商的书面质疑函后七个工作日内作出答复，并以书面形式通知质疑供应商和其他有关供应商，但答复的内容不涉及商业秘密。</w:t>
      </w:r>
    </w:p>
    <w:p w14:paraId="34CBC388">
      <w:pPr>
        <w:shd w:val="clear" w:color="auto" w:fill="FFFFFF"/>
        <w:adjustRightInd w:val="0"/>
        <w:snapToGrid w:val="0"/>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41.4提出质疑的供应商对答复不满意的，可以在答复期满后十五个工作日内向同级政府招标监督管理部门投诉。政府招标监督管理部门应当在收到投诉三十个工作日内，对投诉事项作出处理决定，并以书面形式通知投诉人和与投诉事项相关的当事人。</w:t>
      </w:r>
    </w:p>
    <w:p w14:paraId="27FA0978">
      <w:pPr>
        <w:shd w:val="clear" w:color="auto" w:fill="FFFFFF"/>
        <w:spacing w:line="440" w:lineRule="exact"/>
        <w:ind w:firstLine="487" w:firstLineChars="202"/>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42. 履约担保（本项目不适用）</w:t>
      </w:r>
    </w:p>
    <w:p w14:paraId="38AF0641">
      <w:pPr>
        <w:shd w:val="clear" w:color="auto" w:fill="FFFFFF"/>
        <w:autoSpaceDE w:val="0"/>
        <w:autoSpaceDN w:val="0"/>
        <w:adjustRightInd w:val="0"/>
        <w:spacing w:line="440" w:lineRule="exact"/>
        <w:ind w:firstLine="438" w:firstLineChars="189"/>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42.1 中标人须在与采购人签署合同前按招标文件有关要求提交履约担保。中标人应按照下列规定的方式和金额向采购人提交履约担保。</w:t>
      </w:r>
    </w:p>
    <w:p w14:paraId="526C73AD">
      <w:pPr>
        <w:shd w:val="clear" w:color="auto" w:fill="FFFFFF"/>
        <w:autoSpaceDE w:val="0"/>
        <w:autoSpaceDN w:val="0"/>
        <w:adjustRightInd w:val="0"/>
        <w:spacing w:line="440" w:lineRule="exact"/>
        <w:ind w:firstLine="453" w:firstLineChars="18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42.1.1 履约担保采用下列</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方式</w:t>
      </w:r>
    </w:p>
    <w:p w14:paraId="5866A6C5">
      <w:pPr>
        <w:shd w:val="clear" w:color="auto" w:fill="FFFFFF"/>
        <w:autoSpaceDE w:val="0"/>
        <w:autoSpaceDN w:val="0"/>
        <w:adjustRightInd w:val="0"/>
        <w:spacing w:line="440" w:lineRule="exact"/>
        <w:ind w:firstLine="480" w:firstLineChars="200"/>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（1）、履约保证金担保方式：</w:t>
      </w:r>
      <w:r>
        <w:rPr>
          <w:rFonts w:hint="eastAsia" w:ascii="仿宋" w:hAnsi="仿宋" w:eastAsia="仿宋" w:cs="仿宋"/>
          <w:color w:val="auto"/>
          <w:kern w:val="0"/>
          <w:sz w:val="24"/>
          <w:highlight w:val="none"/>
          <w:u w:val="single"/>
        </w:rPr>
        <w:t xml:space="preserve"> / </w:t>
      </w:r>
    </w:p>
    <w:p w14:paraId="2C7BD88D">
      <w:pPr>
        <w:shd w:val="clear" w:color="auto" w:fill="FFFFFF"/>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 银行汇票；2） 支票；</w:t>
      </w:r>
      <w:r>
        <w:rPr>
          <w:rFonts w:hint="eastAsia" w:ascii="仿宋" w:hAnsi="仿宋" w:eastAsia="仿宋" w:cs="仿宋"/>
          <w:color w:val="auto"/>
          <w:kern w:val="0"/>
          <w:sz w:val="24"/>
          <w:highlight w:val="none"/>
        </w:rPr>
        <w:t>3）银行转账；4）担保公司担保；</w:t>
      </w:r>
      <w:r>
        <w:rPr>
          <w:rFonts w:hint="eastAsia" w:ascii="仿宋" w:hAnsi="仿宋" w:eastAsia="仿宋" w:cs="仿宋"/>
          <w:color w:val="auto"/>
          <w:sz w:val="24"/>
          <w:highlight w:val="none"/>
        </w:rPr>
        <w:t>5）采购人与供应商协商确定的其他担保方式。</w:t>
      </w:r>
    </w:p>
    <w:p w14:paraId="390AC5DD">
      <w:pPr>
        <w:shd w:val="clear" w:color="auto" w:fill="FFFFFF"/>
        <w:spacing w:line="440" w:lineRule="exact"/>
        <w:ind w:firstLine="484" w:firstLineChars="202"/>
        <w:rPr>
          <w:rFonts w:hint="eastAsia" w:ascii="仿宋" w:hAnsi="仿宋" w:eastAsia="仿宋" w:cs="仿宋"/>
          <w:b/>
          <w:color w:val="auto"/>
          <w:kern w:val="0"/>
          <w:sz w:val="24"/>
          <w:highlight w:val="none"/>
          <w:u w:val="single"/>
        </w:rPr>
      </w:pPr>
      <w:r>
        <w:rPr>
          <w:rFonts w:hint="eastAsia" w:ascii="仿宋" w:hAnsi="仿宋" w:eastAsia="仿宋" w:cs="仿宋"/>
          <w:color w:val="auto"/>
          <w:kern w:val="0"/>
          <w:sz w:val="24"/>
          <w:highlight w:val="none"/>
        </w:rPr>
        <w:t>42.1.2 履约保证金：见投标须知前附表第14条。</w:t>
      </w:r>
    </w:p>
    <w:p w14:paraId="4EC1A95C">
      <w:pPr>
        <w:shd w:val="clear" w:color="auto" w:fill="FFFFFF"/>
        <w:spacing w:line="440" w:lineRule="exact"/>
        <w:ind w:firstLine="484" w:firstLineChars="20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 如中标人不能按照投标须知第40条的规定执行，采购人将视为中标人放弃中标项目；已经订立合同的，采购人有充分理由解除合同，给采购人造成损失的，放弃中标项目的中标人应当赔偿。</w:t>
      </w:r>
    </w:p>
    <w:p w14:paraId="1204D5A1">
      <w:pPr>
        <w:shd w:val="clear" w:color="auto" w:fill="FFFFFF"/>
        <w:spacing w:line="440" w:lineRule="exact"/>
        <w:ind w:firstLine="487" w:firstLineChars="202"/>
        <w:rPr>
          <w:rFonts w:hint="eastAsia" w:ascii="仿宋" w:hAnsi="仿宋" w:eastAsia="仿宋" w:cs="仿宋"/>
          <w:b/>
          <w:bCs/>
          <w:color w:val="auto"/>
          <w:kern w:val="0"/>
          <w:sz w:val="24"/>
          <w:highlight w:val="none"/>
        </w:rPr>
      </w:pPr>
      <w:bookmarkStart w:id="15" w:name="_Toc228180139"/>
      <w:r>
        <w:rPr>
          <w:rFonts w:hint="eastAsia" w:ascii="仿宋" w:hAnsi="仿宋" w:eastAsia="仿宋" w:cs="仿宋"/>
          <w:b/>
          <w:color w:val="auto"/>
          <w:kern w:val="0"/>
          <w:sz w:val="24"/>
          <w:highlight w:val="none"/>
        </w:rPr>
        <w:t>43.</w:t>
      </w:r>
      <w:bookmarkEnd w:id="15"/>
      <w:r>
        <w:rPr>
          <w:rFonts w:hint="eastAsia" w:ascii="仿宋" w:hAnsi="仿宋" w:eastAsia="仿宋" w:cs="仿宋"/>
          <w:b/>
          <w:bCs/>
          <w:color w:val="auto"/>
          <w:kern w:val="0"/>
          <w:sz w:val="24"/>
          <w:highlight w:val="none"/>
        </w:rPr>
        <w:t>招标代理服务费</w:t>
      </w:r>
    </w:p>
    <w:p w14:paraId="1F4B580B">
      <w:pPr>
        <w:shd w:val="clear" w:color="auto" w:fill="FFFFFF"/>
        <w:spacing w:line="440" w:lineRule="exact"/>
        <w:ind w:firstLine="484" w:firstLineChars="202"/>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43.1 中标人应按本招标文件的规定，在领取中标通知书时向采购代理机构一次性支付中标服务费。采购代理机构也可直接从中标人的投标保证金内扣除。</w:t>
      </w:r>
    </w:p>
    <w:p w14:paraId="06E35AEF">
      <w:pPr>
        <w:shd w:val="clear" w:color="auto" w:fill="FFFFFF"/>
        <w:spacing w:line="440" w:lineRule="exact"/>
        <w:ind w:firstLine="484" w:firstLineChars="202"/>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43.2 中标服务费的计算基数是中标人投标报价的总金额（即中标通知书中载明的中标金额）。</w:t>
      </w:r>
    </w:p>
    <w:p w14:paraId="0AB5262B">
      <w:pPr>
        <w:shd w:val="clear" w:color="auto" w:fill="FFFFFF"/>
        <w:spacing w:line="440" w:lineRule="exact"/>
        <w:ind w:firstLine="484" w:firstLineChars="202"/>
        <w:rPr>
          <w:rFonts w:hint="eastAsia" w:ascii="仿宋" w:hAnsi="仿宋" w:eastAsia="仿宋" w:cs="仿宋"/>
          <w:color w:val="auto"/>
          <w:highlight w:val="none"/>
        </w:rPr>
      </w:pPr>
      <w:r>
        <w:rPr>
          <w:rFonts w:hint="eastAsia" w:ascii="仿宋" w:hAnsi="仿宋" w:eastAsia="仿宋" w:cs="仿宋"/>
          <w:bCs/>
          <w:color w:val="auto"/>
          <w:kern w:val="0"/>
          <w:sz w:val="24"/>
          <w:highlight w:val="none"/>
        </w:rPr>
        <w:t>43.3具体收取比例详见《前附表》。</w:t>
      </w:r>
    </w:p>
    <w:p w14:paraId="12F3376B">
      <w:pPr>
        <w:shd w:val="clear" w:color="auto" w:fill="FFFFFF"/>
        <w:spacing w:line="440" w:lineRule="exact"/>
        <w:ind w:firstLine="487" w:firstLineChars="202"/>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w:t>
      </w:r>
      <w:r>
        <w:rPr>
          <w:rFonts w:hint="eastAsia" w:ascii="仿宋" w:hAnsi="仿宋" w:eastAsia="仿宋" w:cs="仿宋"/>
          <w:b/>
          <w:color w:val="auto"/>
          <w:kern w:val="0"/>
          <w:sz w:val="24"/>
          <w:highlight w:val="none"/>
          <w:lang w:eastAsia="zh-CN"/>
        </w:rPr>
        <w:t>八</w:t>
      </w:r>
      <w:r>
        <w:rPr>
          <w:rFonts w:hint="eastAsia" w:ascii="仿宋" w:hAnsi="仿宋" w:eastAsia="仿宋" w:cs="仿宋"/>
          <w:b/>
          <w:color w:val="auto"/>
          <w:kern w:val="0"/>
          <w:sz w:val="24"/>
          <w:highlight w:val="none"/>
        </w:rPr>
        <w:t>） 落实政府采购政策（包括但不限于下列具体政策要求）</w:t>
      </w:r>
    </w:p>
    <w:p w14:paraId="73C8675C">
      <w:pPr>
        <w:shd w:val="clear" w:color="auto" w:fill="FFFFFF"/>
        <w:autoSpaceDE w:val="0"/>
        <w:autoSpaceDN w:val="0"/>
        <w:adjustRightInd w:val="0"/>
        <w:spacing w:line="440" w:lineRule="exact"/>
        <w:ind w:firstLine="438" w:firstLineChars="189"/>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4</w:t>
      </w:r>
      <w:r>
        <w:rPr>
          <w:rFonts w:hint="eastAsia" w:ascii="仿宋" w:hAnsi="仿宋" w:eastAsia="仿宋" w:cs="仿宋"/>
          <w:color w:val="auto"/>
          <w:spacing w:val="-4"/>
          <w:kern w:val="0"/>
          <w:sz w:val="24"/>
          <w:highlight w:val="none"/>
          <w:lang w:val="en-US" w:eastAsia="zh-CN"/>
        </w:rPr>
        <w:t>4</w:t>
      </w:r>
      <w:r>
        <w:rPr>
          <w:rFonts w:hint="eastAsia" w:ascii="仿宋" w:hAnsi="仿宋" w:eastAsia="仿宋" w:cs="仿宋"/>
          <w:color w:val="auto"/>
          <w:spacing w:val="-4"/>
          <w:kern w:val="0"/>
          <w:sz w:val="24"/>
          <w:highlight w:val="none"/>
        </w:rPr>
        <w:t>.支持国产和进口产品审批</w:t>
      </w:r>
    </w:p>
    <w:p w14:paraId="3BCA57EA">
      <w:pPr>
        <w:shd w:val="clear" w:color="auto" w:fill="FFFFFF"/>
        <w:autoSpaceDE w:val="0"/>
        <w:autoSpaceDN w:val="0"/>
        <w:adjustRightInd w:val="0"/>
        <w:spacing w:line="440" w:lineRule="exact"/>
        <w:ind w:firstLine="438" w:firstLineChars="189"/>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4</w:t>
      </w:r>
      <w:r>
        <w:rPr>
          <w:rFonts w:hint="eastAsia" w:ascii="仿宋" w:hAnsi="仿宋" w:eastAsia="仿宋" w:cs="仿宋"/>
          <w:color w:val="auto"/>
          <w:spacing w:val="-4"/>
          <w:kern w:val="0"/>
          <w:sz w:val="24"/>
          <w:highlight w:val="none"/>
          <w:lang w:val="en-US" w:eastAsia="zh-CN"/>
        </w:rPr>
        <w:t>4</w:t>
      </w:r>
      <w:r>
        <w:rPr>
          <w:rFonts w:hint="eastAsia" w:ascii="仿宋" w:hAnsi="仿宋" w:eastAsia="仿宋" w:cs="仿宋"/>
          <w:color w:val="auto"/>
          <w:spacing w:val="-4"/>
          <w:kern w:val="0"/>
          <w:sz w:val="24"/>
          <w:highlight w:val="none"/>
        </w:rPr>
        <w:t>.1除“投标人须知前附表”另有规定外，政府采购应当采购本国货物、工程和服务，确需采购进口产品的，采购人应当按照《政府采购进口产品管理办法》（财库〔2007〕119 号文）、《关于政府采购进口产品管理有关问题的通知》（财办库〔2008〕248号）规定执行（进口产品审批制，科研院所监管部门另有规定的从其规定）。项目若涉及采购进口产品的，具体要求详见“第三章 采购需求”。</w:t>
      </w:r>
    </w:p>
    <w:p w14:paraId="4AD9FDF0">
      <w:pPr>
        <w:shd w:val="clear" w:color="auto" w:fill="FFFFFF"/>
        <w:autoSpaceDE w:val="0"/>
        <w:autoSpaceDN w:val="0"/>
        <w:adjustRightInd w:val="0"/>
        <w:spacing w:line="440" w:lineRule="exact"/>
        <w:ind w:firstLine="438" w:firstLineChars="189"/>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4</w:t>
      </w:r>
      <w:r>
        <w:rPr>
          <w:rFonts w:hint="eastAsia" w:ascii="仿宋" w:hAnsi="仿宋" w:eastAsia="仿宋" w:cs="仿宋"/>
          <w:color w:val="auto"/>
          <w:spacing w:val="-4"/>
          <w:kern w:val="0"/>
          <w:sz w:val="24"/>
          <w:highlight w:val="none"/>
          <w:lang w:val="en-US" w:eastAsia="zh-CN"/>
        </w:rPr>
        <w:t>4</w:t>
      </w:r>
      <w:r>
        <w:rPr>
          <w:rFonts w:hint="eastAsia" w:ascii="仿宋" w:hAnsi="仿宋" w:eastAsia="仿宋" w:cs="仿宋"/>
          <w:color w:val="auto"/>
          <w:spacing w:val="-4"/>
          <w:kern w:val="0"/>
          <w:sz w:val="24"/>
          <w:highlight w:val="none"/>
        </w:rPr>
        <w:t xml:space="preserve">.2进口产品指通过中国海关报关验放进入中国境内且产自关境外的产品，包括已经进入中国境内的进口产品。 </w:t>
      </w:r>
    </w:p>
    <w:p w14:paraId="171BF272">
      <w:pPr>
        <w:shd w:val="clear" w:color="auto" w:fill="FFFFFF"/>
        <w:autoSpaceDE w:val="0"/>
        <w:autoSpaceDN w:val="0"/>
        <w:adjustRightInd w:val="0"/>
        <w:spacing w:line="440" w:lineRule="exact"/>
        <w:ind w:firstLine="438" w:firstLineChars="189"/>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4</w:t>
      </w:r>
      <w:r>
        <w:rPr>
          <w:rFonts w:hint="eastAsia" w:ascii="仿宋" w:hAnsi="仿宋" w:eastAsia="仿宋" w:cs="仿宋"/>
          <w:color w:val="auto"/>
          <w:spacing w:val="-4"/>
          <w:kern w:val="0"/>
          <w:sz w:val="24"/>
          <w:highlight w:val="none"/>
          <w:lang w:val="en-US" w:eastAsia="zh-CN"/>
        </w:rPr>
        <w:t>4</w:t>
      </w:r>
      <w:r>
        <w:rPr>
          <w:rFonts w:hint="eastAsia" w:ascii="仿宋" w:hAnsi="仿宋" w:eastAsia="仿宋" w:cs="仿宋"/>
          <w:color w:val="auto"/>
          <w:spacing w:val="-4"/>
          <w:kern w:val="0"/>
          <w:sz w:val="24"/>
          <w:highlight w:val="none"/>
        </w:rPr>
        <w:t>.3若采购需求中写明允许采购进口产品，投标人应保证所投产品可履行合法报通关手续进入中国关境内。</w:t>
      </w:r>
    </w:p>
    <w:p w14:paraId="61950F1C">
      <w:pPr>
        <w:shd w:val="clear" w:color="auto" w:fill="FFFFFF"/>
        <w:autoSpaceDE w:val="0"/>
        <w:autoSpaceDN w:val="0"/>
        <w:adjustRightInd w:val="0"/>
        <w:spacing w:line="440" w:lineRule="exact"/>
        <w:ind w:firstLine="438" w:firstLineChars="189"/>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4</w:t>
      </w:r>
      <w:r>
        <w:rPr>
          <w:rFonts w:hint="eastAsia" w:ascii="仿宋" w:hAnsi="仿宋" w:eastAsia="仿宋" w:cs="仿宋"/>
          <w:color w:val="auto"/>
          <w:spacing w:val="-4"/>
          <w:kern w:val="0"/>
          <w:sz w:val="24"/>
          <w:highlight w:val="none"/>
          <w:lang w:val="en-US" w:eastAsia="zh-CN"/>
        </w:rPr>
        <w:t>4</w:t>
      </w:r>
      <w:r>
        <w:rPr>
          <w:rFonts w:hint="eastAsia" w:ascii="仿宋" w:hAnsi="仿宋" w:eastAsia="仿宋" w:cs="仿宋"/>
          <w:color w:val="auto"/>
          <w:spacing w:val="-4"/>
          <w:kern w:val="0"/>
          <w:sz w:val="24"/>
          <w:highlight w:val="none"/>
        </w:rPr>
        <w:t>.4若采购需求中未写明允许采购进口产品，如投标人所投产品为进口产品，其投标将被认定为投标无效。</w:t>
      </w:r>
    </w:p>
    <w:p w14:paraId="5C83EBDE">
      <w:pPr>
        <w:shd w:val="clear" w:color="auto" w:fill="FFFFFF"/>
        <w:autoSpaceDE w:val="0"/>
        <w:autoSpaceDN w:val="0"/>
        <w:adjustRightInd w:val="0"/>
        <w:spacing w:line="440" w:lineRule="exact"/>
        <w:ind w:firstLine="438" w:firstLineChars="189"/>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4</w:t>
      </w:r>
      <w:r>
        <w:rPr>
          <w:rFonts w:hint="eastAsia" w:ascii="仿宋" w:hAnsi="仿宋" w:eastAsia="仿宋" w:cs="仿宋"/>
          <w:color w:val="auto"/>
          <w:spacing w:val="-4"/>
          <w:kern w:val="0"/>
          <w:sz w:val="24"/>
          <w:highlight w:val="none"/>
          <w:lang w:val="en-US" w:eastAsia="zh-CN"/>
        </w:rPr>
        <w:t>5</w:t>
      </w:r>
      <w:r>
        <w:rPr>
          <w:rFonts w:hint="eastAsia" w:ascii="仿宋" w:hAnsi="仿宋" w:eastAsia="仿宋" w:cs="仿宋"/>
          <w:color w:val="auto"/>
          <w:spacing w:val="-4"/>
          <w:kern w:val="0"/>
          <w:sz w:val="24"/>
          <w:highlight w:val="none"/>
        </w:rPr>
        <w:t>.中小企业、监狱企业及残疾人福利性单位</w:t>
      </w:r>
    </w:p>
    <w:p w14:paraId="0A548E3F">
      <w:pPr>
        <w:shd w:val="clear" w:color="auto" w:fill="FFFFFF"/>
        <w:autoSpaceDE w:val="0"/>
        <w:autoSpaceDN w:val="0"/>
        <w:adjustRightInd w:val="0"/>
        <w:spacing w:line="440" w:lineRule="exact"/>
        <w:ind w:firstLine="438" w:firstLineChars="189"/>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4</w:t>
      </w:r>
      <w:r>
        <w:rPr>
          <w:rFonts w:hint="eastAsia" w:ascii="仿宋" w:hAnsi="仿宋" w:eastAsia="仿宋" w:cs="仿宋"/>
          <w:color w:val="auto"/>
          <w:spacing w:val="-4"/>
          <w:kern w:val="0"/>
          <w:sz w:val="24"/>
          <w:highlight w:val="none"/>
          <w:lang w:val="en-US" w:eastAsia="zh-CN"/>
        </w:rPr>
        <w:t>5</w:t>
      </w:r>
      <w:r>
        <w:rPr>
          <w:rFonts w:hint="eastAsia" w:ascii="仿宋" w:hAnsi="仿宋" w:eastAsia="仿宋" w:cs="仿宋"/>
          <w:color w:val="auto"/>
          <w:spacing w:val="-4"/>
          <w:kern w:val="0"/>
          <w:sz w:val="24"/>
          <w:highlight w:val="none"/>
        </w:rPr>
        <w:t xml:space="preserve">.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 号）、《政府采购促进中小企业发展管理办法》（财库〔2020〕46 号）、《关于印发中小企业划型标准规定的通知》（工信部联企业〔2011〕300 号）、《金融业企业划型标准规定》（〔2015〕309 号）等国务院批准的中小企业划分标准执行。 </w:t>
      </w:r>
    </w:p>
    <w:p w14:paraId="10F07F55">
      <w:pPr>
        <w:shd w:val="clear" w:color="auto" w:fill="FFFFFF"/>
        <w:autoSpaceDE w:val="0"/>
        <w:autoSpaceDN w:val="0"/>
        <w:adjustRightInd w:val="0"/>
        <w:spacing w:line="440" w:lineRule="exact"/>
        <w:ind w:firstLine="438" w:firstLineChars="189"/>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4</w:t>
      </w:r>
      <w:r>
        <w:rPr>
          <w:rFonts w:hint="eastAsia" w:ascii="仿宋" w:hAnsi="仿宋" w:eastAsia="仿宋" w:cs="仿宋"/>
          <w:color w:val="auto"/>
          <w:spacing w:val="-4"/>
          <w:kern w:val="0"/>
          <w:sz w:val="24"/>
          <w:highlight w:val="none"/>
          <w:lang w:val="en-US" w:eastAsia="zh-CN"/>
        </w:rPr>
        <w:t>5</w:t>
      </w:r>
      <w:r>
        <w:rPr>
          <w:rFonts w:hint="eastAsia" w:ascii="仿宋" w:hAnsi="仿宋" w:eastAsia="仿宋" w:cs="仿宋"/>
          <w:color w:val="auto"/>
          <w:spacing w:val="-4"/>
          <w:kern w:val="0"/>
          <w:sz w:val="24"/>
          <w:highlight w:val="none"/>
        </w:rPr>
        <w:t xml:space="preserve">.2为促进中小企业发展，依据《关于印发&lt;政府采购促进中小企业发展管理办法&gt;的通知》（财库〔2020〕46号）、《财政部 司法部关于政府采购支持监狱企业发展有关问题的通知》（财库〔2014〕68号）、《关于促进残疾人就业政府采购政策的通知》（财库〔2017〕141号）的规定，本项目供应商如需享受中小企业相关政策的，且符合上述文件规定的，应按本招标文件规定格式提供“中小企业声明函”或“监狱企业证明文件”或“残疾人福利性单位声明函”，评审时，评标委员会将依据本招标文件“投标人须知前附表”规定的报价扣除比例，对供应商报价进行价格扣除，用扣除后的价格参与评审；招标公告中明确项目专门面向中小企业采购的，“中小企业声明函”为资格要求文件，供应商参与投标须按本招标文件规定格式提供“中小企业声明函”或“监狱企业证明文件”或“残疾人福利性单位声明函”等作为资格证明文件。 </w:t>
      </w:r>
    </w:p>
    <w:p w14:paraId="27CCFA90">
      <w:pPr>
        <w:shd w:val="clear" w:color="auto" w:fill="FFFFFF"/>
        <w:autoSpaceDE w:val="0"/>
        <w:autoSpaceDN w:val="0"/>
        <w:adjustRightInd w:val="0"/>
        <w:spacing w:line="440" w:lineRule="exact"/>
        <w:ind w:firstLine="438" w:firstLineChars="189"/>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4</w:t>
      </w:r>
      <w:r>
        <w:rPr>
          <w:rFonts w:hint="eastAsia" w:ascii="仿宋" w:hAnsi="仿宋" w:eastAsia="仿宋" w:cs="仿宋"/>
          <w:color w:val="auto"/>
          <w:spacing w:val="-4"/>
          <w:kern w:val="0"/>
          <w:sz w:val="24"/>
          <w:highlight w:val="none"/>
          <w:lang w:val="en-US" w:eastAsia="zh-CN"/>
        </w:rPr>
        <w:t>5</w:t>
      </w:r>
      <w:r>
        <w:rPr>
          <w:rFonts w:hint="eastAsia" w:ascii="仿宋" w:hAnsi="仿宋" w:eastAsia="仿宋" w:cs="仿宋"/>
          <w:color w:val="auto"/>
          <w:spacing w:val="-4"/>
          <w:kern w:val="0"/>
          <w:sz w:val="24"/>
          <w:highlight w:val="none"/>
        </w:rPr>
        <w:t xml:space="preserve">.3 投标人提供的货物、工程或者服务符合下列情形的，享受中小企业扶持政策： </w:t>
      </w:r>
    </w:p>
    <w:p w14:paraId="3EDDAB09">
      <w:pPr>
        <w:shd w:val="clear" w:color="auto" w:fill="FFFFFF"/>
        <w:autoSpaceDE w:val="0"/>
        <w:autoSpaceDN w:val="0"/>
        <w:adjustRightInd w:val="0"/>
        <w:spacing w:line="440" w:lineRule="exact"/>
        <w:ind w:firstLine="438" w:firstLineChars="189"/>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 xml:space="preserve">（1）在货物采购项目中，货物由中小企业制造，即货物由中小企业生产且使用该中小企业商号或者注册商标； </w:t>
      </w:r>
    </w:p>
    <w:p w14:paraId="6F76F594">
      <w:pPr>
        <w:shd w:val="clear" w:color="auto" w:fill="FFFFFF"/>
        <w:autoSpaceDE w:val="0"/>
        <w:autoSpaceDN w:val="0"/>
        <w:adjustRightInd w:val="0"/>
        <w:spacing w:line="440" w:lineRule="exact"/>
        <w:ind w:firstLine="438" w:firstLineChars="189"/>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 xml:space="preserve">（2）在工程采购项目中，工程由中小企业承建，即工程施工单位为中小企业； </w:t>
      </w:r>
    </w:p>
    <w:p w14:paraId="3DAE15A5">
      <w:pPr>
        <w:shd w:val="clear" w:color="auto" w:fill="FFFFFF"/>
        <w:autoSpaceDE w:val="0"/>
        <w:autoSpaceDN w:val="0"/>
        <w:adjustRightInd w:val="0"/>
        <w:spacing w:line="440" w:lineRule="exact"/>
        <w:ind w:firstLine="438" w:firstLineChars="189"/>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（3）在服务采购项目中，服务由中小企业承接，即提供服务的人员为中小企业依照《中华人民共和国劳动合同法》订立劳动合同的从业人员。</w:t>
      </w:r>
    </w:p>
    <w:p w14:paraId="594CD11D">
      <w:pPr>
        <w:shd w:val="clear" w:color="auto" w:fill="FFFFFF"/>
        <w:autoSpaceDE w:val="0"/>
        <w:autoSpaceDN w:val="0"/>
        <w:adjustRightInd w:val="0"/>
        <w:spacing w:line="440" w:lineRule="exact"/>
        <w:ind w:firstLine="438" w:firstLineChars="189"/>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4</w:t>
      </w:r>
      <w:r>
        <w:rPr>
          <w:rFonts w:hint="eastAsia" w:ascii="仿宋" w:hAnsi="仿宋" w:eastAsia="仿宋" w:cs="仿宋"/>
          <w:color w:val="auto"/>
          <w:spacing w:val="-4"/>
          <w:kern w:val="0"/>
          <w:sz w:val="24"/>
          <w:highlight w:val="none"/>
          <w:lang w:val="en-US" w:eastAsia="zh-CN"/>
        </w:rPr>
        <w:t>5</w:t>
      </w:r>
      <w:r>
        <w:rPr>
          <w:rFonts w:hint="eastAsia" w:ascii="仿宋" w:hAnsi="仿宋" w:eastAsia="仿宋" w:cs="仿宋"/>
          <w:color w:val="auto"/>
          <w:spacing w:val="-4"/>
          <w:kern w:val="0"/>
          <w:sz w:val="24"/>
          <w:highlight w:val="none"/>
        </w:rPr>
        <w:t xml:space="preserve">.4 在货物采购项目中，投标人提供的货物既有中小企业制造货物，也有大型企业制造货物的，不享受中小企业扶持政策。 </w:t>
      </w:r>
    </w:p>
    <w:p w14:paraId="5DDBE94E">
      <w:pPr>
        <w:shd w:val="clear" w:color="auto" w:fill="FFFFFF"/>
        <w:autoSpaceDE w:val="0"/>
        <w:autoSpaceDN w:val="0"/>
        <w:adjustRightInd w:val="0"/>
        <w:spacing w:line="440" w:lineRule="exact"/>
        <w:ind w:firstLine="438" w:firstLineChars="189"/>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4</w:t>
      </w:r>
      <w:r>
        <w:rPr>
          <w:rFonts w:hint="eastAsia" w:ascii="仿宋" w:hAnsi="仿宋" w:eastAsia="仿宋" w:cs="仿宋"/>
          <w:color w:val="auto"/>
          <w:spacing w:val="-4"/>
          <w:kern w:val="0"/>
          <w:sz w:val="24"/>
          <w:highlight w:val="none"/>
          <w:lang w:val="en-US" w:eastAsia="zh-CN"/>
        </w:rPr>
        <w:t>5</w:t>
      </w:r>
      <w:r>
        <w:rPr>
          <w:rFonts w:hint="eastAsia" w:ascii="仿宋" w:hAnsi="仿宋" w:eastAsia="仿宋" w:cs="仿宋"/>
          <w:color w:val="auto"/>
          <w:spacing w:val="-4"/>
          <w:kern w:val="0"/>
          <w:sz w:val="24"/>
          <w:highlight w:val="none"/>
        </w:rPr>
        <w:t xml:space="preserve">.5 以联合体形式参加政府采购活动，联合体各方均为中小企业的，联合体视同中小企业。其中，联合体各方均为小微企业的，联合体视同小微企业。  </w:t>
      </w:r>
    </w:p>
    <w:p w14:paraId="57006193">
      <w:pPr>
        <w:shd w:val="clear" w:color="auto" w:fill="FFFFFF"/>
        <w:autoSpaceDE w:val="0"/>
        <w:autoSpaceDN w:val="0"/>
        <w:adjustRightInd w:val="0"/>
        <w:spacing w:line="440" w:lineRule="exact"/>
        <w:ind w:firstLine="438" w:firstLineChars="189"/>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4</w:t>
      </w:r>
      <w:r>
        <w:rPr>
          <w:rFonts w:hint="eastAsia" w:ascii="仿宋" w:hAnsi="仿宋" w:eastAsia="仿宋" w:cs="仿宋"/>
          <w:color w:val="auto"/>
          <w:spacing w:val="-4"/>
          <w:kern w:val="0"/>
          <w:sz w:val="24"/>
          <w:highlight w:val="none"/>
          <w:lang w:val="en-US" w:eastAsia="zh-CN"/>
        </w:rPr>
        <w:t>5</w:t>
      </w:r>
      <w:r>
        <w:rPr>
          <w:rFonts w:hint="eastAsia" w:ascii="仿宋" w:hAnsi="仿宋" w:eastAsia="仿宋" w:cs="仿宋"/>
          <w:color w:val="auto"/>
          <w:spacing w:val="-4"/>
          <w:kern w:val="0"/>
          <w:sz w:val="24"/>
          <w:highlight w:val="none"/>
        </w:rPr>
        <w:t xml:space="preserve">.6 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09BEFB9F">
      <w:pPr>
        <w:shd w:val="clear" w:color="auto" w:fill="FFFFFF"/>
        <w:autoSpaceDE w:val="0"/>
        <w:autoSpaceDN w:val="0"/>
        <w:adjustRightInd w:val="0"/>
        <w:spacing w:line="440" w:lineRule="exact"/>
        <w:ind w:firstLine="438" w:firstLineChars="189"/>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4</w:t>
      </w:r>
      <w:r>
        <w:rPr>
          <w:rFonts w:hint="eastAsia" w:ascii="仿宋" w:hAnsi="仿宋" w:eastAsia="仿宋" w:cs="仿宋"/>
          <w:color w:val="auto"/>
          <w:spacing w:val="-4"/>
          <w:kern w:val="0"/>
          <w:sz w:val="24"/>
          <w:highlight w:val="none"/>
          <w:lang w:val="en-US" w:eastAsia="zh-CN"/>
        </w:rPr>
        <w:t>5</w:t>
      </w:r>
      <w:r>
        <w:rPr>
          <w:rFonts w:hint="eastAsia" w:ascii="仿宋" w:hAnsi="仿宋" w:eastAsia="仿宋" w:cs="仿宋"/>
          <w:color w:val="auto"/>
          <w:spacing w:val="-4"/>
          <w:kern w:val="0"/>
          <w:sz w:val="24"/>
          <w:highlight w:val="none"/>
        </w:rPr>
        <w:t xml:space="preserve">.7 在政府采购活动中，残疾人福利性单位视同小型、微型企业，享受预留份额、评审中价格扣除等促进中小企业发展的政府采购政策。残疾人福利性单位定义：享受政府采购支持政策的残疾人福利性单位应当同时满足以下条件： </w:t>
      </w:r>
    </w:p>
    <w:p w14:paraId="3B99FE6A">
      <w:pPr>
        <w:shd w:val="clear" w:color="auto" w:fill="FFFFFF"/>
        <w:autoSpaceDE w:val="0"/>
        <w:autoSpaceDN w:val="0"/>
        <w:adjustRightInd w:val="0"/>
        <w:spacing w:line="440" w:lineRule="exact"/>
        <w:ind w:firstLine="438" w:firstLineChars="189"/>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4</w:t>
      </w:r>
      <w:r>
        <w:rPr>
          <w:rFonts w:hint="eastAsia" w:ascii="仿宋" w:hAnsi="仿宋" w:eastAsia="仿宋" w:cs="仿宋"/>
          <w:color w:val="auto"/>
          <w:spacing w:val="-4"/>
          <w:kern w:val="0"/>
          <w:sz w:val="24"/>
          <w:highlight w:val="none"/>
          <w:lang w:val="en-US" w:eastAsia="zh-CN"/>
        </w:rPr>
        <w:t>5</w:t>
      </w:r>
      <w:r>
        <w:rPr>
          <w:rFonts w:hint="eastAsia" w:ascii="仿宋" w:hAnsi="仿宋" w:eastAsia="仿宋" w:cs="仿宋"/>
          <w:color w:val="auto"/>
          <w:spacing w:val="-4"/>
          <w:kern w:val="0"/>
          <w:sz w:val="24"/>
          <w:highlight w:val="none"/>
        </w:rPr>
        <w:t xml:space="preserve">.7.1 安置的残疾人占本单位在职职工人数的比例不低于 25% （含 25%），并且安置的残疾人人数不少于 10 人（含 10人）； </w:t>
      </w:r>
    </w:p>
    <w:p w14:paraId="4B0C48BF">
      <w:pPr>
        <w:shd w:val="clear" w:color="auto" w:fill="FFFFFF"/>
        <w:autoSpaceDE w:val="0"/>
        <w:autoSpaceDN w:val="0"/>
        <w:adjustRightInd w:val="0"/>
        <w:spacing w:line="440" w:lineRule="exact"/>
        <w:ind w:firstLine="438" w:firstLineChars="189"/>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4</w:t>
      </w:r>
      <w:r>
        <w:rPr>
          <w:rFonts w:hint="eastAsia" w:ascii="仿宋" w:hAnsi="仿宋" w:eastAsia="仿宋" w:cs="仿宋"/>
          <w:color w:val="auto"/>
          <w:spacing w:val="-4"/>
          <w:kern w:val="0"/>
          <w:sz w:val="24"/>
          <w:highlight w:val="none"/>
          <w:lang w:val="en-US" w:eastAsia="zh-CN"/>
        </w:rPr>
        <w:t>5</w:t>
      </w:r>
      <w:r>
        <w:rPr>
          <w:rFonts w:hint="eastAsia" w:ascii="仿宋" w:hAnsi="仿宋" w:eastAsia="仿宋" w:cs="仿宋"/>
          <w:color w:val="auto"/>
          <w:spacing w:val="-4"/>
          <w:kern w:val="0"/>
          <w:sz w:val="24"/>
          <w:highlight w:val="none"/>
        </w:rPr>
        <w:t xml:space="preserve">.7.2 依法与安置的每位残疾人签订了1年以上（含1年）的劳动合同或服务协议； </w:t>
      </w:r>
    </w:p>
    <w:p w14:paraId="059D5DAA">
      <w:pPr>
        <w:shd w:val="clear" w:color="auto" w:fill="FFFFFF"/>
        <w:autoSpaceDE w:val="0"/>
        <w:autoSpaceDN w:val="0"/>
        <w:adjustRightInd w:val="0"/>
        <w:spacing w:line="440" w:lineRule="exact"/>
        <w:ind w:firstLine="438" w:firstLineChars="189"/>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4</w:t>
      </w:r>
      <w:r>
        <w:rPr>
          <w:rFonts w:hint="eastAsia" w:ascii="仿宋" w:hAnsi="仿宋" w:eastAsia="仿宋" w:cs="仿宋"/>
          <w:color w:val="auto"/>
          <w:spacing w:val="-4"/>
          <w:kern w:val="0"/>
          <w:sz w:val="24"/>
          <w:highlight w:val="none"/>
          <w:lang w:val="en-US" w:eastAsia="zh-CN"/>
        </w:rPr>
        <w:t>5</w:t>
      </w:r>
      <w:r>
        <w:rPr>
          <w:rFonts w:hint="eastAsia" w:ascii="仿宋" w:hAnsi="仿宋" w:eastAsia="仿宋" w:cs="仿宋"/>
          <w:color w:val="auto"/>
          <w:spacing w:val="-4"/>
          <w:kern w:val="0"/>
          <w:sz w:val="24"/>
          <w:highlight w:val="none"/>
        </w:rPr>
        <w:t xml:space="preserve">.7.3 为安置的每位残疾人按月足额缴纳了基本养老保险、基本医疗保险、失业保险、工伤保险和生育保险等社会保险费； </w:t>
      </w:r>
    </w:p>
    <w:p w14:paraId="4B764CF0">
      <w:pPr>
        <w:shd w:val="clear" w:color="auto" w:fill="FFFFFF"/>
        <w:autoSpaceDE w:val="0"/>
        <w:autoSpaceDN w:val="0"/>
        <w:adjustRightInd w:val="0"/>
        <w:spacing w:line="440" w:lineRule="exact"/>
        <w:ind w:firstLine="438" w:firstLineChars="189"/>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4</w:t>
      </w:r>
      <w:r>
        <w:rPr>
          <w:rFonts w:hint="eastAsia" w:ascii="仿宋" w:hAnsi="仿宋" w:eastAsia="仿宋" w:cs="仿宋"/>
          <w:color w:val="auto"/>
          <w:spacing w:val="-4"/>
          <w:kern w:val="0"/>
          <w:sz w:val="24"/>
          <w:highlight w:val="none"/>
          <w:lang w:val="en-US" w:eastAsia="zh-CN"/>
        </w:rPr>
        <w:t>5</w:t>
      </w:r>
      <w:r>
        <w:rPr>
          <w:rFonts w:hint="eastAsia" w:ascii="仿宋" w:hAnsi="仿宋" w:eastAsia="仿宋" w:cs="仿宋"/>
          <w:color w:val="auto"/>
          <w:spacing w:val="-4"/>
          <w:kern w:val="0"/>
          <w:sz w:val="24"/>
          <w:highlight w:val="none"/>
        </w:rPr>
        <w:t xml:space="preserve">.7.4 通过银行等金融机构向安置的每位残疾人，按月支付了不低于单位所在区县适用的经省级人民政府批准的月最低工资标准的工资； </w:t>
      </w:r>
    </w:p>
    <w:p w14:paraId="01A24F04">
      <w:pPr>
        <w:shd w:val="clear" w:color="auto" w:fill="FFFFFF"/>
        <w:autoSpaceDE w:val="0"/>
        <w:autoSpaceDN w:val="0"/>
        <w:adjustRightInd w:val="0"/>
        <w:spacing w:line="440" w:lineRule="exact"/>
        <w:ind w:firstLine="438" w:firstLineChars="189"/>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4</w:t>
      </w:r>
      <w:r>
        <w:rPr>
          <w:rFonts w:hint="eastAsia" w:ascii="仿宋" w:hAnsi="仿宋" w:eastAsia="仿宋" w:cs="仿宋"/>
          <w:color w:val="auto"/>
          <w:spacing w:val="-4"/>
          <w:kern w:val="0"/>
          <w:sz w:val="24"/>
          <w:highlight w:val="none"/>
          <w:lang w:val="en-US" w:eastAsia="zh-CN"/>
        </w:rPr>
        <w:t>5</w:t>
      </w:r>
      <w:r>
        <w:rPr>
          <w:rFonts w:hint="eastAsia" w:ascii="仿宋" w:hAnsi="仿宋" w:eastAsia="仿宋" w:cs="仿宋"/>
          <w:color w:val="auto"/>
          <w:spacing w:val="-4"/>
          <w:kern w:val="0"/>
          <w:sz w:val="24"/>
          <w:highlight w:val="none"/>
        </w:rPr>
        <w:t xml:space="preserve">.7.5 提供本单位制造的货物、承担的工程或者服务（以下简称产品），或者提供其他残疾人福利性单位制造的货物（不包括使用非残疾人福利性单位注册商标的货物）； </w:t>
      </w:r>
    </w:p>
    <w:p w14:paraId="7043537D">
      <w:pPr>
        <w:shd w:val="clear" w:color="auto" w:fill="FFFFFF"/>
        <w:autoSpaceDE w:val="0"/>
        <w:autoSpaceDN w:val="0"/>
        <w:adjustRightInd w:val="0"/>
        <w:spacing w:line="440" w:lineRule="exact"/>
        <w:ind w:firstLine="438" w:firstLineChars="189"/>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4</w:t>
      </w:r>
      <w:r>
        <w:rPr>
          <w:rFonts w:hint="eastAsia" w:ascii="仿宋" w:hAnsi="仿宋" w:eastAsia="仿宋" w:cs="仿宋"/>
          <w:color w:val="auto"/>
          <w:spacing w:val="-4"/>
          <w:kern w:val="0"/>
          <w:sz w:val="24"/>
          <w:highlight w:val="none"/>
          <w:lang w:val="en-US" w:eastAsia="zh-CN"/>
        </w:rPr>
        <w:t>5</w:t>
      </w:r>
      <w:r>
        <w:rPr>
          <w:rFonts w:hint="eastAsia" w:ascii="仿宋" w:hAnsi="仿宋" w:eastAsia="仿宋" w:cs="仿宋"/>
          <w:color w:val="auto"/>
          <w:spacing w:val="-4"/>
          <w:kern w:val="0"/>
          <w:sz w:val="24"/>
          <w:highlight w:val="none"/>
        </w:rPr>
        <w:t xml:space="preserve">.7.6 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级）》的自然人，包括具有劳动条件和劳动意愿的精神残疾人。在职职工人数是指与残疾人福利性单位建立劳动关系并依法签订劳动合同或服务协议的雇员人数。 </w:t>
      </w:r>
    </w:p>
    <w:p w14:paraId="53B02AD2">
      <w:pPr>
        <w:shd w:val="clear" w:color="auto" w:fill="FFFFFF"/>
        <w:autoSpaceDE w:val="0"/>
        <w:autoSpaceDN w:val="0"/>
        <w:adjustRightInd w:val="0"/>
        <w:spacing w:line="440" w:lineRule="exact"/>
        <w:ind w:firstLine="438" w:firstLineChars="189"/>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4</w:t>
      </w:r>
      <w:r>
        <w:rPr>
          <w:rFonts w:hint="eastAsia" w:ascii="仿宋" w:hAnsi="仿宋" w:eastAsia="仿宋" w:cs="仿宋"/>
          <w:color w:val="auto"/>
          <w:spacing w:val="-4"/>
          <w:kern w:val="0"/>
          <w:sz w:val="24"/>
          <w:highlight w:val="none"/>
          <w:lang w:val="en-US" w:eastAsia="zh-CN"/>
        </w:rPr>
        <w:t>5</w:t>
      </w:r>
      <w:r>
        <w:rPr>
          <w:rFonts w:hint="eastAsia" w:ascii="仿宋" w:hAnsi="仿宋" w:eastAsia="仿宋" w:cs="仿宋"/>
          <w:color w:val="auto"/>
          <w:spacing w:val="-4"/>
          <w:kern w:val="0"/>
          <w:sz w:val="24"/>
          <w:highlight w:val="none"/>
        </w:rPr>
        <w:t xml:space="preserve">.8 本项目是否专门面向中小企业预留采购份额见“第一章 招标公告”。    </w:t>
      </w:r>
    </w:p>
    <w:p w14:paraId="5AF1A293">
      <w:pPr>
        <w:shd w:val="clear" w:color="auto" w:fill="FFFFFF"/>
        <w:autoSpaceDE w:val="0"/>
        <w:autoSpaceDN w:val="0"/>
        <w:adjustRightInd w:val="0"/>
        <w:spacing w:line="440" w:lineRule="exact"/>
        <w:ind w:firstLine="438" w:firstLineChars="189"/>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4</w:t>
      </w:r>
      <w:r>
        <w:rPr>
          <w:rFonts w:hint="eastAsia" w:ascii="仿宋" w:hAnsi="仿宋" w:eastAsia="仿宋" w:cs="仿宋"/>
          <w:color w:val="auto"/>
          <w:spacing w:val="-4"/>
          <w:kern w:val="0"/>
          <w:sz w:val="24"/>
          <w:highlight w:val="none"/>
          <w:lang w:val="en-US" w:eastAsia="zh-CN"/>
        </w:rPr>
        <w:t>5</w:t>
      </w:r>
      <w:r>
        <w:rPr>
          <w:rFonts w:hint="eastAsia" w:ascii="仿宋" w:hAnsi="仿宋" w:eastAsia="仿宋" w:cs="仿宋"/>
          <w:color w:val="auto"/>
          <w:spacing w:val="-4"/>
          <w:kern w:val="0"/>
          <w:sz w:val="24"/>
          <w:highlight w:val="none"/>
        </w:rPr>
        <w:t xml:space="preserve">.9 采购标的对应的中小企业划分标准所属行业见“投标人须知前附表”。    </w:t>
      </w:r>
    </w:p>
    <w:p w14:paraId="7E7B7645">
      <w:pPr>
        <w:shd w:val="clear" w:color="auto" w:fill="FFFFFF"/>
        <w:autoSpaceDE w:val="0"/>
        <w:autoSpaceDN w:val="0"/>
        <w:adjustRightInd w:val="0"/>
        <w:spacing w:line="440" w:lineRule="exact"/>
        <w:ind w:firstLine="438" w:firstLineChars="189"/>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4</w:t>
      </w:r>
      <w:r>
        <w:rPr>
          <w:rFonts w:hint="eastAsia" w:ascii="仿宋" w:hAnsi="仿宋" w:eastAsia="仿宋" w:cs="仿宋"/>
          <w:color w:val="auto"/>
          <w:spacing w:val="-4"/>
          <w:kern w:val="0"/>
          <w:sz w:val="24"/>
          <w:highlight w:val="none"/>
          <w:lang w:val="en-US" w:eastAsia="zh-CN"/>
        </w:rPr>
        <w:t>5</w:t>
      </w:r>
      <w:r>
        <w:rPr>
          <w:rFonts w:hint="eastAsia" w:ascii="仿宋" w:hAnsi="仿宋" w:eastAsia="仿宋" w:cs="仿宋"/>
          <w:color w:val="auto"/>
          <w:spacing w:val="-4"/>
          <w:kern w:val="0"/>
          <w:sz w:val="24"/>
          <w:highlight w:val="none"/>
        </w:rPr>
        <w:t>.10 小微企业价格评审优惠的政策调整：见“投标人须知前附表”及“</w:t>
      </w:r>
      <w:r>
        <w:rPr>
          <w:rFonts w:hint="eastAsia" w:ascii="仿宋" w:hAnsi="仿宋" w:eastAsia="仿宋" w:cs="仿宋"/>
          <w:color w:val="auto"/>
          <w:kern w:val="0"/>
          <w:sz w:val="24"/>
          <w:highlight w:val="none"/>
        </w:rPr>
        <w:t>评标的具体评审办法和标准</w:t>
      </w:r>
      <w:r>
        <w:rPr>
          <w:rFonts w:hint="eastAsia" w:ascii="仿宋" w:hAnsi="仿宋" w:eastAsia="仿宋" w:cs="仿宋"/>
          <w:color w:val="auto"/>
          <w:spacing w:val="-4"/>
          <w:kern w:val="0"/>
          <w:sz w:val="24"/>
          <w:highlight w:val="none"/>
        </w:rPr>
        <w:t>”。</w:t>
      </w:r>
    </w:p>
    <w:p w14:paraId="6EAE319F">
      <w:pPr>
        <w:shd w:val="clear" w:color="auto" w:fill="FFFFFF"/>
        <w:autoSpaceDE w:val="0"/>
        <w:autoSpaceDN w:val="0"/>
        <w:adjustRightInd w:val="0"/>
        <w:spacing w:line="440" w:lineRule="exact"/>
        <w:ind w:firstLine="438" w:firstLineChars="189"/>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4</w:t>
      </w:r>
      <w:r>
        <w:rPr>
          <w:rFonts w:hint="eastAsia" w:ascii="仿宋" w:hAnsi="仿宋" w:eastAsia="仿宋" w:cs="仿宋"/>
          <w:color w:val="auto"/>
          <w:spacing w:val="-4"/>
          <w:kern w:val="0"/>
          <w:sz w:val="24"/>
          <w:highlight w:val="none"/>
          <w:lang w:val="en-US" w:eastAsia="zh-CN"/>
        </w:rPr>
        <w:t>6</w:t>
      </w:r>
      <w:r>
        <w:rPr>
          <w:rFonts w:hint="eastAsia" w:ascii="仿宋" w:hAnsi="仿宋" w:eastAsia="仿宋" w:cs="仿宋"/>
          <w:color w:val="auto"/>
          <w:spacing w:val="-4"/>
          <w:kern w:val="0"/>
          <w:sz w:val="24"/>
          <w:highlight w:val="none"/>
        </w:rPr>
        <w:t>.政府采购节能产品、环境标志产品</w:t>
      </w:r>
    </w:p>
    <w:p w14:paraId="6D65A6F0">
      <w:pPr>
        <w:shd w:val="clear" w:color="auto" w:fill="FFFFFF"/>
        <w:autoSpaceDE w:val="0"/>
        <w:autoSpaceDN w:val="0"/>
        <w:adjustRightInd w:val="0"/>
        <w:spacing w:line="440" w:lineRule="exact"/>
        <w:ind w:firstLine="438" w:firstLineChars="189"/>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4</w:t>
      </w:r>
      <w:r>
        <w:rPr>
          <w:rFonts w:hint="eastAsia" w:ascii="仿宋" w:hAnsi="仿宋" w:eastAsia="仿宋" w:cs="仿宋"/>
          <w:color w:val="auto"/>
          <w:spacing w:val="-4"/>
          <w:kern w:val="0"/>
          <w:sz w:val="24"/>
          <w:highlight w:val="none"/>
          <w:lang w:val="en-US" w:eastAsia="zh-CN"/>
        </w:rPr>
        <w:t>6</w:t>
      </w:r>
      <w:r>
        <w:rPr>
          <w:rFonts w:hint="eastAsia" w:ascii="仿宋" w:hAnsi="仿宋" w:eastAsia="仿宋" w:cs="仿宋"/>
          <w:color w:val="auto"/>
          <w:spacing w:val="-4"/>
          <w:kern w:val="0"/>
          <w:sz w:val="24"/>
          <w:highlight w:val="none"/>
        </w:rPr>
        <w:t>.1 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关于政府采购节能产品、环境标志产品的相关规定依据《关于调整优化节能产品、环境标志产品政府采购执行机制的通知》（财库〔2019〕9 号）、《关于印发环境标志产品政府采购品目清单的通知》（财库〔2019〕18号）、《关于印发节能产品政府采购品目清单的通知》（财库〔2019〕19号）的规定。</w:t>
      </w:r>
    </w:p>
    <w:p w14:paraId="6CED44FF">
      <w:pPr>
        <w:shd w:val="clear" w:color="auto" w:fill="FFFFFF"/>
        <w:autoSpaceDE w:val="0"/>
        <w:autoSpaceDN w:val="0"/>
        <w:adjustRightInd w:val="0"/>
        <w:spacing w:line="440" w:lineRule="exact"/>
        <w:ind w:firstLine="438" w:firstLineChars="189"/>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4</w:t>
      </w:r>
      <w:r>
        <w:rPr>
          <w:rFonts w:hint="eastAsia" w:ascii="仿宋" w:hAnsi="仿宋" w:eastAsia="仿宋" w:cs="仿宋"/>
          <w:color w:val="auto"/>
          <w:spacing w:val="-4"/>
          <w:kern w:val="0"/>
          <w:sz w:val="24"/>
          <w:highlight w:val="none"/>
          <w:lang w:val="en-US" w:eastAsia="zh-CN"/>
        </w:rPr>
        <w:t>6</w:t>
      </w:r>
      <w:r>
        <w:rPr>
          <w:rFonts w:hint="eastAsia" w:ascii="仿宋" w:hAnsi="仿宋" w:eastAsia="仿宋" w:cs="仿宋"/>
          <w:color w:val="auto"/>
          <w:spacing w:val="-4"/>
          <w:kern w:val="0"/>
          <w:sz w:val="24"/>
          <w:highlight w:val="none"/>
        </w:rPr>
        <w:t xml:space="preserve">.2 采购人拟采购的产品属于品目清单范围的，采购人及其委托的采购代理机构依据国家确定的认证机构出具的、处于有效期之内的节能产品、环境标志产品认证证书，对获得证书的产品实施政府优先采购或强制采购。 </w:t>
      </w:r>
    </w:p>
    <w:p w14:paraId="026CFAE1">
      <w:pPr>
        <w:shd w:val="clear" w:color="auto" w:fill="FFFFFF"/>
        <w:autoSpaceDE w:val="0"/>
        <w:autoSpaceDN w:val="0"/>
        <w:adjustRightInd w:val="0"/>
        <w:spacing w:line="440" w:lineRule="exact"/>
        <w:ind w:firstLine="438" w:firstLineChars="189"/>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4</w:t>
      </w:r>
      <w:r>
        <w:rPr>
          <w:rFonts w:hint="eastAsia" w:ascii="仿宋" w:hAnsi="仿宋" w:eastAsia="仿宋" w:cs="仿宋"/>
          <w:color w:val="auto"/>
          <w:spacing w:val="-4"/>
          <w:kern w:val="0"/>
          <w:sz w:val="24"/>
          <w:highlight w:val="none"/>
          <w:lang w:val="en-US" w:eastAsia="zh-CN"/>
        </w:rPr>
        <w:t>6</w:t>
      </w:r>
      <w:r>
        <w:rPr>
          <w:rFonts w:hint="eastAsia" w:ascii="仿宋" w:hAnsi="仿宋" w:eastAsia="仿宋" w:cs="仿宋"/>
          <w:color w:val="auto"/>
          <w:spacing w:val="-4"/>
          <w:kern w:val="0"/>
          <w:sz w:val="24"/>
          <w:highlight w:val="none"/>
        </w:rPr>
        <w:t xml:space="preserve">.3 如本项目采购产品属于实施政府强制采购品目清单范围的节能产品，则投标人所报产品必须获得国家确定的认证机构出具的、处于有效期之内的节能产品认证证书，否则投标无效。 </w:t>
      </w:r>
    </w:p>
    <w:p w14:paraId="595EE9F4">
      <w:pPr>
        <w:shd w:val="clear" w:color="auto" w:fill="FFFFFF"/>
        <w:autoSpaceDE w:val="0"/>
        <w:autoSpaceDN w:val="0"/>
        <w:adjustRightInd w:val="0"/>
        <w:spacing w:line="440" w:lineRule="exact"/>
        <w:ind w:firstLine="438" w:firstLineChars="189"/>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4</w:t>
      </w:r>
      <w:r>
        <w:rPr>
          <w:rFonts w:hint="eastAsia" w:ascii="仿宋" w:hAnsi="仿宋" w:eastAsia="仿宋" w:cs="仿宋"/>
          <w:color w:val="auto"/>
          <w:spacing w:val="-4"/>
          <w:kern w:val="0"/>
          <w:sz w:val="24"/>
          <w:highlight w:val="none"/>
          <w:lang w:val="en-US" w:eastAsia="zh-CN"/>
        </w:rPr>
        <w:t>6</w:t>
      </w:r>
      <w:r>
        <w:rPr>
          <w:rFonts w:hint="eastAsia" w:ascii="仿宋" w:hAnsi="仿宋" w:eastAsia="仿宋" w:cs="仿宋"/>
          <w:color w:val="auto"/>
          <w:spacing w:val="-4"/>
          <w:kern w:val="0"/>
          <w:sz w:val="24"/>
          <w:highlight w:val="none"/>
        </w:rPr>
        <w:t>.4 非政府强制采购的节能产品或环境标志产品，依据品目清单和认证证书实施政府优先采购。优先采购的具体规定见“第五章 评标方法及标准”（如涉及）。</w:t>
      </w:r>
    </w:p>
    <w:p w14:paraId="55314D23">
      <w:pPr>
        <w:shd w:val="clear" w:color="auto" w:fill="FFFFFF"/>
        <w:autoSpaceDE w:val="0"/>
        <w:autoSpaceDN w:val="0"/>
        <w:adjustRightInd w:val="0"/>
        <w:spacing w:line="440" w:lineRule="exact"/>
        <w:ind w:firstLine="438" w:firstLineChars="189"/>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4</w:t>
      </w:r>
      <w:r>
        <w:rPr>
          <w:rFonts w:hint="eastAsia" w:ascii="仿宋" w:hAnsi="仿宋" w:eastAsia="仿宋" w:cs="仿宋"/>
          <w:color w:val="auto"/>
          <w:spacing w:val="-4"/>
          <w:kern w:val="0"/>
          <w:sz w:val="24"/>
          <w:highlight w:val="none"/>
          <w:lang w:val="en-US" w:eastAsia="zh-CN"/>
        </w:rPr>
        <w:t>6</w:t>
      </w:r>
      <w:r>
        <w:rPr>
          <w:rFonts w:hint="eastAsia" w:ascii="仿宋" w:hAnsi="仿宋" w:eastAsia="仿宋" w:cs="仿宋"/>
          <w:color w:val="auto"/>
          <w:spacing w:val="-4"/>
          <w:kern w:val="0"/>
          <w:sz w:val="24"/>
          <w:highlight w:val="none"/>
        </w:rPr>
        <w:t>.5 投标人所投产品如属于节能产品政府采购品目清单、环境标志产品政府采购品目清单范围的，须提供国家确定的认证机构出具的、处于有效期内的产品认证证书，认证证书的产品型号与所投产品不一致的，视为未提供。属于政府强制采购产品的，已作为投标时强制性要求不再给予价格评审优惠，未提供认证证书的视为投标无效。属于优先采购节能产品政府采购品目清单、环境标志产品政府采购品目清单、创新产品范围的，按照“第五章 评标方法及标准”中相关规定在评审时给予价格评审优惠，具体详见“投标人须知前附表”及“第五章 评标方法及标准”。</w:t>
      </w:r>
    </w:p>
    <w:p w14:paraId="34A201E8">
      <w:pPr>
        <w:shd w:val="clear" w:color="auto" w:fill="FFFFFF"/>
        <w:autoSpaceDE w:val="0"/>
        <w:autoSpaceDN w:val="0"/>
        <w:adjustRightInd w:val="0"/>
        <w:spacing w:line="440" w:lineRule="exact"/>
        <w:ind w:firstLine="438" w:firstLineChars="189"/>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4</w:t>
      </w:r>
      <w:r>
        <w:rPr>
          <w:rFonts w:hint="eastAsia" w:ascii="仿宋" w:hAnsi="仿宋" w:eastAsia="仿宋" w:cs="仿宋"/>
          <w:color w:val="auto"/>
          <w:spacing w:val="-4"/>
          <w:kern w:val="0"/>
          <w:sz w:val="24"/>
          <w:highlight w:val="none"/>
          <w:lang w:val="en-US" w:eastAsia="zh-CN"/>
        </w:rPr>
        <w:t>7</w:t>
      </w:r>
      <w:r>
        <w:rPr>
          <w:rFonts w:hint="eastAsia" w:ascii="仿宋" w:hAnsi="仿宋" w:eastAsia="仿宋" w:cs="仿宋"/>
          <w:color w:val="auto"/>
          <w:spacing w:val="-4"/>
          <w:kern w:val="0"/>
          <w:sz w:val="24"/>
          <w:highlight w:val="none"/>
        </w:rPr>
        <w:t xml:space="preserve">.正版软件  </w:t>
      </w:r>
    </w:p>
    <w:p w14:paraId="0EA24B39">
      <w:pPr>
        <w:shd w:val="clear" w:color="auto" w:fill="FFFFFF"/>
        <w:autoSpaceDE w:val="0"/>
        <w:autoSpaceDN w:val="0"/>
        <w:adjustRightInd w:val="0"/>
        <w:spacing w:line="440" w:lineRule="exact"/>
        <w:ind w:firstLine="438" w:firstLineChars="189"/>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4</w:t>
      </w:r>
      <w:r>
        <w:rPr>
          <w:rFonts w:hint="eastAsia" w:ascii="仿宋" w:hAnsi="仿宋" w:eastAsia="仿宋" w:cs="仿宋"/>
          <w:color w:val="auto"/>
          <w:spacing w:val="-4"/>
          <w:kern w:val="0"/>
          <w:sz w:val="24"/>
          <w:highlight w:val="none"/>
          <w:lang w:val="en-US" w:eastAsia="zh-CN"/>
        </w:rPr>
        <w:t>7</w:t>
      </w:r>
      <w:r>
        <w:rPr>
          <w:rFonts w:hint="eastAsia" w:ascii="仿宋" w:hAnsi="仿宋" w:eastAsia="仿宋" w:cs="仿宋"/>
          <w:color w:val="auto"/>
          <w:spacing w:val="-4"/>
          <w:kern w:val="0"/>
          <w:sz w:val="24"/>
          <w:highlight w:val="none"/>
        </w:rPr>
        <w:t xml:space="preserve">.1 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投标无效。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 </w:t>
      </w:r>
    </w:p>
    <w:p w14:paraId="027BB4E6">
      <w:pPr>
        <w:shd w:val="clear" w:color="auto" w:fill="FFFFFF"/>
        <w:autoSpaceDE w:val="0"/>
        <w:autoSpaceDN w:val="0"/>
        <w:adjustRightInd w:val="0"/>
        <w:spacing w:line="440" w:lineRule="exact"/>
        <w:ind w:firstLine="438" w:firstLineChars="189"/>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4</w:t>
      </w:r>
      <w:r>
        <w:rPr>
          <w:rFonts w:hint="eastAsia" w:ascii="仿宋" w:hAnsi="仿宋" w:eastAsia="仿宋" w:cs="仿宋"/>
          <w:color w:val="auto"/>
          <w:spacing w:val="-4"/>
          <w:kern w:val="0"/>
          <w:sz w:val="24"/>
          <w:highlight w:val="none"/>
          <w:lang w:val="en-US" w:eastAsia="zh-CN"/>
        </w:rPr>
        <w:t>7</w:t>
      </w:r>
      <w:r>
        <w:rPr>
          <w:rFonts w:hint="eastAsia" w:ascii="仿宋" w:hAnsi="仿宋" w:eastAsia="仿宋" w:cs="仿宋"/>
          <w:color w:val="auto"/>
          <w:spacing w:val="-4"/>
          <w:kern w:val="0"/>
          <w:sz w:val="24"/>
          <w:highlight w:val="none"/>
        </w:rPr>
        <w:t>.2 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号）、《国务院办公厅关于印发政府机关使用正版软件管理办法的通知》国办发〔2013〕88号。</w:t>
      </w:r>
    </w:p>
    <w:p w14:paraId="72C0A1FD">
      <w:pPr>
        <w:shd w:val="clear" w:color="auto" w:fill="FFFFFF"/>
        <w:autoSpaceDE w:val="0"/>
        <w:autoSpaceDN w:val="0"/>
        <w:adjustRightInd w:val="0"/>
        <w:spacing w:line="440" w:lineRule="exact"/>
        <w:ind w:firstLine="438" w:firstLineChars="189"/>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4</w:t>
      </w:r>
      <w:r>
        <w:rPr>
          <w:rFonts w:hint="eastAsia" w:ascii="仿宋" w:hAnsi="仿宋" w:eastAsia="仿宋" w:cs="仿宋"/>
          <w:color w:val="auto"/>
          <w:spacing w:val="-4"/>
          <w:kern w:val="0"/>
          <w:sz w:val="24"/>
          <w:highlight w:val="none"/>
          <w:lang w:val="en-US" w:eastAsia="zh-CN"/>
        </w:rPr>
        <w:t>8</w:t>
      </w:r>
      <w:r>
        <w:rPr>
          <w:rFonts w:hint="eastAsia" w:ascii="仿宋" w:hAnsi="仿宋" w:eastAsia="仿宋" w:cs="仿宋"/>
          <w:color w:val="auto"/>
          <w:spacing w:val="-4"/>
          <w:kern w:val="0"/>
          <w:sz w:val="24"/>
          <w:highlight w:val="none"/>
        </w:rPr>
        <w:t xml:space="preserve">.网络安全专用产品   </w:t>
      </w:r>
    </w:p>
    <w:p w14:paraId="2B1F3D07">
      <w:pPr>
        <w:shd w:val="clear" w:color="auto" w:fill="FFFFFF"/>
        <w:autoSpaceDE w:val="0"/>
        <w:autoSpaceDN w:val="0"/>
        <w:adjustRightInd w:val="0"/>
        <w:spacing w:line="440" w:lineRule="exact"/>
        <w:ind w:firstLine="438" w:firstLineChars="189"/>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4</w:t>
      </w:r>
      <w:r>
        <w:rPr>
          <w:rFonts w:hint="eastAsia" w:ascii="仿宋" w:hAnsi="仿宋" w:eastAsia="仿宋" w:cs="仿宋"/>
          <w:color w:val="auto"/>
          <w:spacing w:val="-4"/>
          <w:kern w:val="0"/>
          <w:sz w:val="24"/>
          <w:highlight w:val="none"/>
          <w:lang w:val="en-US" w:eastAsia="zh-CN"/>
        </w:rPr>
        <w:t>8</w:t>
      </w:r>
      <w:r>
        <w:rPr>
          <w:rFonts w:hint="eastAsia" w:ascii="仿宋" w:hAnsi="仿宋" w:eastAsia="仿宋" w:cs="仿宋"/>
          <w:color w:val="auto"/>
          <w:spacing w:val="-4"/>
          <w:kern w:val="0"/>
          <w:sz w:val="24"/>
          <w:highlight w:val="none"/>
        </w:rPr>
        <w:t>.1本项目中如涉及网络关键设备或网络安全专用产品的，应严格执行国家互联网信息办公室、工业和信息化部、公安部、财政部和国家认证认可监督管理委员会 2023年第 1 号《关于调整网络安全专用产品安全管理有关事项的公告》及国家互联网信息办公室、工业和信息化部、公安部和国家认证认可监督管理委员会 2023 年第 2号《关于调整&lt;网络关键设备和网络安全专用产品目录&gt;的公告》等相关文件要求，所投标（响应）设备或产品至少符合以下条件之一：一是已由具备资格的机构安全认证合格或安全检测符合要求；二是已获得《计算机信息系统安全专用产品销售许可证》，且在有效期内。采购人、中标(成交)人双方签订合同及验收环节，应包含上述网络安全要求的条款。</w:t>
      </w:r>
    </w:p>
    <w:p w14:paraId="3140AFDA">
      <w:pPr>
        <w:shd w:val="clear" w:color="auto" w:fill="FFFFFF"/>
        <w:autoSpaceDE w:val="0"/>
        <w:autoSpaceDN w:val="0"/>
        <w:adjustRightInd w:val="0"/>
        <w:spacing w:line="440" w:lineRule="exact"/>
        <w:ind w:firstLine="438" w:firstLineChars="189"/>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4</w:t>
      </w:r>
      <w:r>
        <w:rPr>
          <w:rFonts w:hint="eastAsia" w:ascii="仿宋" w:hAnsi="仿宋" w:eastAsia="仿宋" w:cs="仿宋"/>
          <w:color w:val="auto"/>
          <w:spacing w:val="-4"/>
          <w:kern w:val="0"/>
          <w:sz w:val="24"/>
          <w:highlight w:val="none"/>
          <w:lang w:val="en-US" w:eastAsia="zh-CN"/>
        </w:rPr>
        <w:t>8</w:t>
      </w:r>
      <w:r>
        <w:rPr>
          <w:rFonts w:hint="eastAsia" w:ascii="仿宋" w:hAnsi="仿宋" w:eastAsia="仿宋" w:cs="仿宋"/>
          <w:color w:val="auto"/>
          <w:spacing w:val="-4"/>
          <w:kern w:val="0"/>
          <w:sz w:val="24"/>
          <w:highlight w:val="none"/>
        </w:rPr>
        <w:t xml:space="preserve">.2本项目中如涉及国家强制性产品认证证书（CCC 认证证书）、电信设备进网许可证、无线电发射设备核准证等市场准入类资质的，应严格执行国家相关法律法规的要求。采购人、中标(成交)人双方签订合同及验收环节，应包含上述市场准入类资质要求的条款。 </w:t>
      </w:r>
    </w:p>
    <w:p w14:paraId="43F278E8">
      <w:pPr>
        <w:shd w:val="clear" w:color="auto" w:fill="FFFFFF"/>
        <w:autoSpaceDE w:val="0"/>
        <w:autoSpaceDN w:val="0"/>
        <w:adjustRightInd w:val="0"/>
        <w:spacing w:line="440" w:lineRule="exact"/>
        <w:ind w:firstLine="438" w:firstLineChars="189"/>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4</w:t>
      </w:r>
      <w:r>
        <w:rPr>
          <w:rFonts w:hint="eastAsia" w:ascii="仿宋" w:hAnsi="仿宋" w:eastAsia="仿宋" w:cs="仿宋"/>
          <w:color w:val="auto"/>
          <w:spacing w:val="-4"/>
          <w:kern w:val="0"/>
          <w:sz w:val="24"/>
          <w:highlight w:val="none"/>
          <w:lang w:val="en-US" w:eastAsia="zh-CN"/>
        </w:rPr>
        <w:t>9</w:t>
      </w:r>
      <w:r>
        <w:rPr>
          <w:rFonts w:hint="eastAsia" w:ascii="仿宋" w:hAnsi="仿宋" w:eastAsia="仿宋" w:cs="仿宋"/>
          <w:color w:val="auto"/>
          <w:spacing w:val="-4"/>
          <w:kern w:val="0"/>
          <w:sz w:val="24"/>
          <w:highlight w:val="none"/>
        </w:rPr>
        <w:t xml:space="preserve">.采购需求标准   </w:t>
      </w:r>
    </w:p>
    <w:p w14:paraId="60651CD8">
      <w:pPr>
        <w:shd w:val="clear" w:color="auto" w:fill="FFFFFF"/>
        <w:autoSpaceDE w:val="0"/>
        <w:autoSpaceDN w:val="0"/>
        <w:adjustRightInd w:val="0"/>
        <w:spacing w:line="440" w:lineRule="exact"/>
        <w:ind w:firstLine="438" w:firstLineChars="189"/>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4</w:t>
      </w:r>
      <w:r>
        <w:rPr>
          <w:rFonts w:hint="eastAsia" w:ascii="仿宋" w:hAnsi="仿宋" w:eastAsia="仿宋" w:cs="仿宋"/>
          <w:color w:val="auto"/>
          <w:spacing w:val="-4"/>
          <w:kern w:val="0"/>
          <w:sz w:val="24"/>
          <w:highlight w:val="none"/>
          <w:lang w:val="en-US" w:eastAsia="zh-CN"/>
        </w:rPr>
        <w:t>9</w:t>
      </w:r>
      <w:r>
        <w:rPr>
          <w:rFonts w:hint="eastAsia" w:ascii="仿宋" w:hAnsi="仿宋" w:eastAsia="仿宋" w:cs="仿宋"/>
          <w:color w:val="auto"/>
          <w:spacing w:val="-4"/>
          <w:kern w:val="0"/>
          <w:sz w:val="24"/>
          <w:highlight w:val="none"/>
        </w:rPr>
        <w:t xml:space="preserve">.1 商品包装、快递包装政府采购需求标准（试行） </w:t>
      </w:r>
    </w:p>
    <w:p w14:paraId="7F7C5138">
      <w:pPr>
        <w:shd w:val="clear" w:color="auto" w:fill="FFFFFF"/>
        <w:autoSpaceDE w:val="0"/>
        <w:autoSpaceDN w:val="0"/>
        <w:adjustRightInd w:val="0"/>
        <w:spacing w:line="440" w:lineRule="exact"/>
        <w:ind w:firstLine="438" w:firstLineChars="189"/>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 xml:space="preserve">为助力打好污染防治攻坚战，推广使用绿色包装，根据财政部关于印发《商品包装政府采购需求标准（试行）》、《快递包装政府采购需求标准（试行）》的通知（财办库〔2020〕123 号），本项目如涉及商品包装和快递包装的，则其具体要求见第三章《采购需求》。 </w:t>
      </w:r>
    </w:p>
    <w:p w14:paraId="61857780">
      <w:pPr>
        <w:shd w:val="clear" w:color="auto" w:fill="FFFFFF"/>
        <w:autoSpaceDE w:val="0"/>
        <w:autoSpaceDN w:val="0"/>
        <w:adjustRightInd w:val="0"/>
        <w:spacing w:line="440" w:lineRule="exact"/>
        <w:ind w:firstLine="438" w:firstLineChars="189"/>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4</w:t>
      </w:r>
      <w:r>
        <w:rPr>
          <w:rFonts w:hint="eastAsia" w:ascii="仿宋" w:hAnsi="仿宋" w:eastAsia="仿宋" w:cs="仿宋"/>
          <w:color w:val="auto"/>
          <w:spacing w:val="-4"/>
          <w:kern w:val="0"/>
          <w:sz w:val="24"/>
          <w:highlight w:val="none"/>
          <w:lang w:val="en-US" w:eastAsia="zh-CN"/>
        </w:rPr>
        <w:t>9</w:t>
      </w:r>
      <w:r>
        <w:rPr>
          <w:rFonts w:hint="eastAsia" w:ascii="仿宋" w:hAnsi="仿宋" w:eastAsia="仿宋" w:cs="仿宋"/>
          <w:color w:val="auto"/>
          <w:spacing w:val="-4"/>
          <w:kern w:val="0"/>
          <w:sz w:val="24"/>
          <w:highlight w:val="none"/>
        </w:rPr>
        <w:t xml:space="preserve">.2 绿色数据中心政府采购需求标准（试行） </w:t>
      </w:r>
    </w:p>
    <w:p w14:paraId="21541A12">
      <w:pPr>
        <w:shd w:val="clear" w:color="auto" w:fill="FFFFFF"/>
        <w:autoSpaceDE w:val="0"/>
        <w:autoSpaceDN w:val="0"/>
        <w:adjustRightInd w:val="0"/>
        <w:spacing w:line="440" w:lineRule="exact"/>
        <w:ind w:firstLine="438" w:firstLineChars="189"/>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 xml:space="preserve">为加快数据中心绿色转型，根据财政部 生态环境部 工业和信息化部关于印发《绿色数据中心政府采购需求标准（试行）》的通知（财库〔2023〕7 号），本项目如涉及绿色数据中心，则具体要求见第三章《采购需求》。 </w:t>
      </w:r>
    </w:p>
    <w:p w14:paraId="1C28B52F">
      <w:pPr>
        <w:shd w:val="clear" w:color="auto" w:fill="FFFFFF"/>
        <w:autoSpaceDE w:val="0"/>
        <w:autoSpaceDN w:val="0"/>
        <w:adjustRightInd w:val="0"/>
        <w:spacing w:line="440" w:lineRule="exact"/>
        <w:ind w:firstLine="438" w:firstLineChars="189"/>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4</w:t>
      </w:r>
      <w:r>
        <w:rPr>
          <w:rFonts w:hint="eastAsia" w:ascii="仿宋" w:hAnsi="仿宋" w:eastAsia="仿宋" w:cs="仿宋"/>
          <w:color w:val="auto"/>
          <w:spacing w:val="-4"/>
          <w:kern w:val="0"/>
          <w:sz w:val="24"/>
          <w:highlight w:val="none"/>
          <w:lang w:val="en-US" w:eastAsia="zh-CN"/>
        </w:rPr>
        <w:t>9</w:t>
      </w:r>
      <w:r>
        <w:rPr>
          <w:rFonts w:hint="eastAsia" w:ascii="仿宋" w:hAnsi="仿宋" w:eastAsia="仿宋" w:cs="仿宋"/>
          <w:color w:val="auto"/>
          <w:spacing w:val="-4"/>
          <w:kern w:val="0"/>
          <w:sz w:val="24"/>
          <w:highlight w:val="none"/>
        </w:rPr>
        <w:t>.3台式计算机政府采购需求标准</w:t>
      </w:r>
    </w:p>
    <w:p w14:paraId="5F41DE55">
      <w:pPr>
        <w:shd w:val="clear" w:color="auto" w:fill="FFFFFF"/>
        <w:autoSpaceDE w:val="0"/>
        <w:autoSpaceDN w:val="0"/>
        <w:adjustRightInd w:val="0"/>
        <w:spacing w:line="440" w:lineRule="exact"/>
        <w:ind w:firstLine="438" w:firstLineChars="189"/>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为提高台式计算机政府采购需求管理的科学化、规范化水平，进一步落实政府采购公平竞争原则，优化营商环境，营造良好的产业生态，财政部 工业和信息化部关于印发《台式计算机政府采购需求标准（2023年版）》的通知（财库〔2023〕29号），本项目如涉及台式计算机采购，则具体要求见第三章《采购需求》。</w:t>
      </w:r>
    </w:p>
    <w:p w14:paraId="2F653626">
      <w:pPr>
        <w:shd w:val="clear" w:color="auto" w:fill="FFFFFF"/>
        <w:autoSpaceDE w:val="0"/>
        <w:autoSpaceDN w:val="0"/>
        <w:adjustRightInd w:val="0"/>
        <w:spacing w:line="440" w:lineRule="exact"/>
        <w:ind w:firstLine="438" w:firstLineChars="189"/>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4</w:t>
      </w:r>
      <w:r>
        <w:rPr>
          <w:rFonts w:hint="eastAsia" w:ascii="仿宋" w:hAnsi="仿宋" w:eastAsia="仿宋" w:cs="仿宋"/>
          <w:color w:val="auto"/>
          <w:spacing w:val="-4"/>
          <w:kern w:val="0"/>
          <w:sz w:val="24"/>
          <w:highlight w:val="none"/>
          <w:lang w:val="en-US" w:eastAsia="zh-CN"/>
        </w:rPr>
        <w:t>9</w:t>
      </w:r>
      <w:r>
        <w:rPr>
          <w:rFonts w:hint="eastAsia" w:ascii="仿宋" w:hAnsi="仿宋" w:eastAsia="仿宋" w:cs="仿宋"/>
          <w:color w:val="auto"/>
          <w:spacing w:val="-4"/>
          <w:kern w:val="0"/>
          <w:sz w:val="24"/>
          <w:highlight w:val="none"/>
        </w:rPr>
        <w:t>.4便携式计算机政府采购需求标准</w:t>
      </w:r>
    </w:p>
    <w:p w14:paraId="07E255B8">
      <w:pPr>
        <w:shd w:val="clear" w:color="auto" w:fill="FFFFFF"/>
        <w:autoSpaceDE w:val="0"/>
        <w:autoSpaceDN w:val="0"/>
        <w:adjustRightInd w:val="0"/>
        <w:spacing w:line="440" w:lineRule="exact"/>
        <w:ind w:firstLine="438" w:firstLineChars="189"/>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为提高便携式计算机政府采购需求管理的科学化、规范化水平，进一步落实政府采购公平竞争原则，优化营商环境，营造良好的产业生态，财政部 工业和信息化部关于印发《便携式计算机政府采购需求标准（2023年版）》的通知（财库〔2023〕30号），本项目如涉及便携式计算机采购，则具体要求见第三章《采购需求》。</w:t>
      </w:r>
    </w:p>
    <w:p w14:paraId="65D08A89">
      <w:pPr>
        <w:shd w:val="clear" w:color="auto" w:fill="FFFFFF"/>
        <w:autoSpaceDE w:val="0"/>
        <w:autoSpaceDN w:val="0"/>
        <w:adjustRightInd w:val="0"/>
        <w:spacing w:line="440" w:lineRule="exact"/>
        <w:ind w:firstLine="438" w:firstLineChars="189"/>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4</w:t>
      </w:r>
      <w:r>
        <w:rPr>
          <w:rFonts w:hint="eastAsia" w:ascii="仿宋" w:hAnsi="仿宋" w:eastAsia="仿宋" w:cs="仿宋"/>
          <w:color w:val="auto"/>
          <w:spacing w:val="-4"/>
          <w:kern w:val="0"/>
          <w:sz w:val="24"/>
          <w:highlight w:val="none"/>
          <w:lang w:val="en-US" w:eastAsia="zh-CN"/>
        </w:rPr>
        <w:t>9</w:t>
      </w:r>
      <w:r>
        <w:rPr>
          <w:rFonts w:hint="eastAsia" w:ascii="仿宋" w:hAnsi="仿宋" w:eastAsia="仿宋" w:cs="仿宋"/>
          <w:color w:val="auto"/>
          <w:spacing w:val="-4"/>
          <w:kern w:val="0"/>
          <w:sz w:val="24"/>
          <w:highlight w:val="none"/>
        </w:rPr>
        <w:t>.5一体式计算机政府采购需求标准</w:t>
      </w:r>
    </w:p>
    <w:p w14:paraId="3074990B">
      <w:pPr>
        <w:shd w:val="clear" w:color="auto" w:fill="FFFFFF"/>
        <w:autoSpaceDE w:val="0"/>
        <w:autoSpaceDN w:val="0"/>
        <w:adjustRightInd w:val="0"/>
        <w:spacing w:line="440" w:lineRule="exact"/>
        <w:ind w:firstLine="438" w:firstLineChars="189"/>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为提高一体式计算机政府采购需求管理的科学化、规范化水平，进一步落实政府采购公平竞争原则，优化营商环境，营造良好的产业生态，财政部 工业和信息化部关于印发《一体式计算机政府采购需求标准（2023年版）》的通知（财库〔2023〕31号），本项目如涉及一体式计算机采购，则具体要求见第三章《采购需求》。</w:t>
      </w:r>
    </w:p>
    <w:p w14:paraId="4A903DFE">
      <w:pPr>
        <w:shd w:val="clear" w:color="auto" w:fill="FFFFFF"/>
        <w:autoSpaceDE w:val="0"/>
        <w:autoSpaceDN w:val="0"/>
        <w:adjustRightInd w:val="0"/>
        <w:spacing w:line="440" w:lineRule="exact"/>
        <w:ind w:firstLine="438" w:firstLineChars="189"/>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4</w:t>
      </w:r>
      <w:r>
        <w:rPr>
          <w:rFonts w:hint="eastAsia" w:ascii="仿宋" w:hAnsi="仿宋" w:eastAsia="仿宋" w:cs="仿宋"/>
          <w:color w:val="auto"/>
          <w:spacing w:val="-4"/>
          <w:kern w:val="0"/>
          <w:sz w:val="24"/>
          <w:highlight w:val="none"/>
          <w:lang w:val="en-US" w:eastAsia="zh-CN"/>
        </w:rPr>
        <w:t>9</w:t>
      </w:r>
      <w:r>
        <w:rPr>
          <w:rFonts w:hint="eastAsia" w:ascii="仿宋" w:hAnsi="仿宋" w:eastAsia="仿宋" w:cs="仿宋"/>
          <w:color w:val="auto"/>
          <w:spacing w:val="-4"/>
          <w:kern w:val="0"/>
          <w:sz w:val="24"/>
          <w:highlight w:val="none"/>
        </w:rPr>
        <w:t>.6工作站政府采购需求标准</w:t>
      </w:r>
    </w:p>
    <w:p w14:paraId="10600D99">
      <w:pPr>
        <w:shd w:val="clear" w:color="auto" w:fill="FFFFFF"/>
        <w:autoSpaceDE w:val="0"/>
        <w:autoSpaceDN w:val="0"/>
        <w:adjustRightInd w:val="0"/>
        <w:spacing w:line="440" w:lineRule="exact"/>
        <w:ind w:firstLine="438" w:firstLineChars="189"/>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为提高工作站政府采购需求管理的科学化、规范化水平，进一步落实政府采购公平竞争原则，优化营商环境，营造良好的产业生态，财政部 工业和信息化部关于印发《工作站政府采购需求标准（2023年版）》的通知（财库〔2023〕32号），本项目如涉及工作站采购，则具体要求见第三章《采购需求》。</w:t>
      </w:r>
    </w:p>
    <w:p w14:paraId="14012166">
      <w:pPr>
        <w:shd w:val="clear" w:color="auto" w:fill="FFFFFF"/>
        <w:autoSpaceDE w:val="0"/>
        <w:autoSpaceDN w:val="0"/>
        <w:adjustRightInd w:val="0"/>
        <w:spacing w:line="440" w:lineRule="exact"/>
        <w:ind w:firstLine="438" w:firstLineChars="189"/>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4</w:t>
      </w:r>
      <w:r>
        <w:rPr>
          <w:rFonts w:hint="eastAsia" w:ascii="仿宋" w:hAnsi="仿宋" w:eastAsia="仿宋" w:cs="仿宋"/>
          <w:color w:val="auto"/>
          <w:spacing w:val="-4"/>
          <w:kern w:val="0"/>
          <w:sz w:val="24"/>
          <w:highlight w:val="none"/>
          <w:lang w:val="en-US" w:eastAsia="zh-CN"/>
        </w:rPr>
        <w:t>9</w:t>
      </w:r>
      <w:r>
        <w:rPr>
          <w:rFonts w:hint="eastAsia" w:ascii="仿宋" w:hAnsi="仿宋" w:eastAsia="仿宋" w:cs="仿宋"/>
          <w:color w:val="auto"/>
          <w:spacing w:val="-4"/>
          <w:kern w:val="0"/>
          <w:sz w:val="24"/>
          <w:highlight w:val="none"/>
        </w:rPr>
        <w:t>.7通用服务器政府采购需求标准</w:t>
      </w:r>
    </w:p>
    <w:p w14:paraId="0A3A02EA">
      <w:pPr>
        <w:shd w:val="clear" w:color="auto" w:fill="FFFFFF"/>
        <w:autoSpaceDE w:val="0"/>
        <w:autoSpaceDN w:val="0"/>
        <w:adjustRightInd w:val="0"/>
        <w:spacing w:line="440" w:lineRule="exact"/>
        <w:ind w:firstLine="438" w:firstLineChars="189"/>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为提高通用服务器政府采购需求管理的科学化、规范化水平，进一步落实政府采购公平竞争原则，优化营商环境，营造良好的产业生态，财政部 工业和信息化部关于印发《通用服务器政府采购需求标准（2023年版）》的通知（财库〔2023〕33号），本项目如涉及通用服务器采购，则具体要求见第三章《采购需求》。</w:t>
      </w:r>
    </w:p>
    <w:p w14:paraId="46A53B01">
      <w:pPr>
        <w:shd w:val="clear" w:color="auto" w:fill="FFFFFF"/>
        <w:autoSpaceDE w:val="0"/>
        <w:autoSpaceDN w:val="0"/>
        <w:adjustRightInd w:val="0"/>
        <w:spacing w:line="440" w:lineRule="exact"/>
        <w:ind w:firstLine="438" w:firstLineChars="189"/>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4</w:t>
      </w:r>
      <w:r>
        <w:rPr>
          <w:rFonts w:hint="eastAsia" w:ascii="仿宋" w:hAnsi="仿宋" w:eastAsia="仿宋" w:cs="仿宋"/>
          <w:color w:val="auto"/>
          <w:spacing w:val="-4"/>
          <w:kern w:val="0"/>
          <w:sz w:val="24"/>
          <w:highlight w:val="none"/>
          <w:lang w:val="en-US" w:eastAsia="zh-CN"/>
        </w:rPr>
        <w:t>9</w:t>
      </w:r>
      <w:r>
        <w:rPr>
          <w:rFonts w:hint="eastAsia" w:ascii="仿宋" w:hAnsi="仿宋" w:eastAsia="仿宋" w:cs="仿宋"/>
          <w:color w:val="auto"/>
          <w:spacing w:val="-4"/>
          <w:kern w:val="0"/>
          <w:sz w:val="24"/>
          <w:highlight w:val="none"/>
        </w:rPr>
        <w:t>.8操作系统政府采购需求标准</w:t>
      </w:r>
    </w:p>
    <w:p w14:paraId="6023423B">
      <w:pPr>
        <w:shd w:val="clear" w:color="auto" w:fill="FFFFFF"/>
        <w:autoSpaceDE w:val="0"/>
        <w:autoSpaceDN w:val="0"/>
        <w:adjustRightInd w:val="0"/>
        <w:spacing w:line="440" w:lineRule="exact"/>
        <w:ind w:firstLine="438" w:firstLineChars="189"/>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为提高操作系统政府采购需求管理的科学化、规范化水平，进一步落实政府采购公平竞争原则，优化营商环境，营造良好的产业生态，财政部 工业和信息化部关于印发《操作系统政府采购需求标准（2023年版）》的通知（财库〔2023〕34号），本项目如涉及操作系统采购，则具体要求见第三章《采购需求》。</w:t>
      </w:r>
    </w:p>
    <w:p w14:paraId="1CD6EF39">
      <w:pPr>
        <w:shd w:val="clear" w:color="auto" w:fill="FFFFFF"/>
        <w:autoSpaceDE w:val="0"/>
        <w:autoSpaceDN w:val="0"/>
        <w:adjustRightInd w:val="0"/>
        <w:spacing w:line="440" w:lineRule="exact"/>
        <w:ind w:firstLine="438" w:firstLineChars="189"/>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4</w:t>
      </w:r>
      <w:r>
        <w:rPr>
          <w:rFonts w:hint="eastAsia" w:ascii="仿宋" w:hAnsi="仿宋" w:eastAsia="仿宋" w:cs="仿宋"/>
          <w:color w:val="auto"/>
          <w:spacing w:val="-4"/>
          <w:kern w:val="0"/>
          <w:sz w:val="24"/>
          <w:highlight w:val="none"/>
          <w:lang w:val="en-US" w:eastAsia="zh-CN"/>
        </w:rPr>
        <w:t>9</w:t>
      </w:r>
      <w:r>
        <w:rPr>
          <w:rFonts w:hint="eastAsia" w:ascii="仿宋" w:hAnsi="仿宋" w:eastAsia="仿宋" w:cs="仿宋"/>
          <w:color w:val="auto"/>
          <w:spacing w:val="-4"/>
          <w:kern w:val="0"/>
          <w:sz w:val="24"/>
          <w:highlight w:val="none"/>
        </w:rPr>
        <w:t>.9数据库政府采购需求标准</w:t>
      </w:r>
    </w:p>
    <w:p w14:paraId="763022BF">
      <w:pPr>
        <w:shd w:val="clear" w:color="auto" w:fill="FFFFFF"/>
        <w:autoSpaceDE w:val="0"/>
        <w:autoSpaceDN w:val="0"/>
        <w:adjustRightInd w:val="0"/>
        <w:spacing w:line="440" w:lineRule="exact"/>
        <w:ind w:firstLine="438" w:firstLineChars="189"/>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为提高数据库政府采购需求管理的科学化、规范化水平，进一步落实政府采购公平竞争原则，优化营商环境，营造良好的产业生态，财政部 工业和信息化部关于印发《数据库政府采购需求标准（2023年版）》的通知（财库〔2023〕35号），本项目如涉及数据库采购，则具体要求见第三章《采购需求》。</w:t>
      </w:r>
    </w:p>
    <w:p w14:paraId="1B40A16A">
      <w:pPr>
        <w:shd w:val="clear" w:color="auto" w:fill="FFFFFF"/>
        <w:autoSpaceDE w:val="0"/>
        <w:autoSpaceDN w:val="0"/>
        <w:adjustRightInd w:val="0"/>
        <w:spacing w:line="440" w:lineRule="exact"/>
        <w:ind w:firstLine="438" w:firstLineChars="189"/>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4</w:t>
      </w:r>
      <w:r>
        <w:rPr>
          <w:rFonts w:hint="eastAsia" w:ascii="仿宋" w:hAnsi="仿宋" w:eastAsia="仿宋" w:cs="仿宋"/>
          <w:color w:val="auto"/>
          <w:spacing w:val="-4"/>
          <w:kern w:val="0"/>
          <w:sz w:val="24"/>
          <w:highlight w:val="none"/>
          <w:lang w:val="en-US" w:eastAsia="zh-CN"/>
        </w:rPr>
        <w:t>9</w:t>
      </w:r>
      <w:r>
        <w:rPr>
          <w:rFonts w:hint="eastAsia" w:ascii="仿宋" w:hAnsi="仿宋" w:eastAsia="仿宋" w:cs="仿宋"/>
          <w:color w:val="auto"/>
          <w:spacing w:val="-4"/>
          <w:kern w:val="0"/>
          <w:sz w:val="24"/>
          <w:highlight w:val="none"/>
        </w:rPr>
        <w:t>.10物业管理服务政府采购需求标准（办公场所类）（试行）</w:t>
      </w:r>
    </w:p>
    <w:p w14:paraId="3483BD96">
      <w:pPr>
        <w:shd w:val="clear" w:color="auto" w:fill="FFFFFF"/>
        <w:autoSpaceDE w:val="0"/>
        <w:autoSpaceDN w:val="0"/>
        <w:adjustRightInd w:val="0"/>
        <w:spacing w:line="440" w:lineRule="exact"/>
        <w:ind w:firstLine="438" w:firstLineChars="189"/>
        <w:rPr>
          <w:rFonts w:hint="eastAsia" w:ascii="仿宋" w:hAnsi="仿宋" w:eastAsia="仿宋" w:cs="仿宋"/>
          <w:b/>
          <w:color w:val="auto"/>
          <w:kern w:val="0"/>
          <w:sz w:val="24"/>
          <w:highlight w:val="none"/>
        </w:rPr>
      </w:pPr>
      <w:r>
        <w:rPr>
          <w:rFonts w:hint="eastAsia" w:ascii="仿宋" w:hAnsi="仿宋" w:eastAsia="仿宋" w:cs="仿宋"/>
          <w:color w:val="auto"/>
          <w:spacing w:val="-4"/>
          <w:kern w:val="0"/>
          <w:sz w:val="24"/>
          <w:highlight w:val="none"/>
        </w:rPr>
        <w:t>为贯彻落实中央全面深化改革委员会审议通过的《深化政府采购制度改革方案》有关要求，推动政府采购需求标准建设，财政部办公厅关于印发《物业管理服务政府采购需求标准（办公场所类）（试行）》的通知（财办库〔2024〕113号），本项目如涉及物业管理服务采购，则具体要求见第三章《采购需求》。</w:t>
      </w:r>
    </w:p>
    <w:p w14:paraId="5639643C">
      <w:pPr>
        <w:shd w:val="clear" w:color="auto" w:fill="FFFFFF"/>
        <w:spacing w:line="440" w:lineRule="exact"/>
        <w:ind w:firstLine="487" w:firstLineChars="202"/>
        <w:rPr>
          <w:rFonts w:hint="eastAsia" w:ascii="仿宋" w:hAnsi="仿宋" w:eastAsia="仿宋" w:cs="仿宋"/>
          <w:bCs/>
          <w:color w:val="auto"/>
          <w:kern w:val="0"/>
          <w:sz w:val="24"/>
          <w:highlight w:val="none"/>
        </w:rPr>
      </w:pPr>
      <w:r>
        <w:rPr>
          <w:rFonts w:hint="eastAsia" w:ascii="仿宋" w:hAnsi="仿宋" w:eastAsia="仿宋" w:cs="仿宋"/>
          <w:b/>
          <w:bCs w:val="0"/>
          <w:color w:val="auto"/>
          <w:kern w:val="0"/>
          <w:sz w:val="24"/>
          <w:highlight w:val="none"/>
        </w:rPr>
        <w:t>（</w:t>
      </w:r>
      <w:r>
        <w:rPr>
          <w:rFonts w:hint="eastAsia" w:ascii="仿宋" w:hAnsi="仿宋" w:eastAsia="仿宋" w:cs="仿宋"/>
          <w:b/>
          <w:bCs w:val="0"/>
          <w:color w:val="auto"/>
          <w:kern w:val="0"/>
          <w:sz w:val="24"/>
          <w:highlight w:val="none"/>
          <w:lang w:eastAsia="zh-CN"/>
        </w:rPr>
        <w:t>九</w:t>
      </w:r>
      <w:r>
        <w:rPr>
          <w:rFonts w:hint="eastAsia" w:ascii="仿宋" w:hAnsi="仿宋" w:eastAsia="仿宋" w:cs="仿宋"/>
          <w:b/>
          <w:bCs w:val="0"/>
          <w:color w:val="auto"/>
          <w:kern w:val="0"/>
          <w:sz w:val="24"/>
          <w:highlight w:val="none"/>
        </w:rPr>
        <w:t>）其他</w:t>
      </w:r>
    </w:p>
    <w:p w14:paraId="66FD673A">
      <w:pPr>
        <w:shd w:val="clear" w:color="auto" w:fill="FFFFFF"/>
        <w:spacing w:line="440" w:lineRule="exact"/>
        <w:ind w:firstLine="484" w:firstLineChars="202"/>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lang w:val="en-US" w:eastAsia="zh-CN"/>
        </w:rPr>
        <w:t>50</w:t>
      </w:r>
      <w:r>
        <w:rPr>
          <w:rFonts w:hint="eastAsia" w:ascii="仿宋" w:hAnsi="仿宋" w:eastAsia="仿宋" w:cs="仿宋"/>
          <w:bCs/>
          <w:color w:val="auto"/>
          <w:kern w:val="0"/>
          <w:sz w:val="24"/>
          <w:highlight w:val="none"/>
        </w:rPr>
        <w:t>.适用法律</w:t>
      </w:r>
    </w:p>
    <w:p w14:paraId="1C45FBC8">
      <w:pPr>
        <w:shd w:val="clear" w:color="auto" w:fill="FFFFFF"/>
        <w:spacing w:line="440" w:lineRule="exact"/>
        <w:ind w:firstLine="484" w:firstLineChars="202"/>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lang w:val="en-US" w:eastAsia="zh-CN"/>
        </w:rPr>
        <w:t>50</w:t>
      </w:r>
      <w:r>
        <w:rPr>
          <w:rFonts w:hint="eastAsia" w:ascii="仿宋" w:hAnsi="仿宋" w:eastAsia="仿宋" w:cs="仿宋"/>
          <w:bCs/>
          <w:color w:val="auto"/>
          <w:kern w:val="0"/>
          <w:sz w:val="24"/>
          <w:highlight w:val="none"/>
        </w:rPr>
        <w:t>.1采购人、采购代理机构及供应商的一切采购活动均适用《中华人民共和国政府采购法》、《中华人民共和国政府采购法实施条例》、《政府采购货物和服务招标投标管理办法》（财政部令第87号）及相关法律法规。</w:t>
      </w:r>
    </w:p>
    <w:p w14:paraId="21F06BE6">
      <w:pPr>
        <w:shd w:val="clear" w:color="auto" w:fill="FFFFFF"/>
        <w:spacing w:line="440" w:lineRule="exact"/>
        <w:ind w:firstLine="484" w:firstLineChars="202"/>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lang w:val="en-US" w:eastAsia="zh-CN"/>
        </w:rPr>
        <w:t>50</w:t>
      </w:r>
      <w:r>
        <w:rPr>
          <w:rFonts w:hint="eastAsia" w:ascii="仿宋" w:hAnsi="仿宋" w:eastAsia="仿宋" w:cs="仿宋"/>
          <w:bCs/>
          <w:color w:val="auto"/>
          <w:kern w:val="0"/>
          <w:sz w:val="24"/>
          <w:highlight w:val="none"/>
        </w:rPr>
        <w:t>.2政府采购合同的履行、违约责任和解决争议的方法等适用《中华人民共和国民法典》。</w:t>
      </w:r>
    </w:p>
    <w:p w14:paraId="4BD34328">
      <w:pPr>
        <w:shd w:val="clear" w:color="auto" w:fill="FFFFFF"/>
        <w:spacing w:line="440" w:lineRule="exact"/>
        <w:ind w:firstLine="484" w:firstLineChars="202"/>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5</w:t>
      </w:r>
      <w:r>
        <w:rPr>
          <w:rFonts w:hint="eastAsia" w:ascii="仿宋" w:hAnsi="仿宋" w:eastAsia="仿宋" w:cs="仿宋"/>
          <w:bCs/>
          <w:color w:val="auto"/>
          <w:kern w:val="0"/>
          <w:sz w:val="24"/>
          <w:highlight w:val="none"/>
          <w:lang w:val="en-US" w:eastAsia="zh-CN"/>
        </w:rPr>
        <w:t>1</w:t>
      </w:r>
      <w:r>
        <w:rPr>
          <w:rFonts w:hint="eastAsia" w:ascii="仿宋" w:hAnsi="仿宋" w:eastAsia="仿宋" w:cs="仿宋"/>
          <w:bCs/>
          <w:color w:val="auto"/>
          <w:kern w:val="0"/>
          <w:sz w:val="24"/>
          <w:highlight w:val="none"/>
        </w:rPr>
        <w:t>.解释权</w:t>
      </w:r>
    </w:p>
    <w:p w14:paraId="78C4B91C">
      <w:pPr>
        <w:shd w:val="clear" w:color="auto" w:fill="FFFFFF"/>
        <w:spacing w:line="440" w:lineRule="exact"/>
        <w:ind w:firstLine="484" w:firstLineChars="202"/>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5</w:t>
      </w:r>
      <w:r>
        <w:rPr>
          <w:rFonts w:hint="eastAsia" w:ascii="仿宋" w:hAnsi="仿宋" w:eastAsia="仿宋" w:cs="仿宋"/>
          <w:bCs/>
          <w:color w:val="auto"/>
          <w:kern w:val="0"/>
          <w:sz w:val="24"/>
          <w:highlight w:val="none"/>
          <w:lang w:val="en-US" w:eastAsia="zh-CN"/>
        </w:rPr>
        <w:t>1</w:t>
      </w:r>
      <w:r>
        <w:rPr>
          <w:rFonts w:hint="eastAsia" w:ascii="仿宋" w:hAnsi="仿宋" w:eastAsia="仿宋" w:cs="仿宋"/>
          <w:bCs/>
          <w:color w:val="auto"/>
          <w:kern w:val="0"/>
          <w:sz w:val="24"/>
          <w:highlight w:val="none"/>
        </w:rPr>
        <w:t>.1本</w:t>
      </w:r>
      <w:r>
        <w:rPr>
          <w:rFonts w:hint="eastAsia" w:ascii="仿宋" w:hAnsi="仿宋" w:eastAsia="仿宋" w:cs="仿宋"/>
          <w:bCs/>
          <w:color w:val="auto"/>
          <w:kern w:val="0"/>
          <w:sz w:val="24"/>
          <w:highlight w:val="none"/>
          <w:lang w:eastAsia="zh-CN"/>
        </w:rPr>
        <w:t>招标</w:t>
      </w:r>
      <w:r>
        <w:rPr>
          <w:rFonts w:hint="eastAsia" w:ascii="仿宋" w:hAnsi="仿宋" w:eastAsia="仿宋" w:cs="仿宋"/>
          <w:bCs/>
          <w:color w:val="auto"/>
          <w:kern w:val="0"/>
          <w:sz w:val="24"/>
          <w:highlight w:val="none"/>
        </w:rPr>
        <w:t>文件最终解释权归采购人或采购代理机构所有。</w:t>
      </w:r>
    </w:p>
    <w:p w14:paraId="78AF1E69">
      <w:pPr>
        <w:pStyle w:val="328"/>
        <w:spacing w:beforeLines="50" w:afterLines="50" w:line="360" w:lineRule="auto"/>
        <w:jc w:val="center"/>
        <w:outlineLvl w:val="0"/>
        <w:rPr>
          <w:rFonts w:hint="eastAsia" w:ascii="仿宋" w:hAnsi="仿宋" w:eastAsia="仿宋" w:cs="仿宋"/>
          <w:b/>
          <w:color w:val="auto"/>
          <w:sz w:val="32"/>
          <w:szCs w:val="32"/>
          <w:highlight w:val="none"/>
          <w:lang w:val="en-US" w:eastAsia="zh-CN"/>
        </w:rPr>
      </w:pPr>
      <w:r>
        <w:rPr>
          <w:rFonts w:hint="eastAsia" w:ascii="仿宋" w:hAnsi="仿宋" w:eastAsia="仿宋" w:cs="仿宋"/>
          <w:color w:val="auto"/>
          <w:sz w:val="18"/>
          <w:szCs w:val="18"/>
          <w:highlight w:val="none"/>
        </w:rPr>
        <w:br w:type="page"/>
      </w:r>
      <w:bookmarkStart w:id="16" w:name="_Hlk519787567"/>
      <w:bookmarkStart w:id="17" w:name="_Toc139284161"/>
      <w:r>
        <w:rPr>
          <w:rFonts w:hint="eastAsia" w:ascii="仿宋" w:hAnsi="仿宋" w:eastAsia="仿宋" w:cs="仿宋"/>
          <w:b/>
          <w:color w:val="auto"/>
          <w:sz w:val="32"/>
          <w:szCs w:val="32"/>
          <w:highlight w:val="none"/>
        </w:rPr>
        <w:t>第三章  合同</w:t>
      </w:r>
      <w:bookmarkEnd w:id="16"/>
      <w:r>
        <w:rPr>
          <w:rFonts w:hint="eastAsia" w:ascii="仿宋" w:hAnsi="仿宋" w:eastAsia="仿宋" w:cs="仿宋"/>
          <w:b/>
          <w:color w:val="auto"/>
          <w:sz w:val="32"/>
          <w:szCs w:val="32"/>
          <w:highlight w:val="none"/>
        </w:rPr>
        <w:t>条款</w:t>
      </w:r>
      <w:bookmarkEnd w:id="17"/>
      <w:bookmarkStart w:id="18" w:name="_Hlk519793124"/>
    </w:p>
    <w:p w14:paraId="0B130352">
      <w:pPr>
        <w:spacing w:line="400" w:lineRule="exact"/>
        <w:ind w:firstLine="420" w:firstLineChars="200"/>
        <w:rPr>
          <w:rFonts w:hint="eastAsia" w:ascii="仿宋" w:hAnsi="仿宋" w:eastAsia="仿宋" w:cs="仿宋"/>
          <w:color w:val="auto"/>
          <w:highlight w:val="none"/>
        </w:rPr>
      </w:pPr>
    </w:p>
    <w:p w14:paraId="43A50D40">
      <w:pPr>
        <w:spacing w:line="4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委托人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（以下简称甲方）与受托人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（以下简称乙方），依据《中华人民共和国政府采购法》、《中华人民共和国民法典》、《计算机软件保护条例》等法律法规的相关规定，经平等、自愿协商，就乙方受托为甲方</w:t>
      </w:r>
      <w:r>
        <w:rPr>
          <w:rFonts w:hint="eastAsia" w:ascii="仿宋" w:hAnsi="仿宋" w:eastAsia="仿宋" w:cs="仿宋"/>
          <w:color w:val="auto"/>
          <w:sz w:val="24"/>
          <w:highlight w:val="none"/>
          <w:lang w:eastAsia="zh-CN"/>
        </w:rPr>
        <w:t>提供</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（项目名称）所需技术服务及相关货物</w:t>
      </w:r>
      <w:r>
        <w:rPr>
          <w:rFonts w:hint="eastAsia" w:ascii="仿宋" w:hAnsi="仿宋" w:eastAsia="仿宋" w:cs="仿宋"/>
          <w:color w:val="auto"/>
          <w:sz w:val="24"/>
          <w:highlight w:val="none"/>
        </w:rPr>
        <w:t>事宜达成一致，签订如下</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合同（以下简称本合同），以兹共同信守。</w:t>
      </w:r>
    </w:p>
    <w:p w14:paraId="43B74C27">
      <w:pPr>
        <w:spacing w:line="40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第一条  项目名称：</w:t>
      </w:r>
    </w:p>
    <w:p w14:paraId="3F5DB90C">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”，以下简称本项目。</w:t>
      </w:r>
    </w:p>
    <w:p w14:paraId="2FAD8722">
      <w:pPr>
        <w:spacing w:line="40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第二条  项目合同的组成</w:t>
      </w:r>
    </w:p>
    <w:p w14:paraId="0092BEB8">
      <w:pPr>
        <w:spacing w:line="40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1.中标通知书；</w:t>
      </w:r>
    </w:p>
    <w:p w14:paraId="084A8F2D">
      <w:pPr>
        <w:spacing w:line="40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2.投标文件及投标过程中的承诺函；</w:t>
      </w:r>
    </w:p>
    <w:p w14:paraId="6BDDD22C">
      <w:pPr>
        <w:spacing w:line="40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3.招标文件；</w:t>
      </w:r>
    </w:p>
    <w:p w14:paraId="0AD3B936">
      <w:pPr>
        <w:spacing w:line="40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4.合同附件；</w:t>
      </w:r>
    </w:p>
    <w:p w14:paraId="099BCCE3">
      <w:pPr>
        <w:spacing w:line="40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5.补充协议；</w:t>
      </w:r>
    </w:p>
    <w:p w14:paraId="6C997EAD">
      <w:pPr>
        <w:spacing w:line="40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6.合同履行过程中产生的备忘录、会议纪要、项目周报、联系函、通知单等文件。</w:t>
      </w:r>
    </w:p>
    <w:p w14:paraId="04BC7C61">
      <w:pPr>
        <w:spacing w:line="40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第三条  名词、术语解释</w:t>
      </w:r>
    </w:p>
    <w:p w14:paraId="44318102">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在本合同中，下列词语及用法除上下文另有要求外，应具有本条款所赋予的含义。</w:t>
      </w:r>
    </w:p>
    <w:p w14:paraId="6EE65F1E">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 合同：指甲乙双方签署的、合同中载明的双方所达成的协议，包括所有的附件、附录和构成合同的所有文件。</w:t>
      </w:r>
    </w:p>
    <w:p w14:paraId="4E39E40D">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 合同</w:t>
      </w:r>
      <w:r>
        <w:rPr>
          <w:rFonts w:hint="eastAsia" w:ascii="仿宋" w:hAnsi="仿宋" w:eastAsia="仿宋" w:cs="仿宋"/>
          <w:color w:val="auto"/>
          <w:sz w:val="24"/>
          <w:highlight w:val="none"/>
          <w:lang w:eastAsia="zh-CN"/>
        </w:rPr>
        <w:t>价格</w:t>
      </w:r>
      <w:r>
        <w:rPr>
          <w:rFonts w:hint="eastAsia" w:ascii="仿宋" w:hAnsi="仿宋" w:eastAsia="仿宋" w:cs="仿宋"/>
          <w:color w:val="auto"/>
          <w:sz w:val="24"/>
          <w:highlight w:val="none"/>
        </w:rPr>
        <w:t>：指根据合同规定，乙方在正确地完全履行合同义务后甲方应支付给乙方的价格。</w:t>
      </w:r>
    </w:p>
    <w:p w14:paraId="7C490EE2">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 货物：指乙方根据合同规定须向甲方提供的一切产品、软件、</w:t>
      </w:r>
      <w:r>
        <w:rPr>
          <w:rFonts w:hint="eastAsia" w:ascii="仿宋" w:hAnsi="仿宋" w:eastAsia="仿宋" w:cs="仿宋"/>
          <w:color w:val="auto"/>
          <w:sz w:val="24"/>
          <w:highlight w:val="none"/>
          <w:lang w:eastAsia="zh-CN"/>
        </w:rPr>
        <w:t>硬件、</w:t>
      </w:r>
      <w:r>
        <w:rPr>
          <w:rFonts w:hint="eastAsia" w:ascii="仿宋" w:hAnsi="仿宋" w:eastAsia="仿宋" w:cs="仿宋"/>
          <w:color w:val="auto"/>
          <w:sz w:val="24"/>
          <w:highlight w:val="none"/>
        </w:rPr>
        <w:t>手册、光盘和其他技术资料及其他文件材料。</w:t>
      </w:r>
    </w:p>
    <w:p w14:paraId="41A2D60F">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 工程施工：指乙方根据合同规定须向甲方提供的、与货物安装相关的系统开发、配置、部署等。</w:t>
      </w:r>
    </w:p>
    <w:p w14:paraId="738A5BAB">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 项目</w:t>
      </w:r>
      <w:r>
        <w:rPr>
          <w:rFonts w:hint="eastAsia" w:ascii="仿宋" w:hAnsi="仿宋" w:eastAsia="仿宋" w:cs="仿宋"/>
          <w:color w:val="auto"/>
          <w:sz w:val="24"/>
          <w:highlight w:val="none"/>
          <w:lang w:eastAsia="zh-CN"/>
        </w:rPr>
        <w:t>交付时间：</w:t>
      </w:r>
      <w:r>
        <w:rPr>
          <w:rFonts w:hint="eastAsia" w:ascii="仿宋" w:hAnsi="仿宋" w:eastAsia="仿宋" w:cs="仿宋"/>
          <w:color w:val="auto"/>
          <w:sz w:val="24"/>
          <w:highlight w:val="none"/>
        </w:rPr>
        <w:t>是建设项目全部建成所需要的时间。</w:t>
      </w:r>
    </w:p>
    <w:p w14:paraId="4D3EC349">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3.6 项目</w:t>
      </w:r>
      <w:r>
        <w:rPr>
          <w:rFonts w:hint="eastAsia" w:ascii="仿宋" w:hAnsi="仿宋" w:eastAsia="仿宋" w:cs="仿宋"/>
          <w:color w:val="auto"/>
          <w:sz w:val="24"/>
          <w:highlight w:val="none"/>
          <w:lang w:val="en-US" w:eastAsia="zh-CN"/>
        </w:rPr>
        <w:t>维保期</w:t>
      </w:r>
      <w:r>
        <w:rPr>
          <w:rFonts w:hint="eastAsia" w:ascii="仿宋" w:hAnsi="仿宋" w:eastAsia="仿宋" w:cs="仿宋"/>
          <w:color w:val="auto"/>
          <w:sz w:val="24"/>
          <w:highlight w:val="none"/>
        </w:rPr>
        <w:t>：指在软件开发完成</w:t>
      </w:r>
      <w:r>
        <w:rPr>
          <w:rFonts w:hint="eastAsia" w:ascii="仿宋" w:hAnsi="仿宋" w:eastAsia="仿宋" w:cs="仿宋"/>
          <w:color w:val="auto"/>
          <w:sz w:val="24"/>
          <w:highlight w:val="none"/>
          <w:lang w:eastAsia="zh-CN"/>
        </w:rPr>
        <w:t>经甲方终验合格</w:t>
      </w:r>
      <w:r>
        <w:rPr>
          <w:rFonts w:hint="eastAsia" w:ascii="仿宋" w:hAnsi="仿宋" w:eastAsia="仿宋" w:cs="仿宋"/>
          <w:color w:val="auto"/>
          <w:sz w:val="24"/>
          <w:highlight w:val="none"/>
        </w:rPr>
        <w:t>后，将软件部署到实际的生产环境中运行</w:t>
      </w:r>
      <w:r>
        <w:rPr>
          <w:rFonts w:hint="eastAsia" w:ascii="仿宋" w:hAnsi="仿宋" w:eastAsia="仿宋" w:cs="仿宋"/>
          <w:color w:val="auto"/>
          <w:sz w:val="24"/>
          <w:highlight w:val="none"/>
          <w:lang w:eastAsia="zh-CN"/>
        </w:rPr>
        <w:t>，并进行必要的维护和更新的时间段</w:t>
      </w:r>
      <w:r>
        <w:rPr>
          <w:rFonts w:hint="eastAsia" w:ascii="仿宋" w:hAnsi="仿宋" w:eastAsia="仿宋" w:cs="仿宋"/>
          <w:color w:val="auto"/>
          <w:sz w:val="24"/>
          <w:highlight w:val="none"/>
        </w:rPr>
        <w:t>。</w:t>
      </w:r>
    </w:p>
    <w:p w14:paraId="0C492C43">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3.7 服务：指根据合同规定乙方承担与开发、供货有关的辅助服务，如安装、调试、提供技术服务、培训和其他类似的义务。</w:t>
      </w:r>
    </w:p>
    <w:p w14:paraId="56D88BFD">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 xml:space="preserve"> 现场：指甲方及甲方用户单位所指定的项目实施地点。</w:t>
      </w:r>
    </w:p>
    <w:p w14:paraId="17B441AB">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 xml:space="preserve"> 交付：指乙方在双方规定的日期内交付约定开发的项目货物的行为。但是乙方完成交付行为，并不意味着乙方已经完成了本合同项下所规定的所有义务。</w:t>
      </w:r>
    </w:p>
    <w:p w14:paraId="33574C2B">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 xml:space="preserve"> 秘密：指甲方所拥有的，不为公众所知的管理信息、方式方法、用户名单、数据、信息、技术诀窍、源代码、计算机文档等，和甲乙双方在履行本合同过程中明确指明为秘密的、法律所认可的任何信息。</w:t>
      </w:r>
    </w:p>
    <w:p w14:paraId="34E770F7">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 xml:space="preserve"> 工作日：指国家所规定的节假日之外的所有工作日，未指明为工作日的日期指自然顺延的日期。</w:t>
      </w:r>
    </w:p>
    <w:p w14:paraId="2FBD8B9F">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 xml:space="preserve"> 中国：系指中华人民共和国大陆，为本协议之目的不包括中国台湾、香港和澳门地区。</w:t>
      </w:r>
    </w:p>
    <w:p w14:paraId="492362D0">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 xml:space="preserve"> 关联公司：指除本协议双方外，其他由协议一方直接或间接控股、控制、管理或指导的任何公司或企业，或者与该协议一方直接或间接受共同所有、控制、管理或指导的公司或企业，或者该协议一方直接或间接被控股、控制、管理或指导的任何公司或企业。</w:t>
      </w:r>
    </w:p>
    <w:p w14:paraId="60081784">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 xml:space="preserve"> 公开信息：是指通过合法的手段在公开且合法的媒介中可以获得或知晓的信息。</w:t>
      </w:r>
    </w:p>
    <w:p w14:paraId="70DFA176">
      <w:pPr>
        <w:spacing w:line="40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第四条  项目内容、范围和要求</w:t>
      </w:r>
    </w:p>
    <w:p w14:paraId="11B58D93">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 本项目</w:t>
      </w:r>
      <w:r>
        <w:rPr>
          <w:rFonts w:hint="eastAsia" w:ascii="仿宋" w:hAnsi="仿宋" w:eastAsia="仿宋" w:cs="仿宋"/>
          <w:color w:val="auto"/>
          <w:sz w:val="24"/>
          <w:highlight w:val="none"/>
          <w:lang w:val="en-US" w:eastAsia="zh-CN"/>
        </w:rPr>
        <w:t>建设内容、范围、</w:t>
      </w:r>
      <w:r>
        <w:rPr>
          <w:rFonts w:hint="eastAsia" w:ascii="仿宋" w:hAnsi="仿宋" w:eastAsia="仿宋" w:cs="仿宋"/>
          <w:color w:val="auto"/>
          <w:sz w:val="24"/>
          <w:highlight w:val="none"/>
        </w:rPr>
        <w:t>主要功能和目标见招标文件《</w:t>
      </w:r>
      <w:r>
        <w:rPr>
          <w:rFonts w:hint="eastAsia" w:ascii="仿宋" w:hAnsi="仿宋" w:eastAsia="仿宋" w:cs="仿宋"/>
          <w:color w:val="auto"/>
          <w:sz w:val="24"/>
          <w:highlight w:val="none"/>
          <w:lang w:val="en-US" w:eastAsia="zh-CN"/>
        </w:rPr>
        <w:t>采购需求</w:t>
      </w:r>
      <w:r>
        <w:rPr>
          <w:rFonts w:hint="eastAsia" w:ascii="仿宋" w:hAnsi="仿宋" w:eastAsia="仿宋" w:cs="仿宋"/>
          <w:color w:val="auto"/>
          <w:sz w:val="24"/>
          <w:highlight w:val="none"/>
        </w:rPr>
        <w:t>》。</w:t>
      </w:r>
    </w:p>
    <w:p w14:paraId="6E557C25">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 乙方受甲方委托</w:t>
      </w:r>
      <w:r>
        <w:rPr>
          <w:rFonts w:hint="eastAsia" w:ascii="仿宋" w:hAnsi="仿宋" w:eastAsia="仿宋" w:cs="仿宋"/>
          <w:color w:val="auto"/>
          <w:sz w:val="24"/>
          <w:highlight w:val="none"/>
          <w:lang w:eastAsia="zh-CN"/>
        </w:rPr>
        <w:t>建设</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项目名称</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”，功能上</w:t>
      </w:r>
      <w:r>
        <w:rPr>
          <w:rFonts w:hint="eastAsia" w:ascii="仿宋" w:hAnsi="仿宋" w:eastAsia="仿宋" w:cs="仿宋"/>
          <w:color w:val="auto"/>
          <w:sz w:val="24"/>
          <w:highlight w:val="none"/>
          <w:lang w:eastAsia="zh-CN"/>
        </w:rPr>
        <w:t>应</w:t>
      </w:r>
      <w:r>
        <w:rPr>
          <w:rFonts w:hint="eastAsia" w:ascii="仿宋" w:hAnsi="仿宋" w:eastAsia="仿宋" w:cs="仿宋"/>
          <w:color w:val="auto"/>
          <w:sz w:val="24"/>
          <w:highlight w:val="none"/>
        </w:rPr>
        <w:t>覆盖本</w:t>
      </w:r>
      <w:r>
        <w:rPr>
          <w:rFonts w:hint="eastAsia" w:ascii="仿宋" w:hAnsi="仿宋" w:eastAsia="仿宋" w:cs="仿宋"/>
          <w:color w:val="auto"/>
          <w:sz w:val="24"/>
          <w:highlight w:val="none"/>
          <w:lang w:eastAsia="zh-CN"/>
        </w:rPr>
        <w:t>项目招标文件采购需求</w:t>
      </w:r>
      <w:r>
        <w:rPr>
          <w:rFonts w:hint="eastAsia" w:ascii="仿宋" w:hAnsi="仿宋" w:eastAsia="仿宋" w:cs="仿宋"/>
          <w:color w:val="auto"/>
          <w:sz w:val="24"/>
          <w:highlight w:val="none"/>
        </w:rPr>
        <w:t>所载</w:t>
      </w:r>
      <w:r>
        <w:rPr>
          <w:rFonts w:hint="eastAsia" w:ascii="仿宋" w:hAnsi="仿宋" w:eastAsia="仿宋" w:cs="仿宋"/>
          <w:color w:val="auto"/>
          <w:sz w:val="24"/>
          <w:highlight w:val="none"/>
          <w:lang w:eastAsia="zh-CN"/>
        </w:rPr>
        <w:t>明</w:t>
      </w:r>
      <w:r>
        <w:rPr>
          <w:rFonts w:hint="eastAsia" w:ascii="仿宋" w:hAnsi="仿宋" w:eastAsia="仿宋" w:cs="仿宋"/>
          <w:color w:val="auto"/>
          <w:sz w:val="24"/>
          <w:highlight w:val="none"/>
        </w:rPr>
        <w:t>的全部内容；乙方应按</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要求完成</w:t>
      </w:r>
      <w:r>
        <w:rPr>
          <w:rFonts w:hint="eastAsia" w:ascii="仿宋" w:hAnsi="仿宋" w:eastAsia="仿宋" w:cs="仿宋"/>
          <w:color w:val="auto"/>
          <w:sz w:val="24"/>
          <w:highlight w:val="none"/>
          <w:lang w:val="en-US" w:eastAsia="zh-CN"/>
        </w:rPr>
        <w:t>管理文件（如项目实施方案、进度计划、质量保证措施、配置管理方案、项目周报、系统上线保障方案、培训方案、试运行方案、运维方案、项目工作总结报告等）、技术文件（如需求规格说明书、概要设计说明书、详细设计说明书、数据库设计说明书、接口设计说明书、编码规范、测试方案、测试记录、测试报告、用户操作手册、管理员操作手册等）</w:t>
      </w:r>
      <w:r>
        <w:rPr>
          <w:rFonts w:hint="eastAsia" w:ascii="仿宋" w:hAnsi="仿宋" w:eastAsia="仿宋" w:cs="仿宋"/>
          <w:color w:val="auto"/>
          <w:sz w:val="24"/>
          <w:highlight w:val="none"/>
        </w:rPr>
        <w:t>；完成系统的</w:t>
      </w:r>
      <w:r>
        <w:rPr>
          <w:rFonts w:hint="eastAsia" w:ascii="仿宋" w:hAnsi="仿宋" w:eastAsia="仿宋" w:cs="仿宋"/>
          <w:color w:val="auto"/>
          <w:sz w:val="24"/>
          <w:highlight w:val="none"/>
          <w:lang w:val="en-US" w:eastAsia="zh-CN"/>
        </w:rPr>
        <w:t>需求调研、深化设计、开发、测试、上线、培训、试运行、验收、运维工作</w:t>
      </w:r>
      <w:r>
        <w:rPr>
          <w:rFonts w:hint="eastAsia" w:ascii="仿宋" w:hAnsi="仿宋" w:eastAsia="仿宋" w:cs="仿宋"/>
          <w:color w:val="auto"/>
          <w:sz w:val="24"/>
          <w:highlight w:val="none"/>
        </w:rPr>
        <w:t>；提供相应系统的安装光盘；提供系统维护和相应的售后服务等。</w:t>
      </w:r>
    </w:p>
    <w:p w14:paraId="386EE0F7">
      <w:pPr>
        <w:spacing w:line="400" w:lineRule="exact"/>
        <w:ind w:firstLine="480" w:firstLineChars="20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lang w:val="en-US" w:eastAsia="zh-CN"/>
        </w:rPr>
        <w:t>4.2.1项目交付时间：</w:t>
      </w:r>
      <w:r>
        <w:rPr>
          <w:rFonts w:hint="eastAsia" w:ascii="仿宋" w:hAnsi="仿宋" w:eastAsia="仿宋" w:cs="仿宋"/>
          <w:color w:val="auto"/>
          <w:sz w:val="24"/>
          <w:highlight w:val="none"/>
          <w:u w:val="single"/>
          <w:lang w:val="en-US" w:eastAsia="zh-CN"/>
        </w:rPr>
        <w:t xml:space="preserve">                                 。</w:t>
      </w:r>
    </w:p>
    <w:p w14:paraId="5E73B4EB">
      <w:pPr>
        <w:spacing w:line="400" w:lineRule="exact"/>
        <w:ind w:firstLine="480" w:firstLineChars="20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none"/>
          <w:lang w:val="en-US" w:eastAsia="zh-CN"/>
        </w:rPr>
        <w:t>4.2.2项目维保期：</w:t>
      </w:r>
      <w:r>
        <w:rPr>
          <w:rFonts w:hint="eastAsia" w:ascii="仿宋" w:hAnsi="仿宋" w:eastAsia="仿宋" w:cs="仿宋"/>
          <w:color w:val="auto"/>
          <w:sz w:val="24"/>
          <w:highlight w:val="none"/>
          <w:u w:val="single"/>
          <w:lang w:val="en-US" w:eastAsia="zh-CN"/>
        </w:rPr>
        <w:t xml:space="preserve">                                   。</w:t>
      </w:r>
    </w:p>
    <w:p w14:paraId="602AAB2F">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在项目开发建设期，甲方按需提供各</w:t>
      </w:r>
      <w:r>
        <w:rPr>
          <w:rFonts w:hint="eastAsia" w:ascii="仿宋" w:hAnsi="仿宋" w:eastAsia="仿宋" w:cs="仿宋"/>
          <w:color w:val="auto"/>
          <w:sz w:val="24"/>
          <w:highlight w:val="none"/>
          <w:lang w:eastAsia="zh-CN"/>
        </w:rPr>
        <w:t>项</w:t>
      </w:r>
      <w:r>
        <w:rPr>
          <w:rFonts w:hint="eastAsia" w:ascii="仿宋" w:hAnsi="仿宋" w:eastAsia="仿宋" w:cs="仿宋"/>
          <w:color w:val="auto"/>
          <w:sz w:val="24"/>
          <w:highlight w:val="none"/>
        </w:rPr>
        <w:t>相关数据</w:t>
      </w:r>
      <w:r>
        <w:rPr>
          <w:rFonts w:hint="eastAsia" w:ascii="仿宋" w:hAnsi="仿宋" w:eastAsia="仿宋" w:cs="仿宋"/>
          <w:color w:val="auto"/>
          <w:sz w:val="24"/>
          <w:highlight w:val="none"/>
          <w:lang w:eastAsia="zh-CN"/>
        </w:rPr>
        <w:t>和必要的信息</w:t>
      </w:r>
      <w:r>
        <w:rPr>
          <w:rFonts w:hint="eastAsia" w:ascii="仿宋" w:hAnsi="仿宋" w:eastAsia="仿宋" w:cs="仿宋"/>
          <w:color w:val="auto"/>
          <w:sz w:val="24"/>
          <w:highlight w:val="none"/>
        </w:rPr>
        <w:t>，乙方按甲方要求对其进行整理</w:t>
      </w:r>
      <w:r>
        <w:rPr>
          <w:rFonts w:hint="eastAsia" w:ascii="仿宋" w:hAnsi="仿宋" w:eastAsia="仿宋" w:cs="仿宋"/>
          <w:color w:val="auto"/>
          <w:sz w:val="24"/>
          <w:highlight w:val="none"/>
          <w:lang w:eastAsia="zh-CN"/>
        </w:rPr>
        <w:t>、整合</w:t>
      </w:r>
      <w:r>
        <w:rPr>
          <w:rFonts w:hint="eastAsia" w:ascii="仿宋" w:hAnsi="仿宋" w:eastAsia="仿宋" w:cs="仿宋"/>
          <w:color w:val="auto"/>
          <w:sz w:val="24"/>
          <w:highlight w:val="none"/>
        </w:rPr>
        <w:t>，并依据甲方的指示，提供相关的业务咨询服务，乙方应对数据进行保密处理。</w:t>
      </w:r>
    </w:p>
    <w:p w14:paraId="4AB08BF8">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乙方应保证本项目与国家、</w:t>
      </w:r>
      <w:r>
        <w:rPr>
          <w:rFonts w:hint="eastAsia" w:ascii="仿宋" w:hAnsi="仿宋" w:eastAsia="仿宋" w:cs="仿宋"/>
          <w:color w:val="auto"/>
          <w:sz w:val="24"/>
          <w:highlight w:val="none"/>
          <w:lang w:eastAsia="zh-CN"/>
        </w:rPr>
        <w:t>自治区</w:t>
      </w:r>
      <w:r>
        <w:rPr>
          <w:rFonts w:hint="eastAsia" w:ascii="仿宋" w:hAnsi="仿宋" w:eastAsia="仿宋" w:cs="仿宋"/>
          <w:color w:val="auto"/>
          <w:sz w:val="24"/>
          <w:highlight w:val="none"/>
        </w:rPr>
        <w:t>及相关部门发布的各类标准、规范相衔接。</w:t>
      </w:r>
    </w:p>
    <w:p w14:paraId="4316E6AC">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乙方在设计开发过程中应充分考虑到本项目与其他</w:t>
      </w:r>
      <w:r>
        <w:rPr>
          <w:rFonts w:hint="eastAsia" w:ascii="仿宋" w:hAnsi="仿宋" w:eastAsia="仿宋" w:cs="仿宋"/>
          <w:color w:val="auto"/>
          <w:sz w:val="24"/>
          <w:highlight w:val="none"/>
          <w:lang w:val="en-US" w:eastAsia="zh-CN"/>
        </w:rPr>
        <w:t>相关</w:t>
      </w:r>
      <w:r>
        <w:rPr>
          <w:rFonts w:hint="eastAsia" w:ascii="仿宋" w:hAnsi="仿宋" w:eastAsia="仿宋" w:cs="仿宋"/>
          <w:color w:val="auto"/>
          <w:sz w:val="24"/>
          <w:highlight w:val="none"/>
        </w:rPr>
        <w:t>应用系统的衔接。</w:t>
      </w:r>
    </w:p>
    <w:p w14:paraId="720B7AFE">
      <w:pPr>
        <w:spacing w:line="40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4.3 在项目</w:t>
      </w:r>
      <w:r>
        <w:rPr>
          <w:rFonts w:hint="eastAsia" w:ascii="仿宋" w:hAnsi="仿宋" w:eastAsia="仿宋" w:cs="仿宋"/>
          <w:color w:val="auto"/>
          <w:sz w:val="24"/>
          <w:highlight w:val="none"/>
          <w:lang w:eastAsia="zh-CN"/>
        </w:rPr>
        <w:t>维保期内</w:t>
      </w:r>
      <w:r>
        <w:rPr>
          <w:rFonts w:hint="eastAsia" w:ascii="仿宋" w:hAnsi="仿宋" w:eastAsia="仿宋" w:cs="仿宋"/>
          <w:color w:val="auto"/>
          <w:sz w:val="24"/>
          <w:highlight w:val="none"/>
        </w:rPr>
        <w:t>，乙方免费对系统进行日常维护，免费加工、整理甲方提供的各种新增数据，并依据甲方的指示，免费提供相关的业务咨询服务和培训。</w:t>
      </w:r>
    </w:p>
    <w:p w14:paraId="30F010A9">
      <w:pPr>
        <w:spacing w:line="40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第五条  项目变更</w:t>
      </w:r>
    </w:p>
    <w:p w14:paraId="15416118">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本合同签署后，甲方有权在履行本合同的过程中为履行本合同约定的委托开发事宜合理地提出变更、扩展、替换或修改本项目的某些部分的要求，包括但不限于增加或减少系统的相应功能、提高或提升有关技术参数、变更交付或安装的时间与地点等。为此，双方同意：</w:t>
      </w:r>
    </w:p>
    <w:p w14:paraId="3227FCF9">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5.1 若甲方提出部分项目的变更要求，甲方应该将变更要求以书面形式提交给乙方。乙方应在收到甲方变更要求后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个工作日内执行该要求。双方应就变更引起的工程进度变化进行协商。</w:t>
      </w:r>
    </w:p>
    <w:p w14:paraId="615D0FF4">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 如乙方提出部分项目的变更建议，乙方在将变更建议以书面形式提交给甲方的同时应详细阐明该变更对合同价格、项目交付</w:t>
      </w:r>
      <w:r>
        <w:rPr>
          <w:rFonts w:hint="eastAsia" w:ascii="仿宋" w:hAnsi="仿宋" w:eastAsia="仿宋" w:cs="仿宋"/>
          <w:color w:val="auto"/>
          <w:sz w:val="24"/>
          <w:highlight w:val="none"/>
          <w:lang w:eastAsia="zh-CN"/>
        </w:rPr>
        <w:t>时间</w:t>
      </w:r>
      <w:r>
        <w:rPr>
          <w:rFonts w:hint="eastAsia" w:ascii="仿宋" w:hAnsi="仿宋" w:eastAsia="仿宋" w:cs="仿宋"/>
          <w:color w:val="auto"/>
          <w:sz w:val="24"/>
          <w:highlight w:val="none"/>
        </w:rPr>
        <w:t>、系统性能、项目技术参数的影响以及对合同条款的影响等情况。</w:t>
      </w:r>
    </w:p>
    <w:p w14:paraId="4BC04950">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甲方应在收到乙方的上述变更建议后的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个工作日内以书面形式通知乙方是否同意和接受乙方的变更建议。如果甲方接受乙方的变更建议，则双方对此变更建议以书面形式确认，双方按变更后的约定履行本合同。如甲方不同意乙方的上述建议，双方仍按原合同执行。</w:t>
      </w:r>
    </w:p>
    <w:p w14:paraId="52DF3D94">
      <w:pPr>
        <w:spacing w:line="40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第六条  双方的责任与义务</w:t>
      </w:r>
    </w:p>
    <w:p w14:paraId="125FFCAF">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 甲方的责任与义务</w:t>
      </w:r>
    </w:p>
    <w:p w14:paraId="2FB6F08B">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6.1.1 负责项目主要工作内容和目标的确定与确认，项目关键问题的协调和对项目整体规划与进度的审批；负责项目规范（设计规范、技术规范、使用规范）、文档的审核和确认，对项目进行阶段性审查，组织项目的验收。</w:t>
      </w:r>
    </w:p>
    <w:p w14:paraId="445CC5B5">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6.1.2 审批与确定乙方项目主要组成人员。</w:t>
      </w:r>
    </w:p>
    <w:p w14:paraId="75C6724D">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6.1.3 负责提供项目</w:t>
      </w:r>
      <w:r>
        <w:rPr>
          <w:rFonts w:hint="eastAsia" w:ascii="仿宋" w:hAnsi="仿宋" w:eastAsia="仿宋" w:cs="仿宋"/>
          <w:color w:val="auto"/>
          <w:sz w:val="24"/>
          <w:highlight w:val="none"/>
          <w:lang w:val="en-US" w:eastAsia="zh-CN"/>
        </w:rPr>
        <w:t>必须</w:t>
      </w:r>
      <w:r>
        <w:rPr>
          <w:rFonts w:hint="eastAsia" w:ascii="仿宋" w:hAnsi="仿宋" w:eastAsia="仿宋" w:cs="仿宋"/>
          <w:color w:val="auto"/>
          <w:sz w:val="24"/>
          <w:highlight w:val="none"/>
        </w:rPr>
        <w:t>的历史数据、新增数据、业务需求文档、系统建设技术要求说明书和对有关问题予以澄清和解释。</w:t>
      </w:r>
    </w:p>
    <w:p w14:paraId="4FCB94A7">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6.1.4 按本合同约定向乙方支付委托开发费用。</w:t>
      </w:r>
    </w:p>
    <w:p w14:paraId="0C7958AA">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6.1.5 甲方有权聘请具有监理资质的第三方作为本项目的监理</w:t>
      </w:r>
      <w:r>
        <w:rPr>
          <w:rFonts w:hint="eastAsia" w:ascii="仿宋" w:hAnsi="仿宋" w:eastAsia="仿宋" w:cs="仿宋"/>
          <w:color w:val="auto"/>
          <w:sz w:val="24"/>
          <w:highlight w:val="none"/>
          <w:lang w:val="en-US" w:eastAsia="zh-CN"/>
        </w:rPr>
        <w:t>单位</w:t>
      </w:r>
      <w:r>
        <w:rPr>
          <w:rFonts w:hint="eastAsia" w:ascii="仿宋" w:hAnsi="仿宋" w:eastAsia="仿宋" w:cs="仿宋"/>
          <w:color w:val="auto"/>
          <w:sz w:val="24"/>
          <w:highlight w:val="none"/>
        </w:rPr>
        <w:t>。如甲方指定了第三方作为项目的监理，该监理在甲方的授权范围内就本项目的监理事项，享有与本合同中所约定的甲方同等的权利。</w:t>
      </w:r>
    </w:p>
    <w:p w14:paraId="15A27C64">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6.1.6 甲方有权聘请上述监理之外的第三方对系统进行测试。如甲方指定了第三方作为测试机构，该测试机构在甲方的授权范围内就本项目的测试事项，享有甲方所授予的与本合同所约定的甲方同等的权利。</w:t>
      </w:r>
    </w:p>
    <w:p w14:paraId="70F70381">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6.2 乙方的责任与义务</w:t>
      </w:r>
    </w:p>
    <w:p w14:paraId="71898353">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 xml:space="preserve"> 按照附件</w:t>
      </w:r>
      <w:r>
        <w:rPr>
          <w:rFonts w:hint="eastAsia" w:ascii="仿宋" w:hAnsi="仿宋" w:eastAsia="仿宋" w:cs="仿宋"/>
          <w:color w:val="auto"/>
          <w:sz w:val="24"/>
          <w:highlight w:val="none"/>
          <w:lang w:val="en-US" w:eastAsia="zh-CN"/>
        </w:rPr>
        <w:t>一</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项目团队成员配置计划表</w:t>
      </w:r>
      <w:r>
        <w:rPr>
          <w:rFonts w:hint="eastAsia" w:ascii="仿宋" w:hAnsi="仿宋" w:eastAsia="仿宋" w:cs="仿宋"/>
          <w:color w:val="auto"/>
          <w:sz w:val="24"/>
          <w:highlight w:val="none"/>
        </w:rPr>
        <w:t>》的要求组织人员参与项目的研究、</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rPr>
        <w:t>工作，并保证人员的稳定性、人员配置充足；如乙方根据具体情况需重新指定本方的管理小组的成员，应当提前三日以书面方式通知甲方，征得甲方的书面同意后才可以更换；如发生指定项目成员离职、长期休假、不符合甲方要求等情况时，乙方需保证有充足的符合甲方要求的乙方后备人员到岗提供服务。</w:t>
      </w:r>
    </w:p>
    <w:p w14:paraId="3F3D5D68">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 xml:space="preserve"> 乙方应依据本合同所约定的系统的功能、目标与《招标文件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及</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投标文件》，按照</w:t>
      </w:r>
      <w:r>
        <w:rPr>
          <w:rFonts w:hint="eastAsia" w:ascii="仿宋" w:hAnsi="仿宋" w:eastAsia="仿宋" w:cs="仿宋"/>
          <w:color w:val="auto"/>
          <w:sz w:val="24"/>
          <w:highlight w:val="none"/>
          <w:lang w:val="en-US" w:eastAsia="zh-CN"/>
        </w:rPr>
        <w:t>合同</w:t>
      </w:r>
      <w:r>
        <w:rPr>
          <w:rFonts w:hint="eastAsia" w:ascii="仿宋" w:hAnsi="仿宋" w:eastAsia="仿宋" w:cs="仿宋"/>
          <w:color w:val="auto"/>
          <w:sz w:val="24"/>
          <w:highlight w:val="none"/>
        </w:rPr>
        <w:t>约定的时间完成</w:t>
      </w:r>
      <w:r>
        <w:rPr>
          <w:rFonts w:hint="eastAsia" w:ascii="仿宋" w:hAnsi="仿宋" w:eastAsia="仿宋" w:cs="仿宋"/>
          <w:color w:val="auto"/>
          <w:sz w:val="24"/>
          <w:highlight w:val="none"/>
          <w:lang w:val="en-US" w:eastAsia="zh-CN"/>
        </w:rPr>
        <w:t>相关管理、技术文件</w:t>
      </w:r>
      <w:r>
        <w:rPr>
          <w:rFonts w:hint="eastAsia" w:ascii="仿宋" w:hAnsi="仿宋" w:eastAsia="仿宋" w:cs="仿宋"/>
          <w:color w:val="auto"/>
          <w:sz w:val="24"/>
          <w:highlight w:val="none"/>
        </w:rPr>
        <w:t>，并提交甲方审核。甲方在收到上述文件后，对其中所描述系统的适用性、需求性和应用性、易用性、可用性等进行审核。如甲方认可上述文件，则在上述文件中盖章。如有异议，则以书面方式说明理由并提交乙方复查。如乙方认为不构成问题，则应向甲方提交书面解释。甲方认为确有问题的，乙方应在收到甲方书面异议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日内予以修改并再次提交甲方审核。甲乙双方将重复此程序，直至双方一致认可。</w:t>
      </w:r>
    </w:p>
    <w:p w14:paraId="7FFE8541">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甲方对上述</w:t>
      </w:r>
      <w:r>
        <w:rPr>
          <w:rFonts w:hint="eastAsia" w:ascii="仿宋" w:hAnsi="仿宋" w:eastAsia="仿宋" w:cs="仿宋"/>
          <w:color w:val="auto"/>
          <w:sz w:val="24"/>
          <w:highlight w:val="none"/>
          <w:lang w:eastAsia="zh-CN"/>
        </w:rPr>
        <w:t>相关</w:t>
      </w:r>
      <w:r>
        <w:rPr>
          <w:rFonts w:hint="eastAsia" w:ascii="仿宋" w:hAnsi="仿宋" w:eastAsia="仿宋" w:cs="仿宋"/>
          <w:color w:val="auto"/>
          <w:sz w:val="24"/>
          <w:highlight w:val="none"/>
        </w:rPr>
        <w:t>文档的认可，仅代表对上述文档中系统</w:t>
      </w:r>
      <w:r>
        <w:rPr>
          <w:rFonts w:hint="eastAsia" w:ascii="仿宋" w:hAnsi="仿宋" w:eastAsia="仿宋" w:cs="仿宋"/>
          <w:color w:val="auto"/>
          <w:sz w:val="24"/>
          <w:highlight w:val="none"/>
          <w:lang w:eastAsia="zh-CN"/>
        </w:rPr>
        <w:t>功能</w:t>
      </w:r>
      <w:r>
        <w:rPr>
          <w:rFonts w:hint="eastAsia" w:ascii="仿宋" w:hAnsi="仿宋" w:eastAsia="仿宋" w:cs="仿宋"/>
          <w:color w:val="auto"/>
          <w:sz w:val="24"/>
          <w:highlight w:val="none"/>
        </w:rPr>
        <w:t>开发的适用性、需求性、可行性、易用性、可用性等的审核，仅作为甲方对项目实现功能及《</w:t>
      </w:r>
      <w:r>
        <w:rPr>
          <w:rFonts w:hint="eastAsia" w:ascii="仿宋" w:hAnsi="仿宋" w:eastAsia="仿宋" w:cs="仿宋"/>
          <w:color w:val="auto"/>
          <w:sz w:val="24"/>
          <w:highlight w:val="none"/>
          <w:lang w:eastAsia="zh-CN"/>
        </w:rPr>
        <w:t>招标</w:t>
      </w:r>
      <w:r>
        <w:rPr>
          <w:rFonts w:hint="eastAsia" w:ascii="仿宋" w:hAnsi="仿宋" w:eastAsia="仿宋" w:cs="仿宋"/>
          <w:color w:val="auto"/>
          <w:sz w:val="24"/>
          <w:highlight w:val="none"/>
        </w:rPr>
        <w:t>文件》、</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文件》及用户需求的书面审核。甲方并不对其中的技术问题进行审核。如其中出现任何与乙方设计相关的技术或技术调整问题，仍由乙方承担违约责任。</w:t>
      </w:r>
    </w:p>
    <w:p w14:paraId="7B6CD19C">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 xml:space="preserve"> 乙方负责在甲方的指导下依据《招标文件》、中标人《投标文件》及用户需求和系统设计文档组织项目的研究开发工作，并保证在约定的期限内完成项目开发工作，并向甲方提交全部项目成果，并确保系统的可靠性、灵活性、通用性和拓展性。</w:t>
      </w:r>
    </w:p>
    <w:p w14:paraId="70EBE63C">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 xml:space="preserve"> 乙方应将甲方提供的资金用于本项目的</w:t>
      </w:r>
      <w:r>
        <w:rPr>
          <w:rFonts w:hint="eastAsia" w:ascii="仿宋" w:hAnsi="仿宋" w:eastAsia="仿宋" w:cs="仿宋"/>
          <w:color w:val="auto"/>
          <w:sz w:val="24"/>
          <w:highlight w:val="none"/>
          <w:lang w:eastAsia="zh-CN"/>
        </w:rPr>
        <w:t>建设服务</w:t>
      </w:r>
      <w:r>
        <w:rPr>
          <w:rFonts w:hint="eastAsia" w:ascii="仿宋" w:hAnsi="仿宋" w:eastAsia="仿宋" w:cs="仿宋"/>
          <w:color w:val="auto"/>
          <w:sz w:val="24"/>
          <w:highlight w:val="none"/>
        </w:rPr>
        <w:t>工作之中，不得擅自挪作他用。</w:t>
      </w:r>
    </w:p>
    <w:p w14:paraId="0CBF5E0A">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 xml:space="preserve"> 项目系统</w:t>
      </w:r>
      <w:r>
        <w:rPr>
          <w:rFonts w:hint="eastAsia" w:ascii="仿宋" w:hAnsi="仿宋" w:eastAsia="仿宋" w:cs="仿宋"/>
          <w:color w:val="auto"/>
          <w:sz w:val="24"/>
          <w:highlight w:val="none"/>
          <w:lang w:eastAsia="zh-CN"/>
        </w:rPr>
        <w:t>建设服务</w:t>
      </w:r>
      <w:r>
        <w:rPr>
          <w:rFonts w:hint="eastAsia" w:ascii="仿宋" w:hAnsi="仿宋" w:eastAsia="仿宋" w:cs="仿宋"/>
          <w:color w:val="auto"/>
          <w:sz w:val="24"/>
          <w:highlight w:val="none"/>
        </w:rPr>
        <w:t>完成后，乙方负责</w:t>
      </w:r>
      <w:r>
        <w:rPr>
          <w:rFonts w:hint="eastAsia" w:ascii="仿宋" w:hAnsi="仿宋" w:eastAsia="仿宋" w:cs="仿宋"/>
          <w:color w:val="auto"/>
          <w:sz w:val="24"/>
          <w:highlight w:val="none"/>
          <w:lang w:eastAsia="zh-CN"/>
        </w:rPr>
        <w:t>提供</w:t>
      </w:r>
      <w:r>
        <w:rPr>
          <w:rFonts w:hint="eastAsia" w:ascii="仿宋" w:hAnsi="仿宋" w:eastAsia="仿宋" w:cs="仿宋"/>
          <w:color w:val="auto"/>
          <w:sz w:val="24"/>
          <w:highlight w:val="none"/>
        </w:rPr>
        <w:t>甲方及</w:t>
      </w:r>
      <w:r>
        <w:rPr>
          <w:rFonts w:hint="eastAsia" w:ascii="仿宋" w:hAnsi="仿宋" w:eastAsia="仿宋" w:cs="仿宋"/>
          <w:color w:val="auto"/>
          <w:sz w:val="24"/>
          <w:highlight w:val="none"/>
          <w:lang w:val="en-US" w:eastAsia="zh-CN"/>
        </w:rPr>
        <w:t>甲方指定的其他用户单位</w:t>
      </w:r>
      <w:r>
        <w:rPr>
          <w:rFonts w:hint="eastAsia" w:ascii="仿宋" w:hAnsi="仿宋" w:eastAsia="仿宋" w:cs="仿宋"/>
          <w:color w:val="auto"/>
          <w:sz w:val="24"/>
          <w:highlight w:val="none"/>
        </w:rPr>
        <w:t>的系统上门安装调试</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rPr>
        <w:t>，并在甲方指定的试点进行实施，并自行承担一切相关费用。主要工作包括：</w:t>
      </w:r>
    </w:p>
    <w:p w14:paraId="46CFBC99">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（1）系统上门安装、调试，包括数据库</w:t>
      </w:r>
      <w:r>
        <w:rPr>
          <w:rFonts w:hint="eastAsia" w:ascii="仿宋" w:hAnsi="仿宋" w:eastAsia="仿宋" w:cs="仿宋"/>
          <w:color w:val="auto"/>
          <w:sz w:val="24"/>
          <w:highlight w:val="none"/>
          <w:lang w:eastAsia="zh-CN"/>
        </w:rPr>
        <w:t>（如有）</w:t>
      </w:r>
      <w:r>
        <w:rPr>
          <w:rFonts w:hint="eastAsia" w:ascii="仿宋" w:hAnsi="仿宋" w:eastAsia="仿宋" w:cs="仿宋"/>
          <w:color w:val="auto"/>
          <w:sz w:val="24"/>
          <w:highlight w:val="none"/>
        </w:rPr>
        <w:t>、中间件的配置服务；</w:t>
      </w:r>
    </w:p>
    <w:p w14:paraId="5533178C">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（2）按用户要求完成所有报表任务的定制与下发，完成流程与参数设置；</w:t>
      </w:r>
    </w:p>
    <w:p w14:paraId="4C868AED">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（3）协助用户制定系统权限设置方案，完成功能权限、数据权限、组织机构权限、用户角色创建的设置；</w:t>
      </w:r>
    </w:p>
    <w:p w14:paraId="551DB781">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（4）完成相关历史数据、基础数据等的导入与整理工作；</w:t>
      </w:r>
    </w:p>
    <w:p w14:paraId="32E8FF40">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（5）完成系统与其他相关系统衔接的初始调试工作；</w:t>
      </w:r>
    </w:p>
    <w:p w14:paraId="4FE4F0EC">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（6）分别为甲方及</w:t>
      </w:r>
      <w:r>
        <w:rPr>
          <w:rFonts w:hint="eastAsia" w:ascii="仿宋" w:hAnsi="仿宋" w:eastAsia="仿宋" w:cs="仿宋"/>
          <w:color w:val="auto"/>
          <w:sz w:val="24"/>
          <w:highlight w:val="none"/>
          <w:lang w:val="en-US" w:eastAsia="zh-CN"/>
        </w:rPr>
        <w:t>甲方指定的其他用户单位</w:t>
      </w:r>
      <w:r>
        <w:rPr>
          <w:rFonts w:hint="eastAsia" w:ascii="仿宋" w:hAnsi="仿宋" w:eastAsia="仿宋" w:cs="仿宋"/>
          <w:color w:val="auto"/>
          <w:sz w:val="24"/>
          <w:highlight w:val="none"/>
        </w:rPr>
        <w:t>的相关人员提供免费培训；</w:t>
      </w:r>
    </w:p>
    <w:p w14:paraId="3669FC30">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（7）完成系统实施后的交接工作，</w:t>
      </w:r>
      <w:r>
        <w:rPr>
          <w:rFonts w:hint="eastAsia" w:ascii="仿宋" w:hAnsi="仿宋" w:eastAsia="仿宋" w:cs="仿宋"/>
          <w:color w:val="auto"/>
          <w:sz w:val="24"/>
          <w:highlight w:val="none"/>
          <w:lang w:eastAsia="zh-CN"/>
        </w:rPr>
        <w:t>向甲方提交所需的项目资料</w:t>
      </w:r>
      <w:r>
        <w:rPr>
          <w:rFonts w:hint="eastAsia" w:ascii="仿宋" w:hAnsi="仿宋" w:eastAsia="仿宋" w:cs="仿宋"/>
          <w:color w:val="auto"/>
          <w:sz w:val="24"/>
          <w:highlight w:val="none"/>
        </w:rPr>
        <w:t>。</w:t>
      </w:r>
    </w:p>
    <w:p w14:paraId="7EEF23B0">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 xml:space="preserve"> 项目验收完成后，乙方在项目</w:t>
      </w:r>
      <w:r>
        <w:rPr>
          <w:rFonts w:hint="eastAsia" w:ascii="仿宋" w:hAnsi="仿宋" w:eastAsia="仿宋" w:cs="仿宋"/>
          <w:color w:val="auto"/>
          <w:sz w:val="24"/>
          <w:highlight w:val="none"/>
          <w:lang w:eastAsia="zh-CN"/>
        </w:rPr>
        <w:t>维保期</w:t>
      </w:r>
      <w:r>
        <w:rPr>
          <w:rFonts w:hint="eastAsia" w:ascii="仿宋" w:hAnsi="仿宋" w:eastAsia="仿宋" w:cs="仿宋"/>
          <w:color w:val="auto"/>
          <w:sz w:val="24"/>
          <w:highlight w:val="none"/>
        </w:rPr>
        <w:t>内免费按本合同的约定向甲方及甲方</w:t>
      </w:r>
      <w:r>
        <w:rPr>
          <w:rFonts w:hint="eastAsia" w:ascii="仿宋" w:hAnsi="仿宋" w:eastAsia="仿宋" w:cs="仿宋"/>
          <w:color w:val="auto"/>
          <w:sz w:val="24"/>
          <w:highlight w:val="none"/>
          <w:lang w:val="en-US" w:eastAsia="zh-CN"/>
        </w:rPr>
        <w:t>指定的</w:t>
      </w:r>
      <w:r>
        <w:rPr>
          <w:rFonts w:hint="eastAsia" w:ascii="仿宋" w:hAnsi="仿宋" w:eastAsia="仿宋" w:cs="仿宋"/>
          <w:color w:val="auto"/>
          <w:sz w:val="24"/>
          <w:highlight w:val="none"/>
        </w:rPr>
        <w:t>用户单位提供维护和培训服务。</w:t>
      </w:r>
    </w:p>
    <w:p w14:paraId="6454C68F">
      <w:pPr>
        <w:spacing w:line="40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第七条  承诺与保证</w:t>
      </w:r>
    </w:p>
    <w:p w14:paraId="3E5C8E80">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7.1 甲方承诺与保证</w:t>
      </w:r>
    </w:p>
    <w:p w14:paraId="4025A12E">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7.1.1 甲方具有合法的签署并履行本合同项下的义务的权利能力。</w:t>
      </w:r>
    </w:p>
    <w:p w14:paraId="5C40CE84">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7.1.2 甲方签署和履行本合同或与本合同相关的文件将不会与适用于甲方的法律法规或判决等相冲突；且不会与甲方同第三人所签署的任何法律文件如保证协议、承诺、合同等中的义务相冲突或导致任何违约，或使甲方的权利受到约束。</w:t>
      </w:r>
    </w:p>
    <w:p w14:paraId="1EB45349">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7.2 乙方承诺与保证</w:t>
      </w:r>
    </w:p>
    <w:p w14:paraId="20C6CCF5">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7.2.1 乙方是一家根据中国法律合法设立、存续并具有良好信誉的公司，具有合法的签署和履行本合同项下义务的权利能力。</w:t>
      </w:r>
    </w:p>
    <w:p w14:paraId="5F973703">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7.2.2 乙方签署和履行本合同或与本合同相关的文件将不会与乙方的章程或其他适用于乙方的法律法规或判决相冲突；且不会与乙方同第三人所签署的任何法律文件如保证协议、承诺、合同等规定的义务相冲突而导致乙方的权利受到约束。</w:t>
      </w:r>
    </w:p>
    <w:p w14:paraId="4402C9B7">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7.2.3 乙方履行本合同项下的义务没有受到任何第三方的约束或限制，也没有承担任何约束或限制性义务。</w:t>
      </w:r>
    </w:p>
    <w:p w14:paraId="26F35C32">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7.2.4 乙方</w:t>
      </w:r>
      <w:r>
        <w:rPr>
          <w:rFonts w:hint="eastAsia" w:ascii="仿宋" w:hAnsi="仿宋" w:eastAsia="仿宋" w:cs="仿宋"/>
          <w:color w:val="auto"/>
          <w:sz w:val="24"/>
          <w:highlight w:val="none"/>
          <w:lang w:eastAsia="zh-CN"/>
        </w:rPr>
        <w:t>建设</w:t>
      </w:r>
      <w:r>
        <w:rPr>
          <w:rFonts w:hint="eastAsia" w:ascii="仿宋" w:hAnsi="仿宋" w:eastAsia="仿宋" w:cs="仿宋"/>
          <w:color w:val="auto"/>
          <w:sz w:val="24"/>
          <w:highlight w:val="none"/>
        </w:rPr>
        <w:t>的系统符合中国有关软件系统产品方面的规定、标准和规范。</w:t>
      </w:r>
    </w:p>
    <w:p w14:paraId="6FBF823A">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7.2.5 在乙方所交付的软件系统中，不含任何可以自动终止或妨碍系统运作的组成部分。</w:t>
      </w:r>
    </w:p>
    <w:p w14:paraId="5BD12816">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7.2.6 乙方</w:t>
      </w:r>
      <w:r>
        <w:rPr>
          <w:rFonts w:hint="eastAsia" w:ascii="仿宋" w:hAnsi="仿宋" w:eastAsia="仿宋" w:cs="仿宋"/>
          <w:color w:val="auto"/>
          <w:sz w:val="24"/>
          <w:highlight w:val="none"/>
          <w:lang w:val="en-US" w:eastAsia="zh-CN"/>
        </w:rPr>
        <w:t>应按照甲方要求在项目所在地</w:t>
      </w:r>
      <w:r>
        <w:rPr>
          <w:rFonts w:hint="eastAsia" w:ascii="仿宋" w:hAnsi="仿宋" w:eastAsia="仿宋" w:cs="仿宋"/>
          <w:color w:val="auto"/>
          <w:sz w:val="24"/>
          <w:highlight w:val="none"/>
        </w:rPr>
        <w:t>固定场所进行本项目的开发工作，并在</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rPr>
        <w:t>期间维持一支稳定的</w:t>
      </w:r>
      <w:r>
        <w:rPr>
          <w:rFonts w:hint="eastAsia" w:ascii="仿宋" w:hAnsi="仿宋" w:eastAsia="仿宋" w:cs="仿宋"/>
          <w:color w:val="auto"/>
          <w:sz w:val="24"/>
          <w:highlight w:val="none"/>
          <w:lang w:eastAsia="zh-CN"/>
        </w:rPr>
        <w:t>服务团队</w:t>
      </w:r>
      <w:r>
        <w:rPr>
          <w:rFonts w:hint="eastAsia" w:ascii="仿宋" w:hAnsi="仿宋" w:eastAsia="仿宋" w:cs="仿宋"/>
          <w:color w:val="auto"/>
          <w:sz w:val="24"/>
          <w:highlight w:val="none"/>
        </w:rPr>
        <w:t>。</w:t>
      </w:r>
    </w:p>
    <w:p w14:paraId="3031E083">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7.2.7 乙方</w:t>
      </w:r>
      <w:r>
        <w:rPr>
          <w:rFonts w:hint="eastAsia" w:ascii="仿宋" w:hAnsi="仿宋" w:eastAsia="仿宋" w:cs="仿宋"/>
          <w:color w:val="auto"/>
          <w:sz w:val="24"/>
          <w:highlight w:val="none"/>
          <w:lang w:eastAsia="zh-CN"/>
        </w:rPr>
        <w:t>应</w:t>
      </w:r>
      <w:r>
        <w:rPr>
          <w:rFonts w:hint="eastAsia" w:ascii="仿宋" w:hAnsi="仿宋" w:eastAsia="仿宋" w:cs="仿宋"/>
          <w:color w:val="auto"/>
          <w:sz w:val="24"/>
          <w:highlight w:val="none"/>
        </w:rPr>
        <w:t>承诺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在受甲方委托</w:t>
      </w:r>
      <w:r>
        <w:rPr>
          <w:rFonts w:hint="eastAsia" w:ascii="仿宋" w:hAnsi="仿宋" w:eastAsia="仿宋" w:cs="仿宋"/>
          <w:color w:val="auto"/>
          <w:sz w:val="24"/>
          <w:highlight w:val="none"/>
          <w:lang w:eastAsia="zh-CN"/>
        </w:rPr>
        <w:t>建设</w:t>
      </w:r>
      <w:r>
        <w:rPr>
          <w:rFonts w:hint="eastAsia" w:ascii="仿宋" w:hAnsi="仿宋" w:eastAsia="仿宋" w:cs="仿宋"/>
          <w:color w:val="auto"/>
          <w:sz w:val="24"/>
          <w:highlight w:val="none"/>
        </w:rPr>
        <w:t>本项目过程中，需使用任何第三方拥有所有权、专利权、著作权、商标权或商业秘密等权利的产品或者服务时，须书面告知甲方，在征得甲方的书面同意后，方可继续执行。如果甲方要对本合同项下乙方受托</w:t>
      </w:r>
      <w:r>
        <w:rPr>
          <w:rFonts w:hint="eastAsia" w:ascii="仿宋" w:hAnsi="仿宋" w:eastAsia="仿宋" w:cs="仿宋"/>
          <w:color w:val="auto"/>
          <w:sz w:val="24"/>
          <w:highlight w:val="none"/>
          <w:lang w:eastAsia="zh-CN"/>
        </w:rPr>
        <w:t>建设的</w:t>
      </w:r>
      <w:r>
        <w:rPr>
          <w:rFonts w:hint="eastAsia" w:ascii="仿宋" w:hAnsi="仿宋" w:eastAsia="仿宋" w:cs="仿宋"/>
          <w:color w:val="auto"/>
          <w:sz w:val="24"/>
          <w:highlight w:val="none"/>
        </w:rPr>
        <w:t>系统进行定制修改需要该第三方予以配合时，乙方负责协调该第三方并保证该第三方予以配合，否则乙方应当按照本合同的规定承担违约责任，并赔偿因此给甲方造成的全部损失。</w:t>
      </w:r>
    </w:p>
    <w:p w14:paraId="5076ECCC">
      <w:pPr>
        <w:spacing w:line="40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第八条  知识产权</w:t>
      </w:r>
    </w:p>
    <w:p w14:paraId="5FE06F6F">
      <w:pPr>
        <w:shd w:val="clear" w:color="auto" w:fill="FFFFFF"/>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8.1投标软件产品应列明软件名称、开发商名称、最新版本号，OEM第三方的软件产品必须提供原开发商针对本项目授权和售后服务承诺书，OEM的第三方软件产品必须经采购人确认认同。</w:t>
      </w:r>
    </w:p>
    <w:p w14:paraId="1062601A">
      <w:pPr>
        <w:shd w:val="clear" w:color="auto" w:fill="FFFFFF"/>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8.2如出现软件使用侵权成立，最终裁决采购人禁止使用本合同项下所提供的合同货物和服务，无论是全部还是部分，</w:t>
      </w:r>
      <w:r>
        <w:rPr>
          <w:rFonts w:hint="eastAsia" w:ascii="仿宋" w:hAnsi="仿宋" w:eastAsia="仿宋" w:cs="仿宋"/>
          <w:color w:val="auto"/>
          <w:kern w:val="0"/>
          <w:sz w:val="24"/>
          <w:highlight w:val="none"/>
          <w:lang w:eastAsia="zh-CN"/>
        </w:rPr>
        <w:t>乙方</w:t>
      </w:r>
      <w:r>
        <w:rPr>
          <w:rFonts w:hint="eastAsia" w:ascii="仿宋" w:hAnsi="仿宋" w:eastAsia="仿宋" w:cs="仿宋"/>
          <w:color w:val="auto"/>
          <w:kern w:val="0"/>
          <w:sz w:val="24"/>
          <w:highlight w:val="none"/>
        </w:rPr>
        <w:t>承担全部法律、经济及赔偿责任，并应立即与采购人协商后作如下选择：</w:t>
      </w:r>
    </w:p>
    <w:p w14:paraId="23274CB8">
      <w:pPr>
        <w:shd w:val="clear" w:color="auto" w:fill="FFFFFF"/>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8.2.1对采购人不造成任何损失的前提下，修改本项目下所提供的项目所采购的软件系统和服务，使之不再存在侵权问题；</w:t>
      </w:r>
    </w:p>
    <w:p w14:paraId="360EC9B5">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8.2.3采用其它符合相关项目规定的技术要求，性能等同但无侵权行为的软件、设备或部件和服务，以取代所提供的项目所采购货物或部件合服务。</w:t>
      </w:r>
    </w:p>
    <w:p w14:paraId="25735272">
      <w:pPr>
        <w:spacing w:line="40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第九条  合同</w:t>
      </w:r>
      <w:r>
        <w:rPr>
          <w:rFonts w:hint="eastAsia" w:ascii="仿宋" w:hAnsi="仿宋" w:eastAsia="仿宋" w:cs="仿宋"/>
          <w:b/>
          <w:bCs/>
          <w:color w:val="auto"/>
          <w:sz w:val="24"/>
          <w:highlight w:val="none"/>
          <w:lang w:eastAsia="zh-CN"/>
        </w:rPr>
        <w:t>价格</w:t>
      </w:r>
      <w:r>
        <w:rPr>
          <w:rFonts w:hint="eastAsia" w:ascii="仿宋" w:hAnsi="仿宋" w:eastAsia="仿宋" w:cs="仿宋"/>
          <w:b/>
          <w:bCs/>
          <w:color w:val="auto"/>
          <w:sz w:val="24"/>
          <w:highlight w:val="none"/>
        </w:rPr>
        <w:t>和支付方式</w:t>
      </w:r>
    </w:p>
    <w:p w14:paraId="67C32EC1">
      <w:pPr>
        <w:spacing w:line="40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9.1本合同</w:t>
      </w:r>
      <w:r>
        <w:rPr>
          <w:rFonts w:hint="eastAsia" w:ascii="仿宋" w:hAnsi="仿宋" w:eastAsia="仿宋" w:cs="仿宋"/>
          <w:color w:val="auto"/>
          <w:sz w:val="24"/>
          <w:highlight w:val="none"/>
          <w:lang w:val="en-US" w:eastAsia="zh-CN"/>
        </w:rPr>
        <w:t>为固定总价合同，合同价格为：</w:t>
      </w:r>
    </w:p>
    <w:p w14:paraId="2D00C86A">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en-US" w:eastAsia="zh-CN"/>
        </w:rPr>
        <w:t>大写：人民币                元（小写：             元，含税）</w:t>
      </w:r>
      <w:r>
        <w:rPr>
          <w:rFonts w:hint="eastAsia" w:ascii="仿宋" w:hAnsi="仿宋" w:eastAsia="仿宋" w:cs="仿宋"/>
          <w:color w:val="auto"/>
          <w:sz w:val="24"/>
          <w:highlight w:val="none"/>
          <w:lang w:val="en-US" w:eastAsia="zh-CN"/>
        </w:rPr>
        <w:t>。</w:t>
      </w:r>
    </w:p>
    <w:p w14:paraId="0044F74D">
      <w:pPr>
        <w:spacing w:line="40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9.2支付方式</w:t>
      </w:r>
    </w:p>
    <w:p w14:paraId="54542585">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合同</w:t>
      </w:r>
      <w:r>
        <w:rPr>
          <w:rFonts w:hint="eastAsia" w:ascii="仿宋" w:hAnsi="仿宋" w:eastAsia="仿宋" w:cs="仿宋"/>
          <w:color w:val="auto"/>
          <w:sz w:val="24"/>
          <w:highlight w:val="none"/>
          <w:lang w:eastAsia="zh-CN"/>
        </w:rPr>
        <w:t>价格</w:t>
      </w:r>
      <w:r>
        <w:rPr>
          <w:rFonts w:hint="eastAsia" w:ascii="仿宋" w:hAnsi="仿宋" w:eastAsia="仿宋" w:cs="仿宋"/>
          <w:color w:val="auto"/>
          <w:sz w:val="24"/>
          <w:highlight w:val="none"/>
        </w:rPr>
        <w:t>由甲方分期向乙方支付，具体支付方式和时间如下：</w:t>
      </w:r>
    </w:p>
    <w:p w14:paraId="1B889292">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（1）合同签订后30个工作日内，</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在收到</w:t>
      </w:r>
      <w:r>
        <w:rPr>
          <w:rFonts w:hint="eastAsia" w:ascii="仿宋" w:hAnsi="仿宋" w:eastAsia="仿宋" w:cs="仿宋"/>
          <w:color w:val="auto"/>
          <w:sz w:val="24"/>
          <w:highlight w:val="none"/>
          <w:lang w:eastAsia="zh-CN"/>
        </w:rPr>
        <w:t>乙</w:t>
      </w:r>
      <w:r>
        <w:rPr>
          <w:rFonts w:hint="eastAsia" w:ascii="仿宋" w:hAnsi="仿宋" w:eastAsia="仿宋" w:cs="仿宋"/>
          <w:color w:val="auto"/>
          <w:sz w:val="24"/>
          <w:highlight w:val="none"/>
        </w:rPr>
        <w:t>方提供的相应支付金额的增值税普通发票后10个工作日内，向中标方支付合同总额的20%。</w:t>
      </w:r>
    </w:p>
    <w:p w14:paraId="5AEA273B">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（2）项目通过初验后30个工作日内，</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在收到</w:t>
      </w:r>
      <w:r>
        <w:rPr>
          <w:rFonts w:hint="eastAsia" w:ascii="仿宋" w:hAnsi="仿宋" w:eastAsia="仿宋" w:cs="仿宋"/>
          <w:color w:val="auto"/>
          <w:sz w:val="24"/>
          <w:highlight w:val="none"/>
          <w:lang w:eastAsia="zh-CN"/>
        </w:rPr>
        <w:t>乙</w:t>
      </w:r>
      <w:r>
        <w:rPr>
          <w:rFonts w:hint="eastAsia" w:ascii="仿宋" w:hAnsi="仿宋" w:eastAsia="仿宋" w:cs="仿宋"/>
          <w:color w:val="auto"/>
          <w:sz w:val="24"/>
          <w:highlight w:val="none"/>
        </w:rPr>
        <w:t>方提供的相应金额的增值税普通发票后10个工作日内，向中标方支付合同总额的30%。</w:t>
      </w:r>
    </w:p>
    <w:p w14:paraId="49618AD4">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（3）项目通过最终验收后30个工作日内，</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在收到</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方提供的相应金额的增值税普通发票后10个工作日内，向中标方支付合同总额的30%。</w:t>
      </w:r>
    </w:p>
    <w:p w14:paraId="0F753AC8">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（4）项目维保期结束，</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在收到</w:t>
      </w:r>
      <w:r>
        <w:rPr>
          <w:rFonts w:hint="eastAsia" w:ascii="仿宋" w:hAnsi="仿宋" w:eastAsia="仿宋" w:cs="仿宋"/>
          <w:color w:val="auto"/>
          <w:sz w:val="24"/>
          <w:highlight w:val="none"/>
          <w:lang w:eastAsia="zh-CN"/>
        </w:rPr>
        <w:t>乙</w:t>
      </w:r>
      <w:r>
        <w:rPr>
          <w:rFonts w:hint="eastAsia" w:ascii="仿宋" w:hAnsi="仿宋" w:eastAsia="仿宋" w:cs="仿宋"/>
          <w:color w:val="auto"/>
          <w:sz w:val="24"/>
          <w:highlight w:val="none"/>
        </w:rPr>
        <w:t>方提供的相应金额的增值税普通发票后10个工作日内，向中标方支付合同总额的20%。</w:t>
      </w:r>
    </w:p>
    <w:p w14:paraId="5A9F4B28">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前述</w:t>
      </w:r>
      <w:r>
        <w:rPr>
          <w:rFonts w:hint="eastAsia" w:ascii="仿宋" w:hAnsi="仿宋" w:eastAsia="仿宋" w:cs="仿宋"/>
          <w:color w:val="auto"/>
          <w:sz w:val="24"/>
          <w:highlight w:val="none"/>
          <w:lang w:eastAsia="zh-CN"/>
        </w:rPr>
        <w:t>合同价格</w:t>
      </w:r>
      <w:r>
        <w:rPr>
          <w:rFonts w:hint="eastAsia" w:ascii="仿宋" w:hAnsi="仿宋" w:eastAsia="仿宋" w:cs="仿宋"/>
          <w:color w:val="auto"/>
          <w:sz w:val="24"/>
          <w:highlight w:val="none"/>
        </w:rPr>
        <w:t>涵盖本合同及其附件所约定的乙方为甲方提供的所有软件</w:t>
      </w:r>
      <w:r>
        <w:rPr>
          <w:rFonts w:hint="eastAsia" w:ascii="仿宋" w:hAnsi="仿宋" w:eastAsia="仿宋" w:cs="仿宋"/>
          <w:color w:val="auto"/>
          <w:sz w:val="24"/>
          <w:highlight w:val="none"/>
          <w:lang w:eastAsia="zh-CN"/>
        </w:rPr>
        <w:t>产品、技术开发、技术支持、接口对接等各项</w:t>
      </w:r>
      <w:r>
        <w:rPr>
          <w:rFonts w:hint="eastAsia" w:ascii="仿宋" w:hAnsi="仿宋" w:eastAsia="仿宋" w:cs="仿宋"/>
          <w:color w:val="auto"/>
          <w:sz w:val="24"/>
          <w:highlight w:val="none"/>
        </w:rPr>
        <w:t>服务内容，金额包干。乙方不得以投入人员、投入时间或服务难度较大为由向甲方申请增加费用。</w:t>
      </w:r>
    </w:p>
    <w:p w14:paraId="11478DC8">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国家根据现行税法对乙方征收的与本合同有关的一切税费均由乙方自行负担。乙方未按照本条约定及时提供发票或有其他任何违约行为，甲方有权拒绝向乙方支付任一款项，且不因此承担任何违约责任。</w:t>
      </w:r>
    </w:p>
    <w:p w14:paraId="12580725">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乙方开户银行名称、地址和账号为：</w:t>
      </w:r>
    </w:p>
    <w:p w14:paraId="6B57968B">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账户名：</w:t>
      </w:r>
      <w:r>
        <w:rPr>
          <w:rFonts w:hint="eastAsia" w:ascii="仿宋" w:hAnsi="仿宋" w:eastAsia="仿宋" w:cs="仿宋"/>
          <w:color w:val="auto"/>
          <w:sz w:val="24"/>
          <w:highlight w:val="none"/>
          <w:u w:val="single"/>
        </w:rPr>
        <w:t xml:space="preserve">                </w:t>
      </w:r>
    </w:p>
    <w:p w14:paraId="2634F9CE">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p>
    <w:p w14:paraId="305C7280">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single"/>
        </w:rPr>
        <w:t xml:space="preserve">                </w:t>
      </w:r>
    </w:p>
    <w:p w14:paraId="415AD816">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账号：</w:t>
      </w:r>
      <w:r>
        <w:rPr>
          <w:rFonts w:hint="eastAsia" w:ascii="仿宋" w:hAnsi="仿宋" w:eastAsia="仿宋" w:cs="仿宋"/>
          <w:color w:val="auto"/>
          <w:sz w:val="24"/>
          <w:highlight w:val="none"/>
          <w:u w:val="single"/>
        </w:rPr>
        <w:t xml:space="preserve">                </w:t>
      </w:r>
    </w:p>
    <w:p w14:paraId="6977DB4B">
      <w:pPr>
        <w:spacing w:line="40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第十条  履约保证金</w:t>
      </w:r>
    </w:p>
    <w:p w14:paraId="0180C76B">
      <w:pPr>
        <w:spacing w:line="400" w:lineRule="exact"/>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无。</w:t>
      </w:r>
    </w:p>
    <w:p w14:paraId="701BD909">
      <w:pPr>
        <w:spacing w:line="40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第十一条  项目交付和验收</w:t>
      </w:r>
    </w:p>
    <w:p w14:paraId="04AAB0A1">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交付</w:t>
      </w:r>
    </w:p>
    <w:p w14:paraId="2D68E6C3">
      <w:pPr>
        <w:spacing w:line="40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11.1.1乙方应按项目工期和验收条件进行项目整体交付。</w:t>
      </w:r>
    </w:p>
    <w:p w14:paraId="202A5170">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 xml:space="preserve"> 本项目完成后的最终成果应包括系统产品和文档资料，乙方交付的产品应准确、完整、清晰，完全满足合同约定的全部内容和甲方（或甲方用户单位）安装、运行、维护和扩展的要求，并保证系统运行的安全、高效、稳定、可靠。</w:t>
      </w:r>
    </w:p>
    <w:p w14:paraId="5327A604">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交付的成果</w:t>
      </w:r>
    </w:p>
    <w:p w14:paraId="3548481A">
      <w:pPr>
        <w:spacing w:line="40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乙方应按照甲方要求，以纸质（</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份）、电子版（</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份）形式交付相关管理文件（如项目实施方案、进度计划、管理保证措施、配置管理方案、项目周报、系统上线保障方案、培训方案、试运行方案、运维方案、项目工作总结报告等）、技术文件（如需求规格说明书、概要设计说明书、详细设计说明书、数据库设计说明书、接口设计说明书、编码规范、测试方案、测试记录、测试报告、用户操作手册、管理员操作手册等）、源代码、授权/许可及交付清单，并协助甲方进行文档资料整理归档。</w:t>
      </w:r>
    </w:p>
    <w:p w14:paraId="3B8B6438">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 xml:space="preserve"> 系统试运行</w:t>
      </w:r>
    </w:p>
    <w:p w14:paraId="4B538E89">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.1 自系统交付并经甲方</w:t>
      </w:r>
      <w:r>
        <w:rPr>
          <w:rFonts w:hint="eastAsia" w:ascii="仿宋" w:hAnsi="仿宋" w:eastAsia="仿宋" w:cs="仿宋"/>
          <w:color w:val="auto"/>
          <w:sz w:val="24"/>
          <w:highlight w:val="none"/>
          <w:lang w:eastAsia="zh-CN"/>
        </w:rPr>
        <w:t>初验</w:t>
      </w:r>
      <w:r>
        <w:rPr>
          <w:rFonts w:hint="eastAsia" w:ascii="仿宋" w:hAnsi="仿宋" w:eastAsia="仿宋" w:cs="仿宋"/>
          <w:color w:val="auto"/>
          <w:sz w:val="24"/>
          <w:highlight w:val="none"/>
        </w:rPr>
        <w:t>之日起，系统将进入试运行阶段，试运行阶段为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个月。</w:t>
      </w:r>
    </w:p>
    <w:p w14:paraId="4836198C">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.2 如非因甲方原因，系统在试运行期间出现故障或问题，乙方应在出现故障或问题之日起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日内排除故障或处理问题，为此所引起的相关费用由乙方负担。如以上故障或问题影响系统基本功能和目标的实现，或排除故障或处理问题的时间超过上述期限，则视为乙方交付违约。</w:t>
      </w:r>
    </w:p>
    <w:p w14:paraId="200AC954">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 xml:space="preserve"> 项目验收</w:t>
      </w:r>
    </w:p>
    <w:p w14:paraId="7D538553">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 xml:space="preserve">.1 </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应提前准备好验收工作资料清单，包含验收流程、步骤、方式方法、各类项目有关文件等，</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将按本招标文件、</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投标响应文件、合同所列要求对系统的每个部分逐一进行验收，如验收环节发现供应商提供虚假投标资料(包括技术支持资料和相关承诺)或信息骗取招标的，将取消其中标资格，并无条件终止项目合同，同时报主管部门备案，对</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造成损失的，由</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承担全部违约及赔偿责任。</w:t>
      </w:r>
    </w:p>
    <w:p w14:paraId="0F4E1612">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.2 系统验收合格后，甲方才能按照合同第九条规定的与验收合格相关的付款条件，支付乙方相应款项。系统验收不合格时，乙方应负责修改系统，直至达到验收条件。因乙方原因导致系统验收不合格产生的系统建设工作成本，由乙方承担。</w:t>
      </w:r>
    </w:p>
    <w:p w14:paraId="122D3681">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.3 由于乙方没有完成本合同约定的全部工作或项目没有达到规定标准而导致验收不合格，乙方应承担项目延期的违约责任，并按本合同第十五条之约定向甲方支付违约金和对项目延期给甲方造成的一切损失予以赔偿。</w:t>
      </w:r>
    </w:p>
    <w:p w14:paraId="73379E3A">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.4项目验收前，因相关政策导致业务发生变化进行升级或调整导致增加建设工作成本，由乙方承担。</w:t>
      </w:r>
    </w:p>
    <w:p w14:paraId="3269BE97">
      <w:pPr>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11.4.</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乙方应负责在项目验收前将系统的全部相关的系统软件、服务文档、运行稳定可靠的系统及其安装程序、注释清晰明了的应用程序安装包等通过光盘、U盘等存储介质交付采购人，同时相关文档纸质版汇集成册交付采购人。</w:t>
      </w:r>
    </w:p>
    <w:p w14:paraId="67A86AB4">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11.4.</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系统运行稳定，符合合同约定，实现甲方采购预期，即为项目终验合格</w:t>
      </w:r>
      <w:r>
        <w:rPr>
          <w:rFonts w:hint="eastAsia" w:ascii="仿宋" w:hAnsi="仿宋" w:eastAsia="仿宋" w:cs="仿宋"/>
          <w:color w:val="auto"/>
          <w:sz w:val="24"/>
          <w:highlight w:val="none"/>
        </w:rPr>
        <w:t>。</w:t>
      </w:r>
    </w:p>
    <w:p w14:paraId="7E73EA11">
      <w:pPr>
        <w:spacing w:line="40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第十二条  项目维护和支持、培训与工作联络</w:t>
      </w:r>
    </w:p>
    <w:p w14:paraId="45351C6E">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12.1 维护和支持</w:t>
      </w:r>
    </w:p>
    <w:p w14:paraId="5643EAB4">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12.1.1</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应承诺软件平台后续年维护费用不得超过软件成交额的10%。</w:t>
      </w:r>
    </w:p>
    <w:p w14:paraId="0DF5F5F1">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12.1.2</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应提供永久技术支持，包括各种软、硬件故障及对各种突发事件采取应急措施等。</w:t>
      </w:r>
    </w:p>
    <w:p w14:paraId="182E5C5A">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12.1.3</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须在接到采购人维修电话要求后，30分钟内回复，一般故障</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小时内解决，如遇重大疑难故障，须向采购人做出详细书面情况说明，提供应急方案，并承诺12小时内解决故障。若甲方要求乙方增派人员到甲方现场解决问题，乙方保证派有关技术人员4小时内到甲方现场进行技术支持，所需的差旅费和人工成本费、维修费等一切费用均由乙方自行承担。</w:t>
      </w:r>
    </w:p>
    <w:p w14:paraId="3C8AA5B1">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维保期</w:t>
      </w:r>
      <w:r>
        <w:rPr>
          <w:rFonts w:hint="eastAsia" w:ascii="仿宋" w:hAnsi="仿宋" w:eastAsia="仿宋" w:cs="仿宋"/>
          <w:color w:val="auto"/>
          <w:sz w:val="24"/>
          <w:highlight w:val="none"/>
        </w:rPr>
        <w:t>满后，以优惠价格提供长期、不间断的技术服务支持。</w:t>
      </w:r>
    </w:p>
    <w:p w14:paraId="264DBA6A">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本项目</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提供的所有软件系统在项目终验合格后，</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即取得该软件的合法永久使用权，</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不得限制采购人在本单位服务器和客户端安装数量；不得限制采购人由于操作系统或硬件故障或设备更新等原因重新安装服务器端和客户端；不得设置使用期限。</w:t>
      </w:r>
    </w:p>
    <w:p w14:paraId="5BFC7340">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提供的软件产品应有良好的兼容性，确保采购人可以长期正常使用，由于采购人服务器或终端设备的操作系统升级导致本项目</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的软件不能兼容运行，无论是否在项目执行期内还是之外，都必须免费向采购人提供可兼容运行的升级软件版本。</w:t>
      </w:r>
    </w:p>
    <w:p w14:paraId="5C995DC0">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12.2 培训</w:t>
      </w:r>
    </w:p>
    <w:p w14:paraId="37A203D8">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培训分为对普通业务人员的应用培训和系统维护人员的专业技术培训等。培训内容分别包括：系统设计思想和结构、开发工具、数据交换技术、信息发布和后台管理平台操作等。系统正式运行前，要制订详细的培训计划，分别提供对领导、各部门领导、各部门工作人员、系统管理员的不同层面的培训。培训计划及方案详见《</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》及</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文件》</w:t>
      </w:r>
      <w:r>
        <w:rPr>
          <w:rFonts w:hint="eastAsia" w:ascii="仿宋" w:hAnsi="仿宋" w:eastAsia="仿宋" w:cs="仿宋"/>
          <w:color w:val="auto"/>
          <w:sz w:val="24"/>
          <w:highlight w:val="none"/>
          <w:lang w:eastAsia="zh-CN"/>
        </w:rPr>
        <w:t>中的相关响应内容</w:t>
      </w:r>
      <w:r>
        <w:rPr>
          <w:rFonts w:hint="eastAsia" w:ascii="仿宋" w:hAnsi="仿宋" w:eastAsia="仿宋" w:cs="仿宋"/>
          <w:color w:val="auto"/>
          <w:sz w:val="24"/>
          <w:highlight w:val="none"/>
        </w:rPr>
        <w:t>。</w:t>
      </w:r>
    </w:p>
    <w:p w14:paraId="0739B824">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12.3 工作联络</w:t>
      </w:r>
    </w:p>
    <w:p w14:paraId="2B4B6C97">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为保证项目建设及后续维护期维护的顺利进行，甲方随时需要与乙方进行联系和沟通，乙方承诺：</w:t>
      </w:r>
    </w:p>
    <w:p w14:paraId="4689965F">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12.3.1 甲方能够通过电话、传真、电子邮件等各种方式与乙方指派的项目经理</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保持联络，保证甲方能够通过电话与项目经理及助理随时联络。</w:t>
      </w:r>
    </w:p>
    <w:p w14:paraId="1DFD7576">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12.3.2 对于甲方发出的会见要求，乙方相关人员应当在 </w:t>
      </w:r>
      <w:r>
        <w:rPr>
          <w:rFonts w:hint="eastAsia" w:ascii="仿宋" w:hAnsi="仿宋" w:eastAsia="仿宋" w:cs="仿宋"/>
          <w:color w:val="auto"/>
          <w:sz w:val="24"/>
          <w:highlight w:val="none"/>
          <w:u w:val="single"/>
        </w:rPr>
        <w:t xml:space="preserve"> 1  </w:t>
      </w:r>
      <w:r>
        <w:rPr>
          <w:rFonts w:hint="eastAsia" w:ascii="仿宋" w:hAnsi="仿宋" w:eastAsia="仿宋" w:cs="仿宋"/>
          <w:color w:val="auto"/>
          <w:sz w:val="24"/>
          <w:highlight w:val="none"/>
        </w:rPr>
        <w:t>日内安排进行。</w:t>
      </w:r>
    </w:p>
    <w:p w14:paraId="07D79AFE">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12.3.3 对于无法联络的乙方项目经理及其助理，甲方保留要求更换的权利。</w:t>
      </w:r>
    </w:p>
    <w:p w14:paraId="1C086ADE">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12.3.4 乙方应当与甲方及甲方指定的业务单位（或人员）</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保持联络。</w:t>
      </w:r>
    </w:p>
    <w:p w14:paraId="60ABB70E">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12.3.5 乙方应当与甲方聘请的其他咨询服务机构（或人员）</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保持联络。</w:t>
      </w:r>
    </w:p>
    <w:p w14:paraId="0F73E380">
      <w:pPr>
        <w:spacing w:line="40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第十三条  转委托</w:t>
      </w:r>
    </w:p>
    <w:p w14:paraId="4982B2A4">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13.未经甲方书面同意，乙方不得将本合同约定的供货与技术支持服务全部或者部分工作委托给第三方，否则甲方有权要求乙方承担20%违约责任，并赔偿由此造成甲方的一切损失。</w:t>
      </w:r>
    </w:p>
    <w:p w14:paraId="6908C311">
      <w:pPr>
        <w:spacing w:line="40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第十四条  保密事宜</w:t>
      </w:r>
    </w:p>
    <w:p w14:paraId="25CC9CD8">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14.1 保密范围</w:t>
      </w:r>
    </w:p>
    <w:p w14:paraId="55D5EDC1">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14.1.1 未经甲方同意，乙方不得以任何形式公开本合同书及其附件的任何内容。</w:t>
      </w:r>
    </w:p>
    <w:p w14:paraId="40B47E6A">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14.1.2 乙方在未征得甲方同意的情况下，不得向第三方泄露在项目中涉及到的任何情报、资料和数据。</w:t>
      </w:r>
    </w:p>
    <w:p w14:paraId="0BFC6E9B">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14.1.3 乙方在未征得甲方同意的情况下，不得为任何其它目的而自行使用或允许他人使用从甲方获得的信息（包括但不限于所有的报告、摘录、纪要、文件、计划、报表、复印件和业务数据等）。</w:t>
      </w:r>
    </w:p>
    <w:p w14:paraId="6A290709">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14.1.4 乙方应对参与项目的工作人员进行保密教育，严格遵守有关保密的法律法规，任何人不得将与本项目有关的资料信息泄露给第三方。</w:t>
      </w:r>
    </w:p>
    <w:p w14:paraId="59F977C3">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14.1.5 如果乙方违反本条款的规定，并给甲方造成损失，乙方应向甲方承担赔偿责任。触犯保密法律法规的情况由乙方独自承担相应法律责任。</w:t>
      </w:r>
    </w:p>
    <w:p w14:paraId="4F8C118B">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14.2 保密期限</w:t>
      </w:r>
    </w:p>
    <w:p w14:paraId="0E2E386A">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甲乙双方应对上述保密范围所约定的内容承担保密义务。自本合同生效之日始至本合同约定的信息全部成为公开信息止。本保密条款不因本合同的终止、解除等情形失效。</w:t>
      </w:r>
    </w:p>
    <w:p w14:paraId="27779349">
      <w:pPr>
        <w:spacing w:line="40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第十五条  违约责任</w:t>
      </w:r>
    </w:p>
    <w:p w14:paraId="29BE030A">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15.1 甲方的违约责任</w:t>
      </w:r>
    </w:p>
    <w:p w14:paraId="6CAE3A2F">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15.1.1 由于甲方原因造成的项目</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rPr>
        <w:t>工作延误，在甲方提前书面通知乙方后，乙方应根据实际情况服从和协助甲方制定出新的工作计划，并按新的工作计划开展工作。</w:t>
      </w:r>
    </w:p>
    <w:p w14:paraId="3233DCA7">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15.1.2甲方应按合同规定的付款要求履约，由于非不可抗力原因不能在本合同规定的时间内支付合同款项时，应事先告知乙方。甲方若无故未按期支付合同款项，每逾期1个</w:t>
      </w:r>
      <w:r>
        <w:rPr>
          <w:rFonts w:hint="eastAsia" w:ascii="仿宋" w:hAnsi="仿宋" w:eastAsia="仿宋" w:cs="仿宋"/>
          <w:color w:val="auto"/>
          <w:sz w:val="24"/>
          <w:highlight w:val="none"/>
          <w:lang w:eastAsia="zh-CN"/>
        </w:rPr>
        <w:t>日历</w:t>
      </w:r>
      <w:r>
        <w:rPr>
          <w:rFonts w:hint="eastAsia" w:ascii="仿宋" w:hAnsi="仿宋" w:eastAsia="仿宋" w:cs="仿宋"/>
          <w:color w:val="auto"/>
          <w:sz w:val="24"/>
          <w:highlight w:val="none"/>
        </w:rPr>
        <w:t>日，按合同价格的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0.1</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‰承担违约责任。但若甲方因财政拨付问题未按合同约定付款，不视为甲违约。</w:t>
      </w:r>
    </w:p>
    <w:p w14:paraId="53E59593">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15.2 乙方的违约责任</w:t>
      </w:r>
    </w:p>
    <w:p w14:paraId="55B27983">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15.2.1 非因甲方原因，乙方未按</w:t>
      </w:r>
      <w:r>
        <w:rPr>
          <w:rFonts w:hint="eastAsia" w:ascii="仿宋" w:hAnsi="仿宋" w:eastAsia="仿宋" w:cs="仿宋"/>
          <w:color w:val="auto"/>
          <w:sz w:val="24"/>
          <w:highlight w:val="none"/>
          <w:lang w:val="en-US" w:eastAsia="zh-CN"/>
        </w:rPr>
        <w:t>项目工期</w:t>
      </w:r>
      <w:r>
        <w:rPr>
          <w:rFonts w:hint="eastAsia" w:ascii="仿宋" w:hAnsi="仿宋" w:eastAsia="仿宋" w:cs="仿宋"/>
          <w:color w:val="auto"/>
          <w:sz w:val="24"/>
          <w:highlight w:val="none"/>
        </w:rPr>
        <w:t>组织项目开发工作并按时提交相应工作成果的，甲方有权解除合同或者要求乙方采取补救措施，并要求乙方赔偿由此给甲方造成的一切损失；</w:t>
      </w:r>
    </w:p>
    <w:p w14:paraId="2A50369E">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15.2.2 非因甲方原因，乙方如果在合同约定的项目周期内不能完成本合同约定的任务，每</w:t>
      </w:r>
      <w:r>
        <w:rPr>
          <w:rFonts w:hint="eastAsia" w:ascii="仿宋" w:hAnsi="仿宋" w:eastAsia="仿宋" w:cs="仿宋"/>
          <w:color w:val="auto"/>
          <w:sz w:val="24"/>
          <w:highlight w:val="none"/>
          <w:lang w:val="en-US" w:eastAsia="zh-CN"/>
        </w:rPr>
        <w:t>延误</w:t>
      </w:r>
      <w:r>
        <w:rPr>
          <w:rFonts w:hint="eastAsia" w:ascii="仿宋" w:hAnsi="仿宋" w:eastAsia="仿宋" w:cs="仿宋"/>
          <w:color w:val="auto"/>
          <w:sz w:val="24"/>
          <w:highlight w:val="none"/>
        </w:rPr>
        <w:t>一日乙方应当按照合同总价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5％</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向甲方支付违约金，并同时向甲方做出正式书面解释并提出拟采取的补救措施，在征得甲方的认可和同意后，执行补救措施，但仍应按照本合同约定承担违约责任；累计超期达到</w:t>
      </w:r>
      <w:r>
        <w:rPr>
          <w:rFonts w:hint="eastAsia" w:ascii="仿宋" w:hAnsi="仿宋" w:eastAsia="仿宋" w:cs="仿宋"/>
          <w:color w:val="auto"/>
          <w:sz w:val="24"/>
          <w:highlight w:val="none"/>
          <w:u w:val="single"/>
        </w:rPr>
        <w:t>7个日历日</w:t>
      </w:r>
      <w:r>
        <w:rPr>
          <w:rFonts w:hint="eastAsia" w:ascii="仿宋" w:hAnsi="仿宋" w:eastAsia="仿宋" w:cs="仿宋"/>
          <w:color w:val="auto"/>
          <w:sz w:val="24"/>
          <w:highlight w:val="none"/>
        </w:rPr>
        <w:t>，乙方承担全部违约责任，乙方应向甲方支付合同总价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20%</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的违约金，且甲方有权单方面终止合同，给甲方造成的各方面直接损失，均由乙方负责承担。</w:t>
      </w:r>
    </w:p>
    <w:p w14:paraId="62686712">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15.2.3 如果乙方交付的系统经甲方或第三方测试和验收后确定为不符合或部分不符合本合同确定的系统需求，甲方可给予乙方适当的期限对系统进行修改，乙方应承担上述条款规定的迟延交付违约责任。</w:t>
      </w:r>
    </w:p>
    <w:p w14:paraId="367F869D">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15.2.4 如乙方交付的系统在项目维护期内出现严重影响甲方及甲方用户单位使用的故障或问题，并且在故障或问题出现之时起</w:t>
      </w:r>
      <w:r>
        <w:rPr>
          <w:rFonts w:hint="eastAsia" w:ascii="仿宋" w:hAnsi="仿宋" w:eastAsia="仿宋" w:cs="仿宋"/>
          <w:color w:val="auto"/>
          <w:sz w:val="24"/>
          <w:highlight w:val="none"/>
          <w:u w:val="single"/>
        </w:rPr>
        <w:t xml:space="preserve"> 2小时 </w:t>
      </w:r>
      <w:r>
        <w:rPr>
          <w:rFonts w:hint="eastAsia" w:ascii="仿宋" w:hAnsi="仿宋" w:eastAsia="仿宋" w:cs="仿宋"/>
          <w:color w:val="auto"/>
          <w:sz w:val="24"/>
          <w:highlight w:val="none"/>
        </w:rPr>
        <w:t>内未能解决，乙方应按上述迟延交付责任条款承担相应违约责任。</w:t>
      </w:r>
    </w:p>
    <w:p w14:paraId="6A43C2C9">
      <w:pPr>
        <w:spacing w:line="400" w:lineRule="exact"/>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15.2.5 乙方违反本合同第 6.2 条、第 7.2 条、第</w:t>
      </w:r>
      <w:r>
        <w:rPr>
          <w:rFonts w:hint="eastAsia" w:ascii="仿宋" w:hAnsi="仿宋" w:eastAsia="仿宋" w:cs="仿宋"/>
          <w:color w:val="auto"/>
          <w:sz w:val="24"/>
          <w:highlight w:val="none"/>
          <w:lang w:val="en-US" w:eastAsia="zh-CN"/>
        </w:rPr>
        <w:t>八</w:t>
      </w:r>
      <w:r>
        <w:rPr>
          <w:rFonts w:hint="eastAsia" w:ascii="仿宋" w:hAnsi="仿宋" w:eastAsia="仿宋" w:cs="仿宋"/>
          <w:color w:val="auto"/>
          <w:sz w:val="24"/>
          <w:highlight w:val="none"/>
        </w:rPr>
        <w:t>条、第</w:t>
      </w:r>
      <w:r>
        <w:rPr>
          <w:rFonts w:hint="eastAsia" w:ascii="仿宋" w:hAnsi="仿宋" w:eastAsia="仿宋" w:cs="仿宋"/>
          <w:color w:val="auto"/>
          <w:sz w:val="24"/>
          <w:highlight w:val="none"/>
          <w:lang w:val="en-US" w:eastAsia="zh-CN"/>
        </w:rPr>
        <w:t>十一</w:t>
      </w:r>
      <w:r>
        <w:rPr>
          <w:rFonts w:hint="eastAsia" w:ascii="仿宋" w:hAnsi="仿宋" w:eastAsia="仿宋" w:cs="仿宋"/>
          <w:color w:val="auto"/>
          <w:sz w:val="24"/>
          <w:highlight w:val="none"/>
        </w:rPr>
        <w:t>条、第</w:t>
      </w:r>
      <w:r>
        <w:rPr>
          <w:rFonts w:hint="eastAsia" w:ascii="仿宋" w:hAnsi="仿宋" w:eastAsia="仿宋" w:cs="仿宋"/>
          <w:color w:val="auto"/>
          <w:sz w:val="24"/>
          <w:highlight w:val="none"/>
          <w:lang w:val="en-US" w:eastAsia="zh-CN"/>
        </w:rPr>
        <w:t>十二</w:t>
      </w:r>
      <w:r>
        <w:rPr>
          <w:rFonts w:hint="eastAsia" w:ascii="仿宋" w:hAnsi="仿宋" w:eastAsia="仿宋" w:cs="仿宋"/>
          <w:color w:val="auto"/>
          <w:sz w:val="24"/>
          <w:highlight w:val="none"/>
        </w:rPr>
        <w:t>条、第</w:t>
      </w:r>
      <w:r>
        <w:rPr>
          <w:rFonts w:hint="eastAsia" w:ascii="仿宋" w:hAnsi="仿宋" w:eastAsia="仿宋" w:cs="仿宋"/>
          <w:color w:val="auto"/>
          <w:sz w:val="24"/>
          <w:highlight w:val="none"/>
          <w:lang w:val="en-US" w:eastAsia="zh-CN"/>
        </w:rPr>
        <w:t>十三</w:t>
      </w:r>
      <w:r>
        <w:rPr>
          <w:rFonts w:hint="eastAsia" w:ascii="仿宋" w:hAnsi="仿宋" w:eastAsia="仿宋" w:cs="仿宋"/>
          <w:color w:val="auto"/>
          <w:sz w:val="24"/>
          <w:highlight w:val="none"/>
        </w:rPr>
        <w:t>条、第</w:t>
      </w:r>
      <w:r>
        <w:rPr>
          <w:rFonts w:hint="eastAsia" w:ascii="仿宋" w:hAnsi="仿宋" w:eastAsia="仿宋" w:cs="仿宋"/>
          <w:color w:val="auto"/>
          <w:sz w:val="24"/>
          <w:highlight w:val="none"/>
          <w:lang w:val="en-US" w:eastAsia="zh-CN"/>
        </w:rPr>
        <w:t>十四</w:t>
      </w:r>
      <w:r>
        <w:rPr>
          <w:rFonts w:hint="eastAsia" w:ascii="仿宋" w:hAnsi="仿宋" w:eastAsia="仿宋" w:cs="仿宋"/>
          <w:color w:val="auto"/>
          <w:sz w:val="24"/>
          <w:highlight w:val="none"/>
        </w:rPr>
        <w:t>条所约定的义务和承诺，除本合同另有规定外，还应按合同总价的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 xml:space="preserve">0 </w:t>
      </w:r>
      <w:r>
        <w:rPr>
          <w:rFonts w:hint="eastAsia" w:ascii="仿宋" w:hAnsi="仿宋" w:eastAsia="仿宋" w:cs="仿宋"/>
          <w:color w:val="auto"/>
          <w:sz w:val="24"/>
          <w:highlight w:val="none"/>
        </w:rPr>
        <w:t>％向甲方支付违约金，并赔偿给甲方造成的所有经济损失。</w:t>
      </w:r>
      <w:bookmarkStart w:id="19" w:name="_Hlk57885417"/>
    </w:p>
    <w:p w14:paraId="2A98CF3A">
      <w:pPr>
        <w:spacing w:line="400" w:lineRule="exact"/>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15.2.6乙方提供的服务如侵犯了第三方合同权益而引发纠纷或诉讼的，均由乙方负责交涉并承担全部责任。因乙方提供的服务侵犯第三方合法权益给甲方造成损失的，乙方应就甲方遭受的损失承担赔偿责任。</w:t>
      </w:r>
      <w:bookmarkEnd w:id="19"/>
    </w:p>
    <w:p w14:paraId="154911B7">
      <w:pPr>
        <w:spacing w:line="400" w:lineRule="exact"/>
        <w:ind w:firstLine="470" w:firstLineChars="196"/>
        <w:rPr>
          <w:rFonts w:hint="eastAsia" w:ascii="仿宋" w:hAnsi="仿宋" w:eastAsia="仿宋" w:cs="仿宋"/>
          <w:color w:val="auto"/>
          <w:sz w:val="24"/>
          <w:highlight w:val="none"/>
        </w:rPr>
      </w:pPr>
      <w:bookmarkStart w:id="20" w:name="_Hlk57885474"/>
      <w:r>
        <w:rPr>
          <w:rFonts w:hint="eastAsia" w:ascii="仿宋" w:hAnsi="仿宋" w:eastAsia="仿宋" w:cs="仿宋"/>
          <w:color w:val="auto"/>
          <w:sz w:val="24"/>
          <w:highlight w:val="none"/>
        </w:rPr>
        <w:t xml:space="preserve">15.2.7乙方应当保证按照投标文件或本合同附件载明的管理团队和技术支持团队提供服务，同时应保证管理团队和技术团队的人员始终具备提供本合同服务所需的资质。未经甲方书面同意，乙方不得擅自调换人员。否则，乙方变动一人应向甲方支付合同总额 </w:t>
      </w:r>
      <w:r>
        <w:rPr>
          <w:rFonts w:hint="eastAsia" w:ascii="仿宋" w:hAnsi="仿宋" w:eastAsia="仿宋" w:cs="仿宋"/>
          <w:color w:val="auto"/>
          <w:sz w:val="24"/>
          <w:highlight w:val="none"/>
          <w:u w:val="single"/>
        </w:rPr>
        <w:t xml:space="preserve">1% </w:t>
      </w:r>
      <w:r>
        <w:rPr>
          <w:rFonts w:hint="eastAsia" w:ascii="仿宋" w:hAnsi="仿宋" w:eastAsia="仿宋" w:cs="仿宋"/>
          <w:color w:val="auto"/>
          <w:sz w:val="24"/>
          <w:highlight w:val="none"/>
        </w:rPr>
        <w:t>的违约金，变动人员超过该项目团队人员总数10%的，甲方有权单方面解除本合同、不再向乙方支付任何费用。</w:t>
      </w:r>
      <w:bookmarkEnd w:id="20"/>
    </w:p>
    <w:p w14:paraId="60FEFA69">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15.2.8如乙方违反本合同约定的其他任何义务和承诺，除本合同另有约定外，甲方有权按本合同总价的 </w:t>
      </w:r>
      <w:r>
        <w:rPr>
          <w:rFonts w:hint="eastAsia" w:ascii="仿宋" w:hAnsi="仿宋" w:eastAsia="仿宋" w:cs="仿宋"/>
          <w:color w:val="auto"/>
          <w:sz w:val="24"/>
          <w:highlight w:val="none"/>
          <w:u w:val="single"/>
        </w:rPr>
        <w:t xml:space="preserve">5% </w:t>
      </w:r>
      <w:r>
        <w:rPr>
          <w:rFonts w:hint="eastAsia" w:ascii="仿宋" w:hAnsi="仿宋" w:eastAsia="仿宋" w:cs="仿宋"/>
          <w:color w:val="auto"/>
          <w:sz w:val="24"/>
          <w:highlight w:val="none"/>
        </w:rPr>
        <w:t>收取相应的违约金。由此给甲方造成损失的，乙方应当负责赔偿。</w:t>
      </w:r>
    </w:p>
    <w:p w14:paraId="4EAAC83B">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15.2.9 因乙方违约行为甲方提起诉讼的，乙方应赔偿甲方实现合同权利所支出的全部费用，包括但不限于诉讼费、保全费、律师代理费、差旅费、保全保险费等费用。</w:t>
      </w:r>
    </w:p>
    <w:p w14:paraId="1B11ECAE">
      <w:pPr>
        <w:spacing w:line="40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第十六条  不可抗力和免责条款</w:t>
      </w:r>
    </w:p>
    <w:p w14:paraId="704712F5">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16.</w:t>
      </w:r>
      <w:r>
        <w:rPr>
          <w:rFonts w:hint="eastAsia" w:ascii="仿宋" w:hAnsi="仿宋" w:eastAsia="仿宋" w:cs="仿宋"/>
          <w:color w:val="auto"/>
          <w:sz w:val="24"/>
          <w:highlight w:val="none"/>
        </w:rPr>
        <w:t>1甲乙双方因不可抗力不能履行合同义务的，根据不可抗力的影响，部分或者全部免除责任。当事人迟延履行后发生不可抗力的，不能免除责任。</w:t>
      </w:r>
    </w:p>
    <w:p w14:paraId="3FFC8F29">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16.</w:t>
      </w:r>
      <w:r>
        <w:rPr>
          <w:rFonts w:hint="eastAsia" w:ascii="仿宋" w:hAnsi="仿宋" w:eastAsia="仿宋" w:cs="仿宋"/>
          <w:color w:val="auto"/>
          <w:sz w:val="24"/>
          <w:highlight w:val="none"/>
        </w:rPr>
        <w:t>2本条所述的“不可抗力”系指不能预见、不能避免并不能克服的客观情况，包括战争、严重火灾、洪水、台风、地震、国家法律变化和政府行为等事件，但不包括乙方的违约和疏忽。</w:t>
      </w:r>
    </w:p>
    <w:p w14:paraId="3322DE80">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16.</w:t>
      </w:r>
      <w:r>
        <w:rPr>
          <w:rFonts w:hint="eastAsia" w:ascii="仿宋" w:hAnsi="仿宋" w:eastAsia="仿宋" w:cs="仿宋"/>
          <w:color w:val="auto"/>
          <w:sz w:val="24"/>
          <w:highlight w:val="none"/>
        </w:rPr>
        <w:t>3在不可抗力事件发生后，受不可抗力影响的一方应在发生不可抗力事由之日起【    】日内以书面形式将不可抗力的情况和原因通知另一方,并在取得不可抗力发生地市级以上政府相关部门证明以后，允许延期履行、部分履行或者不履行合同，并根据情况可部分或全部免于承担违约责任。</w:t>
      </w:r>
    </w:p>
    <w:p w14:paraId="3D1C275A">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16.</w:t>
      </w:r>
      <w:r>
        <w:rPr>
          <w:rFonts w:hint="eastAsia" w:ascii="仿宋" w:hAnsi="仿宋" w:eastAsia="仿宋" w:cs="仿宋"/>
          <w:color w:val="auto"/>
          <w:sz w:val="24"/>
          <w:highlight w:val="none"/>
        </w:rPr>
        <w:t>4除另一方明确要求外，受不可抗力影响的一方应尽可能继续履行合同义务，以及寻求采取合理的方案履行未受不可抗力影响的其他合同义务，并尽可能地及时采取合理的措施减轻不可抗力对本合同的履行所造成的影响。没有采取适当措施致使损失扩大的，该方不得就扩大损失的部分要求免责或赔偿。</w:t>
      </w:r>
    </w:p>
    <w:p w14:paraId="1CE19293">
      <w:pPr>
        <w:spacing w:line="40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第十七条  合同变更</w:t>
      </w:r>
    </w:p>
    <w:p w14:paraId="28690209">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17.1 本合同一经签署，未经双方同意，任何一方不得随意更改本合同。本合同所列的附件，为本合同的组成部分。其它任何口头或未包含在本合同内的，或未依据本合同制定的书面文件，均不对双方发生拘束力。如本合同在履行过程中有任何变更、补充或修改，双方应另行签订书面协议。</w:t>
      </w:r>
    </w:p>
    <w:p w14:paraId="08C5A6B2">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对本合同条款进行的任何修改，除本合同另有约定外，都必须经甲乙双方协商同意，并由双方授权代表签署书面协议。</w:t>
      </w:r>
    </w:p>
    <w:p w14:paraId="4E0D9D9C">
      <w:pPr>
        <w:spacing w:line="40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第十八条  合同的解除</w:t>
      </w:r>
    </w:p>
    <w:p w14:paraId="43F1ECD3">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在合同执行过程中，如果发生以下情况之一，签约一方可以通知对方解除合同：</w:t>
      </w:r>
    </w:p>
    <w:p w14:paraId="04C220B3">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18.1.1 因对方根本违约使合同无法继续履行或没有必要继续履行。</w:t>
      </w:r>
    </w:p>
    <w:p w14:paraId="6C73083E">
      <w:pPr>
        <w:spacing w:line="40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18.1.2 在甲方不接受乙方因违约而采取的补救措施的情况下，甲方可向乙方发出终止合同的书面通知书</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并且乙方应退还甲方已支付的全部款项。</w:t>
      </w:r>
    </w:p>
    <w:p w14:paraId="01F294CC">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18.1.2.1 如果非因甲方原因，乙方未能按合同规定的期限或甲方同意延长的限期内提供全部或部分货物、完成项目的开发，甲方有权解除合同。</w:t>
      </w:r>
    </w:p>
    <w:p w14:paraId="4B4AB74A">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18.1.2.2 乙方在收到甲方发出的违约通知后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日内，或经甲方书面认可延长的时间内未能纠正其违约行为，甲方有权解除合同。</w:t>
      </w:r>
    </w:p>
    <w:p w14:paraId="5CAAFCC1">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18.1.2.3 如果乙方未能履行合同规定的其它任何义务，甲方有权解除合同。</w:t>
      </w:r>
    </w:p>
    <w:p w14:paraId="6400DF6A">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18.1.2.4 在甲方根据以上条款，解除合同后，甲方可以依其认为适当的条件和方法购买类似未交付的货物、进行工程施工，乙方应负担甲方购买类似货物所超出的部分费用。</w:t>
      </w:r>
    </w:p>
    <w:p w14:paraId="3A082BFE">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18.1.3 如果乙方无实际履行能力以及破产或无清偿能力时，甲方可在任何时候以书面形式通知乙方终止合同，终止该合同将不损害或影响甲方已经采取或将要采取的补救措施的权利。</w:t>
      </w:r>
    </w:p>
    <w:p w14:paraId="66BC9213">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18.1.4 由于不可抗力致使本合同不能履行的。</w:t>
      </w:r>
    </w:p>
    <w:p w14:paraId="1FDB02EB">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18.2 双方协商一致可以解除合同。</w:t>
      </w:r>
    </w:p>
    <w:p w14:paraId="2EFE587B">
      <w:pPr>
        <w:spacing w:line="40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第十九条  争议解决</w:t>
      </w:r>
    </w:p>
    <w:p w14:paraId="303A1B43">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19.1 在执行本合同过程中所发生的或与本合同有关的一切争议，双方应通过友好协商的方式解决。协商不成的，则双方同意</w:t>
      </w:r>
      <w:r>
        <w:rPr>
          <w:rFonts w:hint="eastAsia" w:ascii="仿宋" w:hAnsi="仿宋" w:eastAsia="仿宋" w:cs="仿宋"/>
          <w:color w:val="auto"/>
          <w:sz w:val="24"/>
          <w:highlight w:val="none"/>
          <w:lang w:eastAsia="zh-CN"/>
        </w:rPr>
        <w:t>，向</w:t>
      </w:r>
      <w:r>
        <w:rPr>
          <w:rFonts w:hint="eastAsia" w:ascii="仿宋" w:hAnsi="仿宋" w:eastAsia="仿宋" w:cs="仿宋"/>
          <w:color w:val="auto"/>
          <w:sz w:val="24"/>
          <w:highlight w:val="none"/>
        </w:rPr>
        <w:t>甲方住所地</w:t>
      </w:r>
      <w:r>
        <w:rPr>
          <w:rFonts w:hint="eastAsia" w:ascii="仿宋" w:hAnsi="仿宋" w:eastAsia="仿宋" w:cs="仿宋"/>
          <w:color w:val="auto"/>
          <w:sz w:val="24"/>
          <w:highlight w:val="none"/>
          <w:lang w:eastAsia="zh-CN"/>
        </w:rPr>
        <w:t>具</w:t>
      </w:r>
      <w:r>
        <w:rPr>
          <w:rFonts w:hint="eastAsia" w:ascii="仿宋" w:hAnsi="仿宋" w:eastAsia="仿宋" w:cs="仿宋"/>
          <w:color w:val="auto"/>
          <w:sz w:val="24"/>
          <w:highlight w:val="none"/>
        </w:rPr>
        <w:t>有管辖权的人民法院提起诉讼。</w:t>
      </w:r>
    </w:p>
    <w:p w14:paraId="6070715B">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19.2 在诉讼期间，本合同无争议的部分应继续执行</w:t>
      </w:r>
      <w:r>
        <w:rPr>
          <w:rFonts w:hint="eastAsia" w:ascii="仿宋" w:hAnsi="仿宋" w:eastAsia="仿宋" w:cs="仿宋"/>
          <w:color w:val="auto"/>
          <w:sz w:val="24"/>
          <w:highlight w:val="none"/>
          <w:lang w:eastAsia="zh-CN"/>
        </w:rPr>
        <w:t>。</w:t>
      </w:r>
    </w:p>
    <w:p w14:paraId="73395F03">
      <w:pPr>
        <w:spacing w:line="40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第二十条  通知</w:t>
      </w:r>
    </w:p>
    <w:p w14:paraId="5A4E4FA4">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甲乙双方确认，本合同约定的关于双方通讯地址、电话、传真均真实有效，如有变更，变更方应按照本合同约定提前书面通知对方。因一方变更前述通讯联系地址、电话、传真而未通知对方，造成对方无法通知的，由此造成的后果由变更而又未依约通知的一方负责。</w:t>
      </w:r>
    </w:p>
    <w:p w14:paraId="1E38F57C">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2、任何与本合同履行有关的通讯往来和通知均应以书面形式送达，该书面形式包括传真、挂号、特快专递等方式，如没有特别约定，电话和电子邮件的方式不是本合同所约定的送达方式。</w:t>
      </w:r>
    </w:p>
    <w:p w14:paraId="134AA9C3">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3、以传真方式发出的通知，自传真进入系统视为送达。</w:t>
      </w:r>
    </w:p>
    <w:p w14:paraId="20F427DB">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4、如果要求被送达人履行相应的合同义务，通知应该为被通知人履行义务预留合理的时间。</w:t>
      </w:r>
    </w:p>
    <w:p w14:paraId="3287D448">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5、在执行本合同过程中，甲方应于收到乙方各种书面通知、函件后的【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】个工作日内做出响应；乙方应于收到甲方各种书面通知、函件后的【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】个工作日内做出响应。若在本合同其它条款中另有约定的，以约定时间为准。</w:t>
      </w:r>
    </w:p>
    <w:p w14:paraId="51D0DB9D">
      <w:pPr>
        <w:spacing w:line="40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第二十</w:t>
      </w:r>
      <w:r>
        <w:rPr>
          <w:rFonts w:hint="eastAsia" w:ascii="仿宋" w:hAnsi="仿宋" w:eastAsia="仿宋" w:cs="仿宋"/>
          <w:b/>
          <w:bCs/>
          <w:color w:val="auto"/>
          <w:sz w:val="24"/>
          <w:highlight w:val="none"/>
          <w:lang w:val="en-US" w:eastAsia="zh-CN"/>
        </w:rPr>
        <w:t>一</w:t>
      </w:r>
      <w:r>
        <w:rPr>
          <w:rFonts w:hint="eastAsia" w:ascii="仿宋" w:hAnsi="仿宋" w:eastAsia="仿宋" w:cs="仿宋"/>
          <w:b/>
          <w:bCs/>
          <w:color w:val="auto"/>
          <w:sz w:val="24"/>
          <w:highlight w:val="none"/>
        </w:rPr>
        <w:t>条  生效及其他</w:t>
      </w:r>
    </w:p>
    <w:p w14:paraId="090B8960">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.1本合同经甲、乙双方法定代表人（或负责人）签字并加盖公章后生效，一式【</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肆 】份，甲方执【 叁 】份，乙方执【 壹 】份，每份均具有同等的法律效力。</w:t>
      </w:r>
    </w:p>
    <w:p w14:paraId="7C92A99D">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.2 双方同意并承诺严格执行本合同的所有条款，并保证在本合同签署后本合同各方或本合同各方的关联公司将不与任何其它主体就本合同所述之事宜进行磋商、协商或做出安排或签订协议。如双方及其关联公司违反本合同的规定或因各方及其关联公司的其它原因致使本合同项下的委托开发事宜无法完成，则应承担赔偿对方因此所造成的损失。</w:t>
      </w:r>
    </w:p>
    <w:p w14:paraId="67F50204">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.5本合同附件及变更或者补充协议、招标文件、</w:t>
      </w:r>
      <w:r>
        <w:rPr>
          <w:rFonts w:hint="eastAsia" w:ascii="仿宋" w:hAnsi="仿宋" w:eastAsia="仿宋" w:cs="仿宋"/>
          <w:color w:val="auto"/>
          <w:sz w:val="24"/>
          <w:highlight w:val="none"/>
          <w:lang w:eastAsia="zh-CN"/>
        </w:rPr>
        <w:t>乙方投标文件</w:t>
      </w:r>
      <w:r>
        <w:rPr>
          <w:rFonts w:hint="eastAsia" w:ascii="仿宋" w:hAnsi="仿宋" w:eastAsia="仿宋" w:cs="仿宋"/>
          <w:color w:val="auto"/>
          <w:sz w:val="24"/>
          <w:highlight w:val="none"/>
        </w:rPr>
        <w:t>等均是本合同不可分割的一部分，与本合同具有同等法律效力。</w:t>
      </w:r>
    </w:p>
    <w:p w14:paraId="58383C5B">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.6本合同期满后，本合同有关信息保密的规定继续有效。</w:t>
      </w:r>
    </w:p>
    <w:p w14:paraId="314AF61D">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.7 本合同的签订地为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14:paraId="7C9D753E">
      <w:pPr>
        <w:spacing w:line="400" w:lineRule="exact"/>
        <w:ind w:firstLine="420" w:firstLineChars="200"/>
        <w:rPr>
          <w:rFonts w:hint="eastAsia" w:ascii="仿宋" w:hAnsi="仿宋" w:eastAsia="仿宋" w:cs="仿宋"/>
          <w:color w:val="auto"/>
          <w:highlight w:val="none"/>
        </w:rPr>
      </w:pPr>
    </w:p>
    <w:p w14:paraId="658B09F7">
      <w:pPr>
        <w:spacing w:line="40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以下为本合同附件：</w:t>
      </w:r>
    </w:p>
    <w:p w14:paraId="55264D0C">
      <w:pPr>
        <w:spacing w:line="40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附件一：乙方《项目团队成员配置计划表》（与投标《响应文件》一致）</w:t>
      </w:r>
    </w:p>
    <w:p w14:paraId="2E61DD1C">
      <w:pPr>
        <w:spacing w:line="400" w:lineRule="exact"/>
        <w:ind w:firstLine="482" w:firstLineChars="200"/>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rPr>
        <w:t>附件二：</w:t>
      </w:r>
      <w:r>
        <w:rPr>
          <w:rFonts w:hint="eastAsia" w:ascii="仿宋" w:hAnsi="仿宋" w:eastAsia="仿宋" w:cs="仿宋"/>
          <w:b/>
          <w:bCs/>
          <w:color w:val="auto"/>
          <w:sz w:val="24"/>
          <w:highlight w:val="none"/>
          <w:lang w:eastAsia="zh-CN"/>
        </w:rPr>
        <w:t>招标文件、投标文件</w:t>
      </w:r>
    </w:p>
    <w:p w14:paraId="0F0F81F1">
      <w:pPr>
        <w:spacing w:line="40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附件三：安全保密承诺书</w:t>
      </w:r>
    </w:p>
    <w:p w14:paraId="3CB895CF">
      <w:pPr>
        <w:spacing w:line="400" w:lineRule="exact"/>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rPr>
        <w:t>附件四：</w:t>
      </w:r>
    </w:p>
    <w:p w14:paraId="6ED02815">
      <w:pPr>
        <w:spacing w:line="400" w:lineRule="exact"/>
        <w:ind w:firstLine="480" w:firstLineChars="200"/>
        <w:rPr>
          <w:rFonts w:hint="eastAsia" w:ascii="仿宋" w:hAnsi="仿宋" w:eastAsia="仿宋" w:cs="仿宋"/>
          <w:color w:val="auto"/>
          <w:sz w:val="24"/>
          <w:highlight w:val="none"/>
        </w:rPr>
      </w:pPr>
    </w:p>
    <w:p w14:paraId="0BCE4569">
      <w:pPr>
        <w:spacing w:line="400" w:lineRule="exact"/>
        <w:ind w:firstLine="480" w:firstLineChars="200"/>
        <w:rPr>
          <w:rFonts w:hint="eastAsia" w:ascii="仿宋" w:hAnsi="仿宋" w:eastAsia="仿宋" w:cs="仿宋"/>
          <w:color w:val="auto"/>
          <w:sz w:val="24"/>
          <w:highlight w:val="none"/>
        </w:rPr>
      </w:pPr>
    </w:p>
    <w:p w14:paraId="79E3F199">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甲方：</w:t>
      </w:r>
    </w:p>
    <w:p w14:paraId="3B528512">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p>
    <w:p w14:paraId="721E96D4">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住所地：</w:t>
      </w:r>
    </w:p>
    <w:p w14:paraId="5EF0783B">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p w14:paraId="79D2A088">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传真：</w:t>
      </w:r>
    </w:p>
    <w:p w14:paraId="24D2F0C9">
      <w:pPr>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通讯地址：</w:t>
      </w:r>
    </w:p>
    <w:p w14:paraId="3719A633">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w:t>
      </w:r>
    </w:p>
    <w:p w14:paraId="311F1D5E">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合同签订日期：</w:t>
      </w:r>
    </w:p>
    <w:p w14:paraId="52807F9A">
      <w:pPr>
        <w:spacing w:line="400" w:lineRule="exact"/>
        <w:ind w:firstLine="480" w:firstLineChars="200"/>
        <w:rPr>
          <w:rFonts w:hint="eastAsia" w:ascii="仿宋" w:hAnsi="仿宋" w:eastAsia="仿宋" w:cs="仿宋"/>
          <w:color w:val="auto"/>
          <w:sz w:val="24"/>
          <w:highlight w:val="none"/>
        </w:rPr>
      </w:pPr>
    </w:p>
    <w:p w14:paraId="5F5A0F86">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乙方：</w:t>
      </w:r>
    </w:p>
    <w:p w14:paraId="26094C2B">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p>
    <w:p w14:paraId="66421654">
      <w:pPr>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住所地：</w:t>
      </w:r>
    </w:p>
    <w:p w14:paraId="266C380E">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p w14:paraId="278D52A9">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传真：</w:t>
      </w:r>
    </w:p>
    <w:p w14:paraId="60772366">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通讯地址：</w:t>
      </w:r>
    </w:p>
    <w:p w14:paraId="539AE538">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w:t>
      </w:r>
    </w:p>
    <w:p w14:paraId="1651D01D">
      <w:pPr>
        <w:spacing w:line="4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lang w:eastAsia="zh-CN"/>
        </w:rPr>
        <w:t>合同签订日期：</w:t>
      </w:r>
    </w:p>
    <w:p w14:paraId="2F5B26BA">
      <w:pPr>
        <w:pStyle w:val="736"/>
        <w:widowControl/>
        <w:jc w:val="left"/>
        <w:rPr>
          <w:rFonts w:hint="eastAsia" w:ascii="仿宋" w:hAnsi="仿宋" w:eastAsia="仿宋" w:cs="仿宋"/>
          <w:color w:val="auto"/>
          <w:sz w:val="28"/>
          <w:szCs w:val="28"/>
          <w:highlight w:val="none"/>
        </w:rPr>
      </w:pPr>
    </w:p>
    <w:p w14:paraId="6C76CBC5">
      <w:pPr>
        <w:widowControl/>
        <w:spacing w:beforeLines="50" w:afterLines="50"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bookmarkStart w:id="21" w:name="_Toc139284162"/>
      <w:r>
        <w:rPr>
          <w:rFonts w:hint="eastAsia" w:ascii="仿宋" w:hAnsi="仿宋" w:eastAsia="仿宋" w:cs="仿宋"/>
          <w:b/>
          <w:color w:val="auto"/>
          <w:sz w:val="32"/>
          <w:szCs w:val="32"/>
          <w:highlight w:val="none"/>
        </w:rPr>
        <w:t>第四章  采购需求</w:t>
      </w:r>
      <w:bookmarkEnd w:id="18"/>
      <w:bookmarkEnd w:id="21"/>
    </w:p>
    <w:p w14:paraId="749F8A30">
      <w:pPr>
        <w:pStyle w:val="736"/>
        <w:spacing w:line="400" w:lineRule="exact"/>
        <w:ind w:firstLine="480" w:firstLineChars="200"/>
        <w:rPr>
          <w:rFonts w:hint="eastAsia" w:ascii="仿宋" w:hAnsi="仿宋" w:eastAsia="仿宋" w:cs="仿宋"/>
          <w:color w:val="auto"/>
          <w:sz w:val="24"/>
          <w:szCs w:val="24"/>
          <w:highlight w:val="none"/>
          <w:lang w:eastAsia="zh-CN"/>
        </w:rPr>
      </w:pPr>
      <w:bookmarkStart w:id="22" w:name="_Toc139284164"/>
      <w:bookmarkStart w:id="23" w:name="_Toc139284040"/>
      <w:r>
        <w:rPr>
          <w:rFonts w:hint="eastAsia" w:ascii="仿宋" w:hAnsi="仿宋" w:eastAsia="仿宋" w:cs="仿宋"/>
          <w:color w:val="auto"/>
          <w:sz w:val="24"/>
          <w:szCs w:val="24"/>
          <w:highlight w:val="none"/>
        </w:rPr>
        <w:t>一、</w:t>
      </w:r>
      <w:bookmarkEnd w:id="22"/>
      <w:bookmarkEnd w:id="23"/>
      <w:r>
        <w:rPr>
          <w:rFonts w:hint="eastAsia" w:ascii="仿宋" w:hAnsi="仿宋" w:eastAsia="仿宋" w:cs="仿宋"/>
          <w:color w:val="auto"/>
          <w:sz w:val="24"/>
          <w:szCs w:val="24"/>
          <w:highlight w:val="none"/>
        </w:rPr>
        <w:t>智慧超声系统服务</w:t>
      </w:r>
      <w:r>
        <w:rPr>
          <w:rFonts w:hint="eastAsia" w:ascii="仿宋" w:hAnsi="仿宋" w:eastAsia="仿宋" w:cs="仿宋"/>
          <w:color w:val="auto"/>
          <w:sz w:val="24"/>
          <w:szCs w:val="24"/>
          <w:highlight w:val="none"/>
          <w:lang w:eastAsia="zh-CN"/>
        </w:rPr>
        <w:t>内容清单</w:t>
      </w:r>
    </w:p>
    <w:tbl>
      <w:tblPr>
        <w:tblStyle w:val="59"/>
        <w:tblW w:w="5000" w:type="pct"/>
        <w:jc w:val="center"/>
        <w:tblLayout w:type="fixed"/>
        <w:tblCellMar>
          <w:top w:w="0" w:type="dxa"/>
          <w:left w:w="108" w:type="dxa"/>
          <w:bottom w:w="0" w:type="dxa"/>
          <w:right w:w="108" w:type="dxa"/>
        </w:tblCellMar>
      </w:tblPr>
      <w:tblGrid>
        <w:gridCol w:w="879"/>
        <w:gridCol w:w="3167"/>
        <w:gridCol w:w="1864"/>
        <w:gridCol w:w="3944"/>
      </w:tblGrid>
      <w:tr w14:paraId="5A808BC5">
        <w:tblPrEx>
          <w:tblCellMar>
            <w:top w:w="0" w:type="dxa"/>
            <w:left w:w="108" w:type="dxa"/>
            <w:bottom w:w="0" w:type="dxa"/>
            <w:right w:w="108" w:type="dxa"/>
          </w:tblCellMar>
        </w:tblPrEx>
        <w:trPr>
          <w:trHeight w:val="510" w:hRule="atLeast"/>
          <w:jc w:val="center"/>
        </w:trPr>
        <w:tc>
          <w:tcPr>
            <w:tcW w:w="446" w:type="pct"/>
            <w:tcBorders>
              <w:top w:val="single" w:color="auto" w:sz="4" w:space="0"/>
              <w:left w:val="single" w:color="auto" w:sz="4" w:space="0"/>
              <w:bottom w:val="single" w:color="auto" w:sz="4" w:space="0"/>
              <w:right w:val="single" w:color="auto" w:sz="4" w:space="0"/>
            </w:tcBorders>
            <w:noWrap/>
            <w:vAlign w:val="center"/>
          </w:tcPr>
          <w:p w14:paraId="6BDB1D9E">
            <w:pPr>
              <w:pStyle w:val="73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sz w:val="24"/>
                <w:szCs w:val="24"/>
                <w:highlight w:val="none"/>
              </w:rPr>
            </w:pPr>
            <w:bookmarkStart w:id="24" w:name="_Toc139284165"/>
            <w:bookmarkStart w:id="25" w:name="_Toc139284041"/>
            <w:r>
              <w:rPr>
                <w:rFonts w:hint="eastAsia" w:ascii="仿宋" w:hAnsi="仿宋" w:eastAsia="仿宋" w:cs="仿宋"/>
                <w:b/>
                <w:bCs/>
                <w:color w:val="auto"/>
                <w:sz w:val="24"/>
                <w:szCs w:val="24"/>
                <w:highlight w:val="none"/>
              </w:rPr>
              <w:t>序号</w:t>
            </w:r>
            <w:bookmarkEnd w:id="24"/>
            <w:bookmarkEnd w:id="25"/>
          </w:p>
        </w:tc>
        <w:tc>
          <w:tcPr>
            <w:tcW w:w="1606" w:type="pct"/>
            <w:tcBorders>
              <w:top w:val="single" w:color="auto" w:sz="4" w:space="0"/>
              <w:left w:val="single" w:color="auto" w:sz="4" w:space="0"/>
              <w:bottom w:val="single" w:color="auto" w:sz="4" w:space="0"/>
              <w:right w:val="single" w:color="auto" w:sz="4" w:space="0"/>
            </w:tcBorders>
            <w:noWrap/>
            <w:vAlign w:val="center"/>
          </w:tcPr>
          <w:p w14:paraId="58BA6CE7">
            <w:pPr>
              <w:pStyle w:val="73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服务内容</w:t>
            </w:r>
          </w:p>
        </w:tc>
        <w:tc>
          <w:tcPr>
            <w:tcW w:w="945" w:type="pct"/>
            <w:tcBorders>
              <w:top w:val="single" w:color="auto" w:sz="4" w:space="0"/>
              <w:left w:val="single" w:color="auto" w:sz="4" w:space="0"/>
              <w:bottom w:val="single" w:color="auto" w:sz="4" w:space="0"/>
              <w:right w:val="single" w:color="auto" w:sz="4" w:space="0"/>
            </w:tcBorders>
            <w:noWrap/>
            <w:vAlign w:val="center"/>
          </w:tcPr>
          <w:p w14:paraId="4C36FC49">
            <w:pPr>
              <w:pStyle w:val="73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color w:val="auto"/>
                <w:sz w:val="24"/>
                <w:szCs w:val="24"/>
                <w:highlight w:val="none"/>
              </w:rPr>
            </w:pPr>
            <w:bookmarkStart w:id="26" w:name="_Toc139284167"/>
            <w:bookmarkStart w:id="27" w:name="_Toc139284043"/>
            <w:r>
              <w:rPr>
                <w:rFonts w:hint="eastAsia" w:ascii="仿宋" w:hAnsi="仿宋" w:eastAsia="仿宋" w:cs="仿宋"/>
                <w:b/>
                <w:bCs/>
                <w:color w:val="auto"/>
                <w:sz w:val="24"/>
                <w:szCs w:val="24"/>
                <w:highlight w:val="none"/>
              </w:rPr>
              <w:t>数量</w:t>
            </w:r>
            <w:bookmarkEnd w:id="26"/>
            <w:bookmarkEnd w:id="27"/>
          </w:p>
        </w:tc>
        <w:tc>
          <w:tcPr>
            <w:tcW w:w="2001" w:type="pct"/>
            <w:tcBorders>
              <w:top w:val="single" w:color="auto" w:sz="4" w:space="0"/>
              <w:left w:val="single" w:color="auto" w:sz="4" w:space="0"/>
              <w:bottom w:val="single" w:color="auto" w:sz="4" w:space="0"/>
              <w:right w:val="single" w:color="auto" w:sz="4" w:space="0"/>
            </w:tcBorders>
            <w:noWrap/>
            <w:vAlign w:val="center"/>
          </w:tcPr>
          <w:p w14:paraId="504A0149">
            <w:pPr>
              <w:pStyle w:val="73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备注</w:t>
            </w:r>
          </w:p>
        </w:tc>
      </w:tr>
      <w:tr w14:paraId="6FE3C5FF">
        <w:tblPrEx>
          <w:tblCellMar>
            <w:top w:w="0" w:type="dxa"/>
            <w:left w:w="108" w:type="dxa"/>
            <w:bottom w:w="0" w:type="dxa"/>
            <w:right w:w="108" w:type="dxa"/>
          </w:tblCellMar>
        </w:tblPrEx>
        <w:trPr>
          <w:trHeight w:val="510" w:hRule="atLeast"/>
          <w:jc w:val="center"/>
        </w:trPr>
        <w:tc>
          <w:tcPr>
            <w:tcW w:w="446" w:type="pct"/>
            <w:tcBorders>
              <w:top w:val="single" w:color="auto" w:sz="4" w:space="0"/>
              <w:left w:val="single" w:color="auto" w:sz="4" w:space="0"/>
              <w:bottom w:val="single" w:color="auto" w:sz="4" w:space="0"/>
              <w:right w:val="single" w:color="auto" w:sz="4" w:space="0"/>
            </w:tcBorders>
            <w:noWrap/>
            <w:vAlign w:val="center"/>
          </w:tcPr>
          <w:p w14:paraId="7C4AB1FE">
            <w:pPr>
              <w:pStyle w:val="736"/>
              <w:spacing w:line="400" w:lineRule="exact"/>
              <w:jc w:val="center"/>
              <w:rPr>
                <w:rFonts w:hint="eastAsia" w:ascii="仿宋" w:hAnsi="仿宋" w:eastAsia="仿宋" w:cs="仿宋"/>
                <w:color w:val="auto"/>
                <w:sz w:val="24"/>
                <w:szCs w:val="24"/>
                <w:highlight w:val="none"/>
              </w:rPr>
            </w:pPr>
            <w:bookmarkStart w:id="28" w:name="_Toc139284044"/>
            <w:bookmarkStart w:id="29" w:name="_Toc139284168"/>
            <w:r>
              <w:rPr>
                <w:rFonts w:hint="eastAsia" w:ascii="仿宋" w:hAnsi="仿宋" w:eastAsia="仿宋" w:cs="仿宋"/>
                <w:b w:val="0"/>
                <w:bCs w:val="0"/>
                <w:color w:val="auto"/>
                <w:sz w:val="24"/>
                <w:szCs w:val="24"/>
                <w:highlight w:val="none"/>
              </w:rPr>
              <w:t>1</w:t>
            </w:r>
            <w:bookmarkEnd w:id="28"/>
            <w:bookmarkEnd w:id="29"/>
          </w:p>
        </w:tc>
        <w:tc>
          <w:tcPr>
            <w:tcW w:w="1606" w:type="pct"/>
            <w:tcBorders>
              <w:top w:val="single" w:color="auto" w:sz="4" w:space="0"/>
              <w:left w:val="single" w:color="auto" w:sz="4" w:space="0"/>
              <w:bottom w:val="single" w:color="auto" w:sz="4" w:space="0"/>
              <w:right w:val="single" w:color="auto" w:sz="4" w:space="0"/>
            </w:tcBorders>
            <w:vAlign w:val="center"/>
          </w:tcPr>
          <w:p w14:paraId="644C069C">
            <w:pPr>
              <w:pStyle w:val="736"/>
              <w:spacing w:line="400" w:lineRule="exact"/>
              <w:jc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rPr>
              <w:t>超声信息管理系统服务</w:t>
            </w:r>
          </w:p>
        </w:tc>
        <w:tc>
          <w:tcPr>
            <w:tcW w:w="945" w:type="pct"/>
            <w:tcBorders>
              <w:top w:val="single" w:color="auto" w:sz="4" w:space="0"/>
              <w:left w:val="single" w:color="auto" w:sz="4" w:space="0"/>
              <w:bottom w:val="single" w:color="auto" w:sz="4" w:space="0"/>
              <w:right w:val="single" w:color="auto" w:sz="4" w:space="0"/>
            </w:tcBorders>
            <w:noWrap/>
            <w:vAlign w:val="center"/>
          </w:tcPr>
          <w:p w14:paraId="7039E037">
            <w:pPr>
              <w:pStyle w:val="736"/>
              <w:spacing w:line="4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1项</w:t>
            </w:r>
          </w:p>
        </w:tc>
        <w:tc>
          <w:tcPr>
            <w:tcW w:w="2001" w:type="pct"/>
            <w:tcBorders>
              <w:top w:val="single" w:color="auto" w:sz="4" w:space="0"/>
              <w:left w:val="single" w:color="auto" w:sz="4" w:space="0"/>
              <w:bottom w:val="single" w:color="auto" w:sz="4" w:space="0"/>
              <w:right w:val="single" w:color="auto" w:sz="4" w:space="0"/>
            </w:tcBorders>
            <w:noWrap/>
            <w:vAlign w:val="top"/>
          </w:tcPr>
          <w:p w14:paraId="5A5A016E">
            <w:pPr>
              <w:pStyle w:val="73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须将医院超声设备全部接入或与医院现有信息系统完全兼容</w:t>
            </w:r>
          </w:p>
        </w:tc>
      </w:tr>
      <w:tr w14:paraId="1FEE4EA5">
        <w:tblPrEx>
          <w:tblCellMar>
            <w:top w:w="0" w:type="dxa"/>
            <w:left w:w="108" w:type="dxa"/>
            <w:bottom w:w="0" w:type="dxa"/>
            <w:right w:w="108" w:type="dxa"/>
          </w:tblCellMar>
        </w:tblPrEx>
        <w:trPr>
          <w:trHeight w:val="510" w:hRule="atLeast"/>
          <w:jc w:val="center"/>
        </w:trPr>
        <w:tc>
          <w:tcPr>
            <w:tcW w:w="446" w:type="pct"/>
            <w:tcBorders>
              <w:top w:val="single" w:color="auto" w:sz="4" w:space="0"/>
              <w:left w:val="single" w:color="auto" w:sz="4" w:space="0"/>
              <w:bottom w:val="single" w:color="auto" w:sz="4" w:space="0"/>
              <w:right w:val="single" w:color="auto" w:sz="4" w:space="0"/>
            </w:tcBorders>
            <w:noWrap/>
            <w:vAlign w:val="center"/>
          </w:tcPr>
          <w:p w14:paraId="75C1AE05">
            <w:pPr>
              <w:pStyle w:val="736"/>
              <w:spacing w:line="400" w:lineRule="exact"/>
              <w:jc w:val="center"/>
              <w:rPr>
                <w:rFonts w:hint="eastAsia" w:ascii="仿宋" w:hAnsi="仿宋" w:eastAsia="仿宋" w:cs="仿宋"/>
                <w:color w:val="auto"/>
                <w:sz w:val="24"/>
                <w:szCs w:val="24"/>
                <w:highlight w:val="none"/>
              </w:rPr>
            </w:pPr>
            <w:bookmarkStart w:id="30" w:name="_Toc139284047"/>
            <w:bookmarkStart w:id="31" w:name="_Toc139284171"/>
            <w:r>
              <w:rPr>
                <w:rFonts w:hint="eastAsia" w:ascii="仿宋" w:hAnsi="仿宋" w:eastAsia="仿宋" w:cs="仿宋"/>
                <w:color w:val="auto"/>
                <w:sz w:val="24"/>
                <w:szCs w:val="24"/>
                <w:highlight w:val="none"/>
              </w:rPr>
              <w:t>2</w:t>
            </w:r>
            <w:bookmarkEnd w:id="30"/>
            <w:bookmarkEnd w:id="31"/>
          </w:p>
        </w:tc>
        <w:tc>
          <w:tcPr>
            <w:tcW w:w="1606" w:type="pct"/>
            <w:tcBorders>
              <w:top w:val="single" w:color="auto" w:sz="4" w:space="0"/>
              <w:left w:val="single" w:color="auto" w:sz="4" w:space="0"/>
              <w:bottom w:val="single" w:color="auto" w:sz="4" w:space="0"/>
              <w:right w:val="single" w:color="auto" w:sz="4" w:space="0"/>
            </w:tcBorders>
            <w:vAlign w:val="center"/>
          </w:tcPr>
          <w:p w14:paraId="4AFA41B8">
            <w:pPr>
              <w:pStyle w:val="736"/>
              <w:spacing w:line="400" w:lineRule="exact"/>
              <w:jc w:val="center"/>
              <w:rPr>
                <w:rFonts w:hint="eastAsia" w:ascii="仿宋" w:hAnsi="仿宋" w:eastAsia="仿宋" w:cs="仿宋"/>
                <w:b w:val="0"/>
                <w:bCs w:val="0"/>
                <w:i w:val="0"/>
                <w:iCs w:val="0"/>
                <w:color w:val="auto"/>
                <w:kern w:val="0"/>
                <w:sz w:val="24"/>
                <w:szCs w:val="24"/>
                <w:highlight w:val="none"/>
                <w:u w:val="none"/>
                <w:lang w:val="en-US" w:eastAsia="zh-CN" w:bidi="ar"/>
              </w:rPr>
            </w:pPr>
            <w:bookmarkStart w:id="32" w:name="OLE_LINK5"/>
            <w:r>
              <w:rPr>
                <w:rFonts w:hint="eastAsia" w:ascii="仿宋" w:hAnsi="仿宋" w:eastAsia="仿宋" w:cs="仿宋"/>
                <w:color w:val="auto"/>
                <w:sz w:val="24"/>
                <w:szCs w:val="24"/>
                <w:highlight w:val="none"/>
                <w:lang w:val="en-US" w:eastAsia="zh-CN"/>
              </w:rPr>
              <w:t>产前智能超声质控软件系统</w:t>
            </w:r>
            <w:bookmarkEnd w:id="32"/>
          </w:p>
        </w:tc>
        <w:tc>
          <w:tcPr>
            <w:tcW w:w="945" w:type="pct"/>
            <w:tcBorders>
              <w:top w:val="single" w:color="auto" w:sz="4" w:space="0"/>
              <w:left w:val="single" w:color="auto" w:sz="4" w:space="0"/>
              <w:bottom w:val="single" w:color="auto" w:sz="4" w:space="0"/>
              <w:right w:val="single" w:color="auto" w:sz="4" w:space="0"/>
            </w:tcBorders>
            <w:noWrap/>
            <w:vAlign w:val="center"/>
          </w:tcPr>
          <w:p w14:paraId="1CC5B213">
            <w:pPr>
              <w:pStyle w:val="736"/>
              <w:spacing w:line="4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1"/>
                <w:sz w:val="24"/>
                <w:szCs w:val="24"/>
                <w:highlight w:val="none"/>
                <w:lang w:val="en-US" w:eastAsia="zh-CN"/>
              </w:rPr>
              <w:t>≥5个授权点位</w:t>
            </w:r>
          </w:p>
        </w:tc>
        <w:tc>
          <w:tcPr>
            <w:tcW w:w="2001" w:type="pct"/>
            <w:tcBorders>
              <w:top w:val="single" w:color="auto" w:sz="4" w:space="0"/>
              <w:left w:val="single" w:color="auto" w:sz="4" w:space="0"/>
              <w:bottom w:val="single" w:color="auto" w:sz="4" w:space="0"/>
              <w:right w:val="single" w:color="auto" w:sz="4" w:space="0"/>
            </w:tcBorders>
            <w:noWrap/>
            <w:vAlign w:val="top"/>
          </w:tcPr>
          <w:p w14:paraId="6333936B">
            <w:pPr>
              <w:pStyle w:val="73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质控软件系统须含相关质控系统点位配套的硬件设备</w:t>
            </w:r>
          </w:p>
        </w:tc>
      </w:tr>
      <w:tr w14:paraId="67DE50D6">
        <w:tblPrEx>
          <w:tblCellMar>
            <w:top w:w="0" w:type="dxa"/>
            <w:left w:w="108" w:type="dxa"/>
            <w:bottom w:w="0" w:type="dxa"/>
            <w:right w:w="108" w:type="dxa"/>
          </w:tblCellMar>
        </w:tblPrEx>
        <w:trPr>
          <w:trHeight w:val="510" w:hRule="atLeast"/>
          <w:jc w:val="center"/>
        </w:trPr>
        <w:tc>
          <w:tcPr>
            <w:tcW w:w="446" w:type="pct"/>
            <w:tcBorders>
              <w:top w:val="single" w:color="auto" w:sz="4" w:space="0"/>
              <w:left w:val="single" w:color="auto" w:sz="4" w:space="0"/>
              <w:bottom w:val="single" w:color="auto" w:sz="4" w:space="0"/>
              <w:right w:val="single" w:color="auto" w:sz="4" w:space="0"/>
            </w:tcBorders>
            <w:noWrap/>
            <w:vAlign w:val="center"/>
          </w:tcPr>
          <w:p w14:paraId="60AC8862">
            <w:pPr>
              <w:pStyle w:val="736"/>
              <w:spacing w:line="400" w:lineRule="exact"/>
              <w:jc w:val="center"/>
              <w:rPr>
                <w:rFonts w:hint="eastAsia" w:ascii="仿宋" w:hAnsi="仿宋" w:eastAsia="仿宋" w:cs="仿宋"/>
                <w:color w:val="auto"/>
                <w:sz w:val="24"/>
                <w:szCs w:val="24"/>
                <w:highlight w:val="none"/>
              </w:rPr>
            </w:pPr>
            <w:bookmarkStart w:id="33" w:name="_Toc139284050"/>
            <w:bookmarkStart w:id="34" w:name="_Toc139284174"/>
            <w:r>
              <w:rPr>
                <w:rFonts w:hint="eastAsia" w:ascii="仿宋" w:hAnsi="仿宋" w:eastAsia="仿宋" w:cs="仿宋"/>
                <w:color w:val="auto"/>
                <w:sz w:val="24"/>
                <w:szCs w:val="24"/>
                <w:highlight w:val="none"/>
              </w:rPr>
              <w:t>3</w:t>
            </w:r>
            <w:bookmarkEnd w:id="33"/>
            <w:bookmarkEnd w:id="34"/>
          </w:p>
        </w:tc>
        <w:tc>
          <w:tcPr>
            <w:tcW w:w="1606" w:type="pct"/>
            <w:tcBorders>
              <w:top w:val="single" w:color="auto" w:sz="4" w:space="0"/>
              <w:left w:val="single" w:color="auto" w:sz="4" w:space="0"/>
              <w:bottom w:val="single" w:color="auto" w:sz="4" w:space="0"/>
              <w:right w:val="single" w:color="auto" w:sz="4" w:space="0"/>
            </w:tcBorders>
            <w:noWrap/>
            <w:vAlign w:val="center"/>
          </w:tcPr>
          <w:p w14:paraId="3780E038">
            <w:pPr>
              <w:pStyle w:val="736"/>
              <w:spacing w:line="400" w:lineRule="exact"/>
              <w:jc w:val="center"/>
              <w:rPr>
                <w:rFonts w:hint="eastAsia" w:ascii="仿宋" w:hAnsi="仿宋" w:eastAsia="仿宋" w:cs="仿宋"/>
                <w:b w:val="0"/>
                <w:bCs w:val="0"/>
                <w:i w:val="0"/>
                <w:iCs w:val="0"/>
                <w:color w:val="auto"/>
                <w:kern w:val="0"/>
                <w:sz w:val="24"/>
                <w:szCs w:val="24"/>
                <w:highlight w:val="none"/>
                <w:u w:val="none"/>
                <w:lang w:val="en-US" w:eastAsia="zh-CN" w:bidi="ar"/>
              </w:rPr>
            </w:pPr>
            <w:bookmarkStart w:id="35" w:name="OLE_LINK7"/>
            <w:r>
              <w:rPr>
                <w:rFonts w:hint="eastAsia" w:ascii="仿宋" w:hAnsi="仿宋" w:eastAsia="仿宋" w:cs="仿宋"/>
                <w:color w:val="auto"/>
                <w:sz w:val="24"/>
                <w:szCs w:val="24"/>
                <w:highlight w:val="none"/>
              </w:rPr>
              <w:t>远程超声会诊云平台</w:t>
            </w:r>
            <w:bookmarkEnd w:id="35"/>
            <w:r>
              <w:rPr>
                <w:rFonts w:hint="eastAsia" w:ascii="仿宋" w:hAnsi="仿宋" w:eastAsia="仿宋" w:cs="仿宋"/>
                <w:color w:val="auto"/>
                <w:sz w:val="24"/>
                <w:szCs w:val="24"/>
                <w:highlight w:val="none"/>
              </w:rPr>
              <w:t>服务</w:t>
            </w:r>
          </w:p>
        </w:tc>
        <w:tc>
          <w:tcPr>
            <w:tcW w:w="945" w:type="pct"/>
            <w:tcBorders>
              <w:top w:val="single" w:color="auto" w:sz="4" w:space="0"/>
              <w:left w:val="single" w:color="auto" w:sz="4" w:space="0"/>
              <w:bottom w:val="single" w:color="auto" w:sz="4" w:space="0"/>
              <w:right w:val="single" w:color="auto" w:sz="4" w:space="0"/>
            </w:tcBorders>
            <w:noWrap/>
            <w:vAlign w:val="center"/>
          </w:tcPr>
          <w:p w14:paraId="388A21A8">
            <w:pPr>
              <w:pStyle w:val="736"/>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w:t>
            </w:r>
          </w:p>
        </w:tc>
        <w:tc>
          <w:tcPr>
            <w:tcW w:w="2001" w:type="pct"/>
            <w:tcBorders>
              <w:top w:val="single" w:color="auto" w:sz="4" w:space="0"/>
              <w:left w:val="single" w:color="auto" w:sz="4" w:space="0"/>
              <w:bottom w:val="single" w:color="auto" w:sz="4" w:space="0"/>
              <w:right w:val="single" w:color="auto" w:sz="4" w:space="0"/>
            </w:tcBorders>
            <w:noWrap/>
            <w:vAlign w:val="top"/>
          </w:tcPr>
          <w:p w14:paraId="1561920C">
            <w:pPr>
              <w:pStyle w:val="73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须具备库尔勒市医共体成员单位的远程会诊及智能质控功能，并配备≥2个点位的必要的硬件设备</w:t>
            </w:r>
          </w:p>
        </w:tc>
      </w:tr>
      <w:tr w14:paraId="45C5D283">
        <w:tblPrEx>
          <w:tblCellMar>
            <w:top w:w="0" w:type="dxa"/>
            <w:left w:w="108" w:type="dxa"/>
            <w:bottom w:w="0" w:type="dxa"/>
            <w:right w:w="108" w:type="dxa"/>
          </w:tblCellMar>
        </w:tblPrEx>
        <w:trPr>
          <w:trHeight w:val="510" w:hRule="atLeast"/>
          <w:jc w:val="center"/>
        </w:trPr>
        <w:tc>
          <w:tcPr>
            <w:tcW w:w="446" w:type="pct"/>
            <w:tcBorders>
              <w:top w:val="single" w:color="auto" w:sz="4" w:space="0"/>
              <w:left w:val="single" w:color="auto" w:sz="4" w:space="0"/>
              <w:bottom w:val="single" w:color="auto" w:sz="4" w:space="0"/>
              <w:right w:val="single" w:color="auto" w:sz="4" w:space="0"/>
            </w:tcBorders>
            <w:noWrap/>
            <w:vAlign w:val="center"/>
          </w:tcPr>
          <w:p w14:paraId="51406BE3">
            <w:pPr>
              <w:pStyle w:val="736"/>
              <w:spacing w:line="4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606" w:type="pct"/>
            <w:tcBorders>
              <w:top w:val="single" w:color="auto" w:sz="4" w:space="0"/>
              <w:left w:val="single" w:color="auto" w:sz="4" w:space="0"/>
              <w:bottom w:val="single" w:color="auto" w:sz="4" w:space="0"/>
              <w:right w:val="single" w:color="auto" w:sz="4" w:space="0"/>
            </w:tcBorders>
            <w:noWrap/>
            <w:vAlign w:val="center"/>
          </w:tcPr>
          <w:p w14:paraId="64962DAE">
            <w:pPr>
              <w:pStyle w:val="736"/>
              <w:spacing w:line="4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系统集成开发服务</w:t>
            </w:r>
          </w:p>
        </w:tc>
        <w:tc>
          <w:tcPr>
            <w:tcW w:w="945" w:type="pct"/>
            <w:tcBorders>
              <w:top w:val="single" w:color="auto" w:sz="4" w:space="0"/>
              <w:left w:val="single" w:color="auto" w:sz="4" w:space="0"/>
              <w:bottom w:val="single" w:color="auto" w:sz="4" w:space="0"/>
              <w:right w:val="single" w:color="auto" w:sz="4" w:space="0"/>
            </w:tcBorders>
            <w:noWrap/>
            <w:vAlign w:val="center"/>
          </w:tcPr>
          <w:p w14:paraId="3B2B17DC">
            <w:pPr>
              <w:pStyle w:val="736"/>
              <w:spacing w:line="400" w:lineRule="exact"/>
              <w:jc w:val="center"/>
              <w:rPr>
                <w:rFonts w:hint="eastAsia" w:ascii="仿宋" w:hAnsi="仿宋" w:eastAsia="仿宋" w:cs="仿宋"/>
                <w:color w:val="auto"/>
                <w:highlight w:val="none"/>
              </w:rPr>
            </w:pPr>
            <w:r>
              <w:rPr>
                <w:rFonts w:hint="eastAsia" w:ascii="仿宋" w:hAnsi="仿宋" w:eastAsia="仿宋" w:cs="仿宋"/>
                <w:color w:val="auto"/>
                <w:sz w:val="24"/>
                <w:szCs w:val="24"/>
                <w:highlight w:val="none"/>
              </w:rPr>
              <w:t>1项</w:t>
            </w:r>
          </w:p>
        </w:tc>
        <w:tc>
          <w:tcPr>
            <w:tcW w:w="2001" w:type="pct"/>
            <w:tcBorders>
              <w:top w:val="single" w:color="auto" w:sz="4" w:space="0"/>
              <w:left w:val="single" w:color="auto" w:sz="4" w:space="0"/>
              <w:bottom w:val="single" w:color="auto" w:sz="4" w:space="0"/>
              <w:right w:val="single" w:color="auto" w:sz="4" w:space="0"/>
            </w:tcBorders>
            <w:noWrap/>
            <w:vAlign w:val="top"/>
          </w:tcPr>
          <w:p w14:paraId="6ED8941E">
            <w:pPr>
              <w:pStyle w:val="736"/>
              <w:spacing w:line="400" w:lineRule="exact"/>
              <w:jc w:val="center"/>
              <w:rPr>
                <w:rFonts w:hint="eastAsia" w:ascii="仿宋" w:hAnsi="仿宋" w:eastAsia="仿宋" w:cs="仿宋"/>
                <w:color w:val="auto"/>
                <w:sz w:val="24"/>
                <w:szCs w:val="24"/>
                <w:highlight w:val="none"/>
                <w:lang w:val="en-US" w:eastAsia="zh-CN"/>
              </w:rPr>
            </w:pPr>
          </w:p>
        </w:tc>
      </w:tr>
    </w:tbl>
    <w:p w14:paraId="192DDED2">
      <w:pPr>
        <w:pStyle w:val="3"/>
        <w:keepNext w:val="0"/>
        <w:keepLines w:val="0"/>
        <w:snapToGrid w:val="0"/>
        <w:spacing w:line="240" w:lineRule="auto"/>
        <w:jc w:val="both"/>
        <w:rPr>
          <w:rFonts w:hint="eastAsia" w:ascii="仿宋" w:hAnsi="仿宋" w:eastAsia="仿宋" w:cs="仿宋"/>
          <w:b w:val="0"/>
          <w:bCs/>
          <w:color w:val="auto"/>
          <w:sz w:val="28"/>
          <w:szCs w:val="28"/>
          <w:highlight w:val="none"/>
        </w:rPr>
      </w:pPr>
    </w:p>
    <w:p w14:paraId="138ED9B1">
      <w:pPr>
        <w:pStyle w:val="736"/>
        <w:numPr>
          <w:ilvl w:val="0"/>
          <w:numId w:val="11"/>
        </w:numPr>
        <w:spacing w:line="400" w:lineRule="exact"/>
        <w:ind w:firstLine="480" w:firstLineChars="200"/>
        <w:rPr>
          <w:rFonts w:hint="eastAsia" w:ascii="仿宋" w:hAnsi="仿宋" w:eastAsia="仿宋" w:cs="仿宋"/>
          <w:color w:val="auto"/>
          <w:sz w:val="24"/>
          <w:szCs w:val="24"/>
          <w:highlight w:val="none"/>
        </w:rPr>
      </w:pPr>
      <w:bookmarkStart w:id="36" w:name="_Toc139284059"/>
      <w:bookmarkStart w:id="37" w:name="_Toc139284183"/>
      <w:r>
        <w:rPr>
          <w:rFonts w:hint="eastAsia" w:ascii="仿宋" w:hAnsi="仿宋" w:eastAsia="仿宋" w:cs="仿宋"/>
          <w:color w:val="auto"/>
          <w:sz w:val="24"/>
          <w:szCs w:val="24"/>
          <w:highlight w:val="none"/>
        </w:rPr>
        <w:t>技术要求</w:t>
      </w:r>
      <w:bookmarkEnd w:id="36"/>
      <w:bookmarkEnd w:id="37"/>
    </w:p>
    <w:tbl>
      <w:tblPr>
        <w:tblStyle w:val="6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3"/>
        <w:gridCol w:w="8297"/>
      </w:tblGrid>
      <w:tr w14:paraId="4DFBE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9" w:hRule="atLeast"/>
        </w:trPr>
        <w:tc>
          <w:tcPr>
            <w:tcW w:w="788" w:type="pct"/>
            <w:vAlign w:val="center"/>
          </w:tcPr>
          <w:p w14:paraId="654D0C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highlight w:val="none"/>
                <w:u w:val="none"/>
                <w14:ligatures w14:val="standardContextual"/>
              </w:rPr>
            </w:pPr>
            <w:r>
              <w:rPr>
                <w:rFonts w:hint="eastAsia" w:ascii="仿宋" w:hAnsi="仿宋" w:eastAsia="仿宋" w:cs="仿宋"/>
                <w:b/>
                <w:bCs/>
                <w:color w:val="auto"/>
                <w:kern w:val="0"/>
                <w:sz w:val="24"/>
                <w:highlight w:val="none"/>
                <w:u w:val="none"/>
                <w:lang w:bidi="ar"/>
                <w14:ligatures w14:val="standardContextual"/>
              </w:rPr>
              <w:t>服务模块</w:t>
            </w:r>
          </w:p>
        </w:tc>
        <w:tc>
          <w:tcPr>
            <w:tcW w:w="4211" w:type="pct"/>
            <w:vAlign w:val="center"/>
          </w:tcPr>
          <w:p w14:paraId="0A7992C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highlight w:val="none"/>
                <w:u w:val="none"/>
                <w14:ligatures w14:val="standardContextual"/>
              </w:rPr>
            </w:pPr>
            <w:r>
              <w:rPr>
                <w:rFonts w:hint="eastAsia" w:ascii="仿宋" w:hAnsi="仿宋" w:eastAsia="仿宋" w:cs="仿宋"/>
                <w:b/>
                <w:bCs/>
                <w:color w:val="auto"/>
                <w:kern w:val="0"/>
                <w:sz w:val="24"/>
                <w:highlight w:val="none"/>
                <w:u w:val="none"/>
                <w:lang w:bidi="ar"/>
                <w14:ligatures w14:val="standardContextual"/>
              </w:rPr>
              <w:t>技术参数要求</w:t>
            </w:r>
          </w:p>
        </w:tc>
      </w:tr>
      <w:tr w14:paraId="508F6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restart"/>
            <w:vAlign w:val="center"/>
          </w:tcPr>
          <w:p w14:paraId="12F9EA17">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color w:val="auto"/>
                <w:sz w:val="24"/>
                <w:highlight w:val="none"/>
                <w:u w:val="none"/>
                <w14:ligatures w14:val="standardContextual"/>
              </w:rPr>
            </w:pPr>
            <w:r>
              <w:rPr>
                <w:rFonts w:hint="eastAsia" w:ascii="仿宋" w:hAnsi="仿宋" w:eastAsia="仿宋" w:cs="仿宋"/>
                <w:color w:val="auto"/>
                <w:sz w:val="24"/>
                <w:highlight w:val="none"/>
                <w:u w:val="none"/>
                <w:lang w:val="en-US" w:eastAsia="zh-CN"/>
              </w:rPr>
              <w:t>1.</w:t>
            </w:r>
            <w:r>
              <w:rPr>
                <w:rFonts w:hint="eastAsia" w:ascii="仿宋" w:hAnsi="仿宋" w:eastAsia="仿宋" w:cs="仿宋"/>
                <w:color w:val="auto"/>
                <w:sz w:val="24"/>
                <w:highlight w:val="none"/>
                <w:u w:val="none"/>
                <w14:ligatures w14:val="standardContextual"/>
              </w:rPr>
              <w:t>超声信息管理系统服务</w:t>
            </w:r>
          </w:p>
        </w:tc>
        <w:tc>
          <w:tcPr>
            <w:tcW w:w="4211" w:type="pct"/>
          </w:tcPr>
          <w:p w14:paraId="59A0D74C">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rPr>
            </w:pPr>
            <w:r>
              <w:rPr>
                <w:rFonts w:hint="eastAsia" w:ascii="仿宋" w:hAnsi="仿宋" w:eastAsia="仿宋" w:cs="仿宋"/>
                <w:b w:val="0"/>
                <w:bCs/>
                <w:color w:val="auto"/>
                <w:kern w:val="2"/>
                <w:sz w:val="24"/>
                <w:szCs w:val="24"/>
                <w:highlight w:val="none"/>
                <w:u w:val="none"/>
                <w:lang w:val="en-US" w:eastAsia="zh-CN" w:bidi="ar-SA"/>
                <w14:ligatures w14:val="standardContextual"/>
              </w:rPr>
              <w:t>1.1</w:t>
            </w:r>
            <w:r>
              <w:rPr>
                <w:rFonts w:hint="eastAsia" w:ascii="仿宋" w:hAnsi="仿宋" w:eastAsia="仿宋" w:cs="仿宋"/>
                <w:color w:val="auto"/>
                <w:sz w:val="24"/>
                <w:szCs w:val="24"/>
                <w:highlight w:val="none"/>
                <w:u w:val="none"/>
                <w:lang w:val="en-US" w:eastAsia="zh-CN"/>
              </w:rPr>
              <w:t>须将医院超声设备全部接入或与医院现有信息系统完全兼容；</w:t>
            </w:r>
          </w:p>
        </w:tc>
      </w:tr>
      <w:tr w14:paraId="1658A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576D9D2E">
            <w:pPr>
              <w:pStyle w:val="607"/>
              <w:keepNext w:val="0"/>
              <w:keepLines w:val="0"/>
              <w:pageBreakBefore w:val="0"/>
              <w:widowControl w:val="0"/>
              <w:numPr>
                <w:ilvl w:val="0"/>
                <w:numId w:val="12"/>
              </w:numPr>
              <w:kinsoku/>
              <w:wordWrap/>
              <w:overflowPunct/>
              <w:topLinePunct w:val="0"/>
              <w:autoSpaceDE/>
              <w:autoSpaceDN/>
              <w:bidi w:val="0"/>
              <w:adjustRightInd/>
              <w:snapToGrid/>
              <w:spacing w:line="400" w:lineRule="exact"/>
              <w:contextualSpacing w:val="0"/>
              <w:jc w:val="center"/>
              <w:textAlignment w:val="auto"/>
              <w:rPr>
                <w:rFonts w:hint="eastAsia" w:ascii="仿宋" w:hAnsi="仿宋" w:eastAsia="仿宋" w:cs="仿宋"/>
                <w:color w:val="auto"/>
                <w:sz w:val="24"/>
                <w:highlight w:val="none"/>
                <w:u w:val="none"/>
              </w:rPr>
            </w:pPr>
          </w:p>
        </w:tc>
        <w:tc>
          <w:tcPr>
            <w:tcW w:w="4211" w:type="pct"/>
          </w:tcPr>
          <w:p w14:paraId="4C9B52CB">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rPr>
            </w:pPr>
            <w:r>
              <w:rPr>
                <w:rFonts w:hint="eastAsia" w:ascii="仿宋" w:hAnsi="仿宋" w:eastAsia="仿宋" w:cs="仿宋"/>
                <w:b w:val="0"/>
                <w:bCs/>
                <w:color w:val="auto"/>
                <w:kern w:val="2"/>
                <w:sz w:val="24"/>
                <w:szCs w:val="24"/>
                <w:highlight w:val="none"/>
                <w:u w:val="none"/>
                <w:lang w:val="en-US" w:eastAsia="zh-CN" w:bidi="ar-SA"/>
                <w14:ligatures w14:val="standardContextual"/>
              </w:rPr>
              <w:t>1.2</w:t>
            </w:r>
            <w:r>
              <w:rPr>
                <w:rFonts w:hint="eastAsia" w:ascii="仿宋" w:hAnsi="仿宋" w:eastAsia="仿宋" w:cs="仿宋"/>
                <w:color w:val="auto"/>
                <w:sz w:val="24"/>
                <w:highlight w:val="none"/>
                <w:u w:val="none"/>
              </w:rPr>
              <w:t>支持负载均衡功能：当数据请求到达PACS应用服务时，根据设定负载均衡算法的调度策略，合理地将每个请求快速分配到相应的服务器，释放单台服务器性能压力、保障服务的稳定性；</w:t>
            </w:r>
          </w:p>
        </w:tc>
      </w:tr>
      <w:tr w14:paraId="3A82B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0FF432A0">
            <w:pPr>
              <w:pStyle w:val="607"/>
              <w:keepNext w:val="0"/>
              <w:keepLines w:val="0"/>
              <w:pageBreakBefore w:val="0"/>
              <w:widowControl w:val="0"/>
              <w:numPr>
                <w:ilvl w:val="0"/>
                <w:numId w:val="12"/>
              </w:numPr>
              <w:kinsoku/>
              <w:wordWrap/>
              <w:overflowPunct/>
              <w:topLinePunct w:val="0"/>
              <w:autoSpaceDE/>
              <w:autoSpaceDN/>
              <w:bidi w:val="0"/>
              <w:adjustRightInd/>
              <w:snapToGrid/>
              <w:spacing w:line="400" w:lineRule="exact"/>
              <w:contextualSpacing w:val="0"/>
              <w:jc w:val="center"/>
              <w:textAlignment w:val="auto"/>
              <w:rPr>
                <w:rFonts w:hint="eastAsia" w:ascii="仿宋" w:hAnsi="仿宋" w:eastAsia="仿宋" w:cs="仿宋"/>
                <w:color w:val="auto"/>
                <w:sz w:val="24"/>
                <w:highlight w:val="none"/>
                <w:u w:val="none"/>
              </w:rPr>
            </w:pPr>
          </w:p>
        </w:tc>
        <w:tc>
          <w:tcPr>
            <w:tcW w:w="4211" w:type="pct"/>
          </w:tcPr>
          <w:p w14:paraId="307ADC6C">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rPr>
            </w:pPr>
            <w:r>
              <w:rPr>
                <w:rFonts w:hint="eastAsia" w:ascii="仿宋" w:hAnsi="仿宋" w:eastAsia="仿宋" w:cs="仿宋"/>
                <w:b w:val="0"/>
                <w:bCs/>
                <w:color w:val="auto"/>
                <w:kern w:val="2"/>
                <w:sz w:val="24"/>
                <w:szCs w:val="24"/>
                <w:highlight w:val="none"/>
                <w:u w:val="none"/>
                <w:lang w:val="en-US" w:eastAsia="zh-CN" w:bidi="ar-SA"/>
                <w14:ligatures w14:val="standardContextual"/>
              </w:rPr>
              <w:t>1.3</w:t>
            </w:r>
            <w:r>
              <w:rPr>
                <w:rFonts w:hint="eastAsia" w:ascii="仿宋" w:hAnsi="仿宋" w:eastAsia="仿宋" w:cs="仿宋"/>
                <w:color w:val="auto"/>
                <w:sz w:val="24"/>
                <w:highlight w:val="none"/>
                <w:u w:val="none"/>
              </w:rPr>
              <w:t>支持服务器弹性扩容，提供更高性能的请求响应处理机制并消除单点故障带来的不良影响，使系统能够轻松应对业务发展带来的资源扩容需求；</w:t>
            </w:r>
          </w:p>
        </w:tc>
      </w:tr>
      <w:tr w14:paraId="6CCD7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6AE3F479">
            <w:pPr>
              <w:pStyle w:val="607"/>
              <w:keepNext w:val="0"/>
              <w:keepLines w:val="0"/>
              <w:pageBreakBefore w:val="0"/>
              <w:widowControl w:val="0"/>
              <w:numPr>
                <w:ilvl w:val="0"/>
                <w:numId w:val="12"/>
              </w:numPr>
              <w:kinsoku/>
              <w:wordWrap/>
              <w:overflowPunct/>
              <w:topLinePunct w:val="0"/>
              <w:autoSpaceDE/>
              <w:autoSpaceDN/>
              <w:bidi w:val="0"/>
              <w:adjustRightInd/>
              <w:snapToGrid/>
              <w:spacing w:line="400" w:lineRule="exact"/>
              <w:contextualSpacing w:val="0"/>
              <w:jc w:val="center"/>
              <w:textAlignment w:val="auto"/>
              <w:rPr>
                <w:rFonts w:hint="eastAsia" w:ascii="仿宋" w:hAnsi="仿宋" w:eastAsia="仿宋" w:cs="仿宋"/>
                <w:color w:val="auto"/>
                <w:sz w:val="24"/>
                <w:highlight w:val="none"/>
                <w:u w:val="none"/>
              </w:rPr>
            </w:pPr>
          </w:p>
        </w:tc>
        <w:tc>
          <w:tcPr>
            <w:tcW w:w="4211" w:type="pct"/>
          </w:tcPr>
          <w:p w14:paraId="5A32B669">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lang w:eastAsia="zh-CN"/>
              </w:rPr>
            </w:pPr>
            <w:r>
              <w:rPr>
                <w:rFonts w:hint="eastAsia" w:ascii="仿宋" w:hAnsi="仿宋" w:eastAsia="仿宋" w:cs="仿宋"/>
                <w:color w:val="auto"/>
                <w:sz w:val="24"/>
                <w:highlight w:val="none"/>
                <w:u w:val="none"/>
              </w:rPr>
              <w:t>★</w:t>
            </w:r>
            <w:r>
              <w:rPr>
                <w:rFonts w:hint="eastAsia" w:ascii="仿宋" w:hAnsi="仿宋" w:eastAsia="仿宋" w:cs="仿宋"/>
                <w:b w:val="0"/>
                <w:bCs/>
                <w:color w:val="auto"/>
                <w:kern w:val="2"/>
                <w:sz w:val="24"/>
                <w:szCs w:val="24"/>
                <w:highlight w:val="none"/>
                <w:u w:val="none"/>
                <w:lang w:val="en-US" w:eastAsia="zh-CN" w:bidi="ar-SA"/>
                <w14:ligatures w14:val="standardContextual"/>
              </w:rPr>
              <w:t>1.4</w:t>
            </w:r>
            <w:r>
              <w:rPr>
                <w:rFonts w:hint="eastAsia" w:ascii="仿宋" w:hAnsi="仿宋" w:eastAsia="仿宋" w:cs="仿宋"/>
                <w:color w:val="auto"/>
                <w:sz w:val="24"/>
                <w:highlight w:val="none"/>
                <w:u w:val="none"/>
              </w:rPr>
              <w:t>影像服务器管理系统支持</w:t>
            </w:r>
            <w:bookmarkStart w:id="38" w:name="_Hlk176878006"/>
            <w:r>
              <w:rPr>
                <w:rFonts w:hint="eastAsia" w:ascii="仿宋" w:hAnsi="仿宋" w:eastAsia="仿宋" w:cs="仿宋"/>
                <w:color w:val="auto"/>
                <w:sz w:val="24"/>
                <w:highlight w:val="none"/>
                <w:u w:val="none"/>
              </w:rPr>
              <w:t>单一存储模式、双机容错工作模式（前置机临时存储模式）、集群存储模式</w:t>
            </w:r>
            <w:bookmarkEnd w:id="38"/>
            <w:r>
              <w:rPr>
                <w:rFonts w:hint="eastAsia" w:ascii="仿宋" w:hAnsi="仿宋" w:eastAsia="仿宋" w:cs="仿宋"/>
                <w:color w:val="auto"/>
                <w:sz w:val="24"/>
                <w:highlight w:val="none"/>
                <w:u w:val="none"/>
                <w:lang w:eastAsia="zh-CN"/>
              </w:rPr>
              <w:t>；</w:t>
            </w:r>
          </w:p>
        </w:tc>
      </w:tr>
      <w:tr w14:paraId="2D6BF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050CCBF6">
            <w:pPr>
              <w:pStyle w:val="607"/>
              <w:keepNext w:val="0"/>
              <w:keepLines w:val="0"/>
              <w:pageBreakBefore w:val="0"/>
              <w:widowControl w:val="0"/>
              <w:numPr>
                <w:ilvl w:val="0"/>
                <w:numId w:val="12"/>
              </w:numPr>
              <w:kinsoku/>
              <w:wordWrap/>
              <w:overflowPunct/>
              <w:topLinePunct w:val="0"/>
              <w:autoSpaceDE/>
              <w:autoSpaceDN/>
              <w:bidi w:val="0"/>
              <w:adjustRightInd/>
              <w:snapToGrid/>
              <w:spacing w:line="400" w:lineRule="exact"/>
              <w:contextualSpacing w:val="0"/>
              <w:jc w:val="center"/>
              <w:textAlignment w:val="auto"/>
              <w:rPr>
                <w:rFonts w:hint="eastAsia" w:ascii="仿宋" w:hAnsi="仿宋" w:eastAsia="仿宋" w:cs="仿宋"/>
                <w:color w:val="auto"/>
                <w:sz w:val="24"/>
                <w:highlight w:val="none"/>
                <w:u w:val="none"/>
              </w:rPr>
            </w:pPr>
          </w:p>
        </w:tc>
        <w:tc>
          <w:tcPr>
            <w:tcW w:w="4211" w:type="pct"/>
          </w:tcPr>
          <w:p w14:paraId="0AC84CD6">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rPr>
            </w:pPr>
            <w:r>
              <w:rPr>
                <w:rFonts w:hint="eastAsia" w:ascii="仿宋" w:hAnsi="仿宋" w:eastAsia="仿宋" w:cs="仿宋"/>
                <w:b w:val="0"/>
                <w:bCs/>
                <w:color w:val="auto"/>
                <w:kern w:val="2"/>
                <w:sz w:val="24"/>
                <w:szCs w:val="24"/>
                <w:highlight w:val="none"/>
                <w:u w:val="none"/>
                <w:lang w:val="en-US" w:eastAsia="zh-CN" w:bidi="ar-SA"/>
                <w14:ligatures w14:val="standardContextual"/>
              </w:rPr>
              <w:t>1.5</w:t>
            </w:r>
            <w:r>
              <w:rPr>
                <w:rFonts w:hint="eastAsia" w:ascii="仿宋" w:hAnsi="仿宋" w:eastAsia="仿宋" w:cs="仿宋"/>
                <w:color w:val="auto"/>
                <w:sz w:val="24"/>
                <w:highlight w:val="none"/>
                <w:u w:val="none"/>
              </w:rPr>
              <w:t>支持大任务量并发请求，支持医院日后进行新设备连接不需再升级PACS服务器软件；</w:t>
            </w:r>
          </w:p>
        </w:tc>
      </w:tr>
      <w:tr w14:paraId="7213F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656BD7FD">
            <w:pPr>
              <w:pStyle w:val="607"/>
              <w:keepNext w:val="0"/>
              <w:keepLines w:val="0"/>
              <w:pageBreakBefore w:val="0"/>
              <w:widowControl w:val="0"/>
              <w:numPr>
                <w:ilvl w:val="0"/>
                <w:numId w:val="12"/>
              </w:numPr>
              <w:kinsoku/>
              <w:wordWrap/>
              <w:overflowPunct/>
              <w:topLinePunct w:val="0"/>
              <w:autoSpaceDE/>
              <w:autoSpaceDN/>
              <w:bidi w:val="0"/>
              <w:adjustRightInd/>
              <w:snapToGrid/>
              <w:spacing w:line="400" w:lineRule="exact"/>
              <w:contextualSpacing w:val="0"/>
              <w:jc w:val="center"/>
              <w:textAlignment w:val="auto"/>
              <w:rPr>
                <w:rFonts w:hint="eastAsia" w:ascii="仿宋" w:hAnsi="仿宋" w:eastAsia="仿宋" w:cs="仿宋"/>
                <w:color w:val="auto"/>
                <w:sz w:val="24"/>
                <w:highlight w:val="none"/>
                <w:u w:val="none"/>
              </w:rPr>
            </w:pPr>
          </w:p>
        </w:tc>
        <w:tc>
          <w:tcPr>
            <w:tcW w:w="4211" w:type="pct"/>
          </w:tcPr>
          <w:p w14:paraId="20675180">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w:t>
            </w:r>
            <w:r>
              <w:rPr>
                <w:rFonts w:hint="eastAsia" w:ascii="仿宋" w:hAnsi="仿宋" w:eastAsia="仿宋" w:cs="仿宋"/>
                <w:b w:val="0"/>
                <w:bCs/>
                <w:color w:val="auto"/>
                <w:kern w:val="2"/>
                <w:sz w:val="24"/>
                <w:szCs w:val="24"/>
                <w:highlight w:val="none"/>
                <w:u w:val="none"/>
                <w:lang w:val="en-US" w:eastAsia="zh-CN" w:bidi="ar-SA"/>
                <w14:ligatures w14:val="standardContextual"/>
              </w:rPr>
              <w:t>1.6</w:t>
            </w:r>
            <w:r>
              <w:rPr>
                <w:rFonts w:hint="eastAsia" w:ascii="仿宋" w:hAnsi="仿宋" w:eastAsia="仿宋" w:cs="仿宋"/>
                <w:color w:val="auto"/>
                <w:sz w:val="24"/>
                <w:highlight w:val="none"/>
                <w:u w:val="none"/>
              </w:rPr>
              <w:t>数据交互遵循IHE-C规范和HL7(Health Level Seven)标准，可以与符合IHE规范和HL7的系统直接对接；</w:t>
            </w:r>
          </w:p>
        </w:tc>
      </w:tr>
      <w:tr w14:paraId="5394F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49A1385B">
            <w:pPr>
              <w:keepNext w:val="0"/>
              <w:keepLines w:val="0"/>
              <w:pageBreakBefore w:val="0"/>
              <w:widowControl w:val="0"/>
              <w:numPr>
                <w:ilvl w:val="0"/>
                <w:numId w:val="13"/>
              </w:numPr>
              <w:kinsoku/>
              <w:wordWrap/>
              <w:overflowPunct/>
              <w:topLinePunct w:val="0"/>
              <w:autoSpaceDE/>
              <w:autoSpaceDN/>
              <w:bidi w:val="0"/>
              <w:adjustRightInd/>
              <w:snapToGrid/>
              <w:spacing w:line="400" w:lineRule="exact"/>
              <w:ind w:left="0" w:firstLine="0"/>
              <w:jc w:val="center"/>
              <w:textAlignment w:val="auto"/>
              <w:rPr>
                <w:rFonts w:hint="eastAsia" w:ascii="仿宋" w:hAnsi="仿宋" w:eastAsia="仿宋" w:cs="仿宋"/>
                <w:color w:val="auto"/>
                <w:sz w:val="24"/>
                <w:highlight w:val="none"/>
                <w:u w:val="none"/>
                <w14:ligatures w14:val="standardContextual"/>
              </w:rPr>
            </w:pPr>
          </w:p>
        </w:tc>
        <w:tc>
          <w:tcPr>
            <w:tcW w:w="4211" w:type="pct"/>
          </w:tcPr>
          <w:p w14:paraId="227024EF">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rPr>
            </w:pPr>
            <w:bookmarkStart w:id="39" w:name="_Hlk176878451"/>
            <w:r>
              <w:rPr>
                <w:rFonts w:hint="eastAsia" w:ascii="仿宋" w:hAnsi="仿宋" w:eastAsia="仿宋" w:cs="仿宋"/>
                <w:b w:val="0"/>
                <w:bCs/>
                <w:color w:val="auto"/>
                <w:kern w:val="2"/>
                <w:sz w:val="24"/>
                <w:szCs w:val="24"/>
                <w:highlight w:val="none"/>
                <w:u w:val="none"/>
                <w:lang w:val="en-US" w:eastAsia="zh-CN" w:bidi="ar-SA"/>
                <w14:ligatures w14:val="standardContextual"/>
              </w:rPr>
              <w:t>1.7</w:t>
            </w:r>
            <w:r>
              <w:rPr>
                <w:rFonts w:hint="eastAsia" w:ascii="仿宋" w:hAnsi="仿宋" w:eastAsia="仿宋" w:cs="仿宋"/>
                <w:color w:val="auto"/>
                <w:sz w:val="24"/>
                <w:highlight w:val="none"/>
                <w:u w:val="none"/>
              </w:rPr>
              <w:t>提供dicom C-Move指令用于发送dicom影像到指定服务；提供Dicom C-Find指令用于提供病人级别、检查级别信息查询。</w:t>
            </w:r>
            <w:bookmarkEnd w:id="39"/>
          </w:p>
        </w:tc>
      </w:tr>
      <w:tr w14:paraId="78694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733A19D9">
            <w:pPr>
              <w:keepNext w:val="0"/>
              <w:keepLines w:val="0"/>
              <w:pageBreakBefore w:val="0"/>
              <w:widowControl w:val="0"/>
              <w:numPr>
                <w:ilvl w:val="0"/>
                <w:numId w:val="13"/>
              </w:numPr>
              <w:kinsoku/>
              <w:wordWrap/>
              <w:overflowPunct/>
              <w:topLinePunct w:val="0"/>
              <w:autoSpaceDE/>
              <w:autoSpaceDN/>
              <w:bidi w:val="0"/>
              <w:adjustRightInd/>
              <w:snapToGrid/>
              <w:spacing w:line="400" w:lineRule="exact"/>
              <w:ind w:left="0" w:firstLine="0"/>
              <w:jc w:val="center"/>
              <w:textAlignment w:val="auto"/>
              <w:rPr>
                <w:rFonts w:hint="eastAsia" w:ascii="仿宋" w:hAnsi="仿宋" w:eastAsia="仿宋" w:cs="仿宋"/>
                <w:color w:val="auto"/>
                <w:sz w:val="24"/>
                <w:highlight w:val="none"/>
                <w:u w:val="none"/>
                <w14:ligatures w14:val="standardContextual"/>
              </w:rPr>
            </w:pPr>
          </w:p>
        </w:tc>
        <w:tc>
          <w:tcPr>
            <w:tcW w:w="4211" w:type="pct"/>
          </w:tcPr>
          <w:p w14:paraId="131AF21F">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rPr>
            </w:pPr>
            <w:r>
              <w:rPr>
                <w:rFonts w:hint="eastAsia" w:ascii="仿宋" w:hAnsi="仿宋" w:eastAsia="仿宋" w:cs="仿宋"/>
                <w:b w:val="0"/>
                <w:bCs/>
                <w:color w:val="auto"/>
                <w:kern w:val="2"/>
                <w:sz w:val="24"/>
                <w:szCs w:val="24"/>
                <w:highlight w:val="none"/>
                <w:u w:val="none"/>
                <w:lang w:val="en-US" w:eastAsia="zh-CN" w:bidi="ar-SA"/>
                <w14:ligatures w14:val="standardContextual"/>
              </w:rPr>
              <w:t>1.8</w:t>
            </w:r>
            <w:r>
              <w:rPr>
                <w:rFonts w:hint="eastAsia" w:ascii="仿宋" w:hAnsi="仿宋" w:eastAsia="仿宋" w:cs="仿宋"/>
                <w:color w:val="auto"/>
                <w:sz w:val="24"/>
                <w:highlight w:val="none"/>
                <w:u w:val="none"/>
              </w:rPr>
              <w:t>兼容现有影像设备的Worklist信息请求，可以为每种设备型号定义消息请求方案，提供支持配置不同设备的中文字符编码格式，为不同设备定义部位编码；</w:t>
            </w:r>
          </w:p>
        </w:tc>
      </w:tr>
      <w:tr w14:paraId="78D24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0F5DFA5E">
            <w:pPr>
              <w:keepNext w:val="0"/>
              <w:keepLines w:val="0"/>
              <w:pageBreakBefore w:val="0"/>
              <w:widowControl w:val="0"/>
              <w:numPr>
                <w:ilvl w:val="0"/>
                <w:numId w:val="13"/>
              </w:numPr>
              <w:kinsoku/>
              <w:wordWrap/>
              <w:overflowPunct/>
              <w:topLinePunct w:val="0"/>
              <w:autoSpaceDE/>
              <w:autoSpaceDN/>
              <w:bidi w:val="0"/>
              <w:adjustRightInd/>
              <w:snapToGrid/>
              <w:spacing w:line="400" w:lineRule="exact"/>
              <w:ind w:left="0" w:firstLine="0"/>
              <w:jc w:val="center"/>
              <w:textAlignment w:val="auto"/>
              <w:rPr>
                <w:rFonts w:hint="eastAsia" w:ascii="仿宋" w:hAnsi="仿宋" w:eastAsia="仿宋" w:cs="仿宋"/>
                <w:color w:val="auto"/>
                <w:sz w:val="24"/>
                <w:highlight w:val="none"/>
                <w:u w:val="none"/>
                <w14:ligatures w14:val="standardContextual"/>
              </w:rPr>
            </w:pPr>
          </w:p>
        </w:tc>
        <w:tc>
          <w:tcPr>
            <w:tcW w:w="4211" w:type="pct"/>
          </w:tcPr>
          <w:p w14:paraId="006E40AC">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w:t>
            </w:r>
            <w:r>
              <w:rPr>
                <w:rFonts w:hint="eastAsia" w:ascii="仿宋" w:hAnsi="仿宋" w:eastAsia="仿宋" w:cs="仿宋"/>
                <w:b w:val="0"/>
                <w:bCs/>
                <w:color w:val="auto"/>
                <w:kern w:val="2"/>
                <w:sz w:val="24"/>
                <w:szCs w:val="24"/>
                <w:highlight w:val="none"/>
                <w:u w:val="none"/>
                <w:lang w:val="en-US" w:eastAsia="zh-CN" w:bidi="ar-SA"/>
                <w14:ligatures w14:val="standardContextual"/>
              </w:rPr>
              <w:t>1.9</w:t>
            </w:r>
            <w:r>
              <w:rPr>
                <w:rFonts w:hint="eastAsia" w:ascii="仿宋" w:hAnsi="仿宋" w:eastAsia="仿宋" w:cs="仿宋"/>
                <w:color w:val="auto"/>
                <w:sz w:val="24"/>
                <w:highlight w:val="none"/>
                <w:u w:val="none"/>
              </w:rPr>
              <w:t>支持通过Studyuid、PatientID、AccessionNumber字段来灵活配置匹配规则，达到同一病人影像集中归档的目的。</w:t>
            </w:r>
          </w:p>
        </w:tc>
      </w:tr>
      <w:tr w14:paraId="41764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31BCE376">
            <w:pPr>
              <w:keepNext w:val="0"/>
              <w:keepLines w:val="0"/>
              <w:pageBreakBefore w:val="0"/>
              <w:widowControl w:val="0"/>
              <w:numPr>
                <w:ilvl w:val="0"/>
                <w:numId w:val="14"/>
              </w:numPr>
              <w:kinsoku/>
              <w:wordWrap/>
              <w:overflowPunct/>
              <w:topLinePunct w:val="0"/>
              <w:autoSpaceDE/>
              <w:autoSpaceDN/>
              <w:bidi w:val="0"/>
              <w:adjustRightInd/>
              <w:snapToGrid/>
              <w:spacing w:line="400" w:lineRule="exact"/>
              <w:ind w:left="0" w:firstLine="0"/>
              <w:jc w:val="center"/>
              <w:textAlignment w:val="auto"/>
              <w:rPr>
                <w:rFonts w:hint="eastAsia" w:ascii="仿宋" w:hAnsi="仿宋" w:eastAsia="仿宋" w:cs="仿宋"/>
                <w:color w:val="auto"/>
                <w:sz w:val="24"/>
                <w:highlight w:val="none"/>
                <w:u w:val="none"/>
                <w14:ligatures w14:val="standardContextual"/>
              </w:rPr>
            </w:pPr>
          </w:p>
        </w:tc>
        <w:tc>
          <w:tcPr>
            <w:tcW w:w="4211" w:type="pct"/>
          </w:tcPr>
          <w:p w14:paraId="61CB7FEA">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rPr>
            </w:pPr>
            <w:r>
              <w:rPr>
                <w:rFonts w:hint="eastAsia" w:ascii="仿宋" w:hAnsi="仿宋" w:eastAsia="仿宋" w:cs="仿宋"/>
                <w:b w:val="0"/>
                <w:bCs/>
                <w:color w:val="auto"/>
                <w:kern w:val="2"/>
                <w:sz w:val="24"/>
                <w:szCs w:val="24"/>
                <w:highlight w:val="none"/>
                <w:u w:val="none"/>
                <w:lang w:val="en-US" w:eastAsia="zh-CN" w:bidi="ar-SA"/>
                <w14:ligatures w14:val="standardContextual"/>
              </w:rPr>
              <w:t>1.10</w:t>
            </w:r>
            <w:r>
              <w:rPr>
                <w:rFonts w:hint="eastAsia" w:ascii="仿宋" w:hAnsi="仿宋" w:eastAsia="仿宋" w:cs="仿宋"/>
                <w:color w:val="auto"/>
                <w:sz w:val="24"/>
                <w:highlight w:val="none"/>
                <w:u w:val="none"/>
              </w:rPr>
              <w:t>对于多院区/多医疗机构，影像存储支持影像中心统一存储、各医疗机构单独存储本医疗机构影像两种方式。两种方式均可实现影像数据的统一共享；</w:t>
            </w:r>
          </w:p>
        </w:tc>
      </w:tr>
      <w:tr w14:paraId="41FBA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7E324076">
            <w:pPr>
              <w:keepNext w:val="0"/>
              <w:keepLines w:val="0"/>
              <w:pageBreakBefore w:val="0"/>
              <w:widowControl w:val="0"/>
              <w:numPr>
                <w:ilvl w:val="0"/>
                <w:numId w:val="14"/>
              </w:numPr>
              <w:kinsoku/>
              <w:wordWrap/>
              <w:overflowPunct/>
              <w:topLinePunct w:val="0"/>
              <w:autoSpaceDE/>
              <w:autoSpaceDN/>
              <w:bidi w:val="0"/>
              <w:adjustRightInd/>
              <w:snapToGrid/>
              <w:spacing w:line="400" w:lineRule="exact"/>
              <w:ind w:left="0" w:firstLine="0"/>
              <w:jc w:val="center"/>
              <w:textAlignment w:val="auto"/>
              <w:rPr>
                <w:rFonts w:hint="eastAsia" w:ascii="仿宋" w:hAnsi="仿宋" w:eastAsia="仿宋" w:cs="仿宋"/>
                <w:color w:val="auto"/>
                <w:sz w:val="24"/>
                <w:highlight w:val="none"/>
                <w:u w:val="none"/>
                <w14:ligatures w14:val="standardContextual"/>
              </w:rPr>
            </w:pPr>
          </w:p>
        </w:tc>
        <w:tc>
          <w:tcPr>
            <w:tcW w:w="4211" w:type="pct"/>
          </w:tcPr>
          <w:p w14:paraId="5683D083">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rPr>
            </w:pPr>
            <w:r>
              <w:rPr>
                <w:rFonts w:hint="eastAsia" w:ascii="仿宋" w:hAnsi="仿宋" w:eastAsia="仿宋" w:cs="仿宋"/>
                <w:b w:val="0"/>
                <w:bCs/>
                <w:color w:val="auto"/>
                <w:kern w:val="2"/>
                <w:sz w:val="24"/>
                <w:szCs w:val="24"/>
                <w:highlight w:val="none"/>
                <w:u w:val="none"/>
                <w:lang w:val="en-US" w:eastAsia="zh-CN" w:bidi="ar-SA"/>
                <w14:ligatures w14:val="standardContextual"/>
              </w:rPr>
              <w:t>1.11</w:t>
            </w:r>
            <w:r>
              <w:rPr>
                <w:rFonts w:hint="eastAsia" w:ascii="仿宋" w:hAnsi="仿宋" w:eastAsia="仿宋" w:cs="仿宋"/>
                <w:color w:val="auto"/>
                <w:sz w:val="24"/>
                <w:highlight w:val="none"/>
                <w:u w:val="none"/>
              </w:rPr>
              <w:t>支持对不同种类影像数据分别设定不同的压缩条件包括：不压缩、压缩，支持JPEG2000无损图像压缩技术DICOM3.0无损数据压缩算法；</w:t>
            </w:r>
          </w:p>
        </w:tc>
      </w:tr>
      <w:tr w14:paraId="42C58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259EAE31">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0" w:firstLine="0"/>
              <w:jc w:val="center"/>
              <w:textAlignment w:val="auto"/>
              <w:rPr>
                <w:rFonts w:hint="eastAsia" w:ascii="仿宋" w:hAnsi="仿宋" w:eastAsia="仿宋" w:cs="仿宋"/>
                <w:color w:val="auto"/>
                <w:sz w:val="24"/>
                <w:highlight w:val="none"/>
                <w:u w:val="none"/>
                <w14:ligatures w14:val="standardContextual"/>
              </w:rPr>
            </w:pPr>
          </w:p>
        </w:tc>
        <w:tc>
          <w:tcPr>
            <w:tcW w:w="4211" w:type="pct"/>
          </w:tcPr>
          <w:p w14:paraId="2D038E7D">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w:t>
            </w:r>
            <w:r>
              <w:rPr>
                <w:rFonts w:hint="eastAsia" w:ascii="仿宋" w:hAnsi="仿宋" w:eastAsia="仿宋" w:cs="仿宋"/>
                <w:b w:val="0"/>
                <w:bCs/>
                <w:color w:val="auto"/>
                <w:kern w:val="2"/>
                <w:sz w:val="24"/>
                <w:szCs w:val="24"/>
                <w:highlight w:val="none"/>
                <w:u w:val="none"/>
                <w:lang w:val="en-US" w:eastAsia="zh-CN" w:bidi="ar-SA"/>
                <w14:ligatures w14:val="standardContextual"/>
              </w:rPr>
              <w:t>1.12</w:t>
            </w:r>
            <w:r>
              <w:rPr>
                <w:rFonts w:hint="eastAsia" w:ascii="仿宋" w:hAnsi="仿宋" w:eastAsia="仿宋" w:cs="仿宋"/>
                <w:color w:val="auto"/>
                <w:sz w:val="24"/>
                <w:highlight w:val="none"/>
                <w:u w:val="none"/>
              </w:rPr>
              <w:t>支持自动检索符合条件的影像科室检查信息，并负责上传到临床浏览系统；</w:t>
            </w:r>
          </w:p>
        </w:tc>
      </w:tr>
      <w:tr w14:paraId="7CD0E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2A4208D9">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0" w:firstLine="0"/>
              <w:jc w:val="center"/>
              <w:textAlignment w:val="auto"/>
              <w:rPr>
                <w:rFonts w:hint="eastAsia" w:ascii="仿宋" w:hAnsi="仿宋" w:eastAsia="仿宋" w:cs="仿宋"/>
                <w:color w:val="auto"/>
                <w:sz w:val="24"/>
                <w:highlight w:val="none"/>
                <w:u w:val="none"/>
                <w14:ligatures w14:val="standardContextual"/>
              </w:rPr>
            </w:pPr>
          </w:p>
        </w:tc>
        <w:tc>
          <w:tcPr>
            <w:tcW w:w="4211" w:type="pct"/>
          </w:tcPr>
          <w:p w14:paraId="2D693E3B">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rPr>
            </w:pPr>
            <w:r>
              <w:rPr>
                <w:rFonts w:hint="eastAsia" w:ascii="仿宋" w:hAnsi="仿宋" w:eastAsia="仿宋" w:cs="仿宋"/>
                <w:b w:val="0"/>
                <w:bCs/>
                <w:color w:val="auto"/>
                <w:kern w:val="2"/>
                <w:sz w:val="24"/>
                <w:szCs w:val="24"/>
                <w:highlight w:val="none"/>
                <w:u w:val="none"/>
                <w:lang w:val="en-US" w:eastAsia="zh-CN" w:bidi="ar-SA"/>
                <w14:ligatures w14:val="standardContextual"/>
              </w:rPr>
              <w:t>1.13</w:t>
            </w:r>
            <w:r>
              <w:rPr>
                <w:rFonts w:hint="eastAsia" w:ascii="仿宋" w:hAnsi="仿宋" w:eastAsia="仿宋" w:cs="仿宋"/>
                <w:color w:val="auto"/>
                <w:sz w:val="24"/>
                <w:highlight w:val="none"/>
                <w:u w:val="none"/>
              </w:rPr>
              <w:t>支持基于Web的超声影像报告临床集中展示及调阅，报告及图像展示样式与检查科室一致，并可与医生工作站集成；</w:t>
            </w:r>
          </w:p>
        </w:tc>
      </w:tr>
      <w:tr w14:paraId="51870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5E744472">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0" w:firstLine="0"/>
              <w:jc w:val="center"/>
              <w:textAlignment w:val="auto"/>
              <w:rPr>
                <w:rFonts w:hint="eastAsia" w:ascii="仿宋" w:hAnsi="仿宋" w:eastAsia="仿宋" w:cs="仿宋"/>
                <w:color w:val="auto"/>
                <w:sz w:val="24"/>
                <w:highlight w:val="none"/>
                <w:u w:val="none"/>
                <w14:ligatures w14:val="standardContextual"/>
              </w:rPr>
            </w:pPr>
          </w:p>
        </w:tc>
        <w:tc>
          <w:tcPr>
            <w:tcW w:w="4211" w:type="pct"/>
          </w:tcPr>
          <w:p w14:paraId="2C8522A5">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rPr>
            </w:pPr>
            <w:r>
              <w:rPr>
                <w:rFonts w:hint="eastAsia" w:ascii="仿宋" w:hAnsi="仿宋" w:eastAsia="仿宋" w:cs="仿宋"/>
                <w:b w:val="0"/>
                <w:bCs/>
                <w:color w:val="auto"/>
                <w:kern w:val="2"/>
                <w:sz w:val="24"/>
                <w:szCs w:val="24"/>
                <w:highlight w:val="none"/>
                <w:u w:val="none"/>
                <w:lang w:val="en-US" w:eastAsia="zh-CN" w:bidi="ar-SA"/>
                <w14:ligatures w14:val="standardContextual"/>
              </w:rPr>
              <w:t>1.14</w:t>
            </w:r>
            <w:r>
              <w:rPr>
                <w:rFonts w:hint="eastAsia" w:ascii="仿宋" w:hAnsi="仿宋" w:eastAsia="仿宋" w:cs="仿宋"/>
                <w:color w:val="auto"/>
                <w:sz w:val="24"/>
                <w:highlight w:val="none"/>
                <w:u w:val="none"/>
              </w:rPr>
              <w:t>根据患者基本信息以及就诊信息匹配患者的多次检查报告，方便临床医生查看历次检查报告；</w:t>
            </w:r>
          </w:p>
        </w:tc>
      </w:tr>
      <w:tr w14:paraId="34782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3C8A6460">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0" w:firstLine="0"/>
              <w:jc w:val="center"/>
              <w:textAlignment w:val="auto"/>
              <w:rPr>
                <w:rFonts w:hint="eastAsia" w:ascii="仿宋" w:hAnsi="仿宋" w:eastAsia="仿宋" w:cs="仿宋"/>
                <w:color w:val="auto"/>
                <w:sz w:val="24"/>
                <w:highlight w:val="none"/>
                <w:u w:val="none"/>
                <w14:ligatures w14:val="standardContextual"/>
              </w:rPr>
            </w:pPr>
          </w:p>
        </w:tc>
        <w:tc>
          <w:tcPr>
            <w:tcW w:w="4211" w:type="pct"/>
          </w:tcPr>
          <w:p w14:paraId="4BD1EEC2">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rPr>
            </w:pPr>
            <w:r>
              <w:rPr>
                <w:rFonts w:hint="eastAsia" w:ascii="仿宋" w:hAnsi="仿宋" w:eastAsia="仿宋" w:cs="仿宋"/>
                <w:b w:val="0"/>
                <w:bCs/>
                <w:color w:val="auto"/>
                <w:kern w:val="2"/>
                <w:sz w:val="24"/>
                <w:szCs w:val="24"/>
                <w:highlight w:val="none"/>
                <w:u w:val="none"/>
                <w:lang w:val="en-US" w:eastAsia="zh-CN" w:bidi="ar-SA"/>
                <w14:ligatures w14:val="standardContextual"/>
              </w:rPr>
              <w:t>1.15</w:t>
            </w:r>
            <w:r>
              <w:rPr>
                <w:rFonts w:hint="eastAsia" w:ascii="仿宋" w:hAnsi="仿宋" w:eastAsia="仿宋" w:cs="仿宋"/>
                <w:color w:val="auto"/>
                <w:sz w:val="24"/>
                <w:highlight w:val="none"/>
                <w:u w:val="none"/>
              </w:rPr>
              <w:t>支持对临床医生的危急值展示；</w:t>
            </w:r>
          </w:p>
        </w:tc>
      </w:tr>
      <w:tr w14:paraId="345BB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3D1F5471">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0" w:firstLine="0"/>
              <w:jc w:val="center"/>
              <w:textAlignment w:val="auto"/>
              <w:rPr>
                <w:rFonts w:hint="eastAsia" w:ascii="仿宋" w:hAnsi="仿宋" w:eastAsia="仿宋" w:cs="仿宋"/>
                <w:color w:val="auto"/>
                <w:sz w:val="24"/>
                <w:highlight w:val="none"/>
                <w:u w:val="none"/>
                <w14:ligatures w14:val="standardContextual"/>
              </w:rPr>
            </w:pPr>
          </w:p>
        </w:tc>
        <w:tc>
          <w:tcPr>
            <w:tcW w:w="4211" w:type="pct"/>
          </w:tcPr>
          <w:p w14:paraId="54D11FAF">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rPr>
            </w:pPr>
            <w:bookmarkStart w:id="40" w:name="_Hlk176878883"/>
            <w:r>
              <w:rPr>
                <w:rFonts w:hint="eastAsia" w:ascii="仿宋" w:hAnsi="仿宋" w:eastAsia="仿宋" w:cs="仿宋"/>
                <w:b w:val="0"/>
                <w:bCs/>
                <w:color w:val="auto"/>
                <w:kern w:val="2"/>
                <w:sz w:val="24"/>
                <w:szCs w:val="24"/>
                <w:highlight w:val="none"/>
                <w:u w:val="none"/>
                <w:lang w:val="en-US" w:eastAsia="zh-CN" w:bidi="ar-SA"/>
                <w14:ligatures w14:val="standardContextual"/>
              </w:rPr>
              <w:t>1.16</w:t>
            </w:r>
            <w:r>
              <w:rPr>
                <w:rFonts w:hint="eastAsia" w:ascii="仿宋" w:hAnsi="仿宋" w:eastAsia="仿宋" w:cs="仿宋"/>
                <w:color w:val="auto"/>
                <w:sz w:val="24"/>
                <w:highlight w:val="none"/>
                <w:u w:val="none"/>
              </w:rPr>
              <w:t>支持查询条件查询病人的报告，如按姓名、检查类型、申请医生、日期条件进行检索</w:t>
            </w:r>
            <w:bookmarkEnd w:id="40"/>
            <w:r>
              <w:rPr>
                <w:rFonts w:hint="eastAsia" w:ascii="仿宋" w:hAnsi="仿宋" w:eastAsia="仿宋" w:cs="仿宋"/>
                <w:color w:val="auto"/>
                <w:sz w:val="24"/>
                <w:highlight w:val="none"/>
                <w:u w:val="none"/>
              </w:rPr>
              <w:t>；</w:t>
            </w:r>
          </w:p>
        </w:tc>
      </w:tr>
      <w:tr w14:paraId="03DCC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7EDCF996">
            <w:pPr>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0" w:firstLine="0"/>
              <w:jc w:val="center"/>
              <w:textAlignment w:val="auto"/>
              <w:rPr>
                <w:rFonts w:hint="eastAsia" w:ascii="仿宋" w:hAnsi="仿宋" w:eastAsia="仿宋" w:cs="仿宋"/>
                <w:color w:val="auto"/>
                <w:sz w:val="24"/>
                <w:highlight w:val="none"/>
                <w:u w:val="none"/>
                <w14:ligatures w14:val="standardContextual"/>
              </w:rPr>
            </w:pPr>
          </w:p>
        </w:tc>
        <w:tc>
          <w:tcPr>
            <w:tcW w:w="4211" w:type="pct"/>
          </w:tcPr>
          <w:p w14:paraId="30E23E1A">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rPr>
            </w:pPr>
            <w:r>
              <w:rPr>
                <w:rFonts w:hint="eastAsia" w:ascii="仿宋" w:hAnsi="仿宋" w:eastAsia="仿宋" w:cs="仿宋"/>
                <w:b w:val="0"/>
                <w:bCs/>
                <w:color w:val="auto"/>
                <w:kern w:val="2"/>
                <w:sz w:val="24"/>
                <w:szCs w:val="24"/>
                <w:highlight w:val="none"/>
                <w:u w:val="none"/>
                <w:lang w:val="en-US" w:eastAsia="zh-CN" w:bidi="ar-SA"/>
                <w14:ligatures w14:val="standardContextual"/>
              </w:rPr>
              <w:t>1.17</w:t>
            </w:r>
            <w:r>
              <w:rPr>
                <w:rFonts w:hint="eastAsia" w:ascii="仿宋" w:hAnsi="仿宋" w:eastAsia="仿宋" w:cs="仿宋"/>
                <w:color w:val="auto"/>
                <w:sz w:val="24"/>
                <w:highlight w:val="none"/>
                <w:u w:val="none"/>
              </w:rPr>
              <w:t>支持检查参数测量值、测量单位、范围值展示。</w:t>
            </w:r>
          </w:p>
        </w:tc>
      </w:tr>
      <w:tr w14:paraId="18FED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5EFF465B">
            <w:pPr>
              <w:pStyle w:val="607"/>
              <w:keepNext w:val="0"/>
              <w:keepLines w:val="0"/>
              <w:pageBreakBefore w:val="0"/>
              <w:widowControl w:val="0"/>
              <w:numPr>
                <w:ilvl w:val="0"/>
                <w:numId w:val="16"/>
              </w:numPr>
              <w:kinsoku/>
              <w:wordWrap/>
              <w:overflowPunct/>
              <w:topLinePunct w:val="0"/>
              <w:autoSpaceDE/>
              <w:autoSpaceDN/>
              <w:bidi w:val="0"/>
              <w:adjustRightInd/>
              <w:snapToGrid/>
              <w:spacing w:line="400" w:lineRule="exact"/>
              <w:ind w:left="0" w:firstLine="0"/>
              <w:contextualSpacing w:val="0"/>
              <w:jc w:val="center"/>
              <w:textAlignment w:val="auto"/>
              <w:rPr>
                <w:rFonts w:hint="eastAsia" w:ascii="仿宋" w:hAnsi="仿宋" w:eastAsia="仿宋" w:cs="仿宋"/>
                <w:color w:val="auto"/>
                <w:sz w:val="24"/>
                <w:highlight w:val="none"/>
                <w:u w:val="none"/>
              </w:rPr>
            </w:pPr>
          </w:p>
        </w:tc>
        <w:tc>
          <w:tcPr>
            <w:tcW w:w="4211" w:type="pct"/>
          </w:tcPr>
          <w:p w14:paraId="34B6621F">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w:t>
            </w:r>
            <w:r>
              <w:rPr>
                <w:rFonts w:hint="eastAsia" w:ascii="仿宋" w:hAnsi="仿宋" w:eastAsia="仿宋" w:cs="仿宋"/>
                <w:b w:val="0"/>
                <w:bCs/>
                <w:color w:val="auto"/>
                <w:kern w:val="2"/>
                <w:sz w:val="24"/>
                <w:szCs w:val="24"/>
                <w:highlight w:val="none"/>
                <w:u w:val="none"/>
                <w:lang w:val="en-US" w:eastAsia="zh-CN" w:bidi="ar-SA"/>
                <w14:ligatures w14:val="standardContextual"/>
              </w:rPr>
              <w:t>1.18</w:t>
            </w:r>
            <w:r>
              <w:rPr>
                <w:rFonts w:hint="eastAsia" w:ascii="仿宋" w:hAnsi="仿宋" w:eastAsia="仿宋" w:cs="仿宋"/>
                <w:color w:val="auto"/>
                <w:sz w:val="24"/>
                <w:highlight w:val="none"/>
                <w:u w:val="none"/>
              </w:rPr>
              <w:t>具有超声离线工作站，在断网或者网络状态不良好的情况下，应能使用超声离线工作站，对</w:t>
            </w:r>
            <w:r>
              <w:rPr>
                <w:rFonts w:hint="eastAsia" w:ascii="仿宋" w:hAnsi="仿宋" w:eastAsia="仿宋" w:cs="仿宋"/>
                <w:color w:val="auto"/>
                <w:sz w:val="24"/>
                <w:highlight w:val="none"/>
                <w:u w:val="none"/>
                <w:lang w:eastAsia="zh-CN"/>
              </w:rPr>
              <w:t>患</w:t>
            </w:r>
            <w:r>
              <w:rPr>
                <w:rFonts w:hint="eastAsia" w:ascii="仿宋" w:hAnsi="仿宋" w:eastAsia="仿宋" w:cs="仿宋"/>
                <w:color w:val="auto"/>
                <w:sz w:val="24"/>
                <w:highlight w:val="none"/>
                <w:u w:val="none"/>
              </w:rPr>
              <w:t>者进行简单的报告操作，起到不耽误检查的作用。当网络良好之后，启用超声工作站的在线模式，应能自动将在离线工作站中检查的数据上传到中心服务数据库， 以使数据同步和数据共享，离线管理软件应能将离线状态下的数据手动或自动同步。</w:t>
            </w:r>
          </w:p>
        </w:tc>
      </w:tr>
      <w:tr w14:paraId="4C35C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05E0E81D">
            <w:pPr>
              <w:keepNext w:val="0"/>
              <w:keepLines w:val="0"/>
              <w:pageBreakBefore w:val="0"/>
              <w:widowControl w:val="0"/>
              <w:numPr>
                <w:ilvl w:val="0"/>
                <w:numId w:val="17"/>
              </w:numPr>
              <w:kinsoku/>
              <w:wordWrap/>
              <w:overflowPunct/>
              <w:topLinePunct w:val="0"/>
              <w:autoSpaceDE/>
              <w:autoSpaceDN/>
              <w:bidi w:val="0"/>
              <w:adjustRightInd/>
              <w:snapToGrid/>
              <w:spacing w:line="400" w:lineRule="exact"/>
              <w:ind w:left="0" w:firstLine="0"/>
              <w:jc w:val="center"/>
              <w:textAlignment w:val="auto"/>
              <w:rPr>
                <w:rFonts w:hint="eastAsia" w:ascii="仿宋" w:hAnsi="仿宋" w:eastAsia="仿宋" w:cs="仿宋"/>
                <w:color w:val="auto"/>
                <w:sz w:val="24"/>
                <w:highlight w:val="none"/>
                <w:u w:val="none"/>
                <w14:ligatures w14:val="standardContextual"/>
              </w:rPr>
            </w:pPr>
          </w:p>
        </w:tc>
        <w:tc>
          <w:tcPr>
            <w:tcW w:w="4211" w:type="pct"/>
          </w:tcPr>
          <w:p w14:paraId="146FD940">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rPr>
            </w:pPr>
            <w:r>
              <w:rPr>
                <w:rFonts w:hint="eastAsia" w:ascii="仿宋" w:hAnsi="仿宋" w:eastAsia="仿宋" w:cs="仿宋"/>
                <w:b w:val="0"/>
                <w:bCs/>
                <w:color w:val="auto"/>
                <w:kern w:val="2"/>
                <w:sz w:val="24"/>
                <w:szCs w:val="24"/>
                <w:highlight w:val="none"/>
                <w:u w:val="none"/>
                <w:lang w:val="en-US" w:eastAsia="zh-CN" w:bidi="ar-SA"/>
                <w14:ligatures w14:val="standardContextual"/>
              </w:rPr>
              <w:t>1.19</w:t>
            </w:r>
            <w:r>
              <w:rPr>
                <w:rFonts w:hint="eastAsia" w:ascii="仿宋" w:hAnsi="仿宋" w:eastAsia="仿宋" w:cs="仿宋"/>
                <w:color w:val="auto"/>
                <w:sz w:val="24"/>
                <w:highlight w:val="none"/>
                <w:u w:val="none"/>
              </w:rPr>
              <w:t>提供数据检索功能，可以通过多条件检索预约登记的病人信息；</w:t>
            </w:r>
          </w:p>
        </w:tc>
      </w:tr>
      <w:tr w14:paraId="004DD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49D6873C">
            <w:pPr>
              <w:keepNext w:val="0"/>
              <w:keepLines w:val="0"/>
              <w:pageBreakBefore w:val="0"/>
              <w:widowControl w:val="0"/>
              <w:numPr>
                <w:ilvl w:val="0"/>
                <w:numId w:val="17"/>
              </w:numPr>
              <w:kinsoku/>
              <w:wordWrap/>
              <w:overflowPunct/>
              <w:topLinePunct w:val="0"/>
              <w:autoSpaceDE/>
              <w:autoSpaceDN/>
              <w:bidi w:val="0"/>
              <w:adjustRightInd/>
              <w:snapToGrid/>
              <w:spacing w:line="400" w:lineRule="exact"/>
              <w:ind w:left="0" w:firstLine="0"/>
              <w:jc w:val="center"/>
              <w:textAlignment w:val="auto"/>
              <w:rPr>
                <w:rFonts w:hint="eastAsia" w:ascii="仿宋" w:hAnsi="仿宋" w:eastAsia="仿宋" w:cs="仿宋"/>
                <w:color w:val="auto"/>
                <w:sz w:val="24"/>
                <w:highlight w:val="none"/>
                <w:u w:val="none"/>
                <w14:ligatures w14:val="standardContextual"/>
              </w:rPr>
            </w:pPr>
          </w:p>
        </w:tc>
        <w:tc>
          <w:tcPr>
            <w:tcW w:w="4211" w:type="pct"/>
          </w:tcPr>
          <w:p w14:paraId="55C3A913">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rPr>
            </w:pPr>
            <w:r>
              <w:rPr>
                <w:rFonts w:hint="eastAsia" w:ascii="仿宋" w:hAnsi="仿宋" w:eastAsia="仿宋" w:cs="仿宋"/>
                <w:b w:val="0"/>
                <w:bCs/>
                <w:color w:val="auto"/>
                <w:kern w:val="2"/>
                <w:sz w:val="24"/>
                <w:szCs w:val="24"/>
                <w:highlight w:val="none"/>
                <w:u w:val="none"/>
                <w:lang w:val="en-US" w:eastAsia="zh-CN" w:bidi="ar-SA"/>
                <w14:ligatures w14:val="standardContextual"/>
              </w:rPr>
              <w:t>1.20</w:t>
            </w:r>
            <w:r>
              <w:rPr>
                <w:rFonts w:hint="eastAsia" w:ascii="仿宋" w:hAnsi="仿宋" w:eastAsia="仿宋" w:cs="仿宋"/>
                <w:color w:val="auto"/>
                <w:sz w:val="24"/>
                <w:highlight w:val="none"/>
                <w:u w:val="none"/>
              </w:rPr>
              <w:t>对于不同申请类型的病人使用不同的颜色区分显示，如急诊以红色显示；</w:t>
            </w:r>
          </w:p>
        </w:tc>
      </w:tr>
      <w:tr w14:paraId="4FB09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1A2EC8B9">
            <w:pPr>
              <w:keepNext w:val="0"/>
              <w:keepLines w:val="0"/>
              <w:pageBreakBefore w:val="0"/>
              <w:widowControl w:val="0"/>
              <w:numPr>
                <w:ilvl w:val="0"/>
                <w:numId w:val="17"/>
              </w:numPr>
              <w:kinsoku/>
              <w:wordWrap/>
              <w:overflowPunct/>
              <w:topLinePunct w:val="0"/>
              <w:autoSpaceDE/>
              <w:autoSpaceDN/>
              <w:bidi w:val="0"/>
              <w:adjustRightInd/>
              <w:snapToGrid/>
              <w:spacing w:line="400" w:lineRule="exact"/>
              <w:ind w:left="0" w:firstLine="0"/>
              <w:jc w:val="center"/>
              <w:textAlignment w:val="auto"/>
              <w:rPr>
                <w:rFonts w:hint="eastAsia" w:ascii="仿宋" w:hAnsi="仿宋" w:eastAsia="仿宋" w:cs="仿宋"/>
                <w:color w:val="auto"/>
                <w:sz w:val="24"/>
                <w:highlight w:val="none"/>
                <w:u w:val="none"/>
                <w14:ligatures w14:val="standardContextual"/>
              </w:rPr>
            </w:pPr>
          </w:p>
        </w:tc>
        <w:tc>
          <w:tcPr>
            <w:tcW w:w="4211" w:type="pct"/>
          </w:tcPr>
          <w:p w14:paraId="444EF7CA">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rPr>
            </w:pPr>
            <w:r>
              <w:rPr>
                <w:rFonts w:hint="eastAsia" w:ascii="仿宋" w:hAnsi="仿宋" w:eastAsia="仿宋" w:cs="仿宋"/>
                <w:b w:val="0"/>
                <w:bCs/>
                <w:color w:val="auto"/>
                <w:kern w:val="2"/>
                <w:sz w:val="24"/>
                <w:szCs w:val="24"/>
                <w:highlight w:val="none"/>
                <w:u w:val="none"/>
                <w:lang w:val="en-US" w:eastAsia="zh-CN" w:bidi="ar-SA"/>
                <w14:ligatures w14:val="standardContextual"/>
              </w:rPr>
              <w:t>1.21</w:t>
            </w:r>
            <w:r>
              <w:rPr>
                <w:rFonts w:hint="eastAsia" w:ascii="仿宋" w:hAnsi="仿宋" w:eastAsia="仿宋" w:cs="仿宋"/>
                <w:color w:val="auto"/>
                <w:sz w:val="24"/>
                <w:highlight w:val="none"/>
                <w:u w:val="none"/>
              </w:rPr>
              <w:t>支持根据不同检查类型设置不同的检查队列；</w:t>
            </w:r>
          </w:p>
        </w:tc>
      </w:tr>
      <w:tr w14:paraId="4476C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2C5C3184">
            <w:pPr>
              <w:keepNext w:val="0"/>
              <w:keepLines w:val="0"/>
              <w:pageBreakBefore w:val="0"/>
              <w:widowControl w:val="0"/>
              <w:numPr>
                <w:ilvl w:val="0"/>
                <w:numId w:val="18"/>
              </w:numPr>
              <w:kinsoku/>
              <w:wordWrap/>
              <w:overflowPunct/>
              <w:topLinePunct w:val="0"/>
              <w:autoSpaceDE/>
              <w:autoSpaceDN/>
              <w:bidi w:val="0"/>
              <w:adjustRightInd/>
              <w:snapToGrid/>
              <w:spacing w:line="400" w:lineRule="exact"/>
              <w:ind w:left="0" w:firstLine="0"/>
              <w:jc w:val="center"/>
              <w:textAlignment w:val="auto"/>
              <w:rPr>
                <w:rFonts w:hint="eastAsia" w:ascii="仿宋" w:hAnsi="仿宋" w:eastAsia="仿宋" w:cs="仿宋"/>
                <w:color w:val="auto"/>
                <w:sz w:val="24"/>
                <w:highlight w:val="none"/>
                <w:u w:val="none"/>
                <w14:ligatures w14:val="standardContextual"/>
              </w:rPr>
            </w:pPr>
          </w:p>
        </w:tc>
        <w:tc>
          <w:tcPr>
            <w:tcW w:w="4211" w:type="pct"/>
          </w:tcPr>
          <w:p w14:paraId="5E72E2C4">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rPr>
            </w:pPr>
            <w:r>
              <w:rPr>
                <w:rFonts w:hint="eastAsia" w:ascii="仿宋" w:hAnsi="仿宋" w:eastAsia="仿宋" w:cs="仿宋"/>
                <w:b w:val="0"/>
                <w:bCs/>
                <w:color w:val="auto"/>
                <w:kern w:val="2"/>
                <w:sz w:val="24"/>
                <w:szCs w:val="24"/>
                <w:highlight w:val="none"/>
                <w:u w:val="none"/>
                <w:lang w:val="en-US" w:eastAsia="zh-CN" w:bidi="ar-SA"/>
                <w14:ligatures w14:val="standardContextual"/>
              </w:rPr>
              <w:t>1.22</w:t>
            </w:r>
            <w:r>
              <w:rPr>
                <w:rFonts w:hint="eastAsia" w:ascii="仿宋" w:hAnsi="仿宋" w:eastAsia="仿宋" w:cs="仿宋"/>
                <w:color w:val="auto"/>
                <w:sz w:val="24"/>
                <w:highlight w:val="none"/>
                <w:u w:val="none"/>
              </w:rPr>
              <w:t>支持显示患者类型信息如急诊、预约等，按照优先级叫号；支持重复呼叫；</w:t>
            </w:r>
          </w:p>
        </w:tc>
      </w:tr>
      <w:tr w14:paraId="3D316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44641D33">
            <w:pPr>
              <w:keepNext w:val="0"/>
              <w:keepLines w:val="0"/>
              <w:pageBreakBefore w:val="0"/>
              <w:widowControl w:val="0"/>
              <w:numPr>
                <w:ilvl w:val="0"/>
                <w:numId w:val="18"/>
              </w:numPr>
              <w:kinsoku/>
              <w:wordWrap/>
              <w:overflowPunct/>
              <w:topLinePunct w:val="0"/>
              <w:autoSpaceDE/>
              <w:autoSpaceDN/>
              <w:bidi w:val="0"/>
              <w:adjustRightInd/>
              <w:snapToGrid/>
              <w:spacing w:line="400" w:lineRule="exact"/>
              <w:ind w:left="0" w:firstLine="0"/>
              <w:jc w:val="center"/>
              <w:textAlignment w:val="auto"/>
              <w:rPr>
                <w:rFonts w:hint="eastAsia" w:ascii="仿宋" w:hAnsi="仿宋" w:eastAsia="仿宋" w:cs="仿宋"/>
                <w:color w:val="auto"/>
                <w:sz w:val="24"/>
                <w:highlight w:val="none"/>
                <w:u w:val="none"/>
                <w14:ligatures w14:val="standardContextual"/>
              </w:rPr>
            </w:pPr>
          </w:p>
        </w:tc>
        <w:tc>
          <w:tcPr>
            <w:tcW w:w="4211" w:type="pct"/>
          </w:tcPr>
          <w:p w14:paraId="46B97F2B">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rPr>
            </w:pPr>
            <w:r>
              <w:rPr>
                <w:rFonts w:hint="eastAsia" w:ascii="仿宋" w:hAnsi="仿宋" w:eastAsia="仿宋" w:cs="仿宋"/>
                <w:b w:val="0"/>
                <w:bCs/>
                <w:color w:val="auto"/>
                <w:kern w:val="2"/>
                <w:sz w:val="24"/>
                <w:szCs w:val="24"/>
                <w:highlight w:val="none"/>
                <w:u w:val="none"/>
                <w:lang w:val="en-US" w:eastAsia="zh-CN" w:bidi="ar-SA"/>
                <w14:ligatures w14:val="standardContextual"/>
              </w:rPr>
              <w:t>1.23</w:t>
            </w:r>
            <w:r>
              <w:rPr>
                <w:rFonts w:hint="eastAsia" w:ascii="仿宋" w:hAnsi="仿宋" w:eastAsia="仿宋" w:cs="仿宋"/>
                <w:color w:val="auto"/>
                <w:sz w:val="24"/>
                <w:highlight w:val="none"/>
                <w:u w:val="none"/>
              </w:rPr>
              <w:t>支持叫号屏图像化配置，自定义叫号屏背景，字体等内容。</w:t>
            </w:r>
          </w:p>
        </w:tc>
      </w:tr>
      <w:tr w14:paraId="4BE3B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06CD683E">
            <w:pPr>
              <w:keepNext w:val="0"/>
              <w:keepLines w:val="0"/>
              <w:pageBreakBefore w:val="0"/>
              <w:widowControl w:val="0"/>
              <w:numPr>
                <w:ilvl w:val="0"/>
                <w:numId w:val="19"/>
              </w:numPr>
              <w:kinsoku/>
              <w:wordWrap/>
              <w:overflowPunct/>
              <w:topLinePunct w:val="0"/>
              <w:autoSpaceDE/>
              <w:autoSpaceDN/>
              <w:bidi w:val="0"/>
              <w:adjustRightInd/>
              <w:snapToGrid/>
              <w:spacing w:line="400" w:lineRule="exact"/>
              <w:ind w:left="0" w:firstLine="0"/>
              <w:jc w:val="center"/>
              <w:textAlignment w:val="auto"/>
              <w:rPr>
                <w:rFonts w:hint="eastAsia" w:ascii="仿宋" w:hAnsi="仿宋" w:eastAsia="仿宋" w:cs="仿宋"/>
                <w:color w:val="auto"/>
                <w:sz w:val="24"/>
                <w:highlight w:val="none"/>
                <w:u w:val="none"/>
                <w14:ligatures w14:val="standardContextual"/>
              </w:rPr>
            </w:pPr>
          </w:p>
        </w:tc>
        <w:tc>
          <w:tcPr>
            <w:tcW w:w="4211" w:type="pct"/>
          </w:tcPr>
          <w:p w14:paraId="303675CA">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rPr>
            </w:pPr>
            <w:r>
              <w:rPr>
                <w:rFonts w:hint="eastAsia" w:ascii="仿宋" w:hAnsi="仿宋" w:eastAsia="仿宋" w:cs="仿宋"/>
                <w:b w:val="0"/>
                <w:bCs/>
                <w:color w:val="auto"/>
                <w:kern w:val="2"/>
                <w:sz w:val="24"/>
                <w:szCs w:val="24"/>
                <w:highlight w:val="none"/>
                <w:u w:val="none"/>
                <w:lang w:val="en-US" w:eastAsia="zh-CN" w:bidi="ar-SA"/>
                <w14:ligatures w14:val="standardContextual"/>
              </w:rPr>
              <w:t>1.24</w:t>
            </w:r>
            <w:r>
              <w:rPr>
                <w:rFonts w:hint="eastAsia" w:ascii="仿宋" w:hAnsi="仿宋" w:eastAsia="仿宋" w:cs="仿宋"/>
                <w:color w:val="auto"/>
                <w:sz w:val="24"/>
                <w:highlight w:val="none"/>
                <w:u w:val="none"/>
              </w:rPr>
              <w:t>可以按照检查类型和检查部位来管理检查资源，全方位满足科室的资源管理需求；</w:t>
            </w:r>
          </w:p>
        </w:tc>
      </w:tr>
      <w:tr w14:paraId="4F537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724A9809">
            <w:pPr>
              <w:keepNext w:val="0"/>
              <w:keepLines w:val="0"/>
              <w:pageBreakBefore w:val="0"/>
              <w:widowControl w:val="0"/>
              <w:numPr>
                <w:ilvl w:val="0"/>
                <w:numId w:val="19"/>
              </w:numPr>
              <w:kinsoku/>
              <w:wordWrap/>
              <w:overflowPunct/>
              <w:topLinePunct w:val="0"/>
              <w:autoSpaceDE/>
              <w:autoSpaceDN/>
              <w:bidi w:val="0"/>
              <w:adjustRightInd/>
              <w:snapToGrid/>
              <w:spacing w:line="400" w:lineRule="exact"/>
              <w:ind w:left="0" w:firstLine="0"/>
              <w:jc w:val="center"/>
              <w:textAlignment w:val="auto"/>
              <w:rPr>
                <w:rFonts w:hint="eastAsia" w:ascii="仿宋" w:hAnsi="仿宋" w:eastAsia="仿宋" w:cs="仿宋"/>
                <w:color w:val="auto"/>
                <w:sz w:val="24"/>
                <w:highlight w:val="none"/>
                <w:u w:val="none"/>
                <w14:ligatures w14:val="standardContextual"/>
              </w:rPr>
            </w:pPr>
          </w:p>
        </w:tc>
        <w:tc>
          <w:tcPr>
            <w:tcW w:w="4211" w:type="pct"/>
          </w:tcPr>
          <w:p w14:paraId="702069D8">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rPr>
            </w:pPr>
            <w:r>
              <w:rPr>
                <w:rFonts w:hint="eastAsia" w:ascii="仿宋" w:hAnsi="仿宋" w:eastAsia="仿宋" w:cs="仿宋"/>
                <w:b w:val="0"/>
                <w:bCs/>
                <w:color w:val="auto"/>
                <w:kern w:val="2"/>
                <w:sz w:val="24"/>
                <w:szCs w:val="24"/>
                <w:highlight w:val="none"/>
                <w:u w:val="none"/>
                <w:lang w:val="en-US" w:eastAsia="zh-CN" w:bidi="ar-SA"/>
                <w14:ligatures w14:val="standardContextual"/>
              </w:rPr>
              <w:t>1.25</w:t>
            </w:r>
            <w:r>
              <w:rPr>
                <w:rFonts w:hint="eastAsia" w:ascii="仿宋" w:hAnsi="仿宋" w:eastAsia="仿宋" w:cs="仿宋"/>
                <w:color w:val="auto"/>
                <w:sz w:val="24"/>
                <w:highlight w:val="none"/>
                <w:u w:val="none"/>
              </w:rPr>
              <w:t>支持精确查询和模糊查询功能；</w:t>
            </w:r>
          </w:p>
        </w:tc>
      </w:tr>
      <w:tr w14:paraId="34135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5399F22B">
            <w:pPr>
              <w:keepNext w:val="0"/>
              <w:keepLines w:val="0"/>
              <w:pageBreakBefore w:val="0"/>
              <w:widowControl w:val="0"/>
              <w:numPr>
                <w:ilvl w:val="0"/>
                <w:numId w:val="19"/>
              </w:numPr>
              <w:kinsoku/>
              <w:wordWrap/>
              <w:overflowPunct/>
              <w:topLinePunct w:val="0"/>
              <w:autoSpaceDE/>
              <w:autoSpaceDN/>
              <w:bidi w:val="0"/>
              <w:adjustRightInd/>
              <w:snapToGrid/>
              <w:spacing w:line="400" w:lineRule="exact"/>
              <w:ind w:left="0" w:firstLine="0"/>
              <w:jc w:val="center"/>
              <w:textAlignment w:val="auto"/>
              <w:rPr>
                <w:rFonts w:hint="eastAsia" w:ascii="仿宋" w:hAnsi="仿宋" w:eastAsia="仿宋" w:cs="仿宋"/>
                <w:color w:val="auto"/>
                <w:sz w:val="24"/>
                <w:highlight w:val="none"/>
                <w:u w:val="none"/>
                <w14:ligatures w14:val="standardContextual"/>
              </w:rPr>
            </w:pPr>
          </w:p>
        </w:tc>
        <w:tc>
          <w:tcPr>
            <w:tcW w:w="4211" w:type="pct"/>
          </w:tcPr>
          <w:p w14:paraId="5C24423B">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rPr>
            </w:pPr>
            <w:r>
              <w:rPr>
                <w:rFonts w:hint="eastAsia" w:ascii="仿宋" w:hAnsi="仿宋" w:eastAsia="仿宋" w:cs="仿宋"/>
                <w:b w:val="0"/>
                <w:bCs/>
                <w:color w:val="auto"/>
                <w:kern w:val="2"/>
                <w:sz w:val="24"/>
                <w:szCs w:val="24"/>
                <w:highlight w:val="none"/>
                <w:u w:val="none"/>
                <w:lang w:val="en-US" w:eastAsia="zh-CN" w:bidi="ar-SA"/>
                <w14:ligatures w14:val="standardContextual"/>
              </w:rPr>
              <w:t>1.26</w:t>
            </w:r>
            <w:r>
              <w:rPr>
                <w:rFonts w:hint="eastAsia" w:ascii="仿宋" w:hAnsi="仿宋" w:eastAsia="仿宋" w:cs="仿宋"/>
                <w:color w:val="auto"/>
                <w:sz w:val="24"/>
                <w:highlight w:val="none"/>
                <w:u w:val="none"/>
              </w:rPr>
              <w:t>支持快速检索、高级检索多种方式，根据患者信息、检查状态、检查医生、检查设备、检查日期、检查类型等条件检索患者检查信息，多种检查条件可自由组合，检索结果可导出Excel；</w:t>
            </w:r>
          </w:p>
        </w:tc>
      </w:tr>
      <w:tr w14:paraId="68ABC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69BB368F">
            <w:pPr>
              <w:keepNext w:val="0"/>
              <w:keepLines w:val="0"/>
              <w:pageBreakBefore w:val="0"/>
              <w:widowControl w:val="0"/>
              <w:numPr>
                <w:ilvl w:val="0"/>
                <w:numId w:val="19"/>
              </w:numPr>
              <w:kinsoku/>
              <w:wordWrap/>
              <w:overflowPunct/>
              <w:topLinePunct w:val="0"/>
              <w:autoSpaceDE/>
              <w:autoSpaceDN/>
              <w:bidi w:val="0"/>
              <w:adjustRightInd/>
              <w:snapToGrid/>
              <w:spacing w:line="400" w:lineRule="exact"/>
              <w:ind w:left="0" w:firstLine="0"/>
              <w:jc w:val="center"/>
              <w:textAlignment w:val="auto"/>
              <w:rPr>
                <w:rFonts w:hint="eastAsia" w:ascii="仿宋" w:hAnsi="仿宋" w:eastAsia="仿宋" w:cs="仿宋"/>
                <w:color w:val="auto"/>
                <w:sz w:val="24"/>
                <w:highlight w:val="none"/>
                <w:u w:val="none"/>
                <w14:ligatures w14:val="standardContextual"/>
              </w:rPr>
            </w:pPr>
          </w:p>
        </w:tc>
        <w:tc>
          <w:tcPr>
            <w:tcW w:w="4211" w:type="pct"/>
          </w:tcPr>
          <w:p w14:paraId="6421C0DB">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rPr>
            </w:pPr>
            <w:r>
              <w:rPr>
                <w:rFonts w:hint="eastAsia" w:ascii="仿宋" w:hAnsi="仿宋" w:eastAsia="仿宋" w:cs="仿宋"/>
                <w:b w:val="0"/>
                <w:bCs/>
                <w:color w:val="auto"/>
                <w:kern w:val="2"/>
                <w:sz w:val="24"/>
                <w:szCs w:val="24"/>
                <w:highlight w:val="none"/>
                <w:u w:val="none"/>
                <w:lang w:val="en-US" w:eastAsia="zh-CN" w:bidi="ar-SA"/>
                <w14:ligatures w14:val="standardContextual"/>
              </w:rPr>
              <w:t>1.27</w:t>
            </w:r>
            <w:r>
              <w:rPr>
                <w:rFonts w:hint="eastAsia" w:ascii="仿宋" w:hAnsi="仿宋" w:eastAsia="仿宋" w:cs="仿宋"/>
                <w:color w:val="auto"/>
                <w:sz w:val="24"/>
                <w:highlight w:val="none"/>
                <w:u w:val="none"/>
              </w:rPr>
              <w:t>检索结果数据可根据用户科室权限设置进行分级管理（不同科室的医生只可查看本科室检查数据）；</w:t>
            </w:r>
          </w:p>
        </w:tc>
      </w:tr>
      <w:tr w14:paraId="4D41F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7111B639">
            <w:pPr>
              <w:keepNext w:val="0"/>
              <w:keepLines w:val="0"/>
              <w:pageBreakBefore w:val="0"/>
              <w:widowControl w:val="0"/>
              <w:numPr>
                <w:ilvl w:val="0"/>
                <w:numId w:val="20"/>
              </w:numPr>
              <w:kinsoku/>
              <w:wordWrap/>
              <w:overflowPunct/>
              <w:topLinePunct w:val="0"/>
              <w:autoSpaceDE/>
              <w:autoSpaceDN/>
              <w:bidi w:val="0"/>
              <w:adjustRightInd/>
              <w:snapToGrid/>
              <w:spacing w:line="400" w:lineRule="exact"/>
              <w:ind w:left="0" w:firstLine="0"/>
              <w:jc w:val="center"/>
              <w:textAlignment w:val="auto"/>
              <w:rPr>
                <w:rFonts w:hint="eastAsia" w:ascii="仿宋" w:hAnsi="仿宋" w:eastAsia="仿宋" w:cs="仿宋"/>
                <w:color w:val="auto"/>
                <w:sz w:val="24"/>
                <w:highlight w:val="none"/>
                <w:u w:val="none"/>
                <w14:ligatures w14:val="standardContextual"/>
              </w:rPr>
            </w:pPr>
          </w:p>
        </w:tc>
        <w:tc>
          <w:tcPr>
            <w:tcW w:w="4211" w:type="pct"/>
          </w:tcPr>
          <w:p w14:paraId="6FFC91D9">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rPr>
            </w:pPr>
            <w:r>
              <w:rPr>
                <w:rFonts w:hint="eastAsia" w:ascii="仿宋" w:hAnsi="仿宋" w:eastAsia="仿宋" w:cs="仿宋"/>
                <w:b w:val="0"/>
                <w:bCs/>
                <w:color w:val="auto"/>
                <w:kern w:val="2"/>
                <w:sz w:val="24"/>
                <w:szCs w:val="24"/>
                <w:highlight w:val="none"/>
                <w:u w:val="none"/>
                <w:lang w:val="en-US" w:eastAsia="zh-CN" w:bidi="ar-SA"/>
                <w14:ligatures w14:val="standardContextual"/>
              </w:rPr>
              <w:t>1.28</w:t>
            </w:r>
            <w:r>
              <w:rPr>
                <w:rFonts w:hint="eastAsia" w:ascii="仿宋" w:hAnsi="仿宋" w:eastAsia="仿宋" w:cs="仿宋"/>
                <w:color w:val="auto"/>
                <w:sz w:val="24"/>
                <w:highlight w:val="none"/>
                <w:u w:val="none"/>
              </w:rPr>
              <w:t>支持与符合DICOM3.0标准的超声设备无缝集成，设备图像可一键传入超声工作站；支持DICOM采集传输与编辑报告对不同患者分别操作，互不影响，提高超声检查效率；</w:t>
            </w:r>
          </w:p>
        </w:tc>
      </w:tr>
      <w:tr w14:paraId="3011E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71DADD96">
            <w:pPr>
              <w:keepNext w:val="0"/>
              <w:keepLines w:val="0"/>
              <w:pageBreakBefore w:val="0"/>
              <w:widowControl w:val="0"/>
              <w:numPr>
                <w:ilvl w:val="0"/>
                <w:numId w:val="20"/>
              </w:numPr>
              <w:kinsoku/>
              <w:wordWrap/>
              <w:overflowPunct/>
              <w:topLinePunct w:val="0"/>
              <w:autoSpaceDE/>
              <w:autoSpaceDN/>
              <w:bidi w:val="0"/>
              <w:adjustRightInd/>
              <w:snapToGrid/>
              <w:spacing w:line="400" w:lineRule="exact"/>
              <w:ind w:left="0" w:firstLine="0"/>
              <w:jc w:val="center"/>
              <w:textAlignment w:val="auto"/>
              <w:rPr>
                <w:rFonts w:hint="eastAsia" w:ascii="仿宋" w:hAnsi="仿宋" w:eastAsia="仿宋" w:cs="仿宋"/>
                <w:color w:val="auto"/>
                <w:sz w:val="24"/>
                <w:highlight w:val="none"/>
                <w:u w:val="none"/>
                <w14:ligatures w14:val="standardContextual"/>
              </w:rPr>
            </w:pPr>
          </w:p>
        </w:tc>
        <w:tc>
          <w:tcPr>
            <w:tcW w:w="4211" w:type="pct"/>
          </w:tcPr>
          <w:p w14:paraId="33B6FF39">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rPr>
            </w:pPr>
            <w:r>
              <w:rPr>
                <w:rFonts w:hint="eastAsia" w:ascii="仿宋" w:hAnsi="仿宋" w:eastAsia="仿宋" w:cs="仿宋"/>
                <w:b w:val="0"/>
                <w:bCs/>
                <w:color w:val="auto"/>
                <w:kern w:val="2"/>
                <w:sz w:val="24"/>
                <w:szCs w:val="24"/>
                <w:highlight w:val="none"/>
                <w:u w:val="none"/>
                <w:lang w:val="en-US" w:eastAsia="zh-CN" w:bidi="ar-SA"/>
                <w14:ligatures w14:val="standardContextual"/>
              </w:rPr>
              <w:t>1.29</w:t>
            </w:r>
            <w:r>
              <w:rPr>
                <w:rFonts w:hint="eastAsia" w:ascii="仿宋" w:hAnsi="仿宋" w:eastAsia="仿宋" w:cs="仿宋"/>
                <w:color w:val="auto"/>
                <w:sz w:val="24"/>
                <w:highlight w:val="none"/>
                <w:u w:val="none"/>
              </w:rPr>
              <w:t xml:space="preserve">支持静态图像采集及动态图像采集；动态图像采集可预设采集时间或灵活控制采集时间； </w:t>
            </w:r>
          </w:p>
        </w:tc>
      </w:tr>
      <w:tr w14:paraId="3DA39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78B08F98">
            <w:pPr>
              <w:keepNext w:val="0"/>
              <w:keepLines w:val="0"/>
              <w:pageBreakBefore w:val="0"/>
              <w:widowControl w:val="0"/>
              <w:numPr>
                <w:ilvl w:val="0"/>
                <w:numId w:val="20"/>
              </w:numPr>
              <w:kinsoku/>
              <w:wordWrap/>
              <w:overflowPunct/>
              <w:topLinePunct w:val="0"/>
              <w:autoSpaceDE/>
              <w:autoSpaceDN/>
              <w:bidi w:val="0"/>
              <w:adjustRightInd/>
              <w:snapToGrid/>
              <w:spacing w:line="400" w:lineRule="exact"/>
              <w:ind w:left="0" w:firstLine="0"/>
              <w:jc w:val="center"/>
              <w:textAlignment w:val="auto"/>
              <w:rPr>
                <w:rFonts w:hint="eastAsia" w:ascii="仿宋" w:hAnsi="仿宋" w:eastAsia="仿宋" w:cs="仿宋"/>
                <w:color w:val="auto"/>
                <w:sz w:val="24"/>
                <w:highlight w:val="none"/>
                <w:u w:val="none"/>
                <w14:ligatures w14:val="standardContextual"/>
              </w:rPr>
            </w:pPr>
          </w:p>
        </w:tc>
        <w:tc>
          <w:tcPr>
            <w:tcW w:w="4211" w:type="pct"/>
          </w:tcPr>
          <w:p w14:paraId="4C8F06F7">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rPr>
            </w:pPr>
            <w:r>
              <w:rPr>
                <w:rFonts w:hint="eastAsia" w:ascii="仿宋" w:hAnsi="仿宋" w:eastAsia="仿宋" w:cs="仿宋"/>
                <w:b w:val="0"/>
                <w:bCs/>
                <w:color w:val="auto"/>
                <w:kern w:val="2"/>
                <w:sz w:val="24"/>
                <w:szCs w:val="24"/>
                <w:highlight w:val="none"/>
                <w:u w:val="none"/>
                <w:lang w:val="en-US" w:eastAsia="zh-CN" w:bidi="ar-SA"/>
                <w14:ligatures w14:val="standardContextual"/>
              </w:rPr>
              <w:t>1.30</w:t>
            </w:r>
            <w:r>
              <w:rPr>
                <w:rFonts w:hint="eastAsia" w:ascii="仿宋" w:hAnsi="仿宋" w:eastAsia="仿宋" w:cs="仿宋"/>
                <w:color w:val="auto"/>
                <w:sz w:val="24"/>
                <w:highlight w:val="none"/>
                <w:u w:val="none"/>
              </w:rPr>
              <w:t>支持适配不同设备的影像界面，能够设置截取图像区域、图像边框、视频信号；</w:t>
            </w:r>
          </w:p>
        </w:tc>
      </w:tr>
      <w:tr w14:paraId="0BDB1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6F1888B4">
            <w:pPr>
              <w:keepNext w:val="0"/>
              <w:keepLines w:val="0"/>
              <w:pageBreakBefore w:val="0"/>
              <w:widowControl w:val="0"/>
              <w:numPr>
                <w:ilvl w:val="0"/>
                <w:numId w:val="21"/>
              </w:numPr>
              <w:kinsoku/>
              <w:wordWrap/>
              <w:overflowPunct/>
              <w:topLinePunct w:val="0"/>
              <w:autoSpaceDE/>
              <w:autoSpaceDN/>
              <w:bidi w:val="0"/>
              <w:adjustRightInd/>
              <w:snapToGrid/>
              <w:spacing w:line="400" w:lineRule="exact"/>
              <w:ind w:left="0" w:firstLine="0"/>
              <w:jc w:val="center"/>
              <w:textAlignment w:val="auto"/>
              <w:rPr>
                <w:rFonts w:hint="eastAsia" w:ascii="仿宋" w:hAnsi="仿宋" w:eastAsia="仿宋" w:cs="仿宋"/>
                <w:color w:val="auto"/>
                <w:sz w:val="24"/>
                <w:highlight w:val="none"/>
                <w:u w:val="none"/>
                <w14:ligatures w14:val="standardContextual"/>
              </w:rPr>
            </w:pPr>
          </w:p>
        </w:tc>
        <w:tc>
          <w:tcPr>
            <w:tcW w:w="4211" w:type="pct"/>
          </w:tcPr>
          <w:p w14:paraId="513B495D">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rPr>
            </w:pPr>
            <w:r>
              <w:rPr>
                <w:rFonts w:hint="eastAsia" w:ascii="仿宋" w:hAnsi="仿宋" w:eastAsia="仿宋" w:cs="仿宋"/>
                <w:b w:val="0"/>
                <w:bCs/>
                <w:color w:val="auto"/>
                <w:kern w:val="2"/>
                <w:sz w:val="24"/>
                <w:szCs w:val="24"/>
                <w:highlight w:val="none"/>
                <w:u w:val="none"/>
                <w:lang w:val="en-US" w:eastAsia="zh-CN" w:bidi="ar-SA"/>
                <w14:ligatures w14:val="standardContextual"/>
              </w:rPr>
              <w:t>1.31</w:t>
            </w:r>
            <w:r>
              <w:rPr>
                <w:rFonts w:hint="eastAsia" w:ascii="仿宋" w:hAnsi="仿宋" w:eastAsia="仿宋" w:cs="仿宋"/>
                <w:color w:val="auto"/>
                <w:sz w:val="24"/>
                <w:highlight w:val="none"/>
                <w:u w:val="none"/>
              </w:rPr>
              <w:t>支持同一诊室两个医生工作模式，一人专业书写报告，一人专业检查采图，同时对两个病人进行检查诊断；</w:t>
            </w:r>
          </w:p>
        </w:tc>
      </w:tr>
      <w:tr w14:paraId="01BDF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0AF68D47">
            <w:pPr>
              <w:keepNext w:val="0"/>
              <w:keepLines w:val="0"/>
              <w:pageBreakBefore w:val="0"/>
              <w:widowControl w:val="0"/>
              <w:numPr>
                <w:ilvl w:val="0"/>
                <w:numId w:val="21"/>
              </w:numPr>
              <w:kinsoku/>
              <w:wordWrap/>
              <w:overflowPunct/>
              <w:topLinePunct w:val="0"/>
              <w:autoSpaceDE/>
              <w:autoSpaceDN/>
              <w:bidi w:val="0"/>
              <w:adjustRightInd/>
              <w:snapToGrid/>
              <w:spacing w:line="400" w:lineRule="exact"/>
              <w:ind w:left="0" w:firstLine="0"/>
              <w:jc w:val="center"/>
              <w:textAlignment w:val="auto"/>
              <w:rPr>
                <w:rFonts w:hint="eastAsia" w:ascii="仿宋" w:hAnsi="仿宋" w:eastAsia="仿宋" w:cs="仿宋"/>
                <w:color w:val="auto"/>
                <w:sz w:val="24"/>
                <w:highlight w:val="none"/>
                <w:u w:val="none"/>
                <w14:ligatures w14:val="standardContextual"/>
              </w:rPr>
            </w:pPr>
          </w:p>
        </w:tc>
        <w:tc>
          <w:tcPr>
            <w:tcW w:w="4211" w:type="pct"/>
          </w:tcPr>
          <w:p w14:paraId="77316D12">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rPr>
            </w:pPr>
            <w:r>
              <w:rPr>
                <w:rFonts w:hint="eastAsia" w:ascii="仿宋" w:hAnsi="仿宋" w:eastAsia="仿宋" w:cs="仿宋"/>
                <w:b w:val="0"/>
                <w:bCs/>
                <w:color w:val="auto"/>
                <w:kern w:val="2"/>
                <w:sz w:val="24"/>
                <w:szCs w:val="24"/>
                <w:highlight w:val="none"/>
                <w:u w:val="none"/>
                <w:lang w:val="en-US" w:eastAsia="zh-CN" w:bidi="ar-SA"/>
                <w14:ligatures w14:val="standardContextual"/>
              </w:rPr>
              <w:t>1.32</w:t>
            </w:r>
            <w:r>
              <w:rPr>
                <w:rFonts w:hint="eastAsia" w:ascii="仿宋" w:hAnsi="仿宋" w:eastAsia="仿宋" w:cs="仿宋"/>
                <w:color w:val="auto"/>
                <w:sz w:val="24"/>
                <w:highlight w:val="none"/>
                <w:u w:val="none"/>
              </w:rPr>
              <w:t>支持影像采集和报告诊断同屏工作模式；</w:t>
            </w:r>
          </w:p>
        </w:tc>
      </w:tr>
      <w:tr w14:paraId="162C0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60D2815C">
            <w:pPr>
              <w:keepNext w:val="0"/>
              <w:keepLines w:val="0"/>
              <w:pageBreakBefore w:val="0"/>
              <w:widowControl w:val="0"/>
              <w:numPr>
                <w:ilvl w:val="0"/>
                <w:numId w:val="21"/>
              </w:numPr>
              <w:kinsoku/>
              <w:wordWrap/>
              <w:overflowPunct/>
              <w:topLinePunct w:val="0"/>
              <w:autoSpaceDE/>
              <w:autoSpaceDN/>
              <w:bidi w:val="0"/>
              <w:adjustRightInd/>
              <w:snapToGrid/>
              <w:spacing w:line="400" w:lineRule="exact"/>
              <w:ind w:left="0" w:firstLine="0"/>
              <w:jc w:val="center"/>
              <w:textAlignment w:val="auto"/>
              <w:rPr>
                <w:rFonts w:hint="eastAsia" w:ascii="仿宋" w:hAnsi="仿宋" w:eastAsia="仿宋" w:cs="仿宋"/>
                <w:color w:val="auto"/>
                <w:sz w:val="24"/>
                <w:highlight w:val="none"/>
                <w:u w:val="none"/>
                <w14:ligatures w14:val="standardContextual"/>
              </w:rPr>
            </w:pPr>
          </w:p>
        </w:tc>
        <w:tc>
          <w:tcPr>
            <w:tcW w:w="4211" w:type="pct"/>
          </w:tcPr>
          <w:p w14:paraId="0BDCFB1D">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rPr>
            </w:pPr>
            <w:r>
              <w:rPr>
                <w:rFonts w:hint="eastAsia" w:ascii="仿宋" w:hAnsi="仿宋" w:eastAsia="仿宋" w:cs="仿宋"/>
                <w:b w:val="0"/>
                <w:bCs/>
                <w:color w:val="auto"/>
                <w:kern w:val="2"/>
                <w:sz w:val="24"/>
                <w:szCs w:val="24"/>
                <w:highlight w:val="none"/>
                <w:u w:val="none"/>
                <w:lang w:val="en-US" w:eastAsia="zh-CN" w:bidi="ar-SA"/>
                <w14:ligatures w14:val="standardContextual"/>
              </w:rPr>
              <w:t>1.33</w:t>
            </w:r>
            <w:r>
              <w:rPr>
                <w:rFonts w:hint="eastAsia" w:ascii="仿宋" w:hAnsi="仿宋" w:eastAsia="仿宋" w:cs="仿宋"/>
                <w:color w:val="auto"/>
                <w:sz w:val="24"/>
                <w:highlight w:val="none"/>
                <w:u w:val="none"/>
              </w:rPr>
              <w:t>支持快速添加当前患者病历到知识库中；</w:t>
            </w:r>
          </w:p>
        </w:tc>
      </w:tr>
      <w:tr w14:paraId="2DCB9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67F3DB1D">
            <w:pPr>
              <w:keepNext w:val="0"/>
              <w:keepLines w:val="0"/>
              <w:pageBreakBefore w:val="0"/>
              <w:widowControl w:val="0"/>
              <w:numPr>
                <w:ilvl w:val="0"/>
                <w:numId w:val="21"/>
              </w:numPr>
              <w:kinsoku/>
              <w:wordWrap/>
              <w:overflowPunct/>
              <w:topLinePunct w:val="0"/>
              <w:autoSpaceDE/>
              <w:autoSpaceDN/>
              <w:bidi w:val="0"/>
              <w:adjustRightInd/>
              <w:snapToGrid/>
              <w:spacing w:line="400" w:lineRule="exact"/>
              <w:ind w:left="0" w:firstLine="0"/>
              <w:jc w:val="center"/>
              <w:textAlignment w:val="auto"/>
              <w:rPr>
                <w:rFonts w:hint="eastAsia" w:ascii="仿宋" w:hAnsi="仿宋" w:eastAsia="仿宋" w:cs="仿宋"/>
                <w:color w:val="auto"/>
                <w:sz w:val="24"/>
                <w:highlight w:val="none"/>
                <w:u w:val="none"/>
                <w14:ligatures w14:val="standardContextual"/>
              </w:rPr>
            </w:pPr>
          </w:p>
        </w:tc>
        <w:tc>
          <w:tcPr>
            <w:tcW w:w="4211" w:type="pct"/>
          </w:tcPr>
          <w:p w14:paraId="27FA3DB8">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rPr>
            </w:pPr>
            <w:r>
              <w:rPr>
                <w:rFonts w:hint="eastAsia" w:ascii="仿宋" w:hAnsi="仿宋" w:eastAsia="仿宋" w:cs="仿宋"/>
                <w:b w:val="0"/>
                <w:bCs/>
                <w:color w:val="auto"/>
                <w:kern w:val="2"/>
                <w:sz w:val="24"/>
                <w:szCs w:val="24"/>
                <w:highlight w:val="none"/>
                <w:u w:val="none"/>
                <w:lang w:val="en-US" w:eastAsia="zh-CN" w:bidi="ar-SA"/>
                <w14:ligatures w14:val="standardContextual"/>
              </w:rPr>
              <w:t>1.34</w:t>
            </w:r>
            <w:r>
              <w:rPr>
                <w:rFonts w:hint="eastAsia" w:ascii="仿宋" w:hAnsi="仿宋" w:eastAsia="仿宋" w:cs="仿宋"/>
                <w:color w:val="auto"/>
                <w:sz w:val="24"/>
                <w:highlight w:val="none"/>
                <w:u w:val="none"/>
              </w:rPr>
              <w:t>支持选择ICD10等国际疾病种类分类设置；</w:t>
            </w:r>
          </w:p>
        </w:tc>
      </w:tr>
      <w:tr w14:paraId="2F2CD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5A2B3C3E">
            <w:pPr>
              <w:keepNext w:val="0"/>
              <w:keepLines w:val="0"/>
              <w:pageBreakBefore w:val="0"/>
              <w:widowControl w:val="0"/>
              <w:numPr>
                <w:ilvl w:val="0"/>
                <w:numId w:val="21"/>
              </w:numPr>
              <w:kinsoku/>
              <w:wordWrap/>
              <w:overflowPunct/>
              <w:topLinePunct w:val="0"/>
              <w:autoSpaceDE/>
              <w:autoSpaceDN/>
              <w:bidi w:val="0"/>
              <w:adjustRightInd/>
              <w:snapToGrid/>
              <w:spacing w:line="400" w:lineRule="exact"/>
              <w:ind w:left="0" w:firstLine="0"/>
              <w:jc w:val="center"/>
              <w:textAlignment w:val="auto"/>
              <w:rPr>
                <w:rFonts w:hint="eastAsia" w:ascii="仿宋" w:hAnsi="仿宋" w:eastAsia="仿宋" w:cs="仿宋"/>
                <w:color w:val="auto"/>
                <w:sz w:val="24"/>
                <w:highlight w:val="none"/>
                <w:u w:val="none"/>
                <w14:ligatures w14:val="standardContextual"/>
              </w:rPr>
            </w:pPr>
          </w:p>
        </w:tc>
        <w:tc>
          <w:tcPr>
            <w:tcW w:w="4211" w:type="pct"/>
          </w:tcPr>
          <w:p w14:paraId="329C586B">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rPr>
            </w:pPr>
            <w:bookmarkStart w:id="41" w:name="_Hlk176884530"/>
            <w:r>
              <w:rPr>
                <w:rFonts w:hint="eastAsia" w:ascii="仿宋" w:hAnsi="仿宋" w:eastAsia="仿宋" w:cs="仿宋"/>
                <w:b w:val="0"/>
                <w:bCs/>
                <w:color w:val="auto"/>
                <w:kern w:val="2"/>
                <w:sz w:val="24"/>
                <w:szCs w:val="24"/>
                <w:highlight w:val="none"/>
                <w:u w:val="none"/>
                <w:lang w:val="en-US" w:eastAsia="zh-CN" w:bidi="ar-SA"/>
                <w14:ligatures w14:val="standardContextual"/>
              </w:rPr>
              <w:t>1.35</w:t>
            </w:r>
            <w:r>
              <w:rPr>
                <w:rFonts w:hint="eastAsia" w:ascii="仿宋" w:hAnsi="仿宋" w:eastAsia="仿宋" w:cs="仿宋"/>
                <w:color w:val="auto"/>
                <w:sz w:val="24"/>
                <w:highlight w:val="none"/>
                <w:u w:val="none"/>
              </w:rPr>
              <w:t>支持诊断报告智能校验提醒，如：男性检查申请中出现女性才有的描述内容（如：子宫）、描述和诊断不一致，系统会自动弹出提醒医生</w:t>
            </w:r>
            <w:bookmarkEnd w:id="41"/>
            <w:r>
              <w:rPr>
                <w:rFonts w:hint="eastAsia" w:ascii="仿宋" w:hAnsi="仿宋" w:eastAsia="仿宋" w:cs="仿宋"/>
                <w:color w:val="auto"/>
                <w:sz w:val="24"/>
                <w:highlight w:val="none"/>
                <w:u w:val="none"/>
              </w:rPr>
              <w:t xml:space="preserve">； </w:t>
            </w:r>
          </w:p>
        </w:tc>
      </w:tr>
      <w:tr w14:paraId="4BC79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4EC56DEF">
            <w:pPr>
              <w:keepNext w:val="0"/>
              <w:keepLines w:val="0"/>
              <w:pageBreakBefore w:val="0"/>
              <w:widowControl w:val="0"/>
              <w:numPr>
                <w:ilvl w:val="0"/>
                <w:numId w:val="21"/>
              </w:numPr>
              <w:kinsoku/>
              <w:wordWrap/>
              <w:overflowPunct/>
              <w:topLinePunct w:val="0"/>
              <w:autoSpaceDE/>
              <w:autoSpaceDN/>
              <w:bidi w:val="0"/>
              <w:adjustRightInd/>
              <w:snapToGrid/>
              <w:spacing w:line="400" w:lineRule="exact"/>
              <w:ind w:left="0" w:firstLine="0"/>
              <w:jc w:val="center"/>
              <w:textAlignment w:val="auto"/>
              <w:rPr>
                <w:rFonts w:hint="eastAsia" w:ascii="仿宋" w:hAnsi="仿宋" w:eastAsia="仿宋" w:cs="仿宋"/>
                <w:color w:val="auto"/>
                <w:sz w:val="24"/>
                <w:highlight w:val="none"/>
                <w:u w:val="none"/>
                <w14:ligatures w14:val="standardContextual"/>
              </w:rPr>
            </w:pPr>
          </w:p>
        </w:tc>
        <w:tc>
          <w:tcPr>
            <w:tcW w:w="4211" w:type="pct"/>
          </w:tcPr>
          <w:p w14:paraId="0F7E0C8F">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rPr>
            </w:pPr>
            <w:r>
              <w:rPr>
                <w:rFonts w:hint="eastAsia" w:ascii="仿宋" w:hAnsi="仿宋" w:eastAsia="仿宋" w:cs="仿宋"/>
                <w:b w:val="0"/>
                <w:bCs/>
                <w:color w:val="auto"/>
                <w:kern w:val="2"/>
                <w:sz w:val="24"/>
                <w:szCs w:val="24"/>
                <w:highlight w:val="none"/>
                <w:u w:val="none"/>
                <w:lang w:val="en-US" w:eastAsia="zh-CN" w:bidi="ar-SA"/>
                <w14:ligatures w14:val="standardContextual"/>
              </w:rPr>
              <w:t>1.36</w:t>
            </w:r>
            <w:r>
              <w:rPr>
                <w:rFonts w:hint="eastAsia" w:ascii="仿宋" w:hAnsi="仿宋" w:eastAsia="仿宋" w:cs="仿宋"/>
                <w:color w:val="auto"/>
                <w:sz w:val="24"/>
                <w:highlight w:val="none"/>
                <w:u w:val="none"/>
              </w:rPr>
              <w:t>支持引用系统知识库的典型病历报告；支持引用病人历史的检查报告；</w:t>
            </w:r>
          </w:p>
        </w:tc>
      </w:tr>
      <w:tr w14:paraId="52B31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46D289A4">
            <w:pPr>
              <w:keepNext w:val="0"/>
              <w:keepLines w:val="0"/>
              <w:pageBreakBefore w:val="0"/>
              <w:widowControl w:val="0"/>
              <w:numPr>
                <w:ilvl w:val="0"/>
                <w:numId w:val="21"/>
              </w:numPr>
              <w:kinsoku/>
              <w:wordWrap/>
              <w:overflowPunct/>
              <w:topLinePunct w:val="0"/>
              <w:autoSpaceDE/>
              <w:autoSpaceDN/>
              <w:bidi w:val="0"/>
              <w:adjustRightInd/>
              <w:snapToGrid/>
              <w:spacing w:line="400" w:lineRule="exact"/>
              <w:ind w:left="0" w:firstLine="0"/>
              <w:jc w:val="center"/>
              <w:textAlignment w:val="auto"/>
              <w:rPr>
                <w:rFonts w:hint="eastAsia" w:ascii="仿宋" w:hAnsi="仿宋" w:eastAsia="仿宋" w:cs="仿宋"/>
                <w:color w:val="auto"/>
                <w:sz w:val="24"/>
                <w:highlight w:val="none"/>
                <w:u w:val="none"/>
                <w14:ligatures w14:val="standardContextual"/>
              </w:rPr>
            </w:pPr>
          </w:p>
        </w:tc>
        <w:tc>
          <w:tcPr>
            <w:tcW w:w="4211" w:type="pct"/>
          </w:tcPr>
          <w:p w14:paraId="0F0EC2EC">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rPr>
            </w:pPr>
            <w:r>
              <w:rPr>
                <w:rFonts w:hint="eastAsia" w:ascii="仿宋" w:hAnsi="仿宋" w:eastAsia="仿宋" w:cs="仿宋"/>
                <w:b w:val="0"/>
                <w:bCs/>
                <w:color w:val="auto"/>
                <w:kern w:val="2"/>
                <w:sz w:val="24"/>
                <w:szCs w:val="24"/>
                <w:highlight w:val="none"/>
                <w:u w:val="none"/>
                <w:lang w:val="en-US" w:eastAsia="zh-CN" w:bidi="ar-SA"/>
                <w14:ligatures w14:val="standardContextual"/>
              </w:rPr>
              <w:t>1.37</w:t>
            </w:r>
            <w:r>
              <w:rPr>
                <w:rFonts w:hint="eastAsia" w:ascii="仿宋" w:hAnsi="仿宋" w:eastAsia="仿宋" w:cs="仿宋"/>
                <w:color w:val="auto"/>
                <w:sz w:val="24"/>
                <w:highlight w:val="none"/>
                <w:u w:val="none"/>
              </w:rPr>
              <w:t>支持测量参数按使用情况在报告单中动态显示，如未测量填值时不在报告单中显示；</w:t>
            </w:r>
          </w:p>
        </w:tc>
      </w:tr>
      <w:tr w14:paraId="15796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0D3E6367">
            <w:pPr>
              <w:keepNext w:val="0"/>
              <w:keepLines w:val="0"/>
              <w:pageBreakBefore w:val="0"/>
              <w:widowControl w:val="0"/>
              <w:numPr>
                <w:ilvl w:val="0"/>
                <w:numId w:val="21"/>
              </w:numPr>
              <w:kinsoku/>
              <w:wordWrap/>
              <w:overflowPunct/>
              <w:topLinePunct w:val="0"/>
              <w:autoSpaceDE/>
              <w:autoSpaceDN/>
              <w:bidi w:val="0"/>
              <w:adjustRightInd/>
              <w:snapToGrid/>
              <w:spacing w:line="400" w:lineRule="exact"/>
              <w:ind w:left="0" w:firstLine="0"/>
              <w:jc w:val="center"/>
              <w:textAlignment w:val="auto"/>
              <w:rPr>
                <w:rFonts w:hint="eastAsia" w:ascii="仿宋" w:hAnsi="仿宋" w:eastAsia="仿宋" w:cs="仿宋"/>
                <w:color w:val="auto"/>
                <w:sz w:val="24"/>
                <w:highlight w:val="none"/>
                <w:u w:val="none"/>
                <w14:ligatures w14:val="standardContextual"/>
              </w:rPr>
            </w:pPr>
          </w:p>
        </w:tc>
        <w:tc>
          <w:tcPr>
            <w:tcW w:w="4211" w:type="pct"/>
          </w:tcPr>
          <w:p w14:paraId="5978B75C">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rPr>
            </w:pPr>
            <w:r>
              <w:rPr>
                <w:rFonts w:hint="eastAsia" w:ascii="仿宋" w:hAnsi="仿宋" w:eastAsia="仿宋" w:cs="仿宋"/>
                <w:b w:val="0"/>
                <w:bCs/>
                <w:color w:val="auto"/>
                <w:kern w:val="2"/>
                <w:sz w:val="24"/>
                <w:szCs w:val="24"/>
                <w:highlight w:val="none"/>
                <w:u w:val="none"/>
                <w:lang w:val="en-US" w:eastAsia="zh-CN" w:bidi="ar-SA"/>
                <w14:ligatures w14:val="standardContextual"/>
              </w:rPr>
              <w:t>1.38</w:t>
            </w:r>
            <w:r>
              <w:rPr>
                <w:rFonts w:hint="eastAsia" w:ascii="仿宋" w:hAnsi="仿宋" w:eastAsia="仿宋" w:cs="仿宋"/>
                <w:color w:val="auto"/>
                <w:sz w:val="24"/>
                <w:highlight w:val="none"/>
                <w:u w:val="none"/>
              </w:rPr>
              <w:t>支持危急值闭环管理，报告编辑出现危急值关键词时自动提示上报HIS，以及临床医生处理后反馈回PACS工作站（对接接口）；</w:t>
            </w:r>
          </w:p>
        </w:tc>
      </w:tr>
      <w:tr w14:paraId="45539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7D39F702">
            <w:pPr>
              <w:keepNext w:val="0"/>
              <w:keepLines w:val="0"/>
              <w:pageBreakBefore w:val="0"/>
              <w:widowControl w:val="0"/>
              <w:numPr>
                <w:ilvl w:val="0"/>
                <w:numId w:val="21"/>
              </w:numPr>
              <w:kinsoku/>
              <w:wordWrap/>
              <w:overflowPunct/>
              <w:topLinePunct w:val="0"/>
              <w:autoSpaceDE/>
              <w:autoSpaceDN/>
              <w:bidi w:val="0"/>
              <w:adjustRightInd/>
              <w:snapToGrid/>
              <w:spacing w:line="400" w:lineRule="exact"/>
              <w:ind w:left="0" w:firstLine="0"/>
              <w:jc w:val="center"/>
              <w:textAlignment w:val="auto"/>
              <w:rPr>
                <w:rFonts w:hint="eastAsia" w:ascii="仿宋" w:hAnsi="仿宋" w:eastAsia="仿宋" w:cs="仿宋"/>
                <w:color w:val="auto"/>
                <w:sz w:val="24"/>
                <w:highlight w:val="none"/>
                <w:u w:val="none"/>
                <w14:ligatures w14:val="standardContextual"/>
              </w:rPr>
            </w:pPr>
          </w:p>
        </w:tc>
        <w:tc>
          <w:tcPr>
            <w:tcW w:w="4211" w:type="pct"/>
          </w:tcPr>
          <w:p w14:paraId="7929A3B3">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rPr>
            </w:pPr>
            <w:r>
              <w:rPr>
                <w:rFonts w:hint="eastAsia" w:ascii="仿宋" w:hAnsi="仿宋" w:eastAsia="仿宋" w:cs="仿宋"/>
                <w:b w:val="0"/>
                <w:bCs/>
                <w:color w:val="auto"/>
                <w:kern w:val="2"/>
                <w:sz w:val="24"/>
                <w:szCs w:val="24"/>
                <w:highlight w:val="none"/>
                <w:u w:val="none"/>
                <w:lang w:val="en-US" w:eastAsia="zh-CN" w:bidi="ar-SA"/>
                <w14:ligatures w14:val="standardContextual"/>
              </w:rPr>
              <w:t>1.39</w:t>
            </w:r>
            <w:r>
              <w:rPr>
                <w:rFonts w:hint="eastAsia" w:ascii="仿宋" w:hAnsi="仿宋" w:eastAsia="仿宋" w:cs="仿宋"/>
                <w:color w:val="auto"/>
                <w:sz w:val="24"/>
                <w:highlight w:val="none"/>
                <w:u w:val="none"/>
              </w:rPr>
              <w:t>支持自动患者匹配功能，如该患者的过往检查历史记录，将查询并提示出来；</w:t>
            </w:r>
          </w:p>
        </w:tc>
      </w:tr>
      <w:tr w14:paraId="5CC2D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5E61BE8C">
            <w:pPr>
              <w:keepNext w:val="0"/>
              <w:keepLines w:val="0"/>
              <w:pageBreakBefore w:val="0"/>
              <w:widowControl w:val="0"/>
              <w:numPr>
                <w:ilvl w:val="0"/>
                <w:numId w:val="21"/>
              </w:numPr>
              <w:kinsoku/>
              <w:wordWrap/>
              <w:overflowPunct/>
              <w:topLinePunct w:val="0"/>
              <w:autoSpaceDE/>
              <w:autoSpaceDN/>
              <w:bidi w:val="0"/>
              <w:adjustRightInd/>
              <w:snapToGrid/>
              <w:spacing w:line="400" w:lineRule="exact"/>
              <w:ind w:left="0" w:firstLine="0"/>
              <w:jc w:val="center"/>
              <w:textAlignment w:val="auto"/>
              <w:rPr>
                <w:rFonts w:hint="eastAsia" w:ascii="仿宋" w:hAnsi="仿宋" w:eastAsia="仿宋" w:cs="仿宋"/>
                <w:color w:val="auto"/>
                <w:sz w:val="24"/>
                <w:highlight w:val="none"/>
                <w:u w:val="none"/>
                <w14:ligatures w14:val="standardContextual"/>
              </w:rPr>
            </w:pPr>
          </w:p>
        </w:tc>
        <w:tc>
          <w:tcPr>
            <w:tcW w:w="4211" w:type="pct"/>
          </w:tcPr>
          <w:p w14:paraId="5F4084DD">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rPr>
            </w:pPr>
            <w:r>
              <w:rPr>
                <w:rFonts w:hint="eastAsia" w:ascii="仿宋" w:hAnsi="仿宋" w:eastAsia="仿宋" w:cs="仿宋"/>
                <w:b w:val="0"/>
                <w:bCs/>
                <w:color w:val="auto"/>
                <w:kern w:val="2"/>
                <w:sz w:val="24"/>
                <w:szCs w:val="24"/>
                <w:highlight w:val="none"/>
                <w:u w:val="none"/>
                <w:lang w:val="en-US" w:eastAsia="zh-CN" w:bidi="ar-SA"/>
                <w14:ligatures w14:val="standardContextual"/>
              </w:rPr>
              <w:t>1.40</w:t>
            </w:r>
            <w:r>
              <w:rPr>
                <w:rFonts w:hint="eastAsia" w:ascii="仿宋" w:hAnsi="仿宋" w:eastAsia="仿宋" w:cs="仿宋"/>
                <w:color w:val="auto"/>
                <w:sz w:val="24"/>
                <w:highlight w:val="none"/>
                <w:u w:val="none"/>
              </w:rPr>
              <w:t>支持报告多级审核机制，上级医生可对报告进行修改、审核、并保存修改记录信息；</w:t>
            </w:r>
          </w:p>
        </w:tc>
      </w:tr>
      <w:tr w14:paraId="767E8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189EE2EB">
            <w:pPr>
              <w:keepNext w:val="0"/>
              <w:keepLines w:val="0"/>
              <w:pageBreakBefore w:val="0"/>
              <w:widowControl w:val="0"/>
              <w:numPr>
                <w:ilvl w:val="0"/>
                <w:numId w:val="21"/>
              </w:numPr>
              <w:kinsoku/>
              <w:wordWrap/>
              <w:overflowPunct/>
              <w:topLinePunct w:val="0"/>
              <w:autoSpaceDE/>
              <w:autoSpaceDN/>
              <w:bidi w:val="0"/>
              <w:adjustRightInd/>
              <w:snapToGrid/>
              <w:spacing w:line="400" w:lineRule="exact"/>
              <w:ind w:left="0" w:firstLine="0"/>
              <w:jc w:val="center"/>
              <w:textAlignment w:val="auto"/>
              <w:rPr>
                <w:rFonts w:hint="eastAsia" w:ascii="仿宋" w:hAnsi="仿宋" w:eastAsia="仿宋" w:cs="仿宋"/>
                <w:color w:val="auto"/>
                <w:sz w:val="24"/>
                <w:highlight w:val="none"/>
                <w:u w:val="none"/>
                <w14:ligatures w14:val="standardContextual"/>
              </w:rPr>
            </w:pPr>
          </w:p>
        </w:tc>
        <w:tc>
          <w:tcPr>
            <w:tcW w:w="4211" w:type="pct"/>
          </w:tcPr>
          <w:p w14:paraId="0A5D07D3">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rPr>
            </w:pPr>
            <w:r>
              <w:rPr>
                <w:rFonts w:hint="eastAsia" w:ascii="仿宋" w:hAnsi="仿宋" w:eastAsia="仿宋" w:cs="仿宋"/>
                <w:b w:val="0"/>
                <w:bCs/>
                <w:color w:val="auto"/>
                <w:kern w:val="2"/>
                <w:sz w:val="24"/>
                <w:szCs w:val="24"/>
                <w:highlight w:val="none"/>
                <w:u w:val="none"/>
                <w:lang w:val="en-US" w:eastAsia="zh-CN" w:bidi="ar-SA"/>
                <w14:ligatures w14:val="standardContextual"/>
              </w:rPr>
              <w:t>1.41</w:t>
            </w:r>
            <w:r>
              <w:rPr>
                <w:rFonts w:hint="eastAsia" w:ascii="仿宋" w:hAnsi="仿宋" w:eastAsia="仿宋" w:cs="仿宋"/>
                <w:color w:val="auto"/>
                <w:sz w:val="24"/>
                <w:highlight w:val="none"/>
                <w:u w:val="none"/>
              </w:rPr>
              <w:t>收藏夹支持自定义目录；对操作中的报告可收藏；可设置为典型病例以及教学病例；</w:t>
            </w:r>
          </w:p>
        </w:tc>
      </w:tr>
      <w:tr w14:paraId="68B07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1ADCC062">
            <w:pPr>
              <w:keepNext w:val="0"/>
              <w:keepLines w:val="0"/>
              <w:pageBreakBefore w:val="0"/>
              <w:widowControl w:val="0"/>
              <w:numPr>
                <w:ilvl w:val="0"/>
                <w:numId w:val="22"/>
              </w:numPr>
              <w:kinsoku/>
              <w:wordWrap/>
              <w:overflowPunct/>
              <w:topLinePunct w:val="0"/>
              <w:autoSpaceDE/>
              <w:autoSpaceDN/>
              <w:bidi w:val="0"/>
              <w:adjustRightInd/>
              <w:snapToGrid/>
              <w:spacing w:line="400" w:lineRule="exact"/>
              <w:ind w:left="0" w:firstLine="0"/>
              <w:jc w:val="center"/>
              <w:textAlignment w:val="auto"/>
              <w:rPr>
                <w:rFonts w:hint="eastAsia" w:ascii="仿宋" w:hAnsi="仿宋" w:eastAsia="仿宋" w:cs="仿宋"/>
                <w:color w:val="auto"/>
                <w:sz w:val="24"/>
                <w:highlight w:val="none"/>
                <w:u w:val="none"/>
                <w14:ligatures w14:val="standardContextual"/>
              </w:rPr>
            </w:pPr>
          </w:p>
        </w:tc>
        <w:tc>
          <w:tcPr>
            <w:tcW w:w="4211" w:type="pct"/>
          </w:tcPr>
          <w:p w14:paraId="5E6F8D6A">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rPr>
            </w:pPr>
            <w:bookmarkStart w:id="42" w:name="_Hlk177044364"/>
            <w:r>
              <w:rPr>
                <w:rFonts w:hint="eastAsia" w:ascii="仿宋" w:hAnsi="仿宋" w:eastAsia="仿宋" w:cs="仿宋"/>
                <w:b w:val="0"/>
                <w:bCs/>
                <w:color w:val="auto"/>
                <w:kern w:val="2"/>
                <w:sz w:val="24"/>
                <w:szCs w:val="24"/>
                <w:highlight w:val="none"/>
                <w:u w:val="none"/>
                <w:lang w:val="en-US" w:eastAsia="zh-CN" w:bidi="ar-SA"/>
                <w14:ligatures w14:val="standardContextual"/>
              </w:rPr>
              <w:t>1.42</w:t>
            </w:r>
            <w:r>
              <w:rPr>
                <w:rFonts w:hint="eastAsia" w:ascii="仿宋" w:hAnsi="仿宋" w:eastAsia="仿宋" w:cs="仿宋"/>
                <w:color w:val="auto"/>
                <w:sz w:val="24"/>
                <w:highlight w:val="none"/>
                <w:u w:val="none"/>
              </w:rPr>
              <w:t>支持对手术结果、病理结果、实验室结果、出院诊断、其他追踪资料进行补充</w:t>
            </w:r>
            <w:bookmarkEnd w:id="42"/>
            <w:r>
              <w:rPr>
                <w:rFonts w:hint="eastAsia" w:ascii="仿宋" w:hAnsi="仿宋" w:eastAsia="仿宋" w:cs="仿宋"/>
                <w:color w:val="auto"/>
                <w:sz w:val="24"/>
                <w:highlight w:val="none"/>
                <w:u w:val="none"/>
              </w:rPr>
              <w:t>；</w:t>
            </w:r>
          </w:p>
        </w:tc>
      </w:tr>
      <w:tr w14:paraId="2D404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4BE66E44">
            <w:pPr>
              <w:keepNext w:val="0"/>
              <w:keepLines w:val="0"/>
              <w:pageBreakBefore w:val="0"/>
              <w:widowControl w:val="0"/>
              <w:numPr>
                <w:ilvl w:val="0"/>
                <w:numId w:val="23"/>
              </w:numPr>
              <w:kinsoku/>
              <w:wordWrap/>
              <w:overflowPunct/>
              <w:topLinePunct w:val="0"/>
              <w:autoSpaceDE/>
              <w:autoSpaceDN/>
              <w:bidi w:val="0"/>
              <w:adjustRightInd/>
              <w:snapToGrid/>
              <w:spacing w:line="400" w:lineRule="exact"/>
              <w:ind w:left="0" w:firstLine="0"/>
              <w:jc w:val="center"/>
              <w:textAlignment w:val="auto"/>
              <w:rPr>
                <w:rFonts w:hint="eastAsia" w:ascii="仿宋" w:hAnsi="仿宋" w:eastAsia="仿宋" w:cs="仿宋"/>
                <w:color w:val="auto"/>
                <w:sz w:val="24"/>
                <w:highlight w:val="none"/>
                <w:u w:val="none"/>
                <w14:ligatures w14:val="standardContextual"/>
              </w:rPr>
            </w:pPr>
          </w:p>
        </w:tc>
        <w:tc>
          <w:tcPr>
            <w:tcW w:w="4211" w:type="pct"/>
          </w:tcPr>
          <w:p w14:paraId="7014545F">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w:t>
            </w:r>
            <w:r>
              <w:rPr>
                <w:rFonts w:hint="eastAsia" w:ascii="仿宋" w:hAnsi="仿宋" w:eastAsia="仿宋" w:cs="仿宋"/>
                <w:b w:val="0"/>
                <w:bCs/>
                <w:color w:val="auto"/>
                <w:kern w:val="2"/>
                <w:sz w:val="24"/>
                <w:szCs w:val="24"/>
                <w:highlight w:val="none"/>
                <w:u w:val="none"/>
                <w:lang w:val="en-US" w:eastAsia="zh-CN" w:bidi="ar-SA"/>
                <w14:ligatures w14:val="standardContextual"/>
              </w:rPr>
              <w:t>1.43</w:t>
            </w:r>
            <w:r>
              <w:rPr>
                <w:rFonts w:hint="eastAsia" w:ascii="仿宋" w:hAnsi="仿宋" w:eastAsia="仿宋" w:cs="仿宋"/>
                <w:color w:val="auto"/>
                <w:sz w:val="24"/>
                <w:highlight w:val="none"/>
                <w:u w:val="none"/>
              </w:rPr>
              <w:t>支持报告和影像评价质控功能，支持对报告和图像进行多维度的评分质控，支持以勾选的方式扣分，支持对扣分理由做备注</w:t>
            </w:r>
            <w:bookmarkStart w:id="43" w:name="_Hlk99669409"/>
            <w:r>
              <w:rPr>
                <w:rFonts w:hint="eastAsia" w:ascii="仿宋" w:hAnsi="仿宋" w:eastAsia="仿宋" w:cs="仿宋"/>
                <w:color w:val="auto"/>
                <w:sz w:val="24"/>
                <w:highlight w:val="none"/>
                <w:u w:val="none"/>
              </w:rPr>
              <w:t>；</w:t>
            </w:r>
            <w:bookmarkEnd w:id="43"/>
          </w:p>
        </w:tc>
      </w:tr>
      <w:tr w14:paraId="76183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1622A0AC">
            <w:pPr>
              <w:keepNext w:val="0"/>
              <w:keepLines w:val="0"/>
              <w:pageBreakBefore w:val="0"/>
              <w:widowControl w:val="0"/>
              <w:numPr>
                <w:ilvl w:val="0"/>
                <w:numId w:val="23"/>
              </w:numPr>
              <w:kinsoku/>
              <w:wordWrap/>
              <w:overflowPunct/>
              <w:topLinePunct w:val="0"/>
              <w:autoSpaceDE/>
              <w:autoSpaceDN/>
              <w:bidi w:val="0"/>
              <w:adjustRightInd/>
              <w:snapToGrid/>
              <w:spacing w:line="400" w:lineRule="exact"/>
              <w:ind w:left="0" w:firstLine="0"/>
              <w:jc w:val="center"/>
              <w:textAlignment w:val="auto"/>
              <w:rPr>
                <w:rFonts w:hint="eastAsia" w:ascii="仿宋" w:hAnsi="仿宋" w:eastAsia="仿宋" w:cs="仿宋"/>
                <w:color w:val="auto"/>
                <w:sz w:val="24"/>
                <w:highlight w:val="none"/>
                <w:u w:val="none"/>
                <w14:ligatures w14:val="standardContextual"/>
              </w:rPr>
            </w:pPr>
          </w:p>
        </w:tc>
        <w:tc>
          <w:tcPr>
            <w:tcW w:w="4211" w:type="pct"/>
          </w:tcPr>
          <w:p w14:paraId="40A0E9D3">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rPr>
            </w:pPr>
            <w:r>
              <w:rPr>
                <w:rFonts w:hint="eastAsia" w:ascii="仿宋" w:hAnsi="仿宋" w:eastAsia="仿宋" w:cs="仿宋"/>
                <w:b w:val="0"/>
                <w:bCs/>
                <w:color w:val="auto"/>
                <w:kern w:val="2"/>
                <w:sz w:val="24"/>
                <w:szCs w:val="24"/>
                <w:highlight w:val="none"/>
                <w:u w:val="none"/>
                <w:lang w:val="en-US" w:eastAsia="zh-CN" w:bidi="ar-SA"/>
                <w14:ligatures w14:val="standardContextual"/>
              </w:rPr>
              <w:t>1.44</w:t>
            </w:r>
            <w:r>
              <w:rPr>
                <w:rFonts w:hint="eastAsia" w:ascii="仿宋" w:hAnsi="仿宋" w:eastAsia="仿宋" w:cs="仿宋"/>
                <w:color w:val="auto"/>
                <w:sz w:val="24"/>
                <w:highlight w:val="none"/>
                <w:u w:val="none"/>
              </w:rPr>
              <w:t>支持报告和影像评价细项内容和分值自定义；</w:t>
            </w:r>
          </w:p>
        </w:tc>
      </w:tr>
      <w:tr w14:paraId="79AA2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0DB66CDC">
            <w:pPr>
              <w:keepNext w:val="0"/>
              <w:keepLines w:val="0"/>
              <w:pageBreakBefore w:val="0"/>
              <w:widowControl w:val="0"/>
              <w:numPr>
                <w:ilvl w:val="0"/>
                <w:numId w:val="23"/>
              </w:numPr>
              <w:kinsoku/>
              <w:wordWrap/>
              <w:overflowPunct/>
              <w:topLinePunct w:val="0"/>
              <w:autoSpaceDE/>
              <w:autoSpaceDN/>
              <w:bidi w:val="0"/>
              <w:adjustRightInd/>
              <w:snapToGrid/>
              <w:spacing w:line="400" w:lineRule="exact"/>
              <w:ind w:left="0" w:firstLine="0"/>
              <w:jc w:val="center"/>
              <w:textAlignment w:val="auto"/>
              <w:rPr>
                <w:rFonts w:hint="eastAsia" w:ascii="仿宋" w:hAnsi="仿宋" w:eastAsia="仿宋" w:cs="仿宋"/>
                <w:color w:val="auto"/>
                <w:sz w:val="24"/>
                <w:highlight w:val="none"/>
                <w:u w:val="none"/>
                <w14:ligatures w14:val="standardContextual"/>
              </w:rPr>
            </w:pPr>
          </w:p>
        </w:tc>
        <w:tc>
          <w:tcPr>
            <w:tcW w:w="4211" w:type="pct"/>
          </w:tcPr>
          <w:p w14:paraId="040D5808">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w:t>
            </w:r>
            <w:r>
              <w:rPr>
                <w:rFonts w:hint="eastAsia" w:ascii="仿宋" w:hAnsi="仿宋" w:eastAsia="仿宋" w:cs="仿宋"/>
                <w:b w:val="0"/>
                <w:bCs/>
                <w:color w:val="auto"/>
                <w:kern w:val="2"/>
                <w:sz w:val="24"/>
                <w:szCs w:val="24"/>
                <w:highlight w:val="none"/>
                <w:u w:val="none"/>
                <w:lang w:val="en-US" w:eastAsia="zh-CN" w:bidi="ar-SA"/>
                <w14:ligatures w14:val="standardContextual"/>
              </w:rPr>
              <w:t>1.45</w:t>
            </w:r>
            <w:r>
              <w:rPr>
                <w:rFonts w:hint="eastAsia" w:ascii="仿宋" w:hAnsi="仿宋" w:eastAsia="仿宋" w:cs="仿宋"/>
                <w:color w:val="auto"/>
                <w:sz w:val="24"/>
                <w:highlight w:val="none"/>
                <w:u w:val="none"/>
              </w:rPr>
              <w:t>支持常规统计报表，如：阳性率统计、检查费用分类统计、登记工作量统计、诊断医生工作量统计、危急报告统计、临床医生申请量统计、检查项目分类统计、设备工作量统计、诊断结果分类统计、诊断符合率统计；</w:t>
            </w:r>
          </w:p>
        </w:tc>
      </w:tr>
      <w:tr w14:paraId="1F2EE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06E11498">
            <w:pPr>
              <w:keepNext w:val="0"/>
              <w:keepLines w:val="0"/>
              <w:pageBreakBefore w:val="0"/>
              <w:widowControl w:val="0"/>
              <w:numPr>
                <w:ilvl w:val="0"/>
                <w:numId w:val="23"/>
              </w:numPr>
              <w:kinsoku/>
              <w:wordWrap/>
              <w:overflowPunct/>
              <w:topLinePunct w:val="0"/>
              <w:autoSpaceDE/>
              <w:autoSpaceDN/>
              <w:bidi w:val="0"/>
              <w:adjustRightInd/>
              <w:snapToGrid/>
              <w:spacing w:line="400" w:lineRule="exact"/>
              <w:ind w:left="0" w:firstLine="0"/>
              <w:jc w:val="center"/>
              <w:textAlignment w:val="auto"/>
              <w:rPr>
                <w:rFonts w:hint="eastAsia" w:ascii="仿宋" w:hAnsi="仿宋" w:eastAsia="仿宋" w:cs="仿宋"/>
                <w:color w:val="auto"/>
                <w:sz w:val="24"/>
                <w:highlight w:val="none"/>
                <w:u w:val="none"/>
                <w14:ligatures w14:val="standardContextual"/>
              </w:rPr>
            </w:pPr>
          </w:p>
        </w:tc>
        <w:tc>
          <w:tcPr>
            <w:tcW w:w="4211" w:type="pct"/>
          </w:tcPr>
          <w:p w14:paraId="44925001">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w:t>
            </w:r>
            <w:r>
              <w:rPr>
                <w:rFonts w:hint="eastAsia" w:ascii="仿宋" w:hAnsi="仿宋" w:eastAsia="仿宋" w:cs="仿宋"/>
                <w:b w:val="0"/>
                <w:bCs/>
                <w:color w:val="auto"/>
                <w:kern w:val="2"/>
                <w:sz w:val="24"/>
                <w:szCs w:val="24"/>
                <w:highlight w:val="none"/>
                <w:u w:val="none"/>
                <w:lang w:val="en-US" w:eastAsia="zh-CN" w:bidi="ar-SA"/>
                <w14:ligatures w14:val="standardContextual"/>
              </w:rPr>
              <w:t>1.46</w:t>
            </w:r>
            <w:r>
              <w:rPr>
                <w:rFonts w:hint="eastAsia" w:ascii="仿宋" w:hAnsi="仿宋" w:eastAsia="仿宋" w:cs="仿宋"/>
                <w:color w:val="auto"/>
                <w:sz w:val="24"/>
                <w:highlight w:val="none"/>
                <w:u w:val="none"/>
              </w:rPr>
              <w:t>条件组合查询：统计查询按时间范围、检查部位、病人来源、检查科室、诊断医生、设备名称、费用、积分；</w:t>
            </w:r>
          </w:p>
        </w:tc>
      </w:tr>
      <w:tr w14:paraId="429F6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6C05822C">
            <w:pPr>
              <w:keepNext w:val="0"/>
              <w:keepLines w:val="0"/>
              <w:pageBreakBefore w:val="0"/>
              <w:widowControl w:val="0"/>
              <w:numPr>
                <w:ilvl w:val="0"/>
                <w:numId w:val="24"/>
              </w:numPr>
              <w:kinsoku/>
              <w:wordWrap/>
              <w:overflowPunct/>
              <w:topLinePunct w:val="0"/>
              <w:autoSpaceDE/>
              <w:autoSpaceDN/>
              <w:bidi w:val="0"/>
              <w:adjustRightInd/>
              <w:snapToGrid/>
              <w:spacing w:line="400" w:lineRule="exact"/>
              <w:ind w:left="0" w:firstLine="0"/>
              <w:jc w:val="center"/>
              <w:textAlignment w:val="auto"/>
              <w:rPr>
                <w:rFonts w:hint="eastAsia" w:ascii="仿宋" w:hAnsi="仿宋" w:eastAsia="仿宋" w:cs="仿宋"/>
                <w:color w:val="auto"/>
                <w:sz w:val="24"/>
                <w:highlight w:val="none"/>
                <w:u w:val="none"/>
                <w14:ligatures w14:val="standardContextual"/>
              </w:rPr>
            </w:pPr>
          </w:p>
        </w:tc>
        <w:tc>
          <w:tcPr>
            <w:tcW w:w="4211" w:type="pct"/>
          </w:tcPr>
          <w:p w14:paraId="049DF182">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rPr>
            </w:pPr>
            <w:r>
              <w:rPr>
                <w:rFonts w:hint="eastAsia" w:ascii="仿宋" w:hAnsi="仿宋" w:eastAsia="仿宋" w:cs="仿宋"/>
                <w:b w:val="0"/>
                <w:bCs/>
                <w:color w:val="auto"/>
                <w:kern w:val="2"/>
                <w:sz w:val="24"/>
                <w:szCs w:val="24"/>
                <w:highlight w:val="none"/>
                <w:u w:val="none"/>
                <w:lang w:val="en-US" w:eastAsia="zh-CN" w:bidi="ar-SA"/>
                <w14:ligatures w14:val="standardContextual"/>
              </w:rPr>
              <w:t>1.47</w:t>
            </w:r>
            <w:r>
              <w:rPr>
                <w:rFonts w:hint="eastAsia" w:ascii="仿宋" w:hAnsi="仿宋" w:eastAsia="仿宋" w:cs="仿宋"/>
                <w:color w:val="auto"/>
                <w:sz w:val="24"/>
                <w:highlight w:val="none"/>
                <w:u w:val="none"/>
              </w:rPr>
              <w:t>报表设计：按照实际需求设计自定义报表；</w:t>
            </w:r>
          </w:p>
        </w:tc>
      </w:tr>
      <w:tr w14:paraId="0B4CD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463FC2C3">
            <w:pPr>
              <w:keepNext w:val="0"/>
              <w:keepLines w:val="0"/>
              <w:pageBreakBefore w:val="0"/>
              <w:widowControl w:val="0"/>
              <w:numPr>
                <w:ilvl w:val="0"/>
                <w:numId w:val="24"/>
              </w:numPr>
              <w:kinsoku/>
              <w:wordWrap/>
              <w:overflowPunct/>
              <w:topLinePunct w:val="0"/>
              <w:autoSpaceDE/>
              <w:autoSpaceDN/>
              <w:bidi w:val="0"/>
              <w:adjustRightInd/>
              <w:snapToGrid/>
              <w:spacing w:line="400" w:lineRule="exact"/>
              <w:ind w:left="0" w:firstLine="0"/>
              <w:jc w:val="center"/>
              <w:textAlignment w:val="auto"/>
              <w:rPr>
                <w:rFonts w:hint="eastAsia" w:ascii="仿宋" w:hAnsi="仿宋" w:eastAsia="仿宋" w:cs="仿宋"/>
                <w:color w:val="auto"/>
                <w:sz w:val="24"/>
                <w:highlight w:val="none"/>
                <w:u w:val="none"/>
                <w14:ligatures w14:val="standardContextual"/>
              </w:rPr>
            </w:pPr>
          </w:p>
        </w:tc>
        <w:tc>
          <w:tcPr>
            <w:tcW w:w="4211" w:type="pct"/>
          </w:tcPr>
          <w:p w14:paraId="18ACCDE8">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rPr>
            </w:pPr>
            <w:r>
              <w:rPr>
                <w:rFonts w:hint="eastAsia" w:ascii="仿宋" w:hAnsi="仿宋" w:eastAsia="仿宋" w:cs="仿宋"/>
                <w:b w:val="0"/>
                <w:bCs/>
                <w:color w:val="auto"/>
                <w:kern w:val="2"/>
                <w:sz w:val="24"/>
                <w:szCs w:val="24"/>
                <w:highlight w:val="none"/>
                <w:u w:val="none"/>
                <w:lang w:val="en-US" w:eastAsia="zh-CN" w:bidi="ar-SA"/>
                <w14:ligatures w14:val="standardContextual"/>
              </w:rPr>
              <w:t>1.48</w:t>
            </w:r>
            <w:r>
              <w:rPr>
                <w:rFonts w:hint="eastAsia" w:ascii="仿宋" w:hAnsi="仿宋" w:eastAsia="仿宋" w:cs="仿宋"/>
                <w:color w:val="auto"/>
                <w:sz w:val="24"/>
                <w:highlight w:val="none"/>
                <w:u w:val="none"/>
              </w:rPr>
              <w:t>按照大类分为：诊断医生工作量、记录医生工作量、申请医生工作量、病人检查记录、检查项目分类、费用分类、设备工作量、报告评审统计、质控报告信息统计、检查部位、预约检查率、医生加班工作量、危急值等统计数据，形成统计报表；</w:t>
            </w:r>
          </w:p>
        </w:tc>
      </w:tr>
      <w:tr w14:paraId="145E6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1CB32728">
            <w:pPr>
              <w:keepNext w:val="0"/>
              <w:keepLines w:val="0"/>
              <w:pageBreakBefore w:val="0"/>
              <w:widowControl w:val="0"/>
              <w:numPr>
                <w:ilvl w:val="0"/>
                <w:numId w:val="25"/>
              </w:numPr>
              <w:kinsoku/>
              <w:wordWrap/>
              <w:overflowPunct/>
              <w:topLinePunct w:val="0"/>
              <w:autoSpaceDE/>
              <w:autoSpaceDN/>
              <w:bidi w:val="0"/>
              <w:adjustRightInd/>
              <w:snapToGrid/>
              <w:spacing w:line="400" w:lineRule="exact"/>
              <w:ind w:left="0" w:firstLine="0"/>
              <w:jc w:val="center"/>
              <w:textAlignment w:val="auto"/>
              <w:rPr>
                <w:rFonts w:hint="eastAsia" w:ascii="仿宋" w:hAnsi="仿宋" w:eastAsia="仿宋" w:cs="仿宋"/>
                <w:color w:val="auto"/>
                <w:sz w:val="24"/>
                <w:highlight w:val="none"/>
                <w:u w:val="none"/>
                <w14:ligatures w14:val="standardContextual"/>
              </w:rPr>
            </w:pPr>
          </w:p>
        </w:tc>
        <w:tc>
          <w:tcPr>
            <w:tcW w:w="4211" w:type="pct"/>
          </w:tcPr>
          <w:p w14:paraId="69C7C754">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rPr>
            </w:pPr>
            <w:r>
              <w:rPr>
                <w:rFonts w:hint="eastAsia" w:ascii="仿宋" w:hAnsi="仿宋" w:eastAsia="仿宋" w:cs="仿宋"/>
                <w:b w:val="0"/>
                <w:bCs/>
                <w:color w:val="auto"/>
                <w:kern w:val="2"/>
                <w:sz w:val="24"/>
                <w:szCs w:val="24"/>
                <w:highlight w:val="none"/>
                <w:u w:val="none"/>
                <w:lang w:val="en-US" w:eastAsia="zh-CN" w:bidi="ar-SA"/>
                <w14:ligatures w14:val="standardContextual"/>
              </w:rPr>
              <w:t>1.49</w:t>
            </w:r>
            <w:r>
              <w:rPr>
                <w:rFonts w:hint="eastAsia" w:ascii="仿宋" w:hAnsi="仿宋" w:eastAsia="仿宋" w:cs="仿宋"/>
                <w:color w:val="auto"/>
                <w:sz w:val="24"/>
                <w:highlight w:val="none"/>
                <w:u w:val="none"/>
              </w:rPr>
              <w:t>常规超声测值一体化设计：可以定义参数模板；</w:t>
            </w:r>
          </w:p>
        </w:tc>
      </w:tr>
      <w:tr w14:paraId="47BD0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7B9617EB">
            <w:pPr>
              <w:keepNext w:val="0"/>
              <w:keepLines w:val="0"/>
              <w:pageBreakBefore w:val="0"/>
              <w:widowControl w:val="0"/>
              <w:numPr>
                <w:ilvl w:val="0"/>
                <w:numId w:val="25"/>
              </w:numPr>
              <w:kinsoku/>
              <w:wordWrap/>
              <w:overflowPunct/>
              <w:topLinePunct w:val="0"/>
              <w:autoSpaceDE/>
              <w:autoSpaceDN/>
              <w:bidi w:val="0"/>
              <w:adjustRightInd/>
              <w:snapToGrid/>
              <w:spacing w:line="400" w:lineRule="exact"/>
              <w:ind w:left="0" w:firstLine="0"/>
              <w:jc w:val="center"/>
              <w:textAlignment w:val="auto"/>
              <w:rPr>
                <w:rFonts w:hint="eastAsia" w:ascii="仿宋" w:hAnsi="仿宋" w:eastAsia="仿宋" w:cs="仿宋"/>
                <w:color w:val="auto"/>
                <w:sz w:val="24"/>
                <w:highlight w:val="none"/>
                <w:u w:val="none"/>
                <w14:ligatures w14:val="standardContextual"/>
              </w:rPr>
            </w:pPr>
          </w:p>
        </w:tc>
        <w:tc>
          <w:tcPr>
            <w:tcW w:w="4211" w:type="pct"/>
          </w:tcPr>
          <w:p w14:paraId="2466AC6A">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lang w:eastAsia="zh-CN"/>
              </w:rPr>
            </w:pPr>
            <w:r>
              <w:rPr>
                <w:rFonts w:hint="eastAsia" w:ascii="仿宋" w:hAnsi="仿宋" w:eastAsia="仿宋" w:cs="仿宋"/>
                <w:b w:val="0"/>
                <w:bCs/>
                <w:color w:val="auto"/>
                <w:kern w:val="2"/>
                <w:sz w:val="24"/>
                <w:szCs w:val="24"/>
                <w:highlight w:val="none"/>
                <w:u w:val="none"/>
                <w:lang w:val="en-US" w:eastAsia="zh-CN" w:bidi="ar-SA"/>
                <w14:ligatures w14:val="standardContextual"/>
              </w:rPr>
              <w:t>1.50</w:t>
            </w:r>
            <w:r>
              <w:rPr>
                <w:rFonts w:hint="eastAsia" w:ascii="仿宋" w:hAnsi="仿宋" w:eastAsia="仿宋" w:cs="仿宋"/>
                <w:color w:val="auto"/>
                <w:sz w:val="24"/>
                <w:highlight w:val="none"/>
                <w:u w:val="none"/>
              </w:rPr>
              <w:t>可以给相应的检查类型设置需要的检查参数，可以添加或移除</w:t>
            </w:r>
            <w:r>
              <w:rPr>
                <w:rFonts w:hint="eastAsia" w:ascii="仿宋" w:hAnsi="仿宋" w:eastAsia="仿宋" w:cs="仿宋"/>
                <w:color w:val="auto"/>
                <w:sz w:val="24"/>
                <w:highlight w:val="none"/>
                <w:u w:val="none"/>
                <w:lang w:eastAsia="zh-CN"/>
              </w:rPr>
              <w:t>。</w:t>
            </w:r>
          </w:p>
        </w:tc>
      </w:tr>
      <w:tr w14:paraId="3F757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88" w:type="pct"/>
            <w:vMerge w:val="restart"/>
            <w:vAlign w:val="center"/>
          </w:tcPr>
          <w:p w14:paraId="09B91C3D">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color w:val="auto"/>
                <w:kern w:val="0"/>
                <w:sz w:val="24"/>
                <w:highlight w:val="none"/>
                <w:u w:val="none"/>
                <w14:ligatures w14:val="standardContextual"/>
              </w:rPr>
            </w:pPr>
            <w:r>
              <w:rPr>
                <w:rFonts w:hint="eastAsia" w:ascii="仿宋" w:hAnsi="仿宋" w:eastAsia="仿宋" w:cs="仿宋"/>
                <w:b w:val="0"/>
                <w:bCs/>
                <w:color w:val="auto"/>
                <w:kern w:val="0"/>
                <w:sz w:val="24"/>
                <w:highlight w:val="none"/>
                <w:u w:val="none"/>
                <w:lang w:val="en-US" w:eastAsia="zh-CN"/>
              </w:rPr>
              <w:t>2.1</w:t>
            </w:r>
            <w:r>
              <w:rPr>
                <w:rFonts w:hint="eastAsia" w:ascii="仿宋" w:hAnsi="仿宋" w:eastAsia="仿宋" w:cs="仿宋"/>
                <w:color w:val="auto"/>
                <w:sz w:val="24"/>
                <w:highlight w:val="none"/>
                <w:u w:val="none"/>
                <w14:ligatures w14:val="standardContextual"/>
              </w:rPr>
              <w:t>产前超声实时智能检测系统服务</w:t>
            </w:r>
          </w:p>
        </w:tc>
        <w:tc>
          <w:tcPr>
            <w:tcW w:w="4211" w:type="pct"/>
            <w:vAlign w:val="center"/>
          </w:tcPr>
          <w:p w14:paraId="3C2DC0AC">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 w:hAnsi="仿宋" w:eastAsia="仿宋" w:cs="仿宋"/>
                <w:b/>
                <w:color w:val="auto"/>
                <w:kern w:val="0"/>
                <w:sz w:val="24"/>
                <w:highlight w:val="none"/>
                <w:u w:val="none"/>
              </w:rPr>
            </w:pPr>
            <w:r>
              <w:rPr>
                <w:rFonts w:hint="eastAsia" w:ascii="仿宋" w:hAnsi="仿宋" w:eastAsia="仿宋" w:cs="仿宋"/>
                <w:b w:val="0"/>
                <w:bCs/>
                <w:color w:val="auto"/>
                <w:kern w:val="0"/>
                <w:sz w:val="24"/>
                <w:szCs w:val="24"/>
                <w:highlight w:val="none"/>
                <w:u w:val="none"/>
                <w:lang w:val="en-US" w:eastAsia="zh-CN" w:bidi="ar-SA"/>
                <w14:ligatures w14:val="standardContextual"/>
              </w:rPr>
              <w:t>2.1.1</w:t>
            </w:r>
            <w:r>
              <w:rPr>
                <w:rFonts w:hint="eastAsia" w:ascii="仿宋" w:hAnsi="仿宋" w:eastAsia="仿宋" w:cs="仿宋"/>
                <w:color w:val="auto"/>
                <w:sz w:val="24"/>
                <w:highlight w:val="none"/>
                <w:u w:val="none"/>
                <w14:ligatures w14:val="none"/>
              </w:rPr>
              <w:t xml:space="preserve">支持快速新增病人，可以使用连续新增功能和连续预约功能；快速新增基本信息为空病例，后期可再将病例基本信息维护进去； </w:t>
            </w:r>
          </w:p>
        </w:tc>
      </w:tr>
      <w:tr w14:paraId="00FD0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75E0A085">
            <w:pPr>
              <w:pStyle w:val="607"/>
              <w:keepNext w:val="0"/>
              <w:keepLines w:val="0"/>
              <w:pageBreakBefore w:val="0"/>
              <w:widowControl w:val="0"/>
              <w:numPr>
                <w:ilvl w:val="0"/>
                <w:numId w:val="26"/>
              </w:numPr>
              <w:kinsoku/>
              <w:wordWrap/>
              <w:overflowPunct/>
              <w:topLinePunct w:val="0"/>
              <w:autoSpaceDE/>
              <w:autoSpaceDN/>
              <w:bidi w:val="0"/>
              <w:adjustRightInd/>
              <w:snapToGrid/>
              <w:spacing w:line="400" w:lineRule="exact"/>
              <w:ind w:left="0" w:firstLine="0"/>
              <w:contextualSpacing w:val="0"/>
              <w:jc w:val="center"/>
              <w:textAlignment w:val="auto"/>
              <w:rPr>
                <w:rFonts w:hint="eastAsia" w:ascii="仿宋" w:hAnsi="仿宋" w:eastAsia="仿宋" w:cs="仿宋"/>
                <w:color w:val="auto"/>
                <w:sz w:val="24"/>
                <w:highlight w:val="none"/>
                <w:u w:val="none"/>
                <w14:ligatures w14:val="none"/>
              </w:rPr>
            </w:pPr>
          </w:p>
        </w:tc>
        <w:tc>
          <w:tcPr>
            <w:tcW w:w="4211" w:type="pct"/>
            <w:vAlign w:val="center"/>
          </w:tcPr>
          <w:p w14:paraId="19199059">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 w:hAnsi="仿宋" w:eastAsia="仿宋" w:cs="仿宋"/>
                <w:color w:val="auto"/>
                <w:sz w:val="24"/>
                <w:highlight w:val="none"/>
                <w:u w:val="none"/>
              </w:rPr>
            </w:pPr>
            <w:r>
              <w:rPr>
                <w:rFonts w:hint="eastAsia" w:ascii="仿宋" w:hAnsi="仿宋" w:eastAsia="仿宋" w:cs="仿宋"/>
                <w:b w:val="0"/>
                <w:bCs/>
                <w:color w:val="auto"/>
                <w:kern w:val="0"/>
                <w:sz w:val="24"/>
                <w:szCs w:val="24"/>
                <w:highlight w:val="none"/>
                <w:u w:val="none"/>
                <w:lang w:val="en-US" w:eastAsia="zh-CN" w:bidi="ar-SA"/>
                <w14:ligatures w14:val="standardContextual"/>
              </w:rPr>
              <w:t>2.1</w:t>
            </w:r>
            <w:r>
              <w:rPr>
                <w:rFonts w:hint="eastAsia" w:ascii="仿宋" w:hAnsi="仿宋" w:eastAsia="仿宋" w:cs="仿宋"/>
                <w:b w:val="0"/>
                <w:bCs/>
                <w:color w:val="auto"/>
                <w:kern w:val="2"/>
                <w:sz w:val="24"/>
                <w:szCs w:val="24"/>
                <w:highlight w:val="none"/>
                <w:u w:val="none"/>
                <w:lang w:val="en-US" w:eastAsia="zh-CN" w:bidi="ar-SA"/>
                <w14:ligatures w14:val="standardContextual"/>
              </w:rPr>
              <w:t>.2</w:t>
            </w:r>
            <w:r>
              <w:rPr>
                <w:rFonts w:hint="eastAsia" w:ascii="仿宋" w:hAnsi="仿宋" w:eastAsia="仿宋" w:cs="仿宋"/>
                <w:color w:val="auto"/>
                <w:sz w:val="24"/>
                <w:highlight w:val="none"/>
                <w:u w:val="none"/>
                <w14:ligatures w14:val="none"/>
              </w:rPr>
              <w:t>支持登记时自动判断复诊病人或复诊弹框提醒，以及复诊病人信息更新；</w:t>
            </w:r>
          </w:p>
        </w:tc>
      </w:tr>
      <w:tr w14:paraId="02754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4A12CC9B">
            <w:pPr>
              <w:pStyle w:val="607"/>
              <w:keepNext w:val="0"/>
              <w:keepLines w:val="0"/>
              <w:pageBreakBefore w:val="0"/>
              <w:widowControl w:val="0"/>
              <w:numPr>
                <w:ilvl w:val="0"/>
                <w:numId w:val="26"/>
              </w:numPr>
              <w:kinsoku/>
              <w:wordWrap/>
              <w:overflowPunct/>
              <w:topLinePunct w:val="0"/>
              <w:autoSpaceDE/>
              <w:autoSpaceDN/>
              <w:bidi w:val="0"/>
              <w:adjustRightInd/>
              <w:snapToGrid/>
              <w:spacing w:line="400" w:lineRule="exact"/>
              <w:ind w:left="0" w:firstLine="0"/>
              <w:contextualSpacing w:val="0"/>
              <w:jc w:val="center"/>
              <w:textAlignment w:val="auto"/>
              <w:rPr>
                <w:rFonts w:hint="eastAsia" w:ascii="仿宋" w:hAnsi="仿宋" w:eastAsia="仿宋" w:cs="仿宋"/>
                <w:color w:val="auto"/>
                <w:sz w:val="24"/>
                <w:highlight w:val="none"/>
                <w:u w:val="none"/>
                <w14:ligatures w14:val="none"/>
              </w:rPr>
            </w:pPr>
          </w:p>
        </w:tc>
        <w:tc>
          <w:tcPr>
            <w:tcW w:w="4211" w:type="pct"/>
          </w:tcPr>
          <w:p w14:paraId="3E3F64C1">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14:ligatures w14:val="none"/>
              </w:rPr>
            </w:pPr>
            <w:r>
              <w:rPr>
                <w:rFonts w:hint="eastAsia" w:ascii="仿宋" w:hAnsi="仿宋" w:eastAsia="仿宋" w:cs="仿宋"/>
                <w:b w:val="0"/>
                <w:bCs/>
                <w:color w:val="auto"/>
                <w:kern w:val="2"/>
                <w:sz w:val="24"/>
                <w:szCs w:val="24"/>
                <w:highlight w:val="none"/>
                <w:u w:val="none"/>
                <w:lang w:val="en-US" w:eastAsia="zh-CN" w:bidi="ar-SA"/>
                <w14:ligatures w14:val="none"/>
              </w:rPr>
              <w:t>2.</w:t>
            </w:r>
            <w:r>
              <w:rPr>
                <w:rFonts w:hint="eastAsia" w:ascii="仿宋" w:hAnsi="仿宋" w:eastAsia="仿宋" w:cs="仿宋"/>
                <w:b w:val="0"/>
                <w:bCs/>
                <w:color w:val="auto"/>
                <w:kern w:val="0"/>
                <w:sz w:val="24"/>
                <w:szCs w:val="24"/>
                <w:highlight w:val="none"/>
                <w:u w:val="none"/>
                <w:lang w:val="en-US" w:eastAsia="zh-CN" w:bidi="ar-SA"/>
                <w14:ligatures w14:val="standardContextual"/>
              </w:rPr>
              <w:t>1.</w:t>
            </w:r>
            <w:r>
              <w:rPr>
                <w:rFonts w:hint="eastAsia" w:ascii="仿宋" w:hAnsi="仿宋" w:eastAsia="仿宋" w:cs="仿宋"/>
                <w:b w:val="0"/>
                <w:bCs/>
                <w:color w:val="auto"/>
                <w:kern w:val="2"/>
                <w:sz w:val="24"/>
                <w:szCs w:val="24"/>
                <w:highlight w:val="none"/>
                <w:u w:val="none"/>
                <w:lang w:val="en-US" w:eastAsia="zh-CN" w:bidi="ar-SA"/>
                <w14:ligatures w14:val="none"/>
              </w:rPr>
              <w:t>3</w:t>
            </w:r>
            <w:r>
              <w:rPr>
                <w:rFonts w:hint="eastAsia" w:ascii="仿宋" w:hAnsi="仿宋" w:eastAsia="仿宋" w:cs="仿宋"/>
                <w:color w:val="auto"/>
                <w:sz w:val="24"/>
                <w:highlight w:val="none"/>
                <w:u w:val="none"/>
                <w14:ligatures w14:val="none"/>
              </w:rPr>
              <w:t>支持根据早孕期NT、中晚孕一级、中晚孕二级、中晚孕三级、中晚孕三级（含胎儿心动图）、专项检查胎儿心动图六大产前检查类型，可以根据填写的孕周自动选择检查类型，检查类型可依据医院实际情况进行调整；</w:t>
            </w:r>
          </w:p>
        </w:tc>
      </w:tr>
      <w:tr w14:paraId="1CFEE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76C82458">
            <w:pPr>
              <w:pStyle w:val="607"/>
              <w:keepNext w:val="0"/>
              <w:keepLines w:val="0"/>
              <w:pageBreakBefore w:val="0"/>
              <w:widowControl w:val="0"/>
              <w:numPr>
                <w:ilvl w:val="0"/>
                <w:numId w:val="27"/>
              </w:numPr>
              <w:kinsoku/>
              <w:wordWrap/>
              <w:overflowPunct/>
              <w:topLinePunct w:val="0"/>
              <w:autoSpaceDE/>
              <w:autoSpaceDN/>
              <w:bidi w:val="0"/>
              <w:adjustRightInd/>
              <w:snapToGrid/>
              <w:spacing w:line="400" w:lineRule="exact"/>
              <w:ind w:left="0" w:firstLine="0"/>
              <w:contextualSpacing w:val="0"/>
              <w:jc w:val="center"/>
              <w:textAlignment w:val="auto"/>
              <w:rPr>
                <w:rFonts w:hint="eastAsia" w:ascii="仿宋" w:hAnsi="仿宋" w:eastAsia="仿宋" w:cs="仿宋"/>
                <w:color w:val="auto"/>
                <w:sz w:val="24"/>
                <w:highlight w:val="none"/>
                <w:u w:val="none"/>
                <w14:ligatures w14:val="none"/>
              </w:rPr>
            </w:pPr>
          </w:p>
        </w:tc>
        <w:tc>
          <w:tcPr>
            <w:tcW w:w="4211" w:type="pct"/>
          </w:tcPr>
          <w:p w14:paraId="52DA7795">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14:ligatures w14:val="none"/>
              </w:rPr>
            </w:pPr>
            <w:r>
              <w:rPr>
                <w:rFonts w:hint="eastAsia" w:ascii="仿宋" w:hAnsi="仿宋" w:eastAsia="仿宋" w:cs="仿宋"/>
                <w:b w:val="0"/>
                <w:bCs/>
                <w:color w:val="auto"/>
                <w:kern w:val="2"/>
                <w:sz w:val="24"/>
                <w:szCs w:val="24"/>
                <w:highlight w:val="none"/>
                <w:u w:val="none"/>
                <w:lang w:val="en-US" w:eastAsia="zh-CN" w:bidi="ar-SA"/>
                <w14:ligatures w14:val="none"/>
              </w:rPr>
              <w:t>2.</w:t>
            </w:r>
            <w:r>
              <w:rPr>
                <w:rFonts w:hint="eastAsia" w:ascii="仿宋" w:hAnsi="仿宋" w:eastAsia="仿宋" w:cs="仿宋"/>
                <w:b w:val="0"/>
                <w:bCs/>
                <w:color w:val="auto"/>
                <w:kern w:val="0"/>
                <w:sz w:val="24"/>
                <w:szCs w:val="24"/>
                <w:highlight w:val="none"/>
                <w:u w:val="none"/>
                <w:lang w:val="en-US" w:eastAsia="zh-CN" w:bidi="ar-SA"/>
                <w14:ligatures w14:val="standardContextual"/>
              </w:rPr>
              <w:t>1.</w:t>
            </w:r>
            <w:r>
              <w:rPr>
                <w:rFonts w:hint="eastAsia" w:ascii="仿宋" w:hAnsi="仿宋" w:eastAsia="仿宋" w:cs="仿宋"/>
                <w:b w:val="0"/>
                <w:bCs/>
                <w:color w:val="auto"/>
                <w:kern w:val="2"/>
                <w:sz w:val="24"/>
                <w:szCs w:val="24"/>
                <w:highlight w:val="none"/>
                <w:u w:val="none"/>
                <w:lang w:val="en-US" w:eastAsia="zh-CN" w:bidi="ar-SA"/>
                <w14:ligatures w14:val="none"/>
              </w:rPr>
              <w:t>4早孕期NT支持≥2个切面自动采集，中晚孕一、二、三级支持≥54个切面自动采集，胎儿心动图检查支持≥22个切面自动采集</w:t>
            </w:r>
            <w:r>
              <w:rPr>
                <w:rFonts w:hint="eastAsia" w:ascii="仿宋" w:hAnsi="仿宋" w:eastAsia="仿宋" w:cs="仿宋"/>
                <w:color w:val="auto"/>
                <w:sz w:val="24"/>
                <w:highlight w:val="none"/>
                <w:u w:val="none"/>
                <w14:ligatures w14:val="none"/>
              </w:rPr>
              <w:t>；</w:t>
            </w:r>
          </w:p>
        </w:tc>
      </w:tr>
      <w:tr w14:paraId="09E56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31C2A919">
            <w:pPr>
              <w:pStyle w:val="607"/>
              <w:keepNext w:val="0"/>
              <w:keepLines w:val="0"/>
              <w:pageBreakBefore w:val="0"/>
              <w:widowControl w:val="0"/>
              <w:numPr>
                <w:ilvl w:val="0"/>
                <w:numId w:val="27"/>
              </w:numPr>
              <w:kinsoku/>
              <w:wordWrap/>
              <w:overflowPunct/>
              <w:topLinePunct w:val="0"/>
              <w:autoSpaceDE/>
              <w:autoSpaceDN/>
              <w:bidi w:val="0"/>
              <w:adjustRightInd/>
              <w:snapToGrid/>
              <w:spacing w:line="400" w:lineRule="exact"/>
              <w:ind w:left="0" w:firstLine="0"/>
              <w:contextualSpacing w:val="0"/>
              <w:jc w:val="center"/>
              <w:textAlignment w:val="auto"/>
              <w:rPr>
                <w:rFonts w:hint="eastAsia" w:ascii="仿宋" w:hAnsi="仿宋" w:eastAsia="仿宋" w:cs="仿宋"/>
                <w:color w:val="auto"/>
                <w:sz w:val="24"/>
                <w:highlight w:val="none"/>
                <w:u w:val="none"/>
                <w14:ligatures w14:val="none"/>
              </w:rPr>
            </w:pPr>
          </w:p>
        </w:tc>
        <w:tc>
          <w:tcPr>
            <w:tcW w:w="4211" w:type="pct"/>
          </w:tcPr>
          <w:p w14:paraId="3CD08894">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14:ligatures w14:val="none"/>
              </w:rPr>
            </w:pPr>
            <w:r>
              <w:rPr>
                <w:rFonts w:hint="eastAsia" w:ascii="仿宋" w:hAnsi="仿宋" w:eastAsia="仿宋" w:cs="仿宋"/>
                <w:color w:val="auto"/>
                <w:sz w:val="24"/>
                <w:highlight w:val="none"/>
                <w:u w:val="none"/>
                <w14:ligatures w14:val="none"/>
              </w:rPr>
              <w:t>★</w:t>
            </w:r>
            <w:r>
              <w:rPr>
                <w:rFonts w:hint="eastAsia" w:ascii="仿宋" w:hAnsi="仿宋" w:eastAsia="仿宋" w:cs="仿宋"/>
                <w:b w:val="0"/>
                <w:bCs/>
                <w:color w:val="auto"/>
                <w:kern w:val="2"/>
                <w:sz w:val="24"/>
                <w:szCs w:val="24"/>
                <w:highlight w:val="none"/>
                <w:u w:val="none"/>
                <w:lang w:val="en-US" w:eastAsia="zh-CN" w:bidi="ar-SA"/>
                <w14:ligatures w14:val="none"/>
              </w:rPr>
              <w:t>2.</w:t>
            </w:r>
            <w:r>
              <w:rPr>
                <w:rFonts w:hint="eastAsia" w:ascii="仿宋" w:hAnsi="仿宋" w:eastAsia="仿宋" w:cs="仿宋"/>
                <w:b w:val="0"/>
                <w:bCs/>
                <w:color w:val="auto"/>
                <w:kern w:val="0"/>
                <w:sz w:val="24"/>
                <w:szCs w:val="24"/>
                <w:highlight w:val="none"/>
                <w:u w:val="none"/>
                <w:lang w:val="en-US" w:eastAsia="zh-CN" w:bidi="ar-SA"/>
                <w14:ligatures w14:val="standardContextual"/>
              </w:rPr>
              <w:t>1.</w:t>
            </w:r>
            <w:r>
              <w:rPr>
                <w:rFonts w:hint="eastAsia" w:ascii="仿宋" w:hAnsi="仿宋" w:eastAsia="仿宋" w:cs="仿宋"/>
                <w:b w:val="0"/>
                <w:bCs/>
                <w:color w:val="auto"/>
                <w:kern w:val="2"/>
                <w:sz w:val="24"/>
                <w:szCs w:val="24"/>
                <w:highlight w:val="none"/>
                <w:u w:val="none"/>
                <w:lang w:val="en-US" w:eastAsia="zh-CN" w:bidi="ar-SA"/>
                <w14:ligatures w14:val="none"/>
              </w:rPr>
              <w:t>5</w:t>
            </w:r>
            <w:r>
              <w:rPr>
                <w:rFonts w:hint="eastAsia" w:ascii="仿宋" w:hAnsi="仿宋" w:eastAsia="仿宋" w:cs="仿宋"/>
                <w:color w:val="auto"/>
                <w:sz w:val="24"/>
                <w:highlight w:val="none"/>
                <w:u w:val="none"/>
                <w14:ligatures w14:val="none"/>
              </w:rPr>
              <w:t>支持自动识别不同设备标尺，自动测量生长参数值。早孕期支持NT,CRL自动测量；中晚孕期支持BPD,HC,AC,FL,HL,PL,LVW,TCD、羊水指数、羊水最大深度、脐血流收缩期最高血流速度与舒张期最低血流速度自动测量，SD值、PI、其中BPD支持外-内与外-外两种测量方式；</w:t>
            </w:r>
          </w:p>
        </w:tc>
      </w:tr>
      <w:tr w14:paraId="18176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3C4B0B33">
            <w:pPr>
              <w:pStyle w:val="607"/>
              <w:keepNext w:val="0"/>
              <w:keepLines w:val="0"/>
              <w:pageBreakBefore w:val="0"/>
              <w:widowControl w:val="0"/>
              <w:numPr>
                <w:ilvl w:val="0"/>
                <w:numId w:val="27"/>
              </w:numPr>
              <w:kinsoku/>
              <w:wordWrap/>
              <w:overflowPunct/>
              <w:topLinePunct w:val="0"/>
              <w:autoSpaceDE/>
              <w:autoSpaceDN/>
              <w:bidi w:val="0"/>
              <w:adjustRightInd/>
              <w:snapToGrid/>
              <w:spacing w:line="400" w:lineRule="exact"/>
              <w:ind w:left="0" w:firstLine="0"/>
              <w:contextualSpacing w:val="0"/>
              <w:jc w:val="center"/>
              <w:textAlignment w:val="auto"/>
              <w:rPr>
                <w:rFonts w:hint="eastAsia" w:ascii="仿宋" w:hAnsi="仿宋" w:eastAsia="仿宋" w:cs="仿宋"/>
                <w:color w:val="auto"/>
                <w:sz w:val="24"/>
                <w:highlight w:val="none"/>
                <w:u w:val="none"/>
                <w14:ligatures w14:val="none"/>
              </w:rPr>
            </w:pPr>
          </w:p>
        </w:tc>
        <w:tc>
          <w:tcPr>
            <w:tcW w:w="4211" w:type="pct"/>
          </w:tcPr>
          <w:p w14:paraId="28011889">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14:ligatures w14:val="none"/>
              </w:rPr>
            </w:pPr>
            <w:r>
              <w:rPr>
                <w:rFonts w:hint="eastAsia" w:ascii="仿宋" w:hAnsi="仿宋" w:eastAsia="仿宋" w:cs="仿宋"/>
                <w:b w:val="0"/>
                <w:bCs/>
                <w:color w:val="auto"/>
                <w:kern w:val="2"/>
                <w:sz w:val="24"/>
                <w:szCs w:val="24"/>
                <w:highlight w:val="none"/>
                <w:u w:val="none"/>
                <w:lang w:val="en-US" w:eastAsia="zh-CN" w:bidi="ar-SA"/>
                <w14:ligatures w14:val="none"/>
              </w:rPr>
              <w:t>2.</w:t>
            </w:r>
            <w:r>
              <w:rPr>
                <w:rFonts w:hint="eastAsia" w:ascii="仿宋" w:hAnsi="仿宋" w:eastAsia="仿宋" w:cs="仿宋"/>
                <w:b w:val="0"/>
                <w:bCs/>
                <w:color w:val="auto"/>
                <w:kern w:val="0"/>
                <w:sz w:val="24"/>
                <w:szCs w:val="24"/>
                <w:highlight w:val="none"/>
                <w:u w:val="none"/>
                <w:lang w:val="en-US" w:eastAsia="zh-CN" w:bidi="ar-SA"/>
                <w14:ligatures w14:val="standardContextual"/>
              </w:rPr>
              <w:t>1.</w:t>
            </w:r>
            <w:r>
              <w:rPr>
                <w:rFonts w:hint="eastAsia" w:ascii="仿宋" w:hAnsi="仿宋" w:eastAsia="仿宋" w:cs="仿宋"/>
                <w:b w:val="0"/>
                <w:bCs/>
                <w:color w:val="auto"/>
                <w:kern w:val="2"/>
                <w:sz w:val="24"/>
                <w:szCs w:val="24"/>
                <w:highlight w:val="none"/>
                <w:u w:val="none"/>
                <w:lang w:val="en-US" w:eastAsia="zh-CN" w:bidi="ar-SA"/>
                <w14:ligatures w14:val="none"/>
              </w:rPr>
              <w:t>6</w:t>
            </w:r>
            <w:r>
              <w:rPr>
                <w:rFonts w:hint="eastAsia" w:ascii="仿宋" w:hAnsi="仿宋" w:eastAsia="仿宋" w:cs="仿宋"/>
                <w:color w:val="auto"/>
                <w:sz w:val="24"/>
                <w:highlight w:val="none"/>
                <w:u w:val="none"/>
                <w14:ligatures w14:val="none"/>
              </w:rPr>
              <w:t>支持根据检查类型，获取超声设备的实时影像，并实时标注出自动识别的切面结构；</w:t>
            </w:r>
          </w:p>
        </w:tc>
      </w:tr>
      <w:tr w14:paraId="09DCF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0242A0F5">
            <w:pPr>
              <w:pStyle w:val="607"/>
              <w:keepNext w:val="0"/>
              <w:keepLines w:val="0"/>
              <w:pageBreakBefore w:val="0"/>
              <w:widowControl w:val="0"/>
              <w:numPr>
                <w:ilvl w:val="0"/>
                <w:numId w:val="27"/>
              </w:numPr>
              <w:kinsoku/>
              <w:wordWrap/>
              <w:overflowPunct/>
              <w:topLinePunct w:val="0"/>
              <w:autoSpaceDE/>
              <w:autoSpaceDN/>
              <w:bidi w:val="0"/>
              <w:adjustRightInd/>
              <w:snapToGrid/>
              <w:spacing w:line="400" w:lineRule="exact"/>
              <w:ind w:left="0" w:firstLine="0"/>
              <w:contextualSpacing w:val="0"/>
              <w:jc w:val="center"/>
              <w:textAlignment w:val="auto"/>
              <w:rPr>
                <w:rFonts w:hint="eastAsia" w:ascii="仿宋" w:hAnsi="仿宋" w:eastAsia="仿宋" w:cs="仿宋"/>
                <w:color w:val="auto"/>
                <w:sz w:val="24"/>
                <w:highlight w:val="none"/>
                <w:u w:val="none"/>
                <w14:ligatures w14:val="none"/>
              </w:rPr>
            </w:pPr>
          </w:p>
        </w:tc>
        <w:tc>
          <w:tcPr>
            <w:tcW w:w="4211" w:type="pct"/>
          </w:tcPr>
          <w:p w14:paraId="4F14C2A3">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14:ligatures w14:val="none"/>
              </w:rPr>
            </w:pPr>
            <w:r>
              <w:rPr>
                <w:rFonts w:hint="eastAsia" w:ascii="仿宋" w:hAnsi="仿宋" w:eastAsia="仿宋" w:cs="仿宋"/>
                <w:b w:val="0"/>
                <w:bCs/>
                <w:color w:val="auto"/>
                <w:kern w:val="2"/>
                <w:sz w:val="24"/>
                <w:szCs w:val="24"/>
                <w:highlight w:val="none"/>
                <w:u w:val="none"/>
                <w:lang w:val="en-US" w:eastAsia="zh-CN" w:bidi="ar-SA"/>
                <w14:ligatures w14:val="none"/>
              </w:rPr>
              <w:t>2.</w:t>
            </w:r>
            <w:r>
              <w:rPr>
                <w:rFonts w:hint="eastAsia" w:ascii="仿宋" w:hAnsi="仿宋" w:eastAsia="仿宋" w:cs="仿宋"/>
                <w:b w:val="0"/>
                <w:bCs/>
                <w:color w:val="auto"/>
                <w:kern w:val="0"/>
                <w:sz w:val="24"/>
                <w:szCs w:val="24"/>
                <w:highlight w:val="none"/>
                <w:u w:val="none"/>
                <w:lang w:val="en-US" w:eastAsia="zh-CN" w:bidi="ar-SA"/>
                <w14:ligatures w14:val="standardContextual"/>
              </w:rPr>
              <w:t>1.</w:t>
            </w:r>
            <w:r>
              <w:rPr>
                <w:rFonts w:hint="eastAsia" w:ascii="仿宋" w:hAnsi="仿宋" w:eastAsia="仿宋" w:cs="仿宋"/>
                <w:b w:val="0"/>
                <w:bCs/>
                <w:color w:val="auto"/>
                <w:kern w:val="2"/>
                <w:sz w:val="24"/>
                <w:szCs w:val="24"/>
                <w:highlight w:val="none"/>
                <w:u w:val="none"/>
                <w:lang w:val="en-US" w:eastAsia="zh-CN" w:bidi="ar-SA"/>
                <w14:ligatures w14:val="none"/>
              </w:rPr>
              <w:t>7</w:t>
            </w:r>
            <w:r>
              <w:rPr>
                <w:rFonts w:hint="eastAsia" w:ascii="仿宋" w:hAnsi="仿宋" w:eastAsia="仿宋" w:cs="仿宋"/>
                <w:color w:val="auto"/>
                <w:sz w:val="24"/>
                <w:highlight w:val="none"/>
                <w:u w:val="none"/>
                <w14:ligatures w14:val="none"/>
              </w:rPr>
              <w:t>支持显示实时画面识别的切面名称、质控得分、质控等级（标准、基本标准、非标准）；</w:t>
            </w:r>
          </w:p>
        </w:tc>
      </w:tr>
      <w:tr w14:paraId="70622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62DD5643">
            <w:pPr>
              <w:pStyle w:val="607"/>
              <w:keepNext w:val="0"/>
              <w:keepLines w:val="0"/>
              <w:pageBreakBefore w:val="0"/>
              <w:widowControl w:val="0"/>
              <w:numPr>
                <w:ilvl w:val="0"/>
                <w:numId w:val="27"/>
              </w:numPr>
              <w:kinsoku/>
              <w:wordWrap/>
              <w:overflowPunct/>
              <w:topLinePunct w:val="0"/>
              <w:autoSpaceDE/>
              <w:autoSpaceDN/>
              <w:bidi w:val="0"/>
              <w:adjustRightInd/>
              <w:snapToGrid/>
              <w:spacing w:line="400" w:lineRule="exact"/>
              <w:ind w:left="0" w:firstLine="0"/>
              <w:contextualSpacing w:val="0"/>
              <w:jc w:val="center"/>
              <w:textAlignment w:val="auto"/>
              <w:rPr>
                <w:rFonts w:hint="eastAsia" w:ascii="仿宋" w:hAnsi="仿宋" w:eastAsia="仿宋" w:cs="仿宋"/>
                <w:color w:val="auto"/>
                <w:sz w:val="24"/>
                <w:highlight w:val="none"/>
                <w:u w:val="none"/>
                <w14:ligatures w14:val="none"/>
              </w:rPr>
            </w:pPr>
          </w:p>
        </w:tc>
        <w:tc>
          <w:tcPr>
            <w:tcW w:w="4211" w:type="pct"/>
          </w:tcPr>
          <w:p w14:paraId="4E58B762">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14:ligatures w14:val="none"/>
              </w:rPr>
            </w:pPr>
            <w:r>
              <w:rPr>
                <w:rFonts w:hint="eastAsia" w:ascii="仿宋" w:hAnsi="仿宋" w:eastAsia="仿宋" w:cs="仿宋"/>
                <w:b w:val="0"/>
                <w:bCs/>
                <w:color w:val="auto"/>
                <w:kern w:val="2"/>
                <w:sz w:val="24"/>
                <w:szCs w:val="24"/>
                <w:highlight w:val="none"/>
                <w:u w:val="none"/>
                <w:lang w:val="en-US" w:eastAsia="zh-CN" w:bidi="ar-SA"/>
                <w14:ligatures w14:val="none"/>
              </w:rPr>
              <w:t>2.</w:t>
            </w:r>
            <w:r>
              <w:rPr>
                <w:rFonts w:hint="eastAsia" w:ascii="仿宋" w:hAnsi="仿宋" w:eastAsia="仿宋" w:cs="仿宋"/>
                <w:b w:val="0"/>
                <w:bCs/>
                <w:color w:val="auto"/>
                <w:kern w:val="0"/>
                <w:sz w:val="24"/>
                <w:szCs w:val="24"/>
                <w:highlight w:val="none"/>
                <w:u w:val="none"/>
                <w:lang w:val="en-US" w:eastAsia="zh-CN" w:bidi="ar-SA"/>
                <w14:ligatures w14:val="standardContextual"/>
              </w:rPr>
              <w:t>1.</w:t>
            </w:r>
            <w:r>
              <w:rPr>
                <w:rFonts w:hint="eastAsia" w:ascii="仿宋" w:hAnsi="仿宋" w:eastAsia="仿宋" w:cs="仿宋"/>
                <w:b w:val="0"/>
                <w:bCs/>
                <w:color w:val="auto"/>
                <w:kern w:val="2"/>
                <w:sz w:val="24"/>
                <w:szCs w:val="24"/>
                <w:highlight w:val="none"/>
                <w:u w:val="none"/>
                <w:lang w:val="en-US" w:eastAsia="zh-CN" w:bidi="ar-SA"/>
                <w14:ligatures w14:val="none"/>
              </w:rPr>
              <w:t>8</w:t>
            </w:r>
            <w:r>
              <w:rPr>
                <w:rFonts w:hint="eastAsia" w:ascii="仿宋" w:hAnsi="仿宋" w:eastAsia="仿宋" w:cs="仿宋"/>
                <w:color w:val="auto"/>
                <w:sz w:val="24"/>
                <w:highlight w:val="none"/>
                <w:u w:val="none"/>
                <w14:ligatures w14:val="none"/>
              </w:rPr>
              <w:t>支持最高分切面自动替换低分的切面作为标准切面；</w:t>
            </w:r>
          </w:p>
        </w:tc>
      </w:tr>
      <w:tr w14:paraId="528BD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509680B9">
            <w:pPr>
              <w:pStyle w:val="607"/>
              <w:keepNext w:val="0"/>
              <w:keepLines w:val="0"/>
              <w:pageBreakBefore w:val="0"/>
              <w:widowControl w:val="0"/>
              <w:numPr>
                <w:ilvl w:val="0"/>
                <w:numId w:val="27"/>
              </w:numPr>
              <w:kinsoku/>
              <w:wordWrap/>
              <w:overflowPunct/>
              <w:topLinePunct w:val="0"/>
              <w:autoSpaceDE/>
              <w:autoSpaceDN/>
              <w:bidi w:val="0"/>
              <w:adjustRightInd/>
              <w:snapToGrid/>
              <w:spacing w:line="400" w:lineRule="exact"/>
              <w:ind w:left="0" w:firstLine="0"/>
              <w:contextualSpacing w:val="0"/>
              <w:jc w:val="center"/>
              <w:textAlignment w:val="auto"/>
              <w:rPr>
                <w:rFonts w:hint="eastAsia" w:ascii="仿宋" w:hAnsi="仿宋" w:eastAsia="仿宋" w:cs="仿宋"/>
                <w:color w:val="auto"/>
                <w:sz w:val="24"/>
                <w:highlight w:val="none"/>
                <w:u w:val="none"/>
                <w14:ligatures w14:val="none"/>
              </w:rPr>
            </w:pPr>
          </w:p>
        </w:tc>
        <w:tc>
          <w:tcPr>
            <w:tcW w:w="4211" w:type="pct"/>
          </w:tcPr>
          <w:p w14:paraId="3962EC39">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14:ligatures w14:val="none"/>
              </w:rPr>
            </w:pPr>
            <w:r>
              <w:rPr>
                <w:rFonts w:hint="eastAsia" w:ascii="仿宋" w:hAnsi="仿宋" w:eastAsia="仿宋" w:cs="仿宋"/>
                <w:b w:val="0"/>
                <w:bCs/>
                <w:color w:val="auto"/>
                <w:kern w:val="2"/>
                <w:sz w:val="24"/>
                <w:szCs w:val="24"/>
                <w:highlight w:val="none"/>
                <w:u w:val="none"/>
                <w:lang w:val="en-US" w:eastAsia="zh-CN" w:bidi="ar-SA"/>
                <w14:ligatures w14:val="none"/>
              </w:rPr>
              <w:t>2.</w:t>
            </w:r>
            <w:r>
              <w:rPr>
                <w:rFonts w:hint="eastAsia" w:ascii="仿宋" w:hAnsi="仿宋" w:eastAsia="仿宋" w:cs="仿宋"/>
                <w:b w:val="0"/>
                <w:bCs/>
                <w:color w:val="auto"/>
                <w:kern w:val="0"/>
                <w:sz w:val="24"/>
                <w:szCs w:val="24"/>
                <w:highlight w:val="none"/>
                <w:u w:val="none"/>
                <w:lang w:val="en-US" w:eastAsia="zh-CN" w:bidi="ar-SA"/>
                <w14:ligatures w14:val="standardContextual"/>
              </w:rPr>
              <w:t>1.</w:t>
            </w:r>
            <w:r>
              <w:rPr>
                <w:rFonts w:hint="eastAsia" w:ascii="仿宋" w:hAnsi="仿宋" w:eastAsia="仿宋" w:cs="仿宋"/>
                <w:b w:val="0"/>
                <w:bCs/>
                <w:color w:val="auto"/>
                <w:kern w:val="2"/>
                <w:sz w:val="24"/>
                <w:szCs w:val="24"/>
                <w:highlight w:val="none"/>
                <w:u w:val="none"/>
                <w:lang w:val="en-US" w:eastAsia="zh-CN" w:bidi="ar-SA"/>
                <w14:ligatures w14:val="none"/>
              </w:rPr>
              <w:t>9</w:t>
            </w:r>
            <w:r>
              <w:rPr>
                <w:rFonts w:hint="eastAsia" w:ascii="仿宋" w:hAnsi="仿宋" w:eastAsia="仿宋" w:cs="仿宋"/>
                <w:color w:val="auto"/>
                <w:sz w:val="24"/>
                <w:highlight w:val="none"/>
                <w:u w:val="none"/>
                <w14:ligatures w14:val="none"/>
              </w:rPr>
              <w:t>支持自动采集的标准切面，前后20帧作为有效视频帧，形成动态实况视频；</w:t>
            </w:r>
          </w:p>
        </w:tc>
      </w:tr>
      <w:tr w14:paraId="3AF07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734B6548">
            <w:pPr>
              <w:pStyle w:val="607"/>
              <w:keepNext w:val="0"/>
              <w:keepLines w:val="0"/>
              <w:pageBreakBefore w:val="0"/>
              <w:widowControl w:val="0"/>
              <w:numPr>
                <w:ilvl w:val="0"/>
                <w:numId w:val="27"/>
              </w:numPr>
              <w:kinsoku/>
              <w:wordWrap/>
              <w:overflowPunct/>
              <w:topLinePunct w:val="0"/>
              <w:autoSpaceDE/>
              <w:autoSpaceDN/>
              <w:bidi w:val="0"/>
              <w:adjustRightInd/>
              <w:snapToGrid/>
              <w:spacing w:line="400" w:lineRule="exact"/>
              <w:ind w:left="0" w:firstLine="0"/>
              <w:contextualSpacing w:val="0"/>
              <w:jc w:val="center"/>
              <w:textAlignment w:val="auto"/>
              <w:rPr>
                <w:rFonts w:hint="eastAsia" w:ascii="仿宋" w:hAnsi="仿宋" w:eastAsia="仿宋" w:cs="仿宋"/>
                <w:color w:val="auto"/>
                <w:sz w:val="24"/>
                <w:highlight w:val="none"/>
                <w:u w:val="none"/>
                <w14:ligatures w14:val="none"/>
              </w:rPr>
            </w:pPr>
          </w:p>
        </w:tc>
        <w:tc>
          <w:tcPr>
            <w:tcW w:w="4211" w:type="pct"/>
          </w:tcPr>
          <w:p w14:paraId="7726B4C1">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lang w:val="en-US" w:eastAsia="zh-CN"/>
                <w14:ligatures w14:val="none"/>
              </w:rPr>
            </w:pPr>
            <w:r>
              <w:rPr>
                <w:rFonts w:hint="eastAsia" w:ascii="仿宋" w:hAnsi="仿宋" w:eastAsia="仿宋" w:cs="仿宋"/>
                <w:b w:val="0"/>
                <w:bCs/>
                <w:color w:val="auto"/>
                <w:kern w:val="2"/>
                <w:sz w:val="24"/>
                <w:szCs w:val="24"/>
                <w:highlight w:val="none"/>
                <w:u w:val="none"/>
                <w:lang w:val="en-US" w:eastAsia="zh-CN" w:bidi="ar-SA"/>
                <w14:ligatures w14:val="none"/>
              </w:rPr>
              <w:t>2.</w:t>
            </w:r>
            <w:r>
              <w:rPr>
                <w:rFonts w:hint="eastAsia" w:ascii="仿宋" w:hAnsi="仿宋" w:eastAsia="仿宋" w:cs="仿宋"/>
                <w:b w:val="0"/>
                <w:bCs/>
                <w:color w:val="auto"/>
                <w:kern w:val="0"/>
                <w:sz w:val="24"/>
                <w:szCs w:val="24"/>
                <w:highlight w:val="none"/>
                <w:u w:val="none"/>
                <w:lang w:val="en-US" w:eastAsia="zh-CN" w:bidi="ar-SA"/>
                <w14:ligatures w14:val="standardContextual"/>
              </w:rPr>
              <w:t>1.</w:t>
            </w:r>
            <w:r>
              <w:rPr>
                <w:rFonts w:hint="eastAsia" w:ascii="仿宋" w:hAnsi="仿宋" w:eastAsia="仿宋" w:cs="仿宋"/>
                <w:b w:val="0"/>
                <w:bCs/>
                <w:color w:val="auto"/>
                <w:kern w:val="2"/>
                <w:sz w:val="24"/>
                <w:szCs w:val="24"/>
                <w:highlight w:val="none"/>
                <w:u w:val="none"/>
                <w:lang w:val="en-US" w:eastAsia="zh-CN" w:bidi="ar-SA"/>
                <w14:ligatures w14:val="none"/>
              </w:rPr>
              <w:t>10</w:t>
            </w:r>
            <w:r>
              <w:rPr>
                <w:rFonts w:hint="eastAsia" w:ascii="仿宋" w:hAnsi="仿宋" w:eastAsia="仿宋" w:cs="仿宋"/>
                <w:color w:val="auto"/>
                <w:sz w:val="24"/>
                <w:highlight w:val="none"/>
                <w:u w:val="none"/>
                <w14:ligatures w14:val="none"/>
              </w:rPr>
              <w:t>支持通过快捷键、超声设备按钮、手柄</w:t>
            </w:r>
            <w:r>
              <w:rPr>
                <w:rFonts w:hint="eastAsia" w:ascii="仿宋" w:hAnsi="仿宋" w:eastAsia="仿宋" w:cs="仿宋"/>
                <w:color w:val="auto"/>
                <w:sz w:val="24"/>
                <w:highlight w:val="none"/>
                <w:u w:val="none"/>
                <w:lang w:val="en-US" w:eastAsia="zh-CN"/>
                <w14:ligatures w14:val="none"/>
              </w:rPr>
              <w:t>等方式进行</w:t>
            </w:r>
            <w:r>
              <w:rPr>
                <w:rFonts w:hint="eastAsia" w:ascii="仿宋" w:hAnsi="仿宋" w:eastAsia="仿宋" w:cs="仿宋"/>
                <w:color w:val="auto"/>
                <w:sz w:val="24"/>
                <w:highlight w:val="none"/>
                <w:u w:val="none"/>
                <w14:ligatures w14:val="none"/>
              </w:rPr>
              <w:t>采集图像；</w:t>
            </w:r>
          </w:p>
        </w:tc>
      </w:tr>
      <w:tr w14:paraId="497F5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88" w:type="pct"/>
            <w:vMerge w:val="continue"/>
          </w:tcPr>
          <w:p w14:paraId="730707A9">
            <w:pPr>
              <w:pStyle w:val="607"/>
              <w:keepNext w:val="0"/>
              <w:keepLines w:val="0"/>
              <w:pageBreakBefore w:val="0"/>
              <w:widowControl w:val="0"/>
              <w:numPr>
                <w:ilvl w:val="0"/>
                <w:numId w:val="27"/>
              </w:numPr>
              <w:kinsoku/>
              <w:wordWrap/>
              <w:overflowPunct/>
              <w:topLinePunct w:val="0"/>
              <w:autoSpaceDE/>
              <w:autoSpaceDN/>
              <w:bidi w:val="0"/>
              <w:adjustRightInd/>
              <w:snapToGrid/>
              <w:spacing w:line="400" w:lineRule="exact"/>
              <w:ind w:left="0" w:firstLine="0"/>
              <w:contextualSpacing w:val="0"/>
              <w:jc w:val="center"/>
              <w:textAlignment w:val="auto"/>
              <w:rPr>
                <w:rFonts w:hint="eastAsia" w:ascii="仿宋" w:hAnsi="仿宋" w:eastAsia="仿宋" w:cs="仿宋"/>
                <w:color w:val="auto"/>
                <w:sz w:val="24"/>
                <w:highlight w:val="none"/>
                <w:u w:val="none"/>
                <w14:ligatures w14:val="none"/>
              </w:rPr>
            </w:pPr>
          </w:p>
        </w:tc>
        <w:tc>
          <w:tcPr>
            <w:tcW w:w="4211" w:type="pct"/>
          </w:tcPr>
          <w:p w14:paraId="5BB56456">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14:ligatures w14:val="none"/>
              </w:rPr>
            </w:pPr>
            <w:r>
              <w:rPr>
                <w:rFonts w:hint="eastAsia" w:ascii="仿宋" w:hAnsi="仿宋" w:eastAsia="仿宋" w:cs="仿宋"/>
                <w:b w:val="0"/>
                <w:bCs/>
                <w:color w:val="auto"/>
                <w:kern w:val="2"/>
                <w:sz w:val="24"/>
                <w:szCs w:val="24"/>
                <w:highlight w:val="none"/>
                <w:u w:val="none"/>
                <w:lang w:val="en-US" w:eastAsia="zh-CN" w:bidi="ar-SA"/>
                <w14:ligatures w14:val="none"/>
              </w:rPr>
              <w:t>2.</w:t>
            </w:r>
            <w:r>
              <w:rPr>
                <w:rFonts w:hint="eastAsia" w:ascii="仿宋" w:hAnsi="仿宋" w:eastAsia="仿宋" w:cs="仿宋"/>
                <w:b w:val="0"/>
                <w:bCs/>
                <w:color w:val="auto"/>
                <w:kern w:val="0"/>
                <w:sz w:val="24"/>
                <w:szCs w:val="24"/>
                <w:highlight w:val="none"/>
                <w:u w:val="none"/>
                <w:lang w:val="en-US" w:eastAsia="zh-CN" w:bidi="ar-SA"/>
                <w14:ligatures w14:val="standardContextual"/>
              </w:rPr>
              <w:t>1.</w:t>
            </w:r>
            <w:r>
              <w:rPr>
                <w:rFonts w:hint="eastAsia" w:ascii="仿宋" w:hAnsi="仿宋" w:eastAsia="仿宋" w:cs="仿宋"/>
                <w:b w:val="0"/>
                <w:bCs/>
                <w:color w:val="auto"/>
                <w:kern w:val="2"/>
                <w:sz w:val="24"/>
                <w:szCs w:val="24"/>
                <w:highlight w:val="none"/>
                <w:u w:val="none"/>
                <w:lang w:val="en-US" w:eastAsia="zh-CN" w:bidi="ar-SA"/>
                <w14:ligatures w14:val="none"/>
              </w:rPr>
              <w:t>11</w:t>
            </w:r>
            <w:r>
              <w:rPr>
                <w:rFonts w:hint="eastAsia" w:ascii="仿宋" w:hAnsi="仿宋" w:eastAsia="仿宋" w:cs="仿宋"/>
                <w:color w:val="auto"/>
                <w:sz w:val="24"/>
                <w:highlight w:val="none"/>
                <w:u w:val="none"/>
                <w14:ligatures w14:val="none"/>
              </w:rPr>
              <w:t>支持根据不同检查类型，显示当前检查的待采集切面列表；</w:t>
            </w:r>
          </w:p>
        </w:tc>
      </w:tr>
      <w:tr w14:paraId="1429E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63052E6C">
            <w:pPr>
              <w:pStyle w:val="607"/>
              <w:keepNext w:val="0"/>
              <w:keepLines w:val="0"/>
              <w:pageBreakBefore w:val="0"/>
              <w:widowControl w:val="0"/>
              <w:numPr>
                <w:ilvl w:val="0"/>
                <w:numId w:val="27"/>
              </w:numPr>
              <w:kinsoku/>
              <w:wordWrap/>
              <w:overflowPunct/>
              <w:topLinePunct w:val="0"/>
              <w:autoSpaceDE/>
              <w:autoSpaceDN/>
              <w:bidi w:val="0"/>
              <w:adjustRightInd/>
              <w:snapToGrid/>
              <w:spacing w:line="400" w:lineRule="exact"/>
              <w:ind w:left="0" w:firstLine="0"/>
              <w:contextualSpacing w:val="0"/>
              <w:jc w:val="center"/>
              <w:textAlignment w:val="auto"/>
              <w:rPr>
                <w:rFonts w:hint="eastAsia" w:ascii="仿宋" w:hAnsi="仿宋" w:eastAsia="仿宋" w:cs="仿宋"/>
                <w:color w:val="auto"/>
                <w:sz w:val="24"/>
                <w:highlight w:val="none"/>
                <w:u w:val="none"/>
                <w14:ligatures w14:val="none"/>
              </w:rPr>
            </w:pPr>
          </w:p>
        </w:tc>
        <w:tc>
          <w:tcPr>
            <w:tcW w:w="4211" w:type="pct"/>
          </w:tcPr>
          <w:p w14:paraId="433447E1">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14:ligatures w14:val="none"/>
              </w:rPr>
            </w:pPr>
            <w:r>
              <w:rPr>
                <w:rFonts w:hint="eastAsia" w:ascii="仿宋" w:hAnsi="仿宋" w:eastAsia="仿宋" w:cs="仿宋"/>
                <w:color w:val="auto"/>
                <w:sz w:val="24"/>
                <w:highlight w:val="none"/>
                <w:u w:val="none"/>
                <w14:ligatures w14:val="none"/>
              </w:rPr>
              <w:t>★</w:t>
            </w:r>
            <w:r>
              <w:rPr>
                <w:rFonts w:hint="eastAsia" w:ascii="仿宋" w:hAnsi="仿宋" w:eastAsia="仿宋" w:cs="仿宋"/>
                <w:b w:val="0"/>
                <w:bCs/>
                <w:color w:val="auto"/>
                <w:kern w:val="2"/>
                <w:sz w:val="24"/>
                <w:szCs w:val="24"/>
                <w:highlight w:val="none"/>
                <w:u w:val="none"/>
                <w:lang w:val="en-US" w:eastAsia="zh-CN" w:bidi="ar-SA"/>
                <w14:ligatures w14:val="none"/>
              </w:rPr>
              <w:t>2.</w:t>
            </w:r>
            <w:r>
              <w:rPr>
                <w:rFonts w:hint="eastAsia" w:ascii="仿宋" w:hAnsi="仿宋" w:eastAsia="仿宋" w:cs="仿宋"/>
                <w:b w:val="0"/>
                <w:bCs/>
                <w:color w:val="auto"/>
                <w:kern w:val="0"/>
                <w:sz w:val="24"/>
                <w:szCs w:val="24"/>
                <w:highlight w:val="none"/>
                <w:u w:val="none"/>
                <w:lang w:val="en-US" w:eastAsia="zh-CN" w:bidi="ar-SA"/>
                <w14:ligatures w14:val="standardContextual"/>
              </w:rPr>
              <w:t>1.</w:t>
            </w:r>
            <w:r>
              <w:rPr>
                <w:rFonts w:hint="eastAsia" w:ascii="仿宋" w:hAnsi="仿宋" w:eastAsia="仿宋" w:cs="仿宋"/>
                <w:b w:val="0"/>
                <w:bCs/>
                <w:color w:val="auto"/>
                <w:kern w:val="2"/>
                <w:sz w:val="24"/>
                <w:szCs w:val="24"/>
                <w:highlight w:val="none"/>
                <w:u w:val="none"/>
                <w:lang w:val="en-US" w:eastAsia="zh-CN" w:bidi="ar-SA"/>
                <w14:ligatures w14:val="none"/>
              </w:rPr>
              <w:t>12</w:t>
            </w:r>
            <w:r>
              <w:rPr>
                <w:rFonts w:hint="eastAsia" w:ascii="仿宋" w:hAnsi="仿宋" w:eastAsia="仿宋" w:cs="仿宋"/>
                <w:color w:val="auto"/>
                <w:sz w:val="24"/>
                <w:highlight w:val="none"/>
                <w:u w:val="none"/>
                <w14:ligatures w14:val="none"/>
              </w:rPr>
              <w:t>支持查看检查过程中切面是否有遗漏，当切面被保存下来时，切面列表的切面名称字体颜色发生变化以示提醒，没有被采集的切面会持续留在列表中，减少切面的遗漏；</w:t>
            </w:r>
          </w:p>
        </w:tc>
      </w:tr>
      <w:tr w14:paraId="6DEED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3CA7171B">
            <w:pPr>
              <w:pStyle w:val="607"/>
              <w:keepNext w:val="0"/>
              <w:keepLines w:val="0"/>
              <w:pageBreakBefore w:val="0"/>
              <w:widowControl w:val="0"/>
              <w:numPr>
                <w:ilvl w:val="0"/>
                <w:numId w:val="27"/>
              </w:numPr>
              <w:kinsoku/>
              <w:wordWrap/>
              <w:overflowPunct/>
              <w:topLinePunct w:val="0"/>
              <w:autoSpaceDE/>
              <w:autoSpaceDN/>
              <w:bidi w:val="0"/>
              <w:adjustRightInd/>
              <w:snapToGrid/>
              <w:spacing w:line="400" w:lineRule="exact"/>
              <w:ind w:left="0" w:firstLine="0"/>
              <w:contextualSpacing w:val="0"/>
              <w:jc w:val="center"/>
              <w:textAlignment w:val="auto"/>
              <w:rPr>
                <w:rFonts w:hint="eastAsia" w:ascii="仿宋" w:hAnsi="仿宋" w:eastAsia="仿宋" w:cs="仿宋"/>
                <w:color w:val="auto"/>
                <w:sz w:val="24"/>
                <w:highlight w:val="none"/>
                <w:u w:val="none"/>
                <w14:ligatures w14:val="none"/>
              </w:rPr>
            </w:pPr>
          </w:p>
        </w:tc>
        <w:tc>
          <w:tcPr>
            <w:tcW w:w="4211" w:type="pct"/>
          </w:tcPr>
          <w:p w14:paraId="66FA1717">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14:ligatures w14:val="none"/>
              </w:rPr>
            </w:pPr>
            <w:r>
              <w:rPr>
                <w:rFonts w:hint="eastAsia" w:ascii="仿宋" w:hAnsi="仿宋" w:eastAsia="仿宋" w:cs="仿宋"/>
                <w:b w:val="0"/>
                <w:bCs/>
                <w:color w:val="auto"/>
                <w:kern w:val="2"/>
                <w:sz w:val="24"/>
                <w:szCs w:val="24"/>
                <w:highlight w:val="none"/>
                <w:u w:val="none"/>
                <w:lang w:val="en-US" w:eastAsia="zh-CN" w:bidi="ar-SA"/>
                <w14:ligatures w14:val="none"/>
              </w:rPr>
              <w:t>2.</w:t>
            </w:r>
            <w:r>
              <w:rPr>
                <w:rFonts w:hint="eastAsia" w:ascii="仿宋" w:hAnsi="仿宋" w:eastAsia="仿宋" w:cs="仿宋"/>
                <w:b w:val="0"/>
                <w:bCs/>
                <w:color w:val="auto"/>
                <w:kern w:val="0"/>
                <w:sz w:val="24"/>
                <w:szCs w:val="24"/>
                <w:highlight w:val="none"/>
                <w:u w:val="none"/>
                <w:lang w:val="en-US" w:eastAsia="zh-CN" w:bidi="ar-SA"/>
                <w14:ligatures w14:val="standardContextual"/>
              </w:rPr>
              <w:t>1.</w:t>
            </w:r>
            <w:r>
              <w:rPr>
                <w:rFonts w:hint="eastAsia" w:ascii="仿宋" w:hAnsi="仿宋" w:eastAsia="仿宋" w:cs="仿宋"/>
                <w:b w:val="0"/>
                <w:bCs/>
                <w:color w:val="auto"/>
                <w:kern w:val="2"/>
                <w:sz w:val="24"/>
                <w:szCs w:val="24"/>
                <w:highlight w:val="none"/>
                <w:u w:val="none"/>
                <w:lang w:val="en-US" w:eastAsia="zh-CN" w:bidi="ar-SA"/>
                <w14:ligatures w14:val="none"/>
              </w:rPr>
              <w:t>13</w:t>
            </w:r>
            <w:r>
              <w:rPr>
                <w:rFonts w:hint="eastAsia" w:ascii="仿宋" w:hAnsi="仿宋" w:eastAsia="仿宋" w:cs="仿宋"/>
                <w:color w:val="auto"/>
                <w:sz w:val="24"/>
                <w:highlight w:val="none"/>
                <w:u w:val="none"/>
                <w14:ligatures w14:val="none"/>
              </w:rPr>
              <w:t>支持展开检查切面名称列表，查看已采集的切面；</w:t>
            </w:r>
          </w:p>
        </w:tc>
      </w:tr>
      <w:tr w14:paraId="45EE2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1838B059">
            <w:pPr>
              <w:pStyle w:val="607"/>
              <w:keepNext w:val="0"/>
              <w:keepLines w:val="0"/>
              <w:pageBreakBefore w:val="0"/>
              <w:widowControl w:val="0"/>
              <w:numPr>
                <w:ilvl w:val="0"/>
                <w:numId w:val="27"/>
              </w:numPr>
              <w:kinsoku/>
              <w:wordWrap/>
              <w:overflowPunct/>
              <w:topLinePunct w:val="0"/>
              <w:autoSpaceDE/>
              <w:autoSpaceDN/>
              <w:bidi w:val="0"/>
              <w:adjustRightInd/>
              <w:snapToGrid/>
              <w:spacing w:line="400" w:lineRule="exact"/>
              <w:ind w:left="0" w:firstLine="0"/>
              <w:contextualSpacing w:val="0"/>
              <w:jc w:val="center"/>
              <w:textAlignment w:val="auto"/>
              <w:rPr>
                <w:rFonts w:hint="eastAsia" w:ascii="仿宋" w:hAnsi="仿宋" w:eastAsia="仿宋" w:cs="仿宋"/>
                <w:color w:val="auto"/>
                <w:sz w:val="24"/>
                <w:highlight w:val="none"/>
                <w:u w:val="none"/>
                <w14:ligatures w14:val="none"/>
              </w:rPr>
            </w:pPr>
          </w:p>
        </w:tc>
        <w:tc>
          <w:tcPr>
            <w:tcW w:w="4211" w:type="pct"/>
          </w:tcPr>
          <w:p w14:paraId="4075AC0B">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14:ligatures w14:val="none"/>
              </w:rPr>
            </w:pPr>
            <w:r>
              <w:rPr>
                <w:rFonts w:hint="eastAsia" w:ascii="仿宋" w:hAnsi="仿宋" w:eastAsia="仿宋" w:cs="仿宋"/>
                <w:b w:val="0"/>
                <w:bCs/>
                <w:color w:val="auto"/>
                <w:kern w:val="2"/>
                <w:sz w:val="24"/>
                <w:szCs w:val="24"/>
                <w:highlight w:val="none"/>
                <w:u w:val="none"/>
                <w:lang w:val="en-US" w:eastAsia="zh-CN" w:bidi="ar-SA"/>
                <w14:ligatures w14:val="none"/>
              </w:rPr>
              <w:t>2.</w:t>
            </w:r>
            <w:r>
              <w:rPr>
                <w:rFonts w:hint="eastAsia" w:ascii="仿宋" w:hAnsi="仿宋" w:eastAsia="仿宋" w:cs="仿宋"/>
                <w:b w:val="0"/>
                <w:bCs/>
                <w:color w:val="auto"/>
                <w:kern w:val="0"/>
                <w:sz w:val="24"/>
                <w:szCs w:val="24"/>
                <w:highlight w:val="none"/>
                <w:u w:val="none"/>
                <w:lang w:val="en-US" w:eastAsia="zh-CN" w:bidi="ar-SA"/>
                <w14:ligatures w14:val="standardContextual"/>
              </w:rPr>
              <w:t>1.</w:t>
            </w:r>
            <w:r>
              <w:rPr>
                <w:rFonts w:hint="eastAsia" w:ascii="仿宋" w:hAnsi="仿宋" w:eastAsia="仿宋" w:cs="仿宋"/>
                <w:b w:val="0"/>
                <w:bCs/>
                <w:color w:val="auto"/>
                <w:kern w:val="2"/>
                <w:sz w:val="24"/>
                <w:szCs w:val="24"/>
                <w:highlight w:val="none"/>
                <w:u w:val="none"/>
                <w:lang w:val="en-US" w:eastAsia="zh-CN" w:bidi="ar-SA"/>
                <w14:ligatures w14:val="none"/>
              </w:rPr>
              <w:t>14</w:t>
            </w:r>
            <w:r>
              <w:rPr>
                <w:rFonts w:hint="eastAsia" w:ascii="仿宋" w:hAnsi="仿宋" w:eastAsia="仿宋" w:cs="仿宋"/>
                <w:color w:val="auto"/>
                <w:sz w:val="24"/>
                <w:highlight w:val="none"/>
                <w:u w:val="none"/>
                <w14:ligatures w14:val="none"/>
              </w:rPr>
              <w:t>支持双击已采集到切面名称，自动跳到该切面视频，查看对应的视频影像；</w:t>
            </w:r>
          </w:p>
        </w:tc>
      </w:tr>
      <w:tr w14:paraId="339C0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1E6CEC1F">
            <w:pPr>
              <w:pStyle w:val="607"/>
              <w:keepNext w:val="0"/>
              <w:keepLines w:val="0"/>
              <w:pageBreakBefore w:val="0"/>
              <w:widowControl w:val="0"/>
              <w:numPr>
                <w:ilvl w:val="0"/>
                <w:numId w:val="27"/>
              </w:numPr>
              <w:kinsoku/>
              <w:wordWrap/>
              <w:overflowPunct/>
              <w:topLinePunct w:val="0"/>
              <w:autoSpaceDE/>
              <w:autoSpaceDN/>
              <w:bidi w:val="0"/>
              <w:adjustRightInd/>
              <w:snapToGrid/>
              <w:spacing w:line="400" w:lineRule="exact"/>
              <w:ind w:left="0" w:firstLine="0"/>
              <w:contextualSpacing w:val="0"/>
              <w:jc w:val="center"/>
              <w:textAlignment w:val="auto"/>
              <w:rPr>
                <w:rFonts w:hint="eastAsia" w:ascii="仿宋" w:hAnsi="仿宋" w:eastAsia="仿宋" w:cs="仿宋"/>
                <w:color w:val="auto"/>
                <w:sz w:val="24"/>
                <w:highlight w:val="none"/>
                <w:u w:val="none"/>
                <w14:ligatures w14:val="none"/>
              </w:rPr>
            </w:pPr>
          </w:p>
        </w:tc>
        <w:tc>
          <w:tcPr>
            <w:tcW w:w="4211" w:type="pct"/>
          </w:tcPr>
          <w:p w14:paraId="1376B809">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14:ligatures w14:val="none"/>
              </w:rPr>
            </w:pPr>
            <w:r>
              <w:rPr>
                <w:rFonts w:hint="eastAsia" w:ascii="仿宋" w:hAnsi="仿宋" w:eastAsia="仿宋" w:cs="仿宋"/>
                <w:color w:val="auto"/>
                <w:sz w:val="24"/>
                <w:highlight w:val="none"/>
                <w:u w:val="none"/>
                <w14:ligatures w14:val="none"/>
              </w:rPr>
              <w:t>★</w:t>
            </w:r>
            <w:r>
              <w:rPr>
                <w:rFonts w:hint="eastAsia" w:ascii="仿宋" w:hAnsi="仿宋" w:eastAsia="仿宋" w:cs="仿宋"/>
                <w:b w:val="0"/>
                <w:bCs/>
                <w:color w:val="auto"/>
                <w:kern w:val="2"/>
                <w:sz w:val="24"/>
                <w:szCs w:val="24"/>
                <w:highlight w:val="none"/>
                <w:u w:val="none"/>
                <w:lang w:val="en-US" w:eastAsia="zh-CN" w:bidi="ar-SA"/>
                <w14:ligatures w14:val="none"/>
              </w:rPr>
              <w:t>2.</w:t>
            </w:r>
            <w:r>
              <w:rPr>
                <w:rFonts w:hint="eastAsia" w:ascii="仿宋" w:hAnsi="仿宋" w:eastAsia="仿宋" w:cs="仿宋"/>
                <w:b w:val="0"/>
                <w:bCs/>
                <w:color w:val="auto"/>
                <w:kern w:val="0"/>
                <w:sz w:val="24"/>
                <w:szCs w:val="24"/>
                <w:highlight w:val="none"/>
                <w:u w:val="none"/>
                <w:lang w:val="en-US" w:eastAsia="zh-CN" w:bidi="ar-SA"/>
                <w14:ligatures w14:val="standardContextual"/>
              </w:rPr>
              <w:t>1.</w:t>
            </w:r>
            <w:r>
              <w:rPr>
                <w:rFonts w:hint="eastAsia" w:ascii="仿宋" w:hAnsi="仿宋" w:eastAsia="仿宋" w:cs="仿宋"/>
                <w:b w:val="0"/>
                <w:bCs/>
                <w:color w:val="auto"/>
                <w:kern w:val="2"/>
                <w:sz w:val="24"/>
                <w:szCs w:val="24"/>
                <w:highlight w:val="none"/>
                <w:u w:val="none"/>
                <w:lang w:val="en-US" w:eastAsia="zh-CN" w:bidi="ar-SA"/>
                <w14:ligatures w14:val="none"/>
              </w:rPr>
              <w:t>15</w:t>
            </w:r>
            <w:r>
              <w:rPr>
                <w:rFonts w:hint="eastAsia" w:ascii="仿宋" w:hAnsi="仿宋" w:eastAsia="仿宋" w:cs="仿宋"/>
                <w:color w:val="auto"/>
                <w:sz w:val="24"/>
                <w:highlight w:val="none"/>
                <w:u w:val="none"/>
                <w14:ligatures w14:val="none"/>
              </w:rPr>
              <w:t>支持多胎检查，区分多胎待采集切面列表。支持切换显示、采集不同胎的待采集切面列表，已采集影像列表多胎同步切换；</w:t>
            </w:r>
          </w:p>
        </w:tc>
      </w:tr>
      <w:tr w14:paraId="2BA3A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7594CAB2">
            <w:pPr>
              <w:pStyle w:val="607"/>
              <w:keepNext w:val="0"/>
              <w:keepLines w:val="0"/>
              <w:pageBreakBefore w:val="0"/>
              <w:widowControl w:val="0"/>
              <w:numPr>
                <w:ilvl w:val="0"/>
                <w:numId w:val="27"/>
              </w:numPr>
              <w:kinsoku/>
              <w:wordWrap/>
              <w:overflowPunct/>
              <w:topLinePunct w:val="0"/>
              <w:autoSpaceDE/>
              <w:autoSpaceDN/>
              <w:bidi w:val="0"/>
              <w:adjustRightInd/>
              <w:snapToGrid/>
              <w:spacing w:line="400" w:lineRule="exact"/>
              <w:ind w:left="0" w:firstLine="0"/>
              <w:contextualSpacing w:val="0"/>
              <w:jc w:val="center"/>
              <w:textAlignment w:val="auto"/>
              <w:rPr>
                <w:rFonts w:hint="eastAsia" w:ascii="仿宋" w:hAnsi="仿宋" w:eastAsia="仿宋" w:cs="仿宋"/>
                <w:color w:val="auto"/>
                <w:sz w:val="24"/>
                <w:highlight w:val="none"/>
                <w:u w:val="none"/>
                <w14:ligatures w14:val="none"/>
              </w:rPr>
            </w:pPr>
          </w:p>
        </w:tc>
        <w:tc>
          <w:tcPr>
            <w:tcW w:w="4211" w:type="pct"/>
          </w:tcPr>
          <w:p w14:paraId="23A54741">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14:ligatures w14:val="none"/>
              </w:rPr>
            </w:pPr>
            <w:r>
              <w:rPr>
                <w:rFonts w:hint="eastAsia" w:ascii="仿宋" w:hAnsi="仿宋" w:eastAsia="仿宋" w:cs="仿宋"/>
                <w:b w:val="0"/>
                <w:bCs/>
                <w:color w:val="auto"/>
                <w:kern w:val="2"/>
                <w:sz w:val="24"/>
                <w:szCs w:val="24"/>
                <w:highlight w:val="none"/>
                <w:u w:val="none"/>
                <w:lang w:val="en-US" w:eastAsia="zh-CN" w:bidi="ar-SA"/>
                <w14:ligatures w14:val="none"/>
              </w:rPr>
              <w:t>2.</w:t>
            </w:r>
            <w:r>
              <w:rPr>
                <w:rFonts w:hint="eastAsia" w:ascii="仿宋" w:hAnsi="仿宋" w:eastAsia="仿宋" w:cs="仿宋"/>
                <w:b w:val="0"/>
                <w:bCs/>
                <w:color w:val="auto"/>
                <w:kern w:val="0"/>
                <w:sz w:val="24"/>
                <w:szCs w:val="24"/>
                <w:highlight w:val="none"/>
                <w:u w:val="none"/>
                <w:lang w:val="en-US" w:eastAsia="zh-CN" w:bidi="ar-SA"/>
                <w14:ligatures w14:val="standardContextual"/>
              </w:rPr>
              <w:t>1.</w:t>
            </w:r>
            <w:r>
              <w:rPr>
                <w:rFonts w:hint="eastAsia" w:ascii="仿宋" w:hAnsi="仿宋" w:eastAsia="仿宋" w:cs="仿宋"/>
                <w:b w:val="0"/>
                <w:bCs/>
                <w:color w:val="auto"/>
                <w:kern w:val="2"/>
                <w:sz w:val="24"/>
                <w:szCs w:val="24"/>
                <w:highlight w:val="none"/>
                <w:u w:val="none"/>
                <w:lang w:val="en-US" w:eastAsia="zh-CN" w:bidi="ar-SA"/>
                <w14:ligatures w14:val="none"/>
              </w:rPr>
              <w:t>16</w:t>
            </w:r>
            <w:r>
              <w:rPr>
                <w:rFonts w:hint="eastAsia" w:ascii="仿宋" w:hAnsi="仿宋" w:eastAsia="仿宋" w:cs="仿宋"/>
                <w:color w:val="auto"/>
                <w:sz w:val="24"/>
                <w:highlight w:val="none"/>
                <w:u w:val="none"/>
                <w14:ligatures w14:val="none"/>
              </w:rPr>
              <w:t>支持区分通过颜色显示已采集影像的详细信息，包括人工采集/自动采集，对应的切面名称、标准情况、分值。多胎时，标记是哪一胎的影像；</w:t>
            </w:r>
          </w:p>
        </w:tc>
      </w:tr>
      <w:tr w14:paraId="52122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5DCE1A79">
            <w:pPr>
              <w:pStyle w:val="607"/>
              <w:keepNext w:val="0"/>
              <w:keepLines w:val="0"/>
              <w:pageBreakBefore w:val="0"/>
              <w:widowControl w:val="0"/>
              <w:numPr>
                <w:ilvl w:val="0"/>
                <w:numId w:val="27"/>
              </w:numPr>
              <w:kinsoku/>
              <w:wordWrap/>
              <w:overflowPunct/>
              <w:topLinePunct w:val="0"/>
              <w:autoSpaceDE/>
              <w:autoSpaceDN/>
              <w:bidi w:val="0"/>
              <w:adjustRightInd/>
              <w:snapToGrid/>
              <w:spacing w:line="400" w:lineRule="exact"/>
              <w:ind w:left="0" w:firstLine="0"/>
              <w:contextualSpacing w:val="0"/>
              <w:jc w:val="center"/>
              <w:textAlignment w:val="auto"/>
              <w:rPr>
                <w:rFonts w:hint="eastAsia" w:ascii="仿宋" w:hAnsi="仿宋" w:eastAsia="仿宋" w:cs="仿宋"/>
                <w:color w:val="auto"/>
                <w:sz w:val="24"/>
                <w:highlight w:val="none"/>
                <w:u w:val="none"/>
                <w14:ligatures w14:val="none"/>
              </w:rPr>
            </w:pPr>
          </w:p>
        </w:tc>
        <w:tc>
          <w:tcPr>
            <w:tcW w:w="4211" w:type="pct"/>
          </w:tcPr>
          <w:p w14:paraId="2ADCC51B">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14:ligatures w14:val="none"/>
              </w:rPr>
            </w:pPr>
            <w:r>
              <w:rPr>
                <w:rFonts w:hint="eastAsia" w:ascii="仿宋" w:hAnsi="仿宋" w:eastAsia="仿宋" w:cs="仿宋"/>
                <w:color w:val="auto"/>
                <w:sz w:val="24"/>
                <w:highlight w:val="none"/>
                <w:u w:val="none"/>
                <w14:ligatures w14:val="none"/>
              </w:rPr>
              <w:t>★</w:t>
            </w:r>
            <w:r>
              <w:rPr>
                <w:rFonts w:hint="eastAsia" w:ascii="仿宋" w:hAnsi="仿宋" w:eastAsia="仿宋" w:cs="仿宋"/>
                <w:b w:val="0"/>
                <w:bCs/>
                <w:color w:val="auto"/>
                <w:kern w:val="2"/>
                <w:sz w:val="24"/>
                <w:szCs w:val="24"/>
                <w:highlight w:val="none"/>
                <w:u w:val="none"/>
                <w:lang w:val="en-US" w:eastAsia="zh-CN" w:bidi="ar-SA"/>
                <w14:ligatures w14:val="none"/>
              </w:rPr>
              <w:t>2.</w:t>
            </w:r>
            <w:r>
              <w:rPr>
                <w:rFonts w:hint="eastAsia" w:ascii="仿宋" w:hAnsi="仿宋" w:eastAsia="仿宋" w:cs="仿宋"/>
                <w:b w:val="0"/>
                <w:bCs/>
                <w:color w:val="auto"/>
                <w:kern w:val="0"/>
                <w:sz w:val="24"/>
                <w:szCs w:val="24"/>
                <w:highlight w:val="none"/>
                <w:u w:val="none"/>
                <w:lang w:val="en-US" w:eastAsia="zh-CN" w:bidi="ar-SA"/>
                <w14:ligatures w14:val="standardContextual"/>
              </w:rPr>
              <w:t>1.</w:t>
            </w:r>
            <w:r>
              <w:rPr>
                <w:rFonts w:hint="eastAsia" w:ascii="仿宋" w:hAnsi="仿宋" w:eastAsia="仿宋" w:cs="仿宋"/>
                <w:b w:val="0"/>
                <w:bCs/>
                <w:color w:val="auto"/>
                <w:kern w:val="2"/>
                <w:sz w:val="24"/>
                <w:szCs w:val="24"/>
                <w:highlight w:val="none"/>
                <w:u w:val="none"/>
                <w:lang w:val="en-US" w:eastAsia="zh-CN" w:bidi="ar-SA"/>
                <w14:ligatures w14:val="none"/>
              </w:rPr>
              <w:t>17</w:t>
            </w:r>
            <w:r>
              <w:rPr>
                <w:rFonts w:hint="eastAsia" w:ascii="仿宋" w:hAnsi="仿宋" w:eastAsia="仿宋" w:cs="仿宋"/>
                <w:color w:val="auto"/>
                <w:sz w:val="24"/>
                <w:highlight w:val="none"/>
                <w:u w:val="none"/>
                <w14:ligatures w14:val="none"/>
              </w:rPr>
              <w:t>支持自动采集的切面显示测量的信息，包括测量的线，测量值大小，相关的计算结果信息，如预估孕周信息、百分位数、Z分数、不同参数的比值信息、计算的预估体重信息；</w:t>
            </w:r>
          </w:p>
        </w:tc>
      </w:tr>
      <w:tr w14:paraId="7E148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7390AF4E">
            <w:pPr>
              <w:pStyle w:val="607"/>
              <w:keepNext w:val="0"/>
              <w:keepLines w:val="0"/>
              <w:pageBreakBefore w:val="0"/>
              <w:widowControl w:val="0"/>
              <w:numPr>
                <w:ilvl w:val="0"/>
                <w:numId w:val="27"/>
              </w:numPr>
              <w:kinsoku/>
              <w:wordWrap/>
              <w:overflowPunct/>
              <w:topLinePunct w:val="0"/>
              <w:autoSpaceDE/>
              <w:autoSpaceDN/>
              <w:bidi w:val="0"/>
              <w:adjustRightInd/>
              <w:snapToGrid/>
              <w:spacing w:line="400" w:lineRule="exact"/>
              <w:ind w:left="0" w:firstLine="0"/>
              <w:contextualSpacing w:val="0"/>
              <w:jc w:val="center"/>
              <w:textAlignment w:val="auto"/>
              <w:rPr>
                <w:rFonts w:hint="eastAsia" w:ascii="仿宋" w:hAnsi="仿宋" w:eastAsia="仿宋" w:cs="仿宋"/>
                <w:color w:val="auto"/>
                <w:sz w:val="24"/>
                <w:highlight w:val="none"/>
                <w:u w:val="none"/>
                <w14:ligatures w14:val="none"/>
              </w:rPr>
            </w:pPr>
          </w:p>
        </w:tc>
        <w:tc>
          <w:tcPr>
            <w:tcW w:w="4211" w:type="pct"/>
          </w:tcPr>
          <w:p w14:paraId="595BCE98">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14:ligatures w14:val="none"/>
              </w:rPr>
            </w:pPr>
            <w:r>
              <w:rPr>
                <w:rFonts w:hint="eastAsia" w:ascii="仿宋" w:hAnsi="仿宋" w:eastAsia="仿宋" w:cs="仿宋"/>
                <w:b w:val="0"/>
                <w:bCs/>
                <w:color w:val="auto"/>
                <w:kern w:val="2"/>
                <w:sz w:val="24"/>
                <w:szCs w:val="24"/>
                <w:highlight w:val="none"/>
                <w:u w:val="none"/>
                <w:lang w:val="en-US" w:eastAsia="zh-CN" w:bidi="ar-SA"/>
                <w14:ligatures w14:val="none"/>
              </w:rPr>
              <w:t>2.</w:t>
            </w:r>
            <w:r>
              <w:rPr>
                <w:rFonts w:hint="eastAsia" w:ascii="仿宋" w:hAnsi="仿宋" w:eastAsia="仿宋" w:cs="仿宋"/>
                <w:b w:val="0"/>
                <w:bCs/>
                <w:color w:val="auto"/>
                <w:kern w:val="0"/>
                <w:sz w:val="24"/>
                <w:szCs w:val="24"/>
                <w:highlight w:val="none"/>
                <w:u w:val="none"/>
                <w:lang w:val="en-US" w:eastAsia="zh-CN" w:bidi="ar-SA"/>
                <w14:ligatures w14:val="standardContextual"/>
              </w:rPr>
              <w:t>1.</w:t>
            </w:r>
            <w:r>
              <w:rPr>
                <w:rFonts w:hint="eastAsia" w:ascii="仿宋" w:hAnsi="仿宋" w:eastAsia="仿宋" w:cs="仿宋"/>
                <w:b w:val="0"/>
                <w:bCs/>
                <w:color w:val="auto"/>
                <w:kern w:val="2"/>
                <w:sz w:val="24"/>
                <w:szCs w:val="24"/>
                <w:highlight w:val="none"/>
                <w:u w:val="none"/>
                <w:lang w:val="en-US" w:eastAsia="zh-CN" w:bidi="ar-SA"/>
                <w14:ligatures w14:val="none"/>
              </w:rPr>
              <w:t>18</w:t>
            </w:r>
            <w:r>
              <w:rPr>
                <w:rFonts w:hint="eastAsia" w:ascii="仿宋" w:hAnsi="仿宋" w:eastAsia="仿宋" w:cs="仿宋"/>
                <w:color w:val="auto"/>
                <w:sz w:val="24"/>
                <w:highlight w:val="none"/>
                <w:u w:val="none"/>
                <w14:ligatures w14:val="none"/>
              </w:rPr>
              <w:t>支持对留存的切面，标记区分显示人工采集或自动采集；</w:t>
            </w:r>
          </w:p>
        </w:tc>
      </w:tr>
      <w:tr w14:paraId="18D2B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5962DA39">
            <w:pPr>
              <w:pStyle w:val="607"/>
              <w:keepNext w:val="0"/>
              <w:keepLines w:val="0"/>
              <w:pageBreakBefore w:val="0"/>
              <w:widowControl w:val="0"/>
              <w:numPr>
                <w:ilvl w:val="0"/>
                <w:numId w:val="27"/>
              </w:numPr>
              <w:kinsoku/>
              <w:wordWrap/>
              <w:overflowPunct/>
              <w:topLinePunct w:val="0"/>
              <w:autoSpaceDE/>
              <w:autoSpaceDN/>
              <w:bidi w:val="0"/>
              <w:adjustRightInd/>
              <w:snapToGrid/>
              <w:spacing w:line="400" w:lineRule="exact"/>
              <w:ind w:left="0" w:firstLine="0"/>
              <w:contextualSpacing w:val="0"/>
              <w:jc w:val="center"/>
              <w:textAlignment w:val="auto"/>
              <w:rPr>
                <w:rFonts w:hint="eastAsia" w:ascii="仿宋" w:hAnsi="仿宋" w:eastAsia="仿宋" w:cs="仿宋"/>
                <w:color w:val="auto"/>
                <w:sz w:val="24"/>
                <w:highlight w:val="none"/>
                <w:u w:val="none"/>
                <w14:ligatures w14:val="none"/>
              </w:rPr>
            </w:pPr>
          </w:p>
        </w:tc>
        <w:tc>
          <w:tcPr>
            <w:tcW w:w="4211" w:type="pct"/>
          </w:tcPr>
          <w:p w14:paraId="743CA2D6">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14:ligatures w14:val="none"/>
              </w:rPr>
            </w:pPr>
            <w:r>
              <w:rPr>
                <w:rFonts w:hint="eastAsia" w:ascii="仿宋" w:hAnsi="仿宋" w:eastAsia="仿宋" w:cs="仿宋"/>
                <w:b w:val="0"/>
                <w:bCs/>
                <w:color w:val="auto"/>
                <w:kern w:val="2"/>
                <w:sz w:val="24"/>
                <w:szCs w:val="24"/>
                <w:highlight w:val="none"/>
                <w:u w:val="none"/>
                <w:lang w:val="en-US" w:eastAsia="zh-CN" w:bidi="ar-SA"/>
                <w14:ligatures w14:val="none"/>
              </w:rPr>
              <w:t>2.</w:t>
            </w:r>
            <w:r>
              <w:rPr>
                <w:rFonts w:hint="eastAsia" w:ascii="仿宋" w:hAnsi="仿宋" w:eastAsia="仿宋" w:cs="仿宋"/>
                <w:b w:val="0"/>
                <w:bCs/>
                <w:color w:val="auto"/>
                <w:kern w:val="0"/>
                <w:sz w:val="24"/>
                <w:szCs w:val="24"/>
                <w:highlight w:val="none"/>
                <w:u w:val="none"/>
                <w:lang w:val="en-US" w:eastAsia="zh-CN" w:bidi="ar-SA"/>
                <w14:ligatures w14:val="standardContextual"/>
              </w:rPr>
              <w:t>1.</w:t>
            </w:r>
            <w:r>
              <w:rPr>
                <w:rFonts w:hint="eastAsia" w:ascii="仿宋" w:hAnsi="仿宋" w:eastAsia="仿宋" w:cs="仿宋"/>
                <w:b w:val="0"/>
                <w:bCs/>
                <w:color w:val="auto"/>
                <w:kern w:val="2"/>
                <w:sz w:val="24"/>
                <w:szCs w:val="24"/>
                <w:highlight w:val="none"/>
                <w:u w:val="none"/>
                <w:lang w:val="en-US" w:eastAsia="zh-CN" w:bidi="ar-SA"/>
                <w14:ligatures w14:val="none"/>
              </w:rPr>
              <w:t>19</w:t>
            </w:r>
            <w:r>
              <w:rPr>
                <w:rFonts w:hint="eastAsia" w:ascii="仿宋" w:hAnsi="仿宋" w:eastAsia="仿宋" w:cs="仿宋"/>
                <w:color w:val="auto"/>
                <w:sz w:val="24"/>
                <w:highlight w:val="none"/>
                <w:u w:val="none"/>
                <w14:ligatures w14:val="none"/>
              </w:rPr>
              <w:t>支持通过点击影像缩略图查看放大影像；</w:t>
            </w:r>
          </w:p>
        </w:tc>
      </w:tr>
      <w:tr w14:paraId="2425D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275D629E">
            <w:pPr>
              <w:pStyle w:val="607"/>
              <w:keepNext w:val="0"/>
              <w:keepLines w:val="0"/>
              <w:pageBreakBefore w:val="0"/>
              <w:widowControl w:val="0"/>
              <w:numPr>
                <w:ilvl w:val="0"/>
                <w:numId w:val="27"/>
              </w:numPr>
              <w:kinsoku/>
              <w:wordWrap/>
              <w:overflowPunct/>
              <w:topLinePunct w:val="0"/>
              <w:autoSpaceDE/>
              <w:autoSpaceDN/>
              <w:bidi w:val="0"/>
              <w:adjustRightInd/>
              <w:snapToGrid/>
              <w:spacing w:line="400" w:lineRule="exact"/>
              <w:ind w:left="0" w:firstLine="0"/>
              <w:contextualSpacing w:val="0"/>
              <w:jc w:val="center"/>
              <w:textAlignment w:val="auto"/>
              <w:rPr>
                <w:rFonts w:hint="eastAsia" w:ascii="仿宋" w:hAnsi="仿宋" w:eastAsia="仿宋" w:cs="仿宋"/>
                <w:color w:val="auto"/>
                <w:sz w:val="24"/>
                <w:highlight w:val="none"/>
                <w:u w:val="none"/>
                <w14:ligatures w14:val="none"/>
              </w:rPr>
            </w:pPr>
          </w:p>
        </w:tc>
        <w:tc>
          <w:tcPr>
            <w:tcW w:w="4211" w:type="pct"/>
          </w:tcPr>
          <w:p w14:paraId="24E49C18">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14:ligatures w14:val="none"/>
              </w:rPr>
            </w:pPr>
            <w:r>
              <w:rPr>
                <w:rFonts w:hint="eastAsia" w:ascii="仿宋" w:hAnsi="仿宋" w:eastAsia="仿宋" w:cs="仿宋"/>
                <w:b w:val="0"/>
                <w:bCs/>
                <w:color w:val="auto"/>
                <w:kern w:val="2"/>
                <w:sz w:val="24"/>
                <w:szCs w:val="24"/>
                <w:highlight w:val="none"/>
                <w:u w:val="none"/>
                <w:lang w:val="en-US" w:eastAsia="zh-CN" w:bidi="ar-SA"/>
                <w14:ligatures w14:val="none"/>
              </w:rPr>
              <w:t>2.</w:t>
            </w:r>
            <w:r>
              <w:rPr>
                <w:rFonts w:hint="eastAsia" w:ascii="仿宋" w:hAnsi="仿宋" w:eastAsia="仿宋" w:cs="仿宋"/>
                <w:b w:val="0"/>
                <w:bCs/>
                <w:color w:val="auto"/>
                <w:kern w:val="0"/>
                <w:sz w:val="24"/>
                <w:szCs w:val="24"/>
                <w:highlight w:val="none"/>
                <w:u w:val="none"/>
                <w:lang w:val="en-US" w:eastAsia="zh-CN" w:bidi="ar-SA"/>
                <w14:ligatures w14:val="standardContextual"/>
              </w:rPr>
              <w:t>1.</w:t>
            </w:r>
            <w:r>
              <w:rPr>
                <w:rFonts w:hint="eastAsia" w:ascii="仿宋" w:hAnsi="仿宋" w:eastAsia="仿宋" w:cs="仿宋"/>
                <w:b w:val="0"/>
                <w:bCs/>
                <w:color w:val="auto"/>
                <w:kern w:val="2"/>
                <w:sz w:val="24"/>
                <w:szCs w:val="24"/>
                <w:highlight w:val="none"/>
                <w:u w:val="none"/>
                <w:lang w:val="en-US" w:eastAsia="zh-CN" w:bidi="ar-SA"/>
                <w14:ligatures w14:val="none"/>
              </w:rPr>
              <w:t>20</w:t>
            </w:r>
            <w:r>
              <w:rPr>
                <w:rFonts w:hint="eastAsia" w:ascii="仿宋" w:hAnsi="仿宋" w:eastAsia="仿宋" w:cs="仿宋"/>
                <w:color w:val="auto"/>
                <w:sz w:val="24"/>
                <w:highlight w:val="none"/>
                <w:u w:val="none"/>
                <w14:ligatures w14:val="none"/>
              </w:rPr>
              <w:t>支持查看当前检查所有已采集的影像；</w:t>
            </w:r>
          </w:p>
        </w:tc>
      </w:tr>
      <w:tr w14:paraId="249FE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466E29F8">
            <w:pPr>
              <w:pStyle w:val="607"/>
              <w:keepNext w:val="0"/>
              <w:keepLines w:val="0"/>
              <w:pageBreakBefore w:val="0"/>
              <w:widowControl w:val="0"/>
              <w:numPr>
                <w:ilvl w:val="0"/>
                <w:numId w:val="27"/>
              </w:numPr>
              <w:kinsoku/>
              <w:wordWrap/>
              <w:overflowPunct/>
              <w:topLinePunct w:val="0"/>
              <w:autoSpaceDE/>
              <w:autoSpaceDN/>
              <w:bidi w:val="0"/>
              <w:adjustRightInd/>
              <w:snapToGrid/>
              <w:spacing w:line="400" w:lineRule="exact"/>
              <w:ind w:left="0" w:firstLine="0"/>
              <w:contextualSpacing w:val="0"/>
              <w:jc w:val="center"/>
              <w:textAlignment w:val="auto"/>
              <w:rPr>
                <w:rFonts w:hint="eastAsia" w:ascii="仿宋" w:hAnsi="仿宋" w:eastAsia="仿宋" w:cs="仿宋"/>
                <w:color w:val="auto"/>
                <w:sz w:val="24"/>
                <w:highlight w:val="none"/>
                <w:u w:val="none"/>
                <w14:ligatures w14:val="none"/>
              </w:rPr>
            </w:pPr>
          </w:p>
        </w:tc>
        <w:tc>
          <w:tcPr>
            <w:tcW w:w="4211" w:type="pct"/>
          </w:tcPr>
          <w:p w14:paraId="084C090B">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14:ligatures w14:val="none"/>
              </w:rPr>
            </w:pPr>
            <w:r>
              <w:rPr>
                <w:rFonts w:hint="eastAsia" w:ascii="仿宋" w:hAnsi="仿宋" w:eastAsia="仿宋" w:cs="仿宋"/>
                <w:b w:val="0"/>
                <w:bCs/>
                <w:color w:val="auto"/>
                <w:kern w:val="2"/>
                <w:sz w:val="24"/>
                <w:szCs w:val="24"/>
                <w:highlight w:val="none"/>
                <w:u w:val="none"/>
                <w:lang w:val="en-US" w:eastAsia="zh-CN" w:bidi="ar-SA"/>
                <w14:ligatures w14:val="none"/>
              </w:rPr>
              <w:t>2.</w:t>
            </w:r>
            <w:r>
              <w:rPr>
                <w:rFonts w:hint="eastAsia" w:ascii="仿宋" w:hAnsi="仿宋" w:eastAsia="仿宋" w:cs="仿宋"/>
                <w:b w:val="0"/>
                <w:bCs/>
                <w:color w:val="auto"/>
                <w:kern w:val="0"/>
                <w:sz w:val="24"/>
                <w:szCs w:val="24"/>
                <w:highlight w:val="none"/>
                <w:u w:val="none"/>
                <w:lang w:val="en-US" w:eastAsia="zh-CN" w:bidi="ar-SA"/>
                <w14:ligatures w14:val="standardContextual"/>
              </w:rPr>
              <w:t>1.</w:t>
            </w:r>
            <w:r>
              <w:rPr>
                <w:rFonts w:hint="eastAsia" w:ascii="仿宋" w:hAnsi="仿宋" w:eastAsia="仿宋" w:cs="仿宋"/>
                <w:b w:val="0"/>
                <w:bCs/>
                <w:color w:val="auto"/>
                <w:kern w:val="2"/>
                <w:sz w:val="24"/>
                <w:szCs w:val="24"/>
                <w:highlight w:val="none"/>
                <w:u w:val="none"/>
                <w:lang w:val="en-US" w:eastAsia="zh-CN" w:bidi="ar-SA"/>
                <w14:ligatures w14:val="none"/>
              </w:rPr>
              <w:t>21</w:t>
            </w:r>
            <w:r>
              <w:rPr>
                <w:rFonts w:hint="eastAsia" w:ascii="仿宋" w:hAnsi="仿宋" w:eastAsia="仿宋" w:cs="仿宋"/>
                <w:color w:val="auto"/>
                <w:sz w:val="24"/>
                <w:highlight w:val="none"/>
                <w:u w:val="none"/>
                <w14:ligatures w14:val="none"/>
              </w:rPr>
              <w:t>支持1×1，2×2，3×3，4×4格式查看图像；</w:t>
            </w:r>
          </w:p>
        </w:tc>
      </w:tr>
      <w:tr w14:paraId="07452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7A4CF860">
            <w:pPr>
              <w:pStyle w:val="607"/>
              <w:keepNext w:val="0"/>
              <w:keepLines w:val="0"/>
              <w:pageBreakBefore w:val="0"/>
              <w:widowControl w:val="0"/>
              <w:numPr>
                <w:ilvl w:val="0"/>
                <w:numId w:val="27"/>
              </w:numPr>
              <w:kinsoku/>
              <w:wordWrap/>
              <w:overflowPunct/>
              <w:topLinePunct w:val="0"/>
              <w:autoSpaceDE/>
              <w:autoSpaceDN/>
              <w:bidi w:val="0"/>
              <w:adjustRightInd/>
              <w:snapToGrid/>
              <w:spacing w:line="400" w:lineRule="exact"/>
              <w:ind w:left="0" w:firstLine="0"/>
              <w:contextualSpacing w:val="0"/>
              <w:jc w:val="center"/>
              <w:textAlignment w:val="auto"/>
              <w:rPr>
                <w:rFonts w:hint="eastAsia" w:ascii="仿宋" w:hAnsi="仿宋" w:eastAsia="仿宋" w:cs="仿宋"/>
                <w:color w:val="auto"/>
                <w:sz w:val="24"/>
                <w:highlight w:val="none"/>
                <w:u w:val="none"/>
                <w14:ligatures w14:val="none"/>
              </w:rPr>
            </w:pPr>
          </w:p>
        </w:tc>
        <w:tc>
          <w:tcPr>
            <w:tcW w:w="4211" w:type="pct"/>
          </w:tcPr>
          <w:p w14:paraId="62AB9BC3">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14:ligatures w14:val="none"/>
              </w:rPr>
            </w:pPr>
            <w:r>
              <w:rPr>
                <w:rFonts w:hint="eastAsia" w:ascii="仿宋" w:hAnsi="仿宋" w:eastAsia="仿宋" w:cs="仿宋"/>
                <w:b w:val="0"/>
                <w:bCs/>
                <w:color w:val="auto"/>
                <w:kern w:val="2"/>
                <w:sz w:val="24"/>
                <w:szCs w:val="24"/>
                <w:highlight w:val="none"/>
                <w:u w:val="none"/>
                <w:lang w:val="en-US" w:eastAsia="zh-CN" w:bidi="ar-SA"/>
                <w14:ligatures w14:val="none"/>
              </w:rPr>
              <w:t>2.</w:t>
            </w:r>
            <w:r>
              <w:rPr>
                <w:rFonts w:hint="eastAsia" w:ascii="仿宋" w:hAnsi="仿宋" w:eastAsia="仿宋" w:cs="仿宋"/>
                <w:b w:val="0"/>
                <w:bCs/>
                <w:color w:val="auto"/>
                <w:kern w:val="0"/>
                <w:sz w:val="24"/>
                <w:szCs w:val="24"/>
                <w:highlight w:val="none"/>
                <w:u w:val="none"/>
                <w:lang w:val="en-US" w:eastAsia="zh-CN" w:bidi="ar-SA"/>
                <w14:ligatures w14:val="standardContextual"/>
              </w:rPr>
              <w:t>1.</w:t>
            </w:r>
            <w:r>
              <w:rPr>
                <w:rFonts w:hint="eastAsia" w:ascii="仿宋" w:hAnsi="仿宋" w:eastAsia="仿宋" w:cs="仿宋"/>
                <w:b w:val="0"/>
                <w:bCs/>
                <w:color w:val="auto"/>
                <w:kern w:val="2"/>
                <w:sz w:val="24"/>
                <w:szCs w:val="24"/>
                <w:highlight w:val="none"/>
                <w:u w:val="none"/>
                <w:lang w:val="en-US" w:eastAsia="zh-CN" w:bidi="ar-SA"/>
                <w14:ligatures w14:val="none"/>
              </w:rPr>
              <w:t>22</w:t>
            </w:r>
            <w:r>
              <w:rPr>
                <w:rFonts w:hint="eastAsia" w:ascii="仿宋" w:hAnsi="仿宋" w:eastAsia="仿宋" w:cs="仿宋"/>
                <w:color w:val="auto"/>
                <w:sz w:val="24"/>
                <w:highlight w:val="none"/>
                <w:u w:val="none"/>
                <w14:ligatures w14:val="none"/>
              </w:rPr>
              <w:t>支持自动采集的切面，点击播放其采集标准切面的前后10帧的有效视频帧形成的实况动态视频，且支持自动循环播放、暂停播放、倍速播放。</w:t>
            </w:r>
          </w:p>
        </w:tc>
      </w:tr>
      <w:tr w14:paraId="140EE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2912C0E3">
            <w:pPr>
              <w:pStyle w:val="607"/>
              <w:keepNext w:val="0"/>
              <w:keepLines w:val="0"/>
              <w:pageBreakBefore w:val="0"/>
              <w:widowControl w:val="0"/>
              <w:numPr>
                <w:ilvl w:val="0"/>
                <w:numId w:val="27"/>
              </w:numPr>
              <w:kinsoku/>
              <w:wordWrap/>
              <w:overflowPunct/>
              <w:topLinePunct w:val="0"/>
              <w:autoSpaceDE/>
              <w:autoSpaceDN/>
              <w:bidi w:val="0"/>
              <w:adjustRightInd/>
              <w:snapToGrid/>
              <w:spacing w:line="400" w:lineRule="exact"/>
              <w:ind w:left="0" w:firstLine="0"/>
              <w:contextualSpacing w:val="0"/>
              <w:jc w:val="center"/>
              <w:textAlignment w:val="auto"/>
              <w:rPr>
                <w:rFonts w:hint="eastAsia" w:ascii="仿宋" w:hAnsi="仿宋" w:eastAsia="仿宋" w:cs="仿宋"/>
                <w:color w:val="auto"/>
                <w:sz w:val="24"/>
                <w:highlight w:val="none"/>
                <w:u w:val="none"/>
                <w14:ligatures w14:val="none"/>
              </w:rPr>
            </w:pPr>
          </w:p>
        </w:tc>
        <w:tc>
          <w:tcPr>
            <w:tcW w:w="4211" w:type="pct"/>
          </w:tcPr>
          <w:p w14:paraId="076E20E3">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14:ligatures w14:val="none"/>
              </w:rPr>
            </w:pPr>
            <w:r>
              <w:rPr>
                <w:rFonts w:hint="eastAsia" w:ascii="仿宋" w:hAnsi="仿宋" w:eastAsia="仿宋" w:cs="仿宋"/>
                <w:b w:val="0"/>
                <w:bCs/>
                <w:color w:val="auto"/>
                <w:kern w:val="2"/>
                <w:sz w:val="24"/>
                <w:szCs w:val="24"/>
                <w:highlight w:val="none"/>
                <w:u w:val="none"/>
                <w:lang w:val="en-US" w:eastAsia="zh-CN" w:bidi="ar-SA"/>
                <w14:ligatures w14:val="none"/>
              </w:rPr>
              <w:t>2.</w:t>
            </w:r>
            <w:r>
              <w:rPr>
                <w:rFonts w:hint="eastAsia" w:ascii="仿宋" w:hAnsi="仿宋" w:eastAsia="仿宋" w:cs="仿宋"/>
                <w:b w:val="0"/>
                <w:bCs/>
                <w:color w:val="auto"/>
                <w:kern w:val="0"/>
                <w:sz w:val="24"/>
                <w:szCs w:val="24"/>
                <w:highlight w:val="none"/>
                <w:u w:val="none"/>
                <w:lang w:val="en-US" w:eastAsia="zh-CN" w:bidi="ar-SA"/>
                <w14:ligatures w14:val="standardContextual"/>
              </w:rPr>
              <w:t>1.</w:t>
            </w:r>
            <w:r>
              <w:rPr>
                <w:rFonts w:hint="eastAsia" w:ascii="仿宋" w:hAnsi="仿宋" w:eastAsia="仿宋" w:cs="仿宋"/>
                <w:b w:val="0"/>
                <w:bCs/>
                <w:color w:val="auto"/>
                <w:kern w:val="2"/>
                <w:sz w:val="24"/>
                <w:szCs w:val="24"/>
                <w:highlight w:val="none"/>
                <w:u w:val="none"/>
                <w:lang w:val="en-US" w:eastAsia="zh-CN" w:bidi="ar-SA"/>
                <w14:ligatures w14:val="none"/>
              </w:rPr>
              <w:t>23</w:t>
            </w:r>
            <w:r>
              <w:rPr>
                <w:rFonts w:hint="eastAsia" w:ascii="仿宋" w:hAnsi="仿宋" w:eastAsia="仿宋" w:cs="仿宋"/>
                <w:color w:val="auto"/>
                <w:sz w:val="24"/>
                <w:highlight w:val="none"/>
                <w:u w:val="none"/>
                <w14:ligatures w14:val="none"/>
              </w:rPr>
              <w:t>支持1×1格式下放大缩小图像、并显示自动识别的小结构。</w:t>
            </w:r>
          </w:p>
        </w:tc>
      </w:tr>
      <w:tr w14:paraId="419FE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0E3F1ADE">
            <w:pPr>
              <w:pStyle w:val="607"/>
              <w:keepNext w:val="0"/>
              <w:keepLines w:val="0"/>
              <w:pageBreakBefore w:val="0"/>
              <w:widowControl w:val="0"/>
              <w:numPr>
                <w:ilvl w:val="0"/>
                <w:numId w:val="27"/>
              </w:numPr>
              <w:kinsoku/>
              <w:wordWrap/>
              <w:overflowPunct/>
              <w:topLinePunct w:val="0"/>
              <w:autoSpaceDE/>
              <w:autoSpaceDN/>
              <w:bidi w:val="0"/>
              <w:adjustRightInd/>
              <w:snapToGrid/>
              <w:spacing w:line="400" w:lineRule="exact"/>
              <w:ind w:left="0" w:firstLine="0"/>
              <w:contextualSpacing w:val="0"/>
              <w:jc w:val="center"/>
              <w:textAlignment w:val="auto"/>
              <w:rPr>
                <w:rFonts w:hint="eastAsia" w:ascii="仿宋" w:hAnsi="仿宋" w:eastAsia="仿宋" w:cs="仿宋"/>
                <w:color w:val="auto"/>
                <w:sz w:val="24"/>
                <w:highlight w:val="none"/>
                <w:u w:val="none"/>
                <w14:ligatures w14:val="none"/>
              </w:rPr>
            </w:pPr>
          </w:p>
        </w:tc>
        <w:tc>
          <w:tcPr>
            <w:tcW w:w="4211" w:type="pct"/>
          </w:tcPr>
          <w:p w14:paraId="16D81AE5">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14:ligatures w14:val="none"/>
              </w:rPr>
            </w:pPr>
            <w:r>
              <w:rPr>
                <w:rFonts w:hint="eastAsia" w:ascii="仿宋" w:hAnsi="仿宋" w:eastAsia="仿宋" w:cs="仿宋"/>
                <w:b w:val="0"/>
                <w:bCs/>
                <w:color w:val="auto"/>
                <w:kern w:val="2"/>
                <w:sz w:val="24"/>
                <w:szCs w:val="24"/>
                <w:highlight w:val="none"/>
                <w:u w:val="none"/>
                <w:lang w:val="en-US" w:eastAsia="zh-CN" w:bidi="ar-SA"/>
                <w14:ligatures w14:val="none"/>
              </w:rPr>
              <w:t>2.</w:t>
            </w:r>
            <w:r>
              <w:rPr>
                <w:rFonts w:hint="eastAsia" w:ascii="仿宋" w:hAnsi="仿宋" w:eastAsia="仿宋" w:cs="仿宋"/>
                <w:b w:val="0"/>
                <w:bCs/>
                <w:color w:val="auto"/>
                <w:kern w:val="0"/>
                <w:sz w:val="24"/>
                <w:szCs w:val="24"/>
                <w:highlight w:val="none"/>
                <w:u w:val="none"/>
                <w:lang w:val="en-US" w:eastAsia="zh-CN" w:bidi="ar-SA"/>
                <w14:ligatures w14:val="standardContextual"/>
              </w:rPr>
              <w:t>1.</w:t>
            </w:r>
            <w:r>
              <w:rPr>
                <w:rFonts w:hint="eastAsia" w:ascii="仿宋" w:hAnsi="仿宋" w:eastAsia="仿宋" w:cs="仿宋"/>
                <w:b w:val="0"/>
                <w:bCs/>
                <w:color w:val="auto"/>
                <w:kern w:val="2"/>
                <w:sz w:val="24"/>
                <w:szCs w:val="24"/>
                <w:highlight w:val="none"/>
                <w:u w:val="none"/>
                <w:lang w:val="en-US" w:eastAsia="zh-CN" w:bidi="ar-SA"/>
                <w14:ligatures w14:val="none"/>
              </w:rPr>
              <w:t>24</w:t>
            </w:r>
            <w:r>
              <w:rPr>
                <w:rFonts w:hint="eastAsia" w:ascii="仿宋" w:hAnsi="仿宋" w:eastAsia="仿宋" w:cs="仿宋"/>
                <w:color w:val="auto"/>
                <w:sz w:val="24"/>
                <w:highlight w:val="none"/>
                <w:u w:val="none"/>
                <w14:ligatures w14:val="none"/>
              </w:rPr>
              <w:t>支持1×1格式下显示该切面的最优切面及人工采集的切面，支持用户选择最优切面，支持切面的最优替换。</w:t>
            </w:r>
          </w:p>
        </w:tc>
      </w:tr>
      <w:tr w14:paraId="262AB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4175099A">
            <w:pPr>
              <w:pStyle w:val="607"/>
              <w:keepNext w:val="0"/>
              <w:keepLines w:val="0"/>
              <w:pageBreakBefore w:val="0"/>
              <w:widowControl w:val="0"/>
              <w:numPr>
                <w:ilvl w:val="0"/>
                <w:numId w:val="27"/>
              </w:numPr>
              <w:kinsoku/>
              <w:wordWrap/>
              <w:overflowPunct/>
              <w:topLinePunct w:val="0"/>
              <w:autoSpaceDE/>
              <w:autoSpaceDN/>
              <w:bidi w:val="0"/>
              <w:adjustRightInd/>
              <w:snapToGrid/>
              <w:spacing w:line="400" w:lineRule="exact"/>
              <w:ind w:left="0" w:firstLine="0"/>
              <w:contextualSpacing w:val="0"/>
              <w:jc w:val="center"/>
              <w:textAlignment w:val="auto"/>
              <w:rPr>
                <w:rFonts w:hint="eastAsia" w:ascii="仿宋" w:hAnsi="仿宋" w:eastAsia="仿宋" w:cs="仿宋"/>
                <w:color w:val="auto"/>
                <w:sz w:val="24"/>
                <w:highlight w:val="none"/>
                <w:u w:val="none"/>
                <w14:ligatures w14:val="none"/>
              </w:rPr>
            </w:pPr>
          </w:p>
        </w:tc>
        <w:tc>
          <w:tcPr>
            <w:tcW w:w="4211" w:type="pct"/>
          </w:tcPr>
          <w:p w14:paraId="093A2CFA">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lang w:eastAsia="zh-CN"/>
                <w14:ligatures w14:val="none"/>
              </w:rPr>
            </w:pPr>
            <w:r>
              <w:rPr>
                <w:rFonts w:hint="eastAsia" w:ascii="仿宋" w:hAnsi="仿宋" w:eastAsia="仿宋" w:cs="仿宋"/>
                <w:b w:val="0"/>
                <w:bCs/>
                <w:color w:val="auto"/>
                <w:kern w:val="2"/>
                <w:sz w:val="24"/>
                <w:szCs w:val="24"/>
                <w:highlight w:val="none"/>
                <w:u w:val="none"/>
                <w:lang w:val="en-US" w:eastAsia="zh-CN" w:bidi="ar-SA"/>
                <w14:ligatures w14:val="none"/>
              </w:rPr>
              <w:t>2.</w:t>
            </w:r>
            <w:r>
              <w:rPr>
                <w:rFonts w:hint="eastAsia" w:ascii="仿宋" w:hAnsi="仿宋" w:eastAsia="仿宋" w:cs="仿宋"/>
                <w:b w:val="0"/>
                <w:bCs/>
                <w:color w:val="auto"/>
                <w:kern w:val="0"/>
                <w:sz w:val="24"/>
                <w:szCs w:val="24"/>
                <w:highlight w:val="none"/>
                <w:u w:val="none"/>
                <w:lang w:val="en-US" w:eastAsia="zh-CN" w:bidi="ar-SA"/>
                <w14:ligatures w14:val="standardContextual"/>
              </w:rPr>
              <w:t>1.</w:t>
            </w:r>
            <w:r>
              <w:rPr>
                <w:rFonts w:hint="eastAsia" w:ascii="仿宋" w:hAnsi="仿宋" w:eastAsia="仿宋" w:cs="仿宋"/>
                <w:b w:val="0"/>
                <w:bCs/>
                <w:color w:val="auto"/>
                <w:kern w:val="2"/>
                <w:sz w:val="24"/>
                <w:szCs w:val="24"/>
                <w:highlight w:val="none"/>
                <w:u w:val="none"/>
                <w:lang w:val="en-US" w:eastAsia="zh-CN" w:bidi="ar-SA"/>
                <w14:ligatures w14:val="none"/>
              </w:rPr>
              <w:t>25</w:t>
            </w:r>
            <w:r>
              <w:rPr>
                <w:rFonts w:hint="eastAsia" w:ascii="仿宋" w:hAnsi="仿宋" w:eastAsia="仿宋" w:cs="仿宋"/>
                <w:color w:val="auto"/>
                <w:sz w:val="24"/>
                <w:highlight w:val="none"/>
                <w:u w:val="none"/>
                <w14:ligatures w14:val="none"/>
              </w:rPr>
              <w:t>支持1×1格式下有测量值的切面，支持对人工智能的测量进行人工调整测量线条以调整测量值</w:t>
            </w:r>
            <w:r>
              <w:rPr>
                <w:rFonts w:hint="eastAsia" w:ascii="仿宋" w:hAnsi="仿宋" w:eastAsia="仿宋" w:cs="仿宋"/>
                <w:color w:val="auto"/>
                <w:sz w:val="24"/>
                <w:highlight w:val="none"/>
                <w:u w:val="none"/>
                <w:lang w:eastAsia="zh-CN"/>
                <w14:ligatures w14:val="none"/>
              </w:rPr>
              <w:t>。</w:t>
            </w:r>
          </w:p>
        </w:tc>
      </w:tr>
      <w:tr w14:paraId="2E8B4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0A27F5B8">
            <w:pPr>
              <w:pStyle w:val="607"/>
              <w:keepNext w:val="0"/>
              <w:keepLines w:val="0"/>
              <w:pageBreakBefore w:val="0"/>
              <w:widowControl w:val="0"/>
              <w:numPr>
                <w:ilvl w:val="0"/>
                <w:numId w:val="27"/>
              </w:numPr>
              <w:kinsoku/>
              <w:wordWrap/>
              <w:overflowPunct/>
              <w:topLinePunct w:val="0"/>
              <w:autoSpaceDE/>
              <w:autoSpaceDN/>
              <w:bidi w:val="0"/>
              <w:adjustRightInd/>
              <w:snapToGrid/>
              <w:spacing w:line="400" w:lineRule="exact"/>
              <w:ind w:left="0" w:firstLine="0"/>
              <w:contextualSpacing w:val="0"/>
              <w:jc w:val="center"/>
              <w:textAlignment w:val="auto"/>
              <w:rPr>
                <w:rFonts w:hint="eastAsia" w:ascii="仿宋" w:hAnsi="仿宋" w:eastAsia="仿宋" w:cs="仿宋"/>
                <w:color w:val="auto"/>
                <w:sz w:val="24"/>
                <w:highlight w:val="none"/>
                <w:u w:val="none"/>
                <w14:ligatures w14:val="none"/>
              </w:rPr>
            </w:pPr>
          </w:p>
        </w:tc>
        <w:tc>
          <w:tcPr>
            <w:tcW w:w="4211" w:type="pct"/>
          </w:tcPr>
          <w:p w14:paraId="1191CAEA">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lang w:val="en-US" w:eastAsia="zh-CN"/>
                <w14:ligatures w14:val="none"/>
              </w:rPr>
            </w:pPr>
            <w:r>
              <w:rPr>
                <w:rFonts w:hint="eastAsia" w:ascii="仿宋" w:hAnsi="仿宋" w:eastAsia="仿宋" w:cs="仿宋"/>
                <w:b w:val="0"/>
                <w:bCs/>
                <w:color w:val="auto"/>
                <w:kern w:val="2"/>
                <w:sz w:val="24"/>
                <w:szCs w:val="24"/>
                <w:highlight w:val="none"/>
                <w:u w:val="none"/>
                <w:lang w:val="en-US" w:eastAsia="zh-CN" w:bidi="ar-SA"/>
                <w14:ligatures w14:val="none"/>
              </w:rPr>
              <w:t>2.</w:t>
            </w:r>
            <w:r>
              <w:rPr>
                <w:rFonts w:hint="eastAsia" w:ascii="仿宋" w:hAnsi="仿宋" w:eastAsia="仿宋" w:cs="仿宋"/>
                <w:b w:val="0"/>
                <w:bCs/>
                <w:color w:val="auto"/>
                <w:kern w:val="0"/>
                <w:sz w:val="24"/>
                <w:szCs w:val="24"/>
                <w:highlight w:val="none"/>
                <w:u w:val="none"/>
                <w:lang w:val="en-US" w:eastAsia="zh-CN" w:bidi="ar-SA"/>
                <w14:ligatures w14:val="standardContextual"/>
              </w:rPr>
              <w:t>1.</w:t>
            </w:r>
            <w:r>
              <w:rPr>
                <w:rFonts w:hint="eastAsia" w:ascii="仿宋" w:hAnsi="仿宋" w:eastAsia="仿宋" w:cs="仿宋"/>
                <w:b w:val="0"/>
                <w:bCs/>
                <w:color w:val="auto"/>
                <w:kern w:val="2"/>
                <w:sz w:val="24"/>
                <w:szCs w:val="24"/>
                <w:highlight w:val="none"/>
                <w:u w:val="none"/>
                <w:lang w:val="en-US" w:eastAsia="zh-CN" w:bidi="ar-SA"/>
                <w14:ligatures w14:val="none"/>
              </w:rPr>
              <w:t>26</w:t>
            </w:r>
            <w:r>
              <w:rPr>
                <w:rFonts w:hint="eastAsia" w:ascii="仿宋" w:hAnsi="仿宋" w:eastAsia="仿宋" w:cs="仿宋"/>
                <w:color w:val="auto"/>
                <w:sz w:val="24"/>
                <w:highlight w:val="none"/>
                <w:u w:val="none"/>
                <w14:ligatures w14:val="none"/>
              </w:rPr>
              <w:t>支持</w:t>
            </w:r>
            <w:r>
              <w:rPr>
                <w:rFonts w:hint="eastAsia" w:ascii="仿宋" w:hAnsi="仿宋" w:eastAsia="仿宋" w:cs="仿宋"/>
                <w:color w:val="auto"/>
                <w:sz w:val="24"/>
                <w:highlight w:val="none"/>
                <w:u w:val="none"/>
                <w:lang w:val="en-US" w:eastAsia="zh-CN"/>
                <w14:ligatures w14:val="none"/>
              </w:rPr>
              <w:t>报告编辑与图像采集功能互不影响。</w:t>
            </w:r>
            <w:r>
              <w:rPr>
                <w:rFonts w:hint="eastAsia" w:ascii="仿宋" w:hAnsi="仿宋" w:eastAsia="仿宋" w:cs="仿宋"/>
                <w:color w:val="auto"/>
                <w:sz w:val="24"/>
                <w:highlight w:val="none"/>
                <w:u w:val="none"/>
                <w14:ligatures w14:val="none"/>
              </w:rPr>
              <w:t>编辑a报告的同时，不影响b的图像采集</w:t>
            </w:r>
            <w:r>
              <w:rPr>
                <w:rFonts w:hint="eastAsia" w:ascii="仿宋" w:hAnsi="仿宋" w:eastAsia="仿宋" w:cs="仿宋"/>
                <w:color w:val="auto"/>
                <w:sz w:val="24"/>
                <w:highlight w:val="none"/>
                <w:u w:val="none"/>
                <w:lang w:eastAsia="zh-CN"/>
                <w14:ligatures w14:val="none"/>
              </w:rPr>
              <w:t>，</w:t>
            </w:r>
            <w:r>
              <w:rPr>
                <w:rFonts w:hint="eastAsia" w:ascii="仿宋" w:hAnsi="仿宋" w:eastAsia="仿宋" w:cs="仿宋"/>
                <w:color w:val="auto"/>
                <w:sz w:val="24"/>
                <w:highlight w:val="none"/>
                <w:u w:val="none"/>
                <w:lang w:val="en-US" w:eastAsia="zh-CN"/>
                <w14:ligatures w14:val="none"/>
              </w:rPr>
              <w:t>同时不影响报告单的自动填写数据功能。</w:t>
            </w:r>
          </w:p>
        </w:tc>
      </w:tr>
      <w:tr w14:paraId="64699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2327EE98">
            <w:pPr>
              <w:pStyle w:val="607"/>
              <w:keepNext w:val="0"/>
              <w:keepLines w:val="0"/>
              <w:pageBreakBefore w:val="0"/>
              <w:widowControl w:val="0"/>
              <w:numPr>
                <w:ilvl w:val="0"/>
                <w:numId w:val="27"/>
              </w:numPr>
              <w:kinsoku/>
              <w:wordWrap/>
              <w:overflowPunct/>
              <w:topLinePunct w:val="0"/>
              <w:autoSpaceDE/>
              <w:autoSpaceDN/>
              <w:bidi w:val="0"/>
              <w:adjustRightInd/>
              <w:snapToGrid/>
              <w:spacing w:line="400" w:lineRule="exact"/>
              <w:ind w:left="0" w:firstLine="0"/>
              <w:contextualSpacing w:val="0"/>
              <w:jc w:val="center"/>
              <w:textAlignment w:val="auto"/>
              <w:rPr>
                <w:rFonts w:hint="eastAsia" w:ascii="仿宋" w:hAnsi="仿宋" w:eastAsia="仿宋" w:cs="仿宋"/>
                <w:color w:val="auto"/>
                <w:sz w:val="24"/>
                <w:highlight w:val="none"/>
                <w:u w:val="none"/>
                <w14:ligatures w14:val="none"/>
              </w:rPr>
            </w:pPr>
          </w:p>
        </w:tc>
        <w:tc>
          <w:tcPr>
            <w:tcW w:w="4211" w:type="pct"/>
          </w:tcPr>
          <w:p w14:paraId="4F45DD27">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lang w:val="en-US" w:eastAsia="zh-CN"/>
                <w14:ligatures w14:val="none"/>
              </w:rPr>
            </w:pPr>
            <w:r>
              <w:rPr>
                <w:rFonts w:hint="eastAsia" w:ascii="仿宋" w:hAnsi="仿宋" w:eastAsia="仿宋" w:cs="仿宋"/>
                <w:b w:val="0"/>
                <w:bCs/>
                <w:color w:val="auto"/>
                <w:kern w:val="2"/>
                <w:sz w:val="24"/>
                <w:szCs w:val="24"/>
                <w:highlight w:val="none"/>
                <w:u w:val="none"/>
                <w:lang w:val="en-US" w:eastAsia="zh-CN" w:bidi="ar-SA"/>
                <w14:ligatures w14:val="none"/>
              </w:rPr>
              <w:t>2.</w:t>
            </w:r>
            <w:r>
              <w:rPr>
                <w:rFonts w:hint="eastAsia" w:ascii="仿宋" w:hAnsi="仿宋" w:eastAsia="仿宋" w:cs="仿宋"/>
                <w:b w:val="0"/>
                <w:bCs/>
                <w:color w:val="auto"/>
                <w:kern w:val="0"/>
                <w:sz w:val="24"/>
                <w:szCs w:val="24"/>
                <w:highlight w:val="none"/>
                <w:u w:val="none"/>
                <w:lang w:val="en-US" w:eastAsia="zh-CN" w:bidi="ar-SA"/>
                <w14:ligatures w14:val="standardContextual"/>
              </w:rPr>
              <w:t>1.</w:t>
            </w:r>
            <w:r>
              <w:rPr>
                <w:rFonts w:hint="eastAsia" w:ascii="仿宋" w:hAnsi="仿宋" w:eastAsia="仿宋" w:cs="仿宋"/>
                <w:b w:val="0"/>
                <w:bCs/>
                <w:color w:val="auto"/>
                <w:kern w:val="2"/>
                <w:sz w:val="24"/>
                <w:szCs w:val="24"/>
                <w:highlight w:val="none"/>
                <w:u w:val="none"/>
                <w:lang w:val="en-US" w:eastAsia="zh-CN" w:bidi="ar-SA"/>
                <w14:ligatures w14:val="none"/>
              </w:rPr>
              <w:t>27</w:t>
            </w:r>
            <w:r>
              <w:rPr>
                <w:rFonts w:hint="eastAsia" w:ascii="仿宋" w:hAnsi="仿宋" w:eastAsia="仿宋" w:cs="仿宋"/>
                <w:color w:val="auto"/>
                <w:sz w:val="24"/>
                <w:highlight w:val="none"/>
                <w:u w:val="none"/>
                <w14:ligatures w14:val="none"/>
              </w:rPr>
              <w:t>支持</w:t>
            </w:r>
            <w:r>
              <w:rPr>
                <w:rFonts w:hint="eastAsia" w:ascii="仿宋" w:hAnsi="仿宋" w:eastAsia="仿宋" w:cs="仿宋"/>
                <w:color w:val="auto"/>
                <w:sz w:val="24"/>
                <w:highlight w:val="none"/>
                <w:u w:val="none"/>
                <w:lang w:val="en-US" w:eastAsia="zh-CN"/>
                <w14:ligatures w14:val="none"/>
              </w:rPr>
              <w:t>保存</w:t>
            </w:r>
            <w:r>
              <w:rPr>
                <w:rFonts w:hint="eastAsia" w:ascii="仿宋" w:hAnsi="仿宋" w:eastAsia="仿宋" w:cs="仿宋"/>
                <w:color w:val="auto"/>
                <w:sz w:val="24"/>
                <w:highlight w:val="none"/>
                <w:u w:val="none"/>
                <w14:ligatures w14:val="none"/>
              </w:rPr>
              <w:t>患者的影像</w:t>
            </w:r>
            <w:r>
              <w:rPr>
                <w:rFonts w:hint="eastAsia" w:ascii="仿宋" w:hAnsi="仿宋" w:eastAsia="仿宋" w:cs="仿宋"/>
                <w:color w:val="auto"/>
                <w:sz w:val="24"/>
                <w:highlight w:val="none"/>
                <w:u w:val="none"/>
                <w:lang w:val="en-US" w:eastAsia="zh-CN"/>
                <w14:ligatures w14:val="none"/>
              </w:rPr>
              <w:t>扫查过程的图像视频功能，视频时长≥10秒</w:t>
            </w:r>
            <w:r>
              <w:rPr>
                <w:rFonts w:hint="eastAsia" w:ascii="仿宋" w:hAnsi="仿宋" w:eastAsia="仿宋" w:cs="仿宋"/>
                <w:color w:val="auto"/>
                <w:sz w:val="24"/>
                <w:highlight w:val="none"/>
                <w:u w:val="none"/>
                <w14:ligatures w14:val="none"/>
              </w:rPr>
              <w:t>。</w:t>
            </w:r>
          </w:p>
        </w:tc>
      </w:tr>
      <w:tr w14:paraId="64A74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17F9175B">
            <w:pPr>
              <w:pStyle w:val="607"/>
              <w:keepNext w:val="0"/>
              <w:keepLines w:val="0"/>
              <w:pageBreakBefore w:val="0"/>
              <w:widowControl w:val="0"/>
              <w:numPr>
                <w:ilvl w:val="0"/>
                <w:numId w:val="28"/>
              </w:numPr>
              <w:kinsoku/>
              <w:wordWrap/>
              <w:overflowPunct/>
              <w:topLinePunct w:val="0"/>
              <w:autoSpaceDE/>
              <w:autoSpaceDN/>
              <w:bidi w:val="0"/>
              <w:adjustRightInd/>
              <w:snapToGrid/>
              <w:spacing w:line="400" w:lineRule="exact"/>
              <w:ind w:left="0" w:firstLine="0"/>
              <w:contextualSpacing w:val="0"/>
              <w:jc w:val="center"/>
              <w:textAlignment w:val="auto"/>
              <w:rPr>
                <w:rFonts w:hint="eastAsia" w:ascii="仿宋" w:hAnsi="仿宋" w:eastAsia="仿宋" w:cs="仿宋"/>
                <w:color w:val="auto"/>
                <w:sz w:val="24"/>
                <w:highlight w:val="none"/>
                <w:u w:val="none"/>
              </w:rPr>
            </w:pPr>
          </w:p>
        </w:tc>
        <w:tc>
          <w:tcPr>
            <w:tcW w:w="4211" w:type="pct"/>
          </w:tcPr>
          <w:p w14:paraId="5872F12A">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w:t>
            </w:r>
            <w:r>
              <w:rPr>
                <w:rFonts w:hint="eastAsia" w:ascii="仿宋" w:hAnsi="仿宋" w:eastAsia="仿宋" w:cs="仿宋"/>
                <w:b w:val="0"/>
                <w:bCs/>
                <w:color w:val="auto"/>
                <w:kern w:val="2"/>
                <w:sz w:val="24"/>
                <w:szCs w:val="24"/>
                <w:highlight w:val="none"/>
                <w:u w:val="none"/>
                <w:lang w:val="en-US" w:eastAsia="zh-CN" w:bidi="ar-SA"/>
                <w14:ligatures w14:val="standardContextual"/>
              </w:rPr>
              <w:t>2.</w:t>
            </w:r>
            <w:r>
              <w:rPr>
                <w:rFonts w:hint="eastAsia" w:ascii="仿宋" w:hAnsi="仿宋" w:eastAsia="仿宋" w:cs="仿宋"/>
                <w:b w:val="0"/>
                <w:bCs/>
                <w:color w:val="auto"/>
                <w:kern w:val="0"/>
                <w:sz w:val="24"/>
                <w:szCs w:val="24"/>
                <w:highlight w:val="none"/>
                <w:u w:val="none"/>
                <w:lang w:val="en-US" w:eastAsia="zh-CN" w:bidi="ar-SA"/>
                <w14:ligatures w14:val="standardContextual"/>
              </w:rPr>
              <w:t>1.</w:t>
            </w:r>
            <w:r>
              <w:rPr>
                <w:rFonts w:hint="eastAsia" w:ascii="仿宋" w:hAnsi="仿宋" w:eastAsia="仿宋" w:cs="仿宋"/>
                <w:b w:val="0"/>
                <w:bCs/>
                <w:color w:val="auto"/>
                <w:kern w:val="2"/>
                <w:sz w:val="24"/>
                <w:szCs w:val="24"/>
                <w:highlight w:val="none"/>
                <w:u w:val="none"/>
                <w:lang w:val="en-US" w:eastAsia="zh-CN" w:bidi="ar-SA"/>
                <w14:ligatures w14:val="standardContextual"/>
              </w:rPr>
              <w:t>28</w:t>
            </w:r>
            <w:r>
              <w:rPr>
                <w:rFonts w:hint="eastAsia" w:ascii="仿宋" w:hAnsi="仿宋" w:eastAsia="仿宋" w:cs="仿宋"/>
                <w:color w:val="auto"/>
                <w:sz w:val="24"/>
                <w:highlight w:val="none"/>
                <w:u w:val="none"/>
              </w:rPr>
              <w:t xml:space="preserve">浏览全部切面，将切面以及测量结果发送到工作站。测量参数自动填充，参数值超出了参考范围提示异常。点击相应操作按钮，自动填充正常报告模板，报告结论中的孕周也支持自动填充； </w:t>
            </w:r>
          </w:p>
        </w:tc>
      </w:tr>
      <w:tr w14:paraId="6CA25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5F096532">
            <w:pPr>
              <w:pStyle w:val="607"/>
              <w:keepNext w:val="0"/>
              <w:keepLines w:val="0"/>
              <w:pageBreakBefore w:val="0"/>
              <w:widowControl w:val="0"/>
              <w:numPr>
                <w:ilvl w:val="0"/>
                <w:numId w:val="28"/>
              </w:numPr>
              <w:kinsoku/>
              <w:wordWrap/>
              <w:overflowPunct/>
              <w:topLinePunct w:val="0"/>
              <w:autoSpaceDE/>
              <w:autoSpaceDN/>
              <w:bidi w:val="0"/>
              <w:adjustRightInd/>
              <w:snapToGrid/>
              <w:spacing w:line="400" w:lineRule="exact"/>
              <w:ind w:left="0" w:firstLine="0"/>
              <w:contextualSpacing w:val="0"/>
              <w:jc w:val="center"/>
              <w:textAlignment w:val="auto"/>
              <w:rPr>
                <w:rFonts w:hint="eastAsia" w:ascii="仿宋" w:hAnsi="仿宋" w:eastAsia="仿宋" w:cs="仿宋"/>
                <w:color w:val="auto"/>
                <w:sz w:val="24"/>
                <w:highlight w:val="none"/>
                <w:u w:val="none"/>
              </w:rPr>
            </w:pPr>
          </w:p>
        </w:tc>
        <w:tc>
          <w:tcPr>
            <w:tcW w:w="4211" w:type="pct"/>
          </w:tcPr>
          <w:p w14:paraId="420CEFB8">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14:ligatures w14:val="none"/>
              </w:rPr>
            </w:pPr>
            <w:r>
              <w:rPr>
                <w:rFonts w:hint="eastAsia" w:ascii="仿宋" w:hAnsi="仿宋" w:eastAsia="仿宋" w:cs="仿宋"/>
                <w:b w:val="0"/>
                <w:bCs/>
                <w:color w:val="auto"/>
                <w:kern w:val="2"/>
                <w:sz w:val="24"/>
                <w:szCs w:val="24"/>
                <w:highlight w:val="none"/>
                <w:u w:val="none"/>
                <w:lang w:val="en-US" w:eastAsia="zh-CN" w:bidi="ar-SA"/>
                <w14:ligatures w14:val="none"/>
              </w:rPr>
              <w:t>2.</w:t>
            </w:r>
            <w:r>
              <w:rPr>
                <w:rFonts w:hint="eastAsia" w:ascii="仿宋" w:hAnsi="仿宋" w:eastAsia="仿宋" w:cs="仿宋"/>
                <w:b w:val="0"/>
                <w:bCs/>
                <w:color w:val="auto"/>
                <w:kern w:val="0"/>
                <w:sz w:val="24"/>
                <w:szCs w:val="24"/>
                <w:highlight w:val="none"/>
                <w:u w:val="none"/>
                <w:lang w:val="en-US" w:eastAsia="zh-CN" w:bidi="ar-SA"/>
                <w14:ligatures w14:val="standardContextual"/>
              </w:rPr>
              <w:t>1.</w:t>
            </w:r>
            <w:r>
              <w:rPr>
                <w:rFonts w:hint="eastAsia" w:ascii="仿宋" w:hAnsi="仿宋" w:eastAsia="仿宋" w:cs="仿宋"/>
                <w:b w:val="0"/>
                <w:bCs/>
                <w:color w:val="auto"/>
                <w:kern w:val="2"/>
                <w:sz w:val="24"/>
                <w:szCs w:val="24"/>
                <w:highlight w:val="none"/>
                <w:u w:val="none"/>
                <w:lang w:val="en-US" w:eastAsia="zh-CN" w:bidi="ar-SA"/>
                <w14:ligatures w14:val="none"/>
              </w:rPr>
              <w:t>29</w:t>
            </w:r>
            <w:r>
              <w:rPr>
                <w:rFonts w:hint="eastAsia" w:ascii="仿宋" w:hAnsi="仿宋" w:eastAsia="仿宋" w:cs="仿宋"/>
                <w:color w:val="auto"/>
                <w:sz w:val="24"/>
                <w:highlight w:val="none"/>
                <w:u w:val="none"/>
                <w14:ligatures w14:val="none"/>
              </w:rPr>
              <w:t>测量值列表的数值，都可以通过双击把生长曲线图展现出来，测量方式整合了Intergrowth-21st、NICHD亚裔等10余项国际/国内胎儿生长标准，全面评估胎儿生长发育。无需再另外打开小程序去计算数值；</w:t>
            </w:r>
          </w:p>
        </w:tc>
      </w:tr>
      <w:tr w14:paraId="6F30F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777B416E">
            <w:pPr>
              <w:pStyle w:val="607"/>
              <w:keepNext w:val="0"/>
              <w:keepLines w:val="0"/>
              <w:pageBreakBefore w:val="0"/>
              <w:widowControl w:val="0"/>
              <w:numPr>
                <w:ilvl w:val="0"/>
                <w:numId w:val="28"/>
              </w:numPr>
              <w:kinsoku/>
              <w:wordWrap/>
              <w:overflowPunct/>
              <w:topLinePunct w:val="0"/>
              <w:autoSpaceDE/>
              <w:autoSpaceDN/>
              <w:bidi w:val="0"/>
              <w:adjustRightInd/>
              <w:snapToGrid/>
              <w:spacing w:line="400" w:lineRule="exact"/>
              <w:ind w:left="0" w:firstLine="0"/>
              <w:contextualSpacing w:val="0"/>
              <w:jc w:val="center"/>
              <w:textAlignment w:val="auto"/>
              <w:rPr>
                <w:rFonts w:hint="eastAsia" w:ascii="仿宋" w:hAnsi="仿宋" w:eastAsia="仿宋" w:cs="仿宋"/>
                <w:color w:val="auto"/>
                <w:sz w:val="24"/>
                <w:highlight w:val="none"/>
                <w:u w:val="none"/>
              </w:rPr>
            </w:pPr>
          </w:p>
        </w:tc>
        <w:tc>
          <w:tcPr>
            <w:tcW w:w="4211" w:type="pct"/>
          </w:tcPr>
          <w:p w14:paraId="72BD3ACC">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14:ligatures w14:val="none"/>
              </w:rPr>
            </w:pPr>
            <w:r>
              <w:rPr>
                <w:rFonts w:hint="eastAsia" w:ascii="仿宋" w:hAnsi="仿宋" w:eastAsia="仿宋" w:cs="仿宋"/>
                <w:color w:val="auto"/>
                <w:sz w:val="24"/>
                <w:highlight w:val="none"/>
                <w:u w:val="none"/>
              </w:rPr>
              <w:t>★</w:t>
            </w:r>
            <w:r>
              <w:rPr>
                <w:rFonts w:hint="eastAsia" w:ascii="仿宋" w:hAnsi="仿宋" w:eastAsia="仿宋" w:cs="仿宋"/>
                <w:b w:val="0"/>
                <w:bCs/>
                <w:color w:val="auto"/>
                <w:kern w:val="2"/>
                <w:sz w:val="24"/>
                <w:szCs w:val="24"/>
                <w:highlight w:val="none"/>
                <w:u w:val="none"/>
                <w:lang w:val="en-US" w:eastAsia="zh-CN" w:bidi="ar-SA"/>
                <w14:ligatures w14:val="none"/>
              </w:rPr>
              <w:t>2.</w:t>
            </w:r>
            <w:r>
              <w:rPr>
                <w:rFonts w:hint="eastAsia" w:ascii="仿宋" w:hAnsi="仿宋" w:eastAsia="仿宋" w:cs="仿宋"/>
                <w:b w:val="0"/>
                <w:bCs/>
                <w:color w:val="auto"/>
                <w:kern w:val="0"/>
                <w:sz w:val="24"/>
                <w:szCs w:val="24"/>
                <w:highlight w:val="none"/>
                <w:u w:val="none"/>
                <w:lang w:val="en-US" w:eastAsia="zh-CN" w:bidi="ar-SA"/>
                <w14:ligatures w14:val="standardContextual"/>
              </w:rPr>
              <w:t>1.</w:t>
            </w:r>
            <w:r>
              <w:rPr>
                <w:rFonts w:hint="eastAsia" w:ascii="仿宋" w:hAnsi="仿宋" w:eastAsia="仿宋" w:cs="仿宋"/>
                <w:b w:val="0"/>
                <w:bCs/>
                <w:color w:val="auto"/>
                <w:kern w:val="2"/>
                <w:sz w:val="24"/>
                <w:szCs w:val="24"/>
                <w:highlight w:val="none"/>
                <w:u w:val="none"/>
                <w:lang w:val="en-US" w:eastAsia="zh-CN" w:bidi="ar-SA"/>
                <w14:ligatures w14:val="none"/>
              </w:rPr>
              <w:t>30</w:t>
            </w:r>
            <w:r>
              <w:rPr>
                <w:rFonts w:hint="eastAsia" w:ascii="仿宋" w:hAnsi="仿宋" w:eastAsia="仿宋" w:cs="仿宋"/>
                <w:color w:val="auto"/>
                <w:sz w:val="24"/>
                <w:highlight w:val="none"/>
                <w:u w:val="none"/>
                <w14:ligatures w14:val="none"/>
              </w:rPr>
              <w:t>历次孕期检查的生长趋势图：允许医生直观地观察胎儿的生长参数在每次检查中是否处于正常发展范围内，并判断其增长速度是否符合预期。如果胎儿的生长参数偏离了正常参考范围，工作站不仅会直观地展示出偏差程度，还能实时计算并提供Z值分数和百分位数，为医生提供准确的定量分析工具；</w:t>
            </w:r>
          </w:p>
        </w:tc>
      </w:tr>
      <w:tr w14:paraId="7418C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788" w:type="pct"/>
            <w:vMerge w:val="continue"/>
          </w:tcPr>
          <w:p w14:paraId="319D924A">
            <w:pPr>
              <w:pStyle w:val="607"/>
              <w:keepNext w:val="0"/>
              <w:keepLines w:val="0"/>
              <w:pageBreakBefore w:val="0"/>
              <w:widowControl w:val="0"/>
              <w:numPr>
                <w:ilvl w:val="0"/>
                <w:numId w:val="28"/>
              </w:numPr>
              <w:kinsoku/>
              <w:wordWrap/>
              <w:overflowPunct/>
              <w:topLinePunct w:val="0"/>
              <w:autoSpaceDE/>
              <w:autoSpaceDN/>
              <w:bidi w:val="0"/>
              <w:adjustRightInd/>
              <w:snapToGrid/>
              <w:spacing w:line="400" w:lineRule="exact"/>
              <w:ind w:left="0" w:firstLine="0"/>
              <w:contextualSpacing w:val="0"/>
              <w:jc w:val="center"/>
              <w:textAlignment w:val="auto"/>
              <w:rPr>
                <w:rFonts w:hint="eastAsia" w:ascii="仿宋" w:hAnsi="仿宋" w:eastAsia="仿宋" w:cs="仿宋"/>
                <w:color w:val="auto"/>
                <w:sz w:val="24"/>
                <w:highlight w:val="none"/>
                <w:u w:val="none"/>
              </w:rPr>
            </w:pPr>
          </w:p>
        </w:tc>
        <w:tc>
          <w:tcPr>
            <w:tcW w:w="4211" w:type="pct"/>
            <w:vAlign w:val="center"/>
          </w:tcPr>
          <w:p w14:paraId="4AA0D0A8">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 w:hAnsi="仿宋" w:eastAsia="仿宋" w:cs="仿宋"/>
                <w:color w:val="auto"/>
                <w:sz w:val="24"/>
                <w:highlight w:val="none"/>
                <w:u w:val="none"/>
                <w14:ligatures w14:val="none"/>
              </w:rPr>
            </w:pPr>
            <w:r>
              <w:rPr>
                <w:rFonts w:hint="eastAsia" w:ascii="仿宋" w:hAnsi="仿宋" w:eastAsia="仿宋" w:cs="仿宋"/>
                <w:b w:val="0"/>
                <w:bCs/>
                <w:color w:val="auto"/>
                <w:kern w:val="2"/>
                <w:sz w:val="24"/>
                <w:szCs w:val="24"/>
                <w:highlight w:val="none"/>
                <w:u w:val="none"/>
                <w:lang w:val="en-US" w:eastAsia="zh-CN" w:bidi="ar-SA"/>
                <w14:ligatures w14:val="none"/>
              </w:rPr>
              <w:t>2.</w:t>
            </w:r>
            <w:r>
              <w:rPr>
                <w:rFonts w:hint="eastAsia" w:ascii="仿宋" w:hAnsi="仿宋" w:eastAsia="仿宋" w:cs="仿宋"/>
                <w:b w:val="0"/>
                <w:bCs/>
                <w:color w:val="auto"/>
                <w:kern w:val="0"/>
                <w:sz w:val="24"/>
                <w:szCs w:val="24"/>
                <w:highlight w:val="none"/>
                <w:u w:val="none"/>
                <w:lang w:val="en-US" w:eastAsia="zh-CN" w:bidi="ar-SA"/>
                <w14:ligatures w14:val="standardContextual"/>
              </w:rPr>
              <w:t>1.</w:t>
            </w:r>
            <w:r>
              <w:rPr>
                <w:rFonts w:hint="eastAsia" w:ascii="仿宋" w:hAnsi="仿宋" w:eastAsia="仿宋" w:cs="仿宋"/>
                <w:b w:val="0"/>
                <w:bCs/>
                <w:color w:val="auto"/>
                <w:kern w:val="2"/>
                <w:sz w:val="24"/>
                <w:szCs w:val="24"/>
                <w:highlight w:val="none"/>
                <w:u w:val="none"/>
                <w:lang w:val="en-US" w:eastAsia="zh-CN" w:bidi="ar-SA"/>
                <w14:ligatures w14:val="none"/>
              </w:rPr>
              <w:t>31</w:t>
            </w:r>
            <w:r>
              <w:rPr>
                <w:rFonts w:hint="eastAsia" w:ascii="仿宋" w:hAnsi="仿宋" w:eastAsia="仿宋" w:cs="仿宋"/>
                <w:color w:val="auto"/>
                <w:sz w:val="24"/>
                <w:highlight w:val="none"/>
                <w:u w:val="none"/>
                <w14:ligatures w14:val="none"/>
              </w:rPr>
              <w:t>如需将生长参数曲线图打印到报告中可以</w:t>
            </w:r>
            <w:r>
              <w:rPr>
                <w:rFonts w:hint="eastAsia" w:ascii="仿宋" w:hAnsi="仿宋" w:eastAsia="仿宋" w:cs="仿宋"/>
                <w:color w:val="auto"/>
                <w:sz w:val="24"/>
                <w:highlight w:val="none"/>
                <w:u w:val="none"/>
                <w:lang w:val="en-US" w:eastAsia="zh-CN"/>
                <w14:ligatures w14:val="none"/>
              </w:rPr>
              <w:t>生成</w:t>
            </w:r>
            <w:r>
              <w:rPr>
                <w:rFonts w:hint="eastAsia" w:ascii="仿宋" w:hAnsi="仿宋" w:eastAsia="仿宋" w:cs="仿宋"/>
                <w:color w:val="auto"/>
                <w:sz w:val="24"/>
                <w:highlight w:val="none"/>
                <w:u w:val="none"/>
                <w14:ligatures w14:val="none"/>
              </w:rPr>
              <w:t>生长曲线图，将其加入到打印列表即可打印；</w:t>
            </w:r>
          </w:p>
        </w:tc>
      </w:tr>
      <w:tr w14:paraId="04B3E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6055238A">
            <w:pPr>
              <w:pStyle w:val="607"/>
              <w:keepNext w:val="0"/>
              <w:keepLines w:val="0"/>
              <w:pageBreakBefore w:val="0"/>
              <w:widowControl w:val="0"/>
              <w:numPr>
                <w:ilvl w:val="0"/>
                <w:numId w:val="28"/>
              </w:numPr>
              <w:kinsoku/>
              <w:wordWrap/>
              <w:overflowPunct/>
              <w:topLinePunct w:val="0"/>
              <w:autoSpaceDE/>
              <w:autoSpaceDN/>
              <w:bidi w:val="0"/>
              <w:adjustRightInd/>
              <w:snapToGrid/>
              <w:spacing w:line="400" w:lineRule="exact"/>
              <w:ind w:left="0" w:firstLine="0"/>
              <w:contextualSpacing w:val="0"/>
              <w:jc w:val="center"/>
              <w:textAlignment w:val="auto"/>
              <w:rPr>
                <w:rFonts w:hint="eastAsia" w:ascii="仿宋" w:hAnsi="仿宋" w:eastAsia="仿宋" w:cs="仿宋"/>
                <w:color w:val="auto"/>
                <w:sz w:val="24"/>
                <w:highlight w:val="none"/>
                <w:u w:val="none"/>
              </w:rPr>
            </w:pPr>
          </w:p>
        </w:tc>
        <w:tc>
          <w:tcPr>
            <w:tcW w:w="4211" w:type="pct"/>
          </w:tcPr>
          <w:p w14:paraId="6D8D096C">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14:ligatures w14:val="none"/>
              </w:rPr>
            </w:pPr>
            <w:r>
              <w:rPr>
                <w:rFonts w:hint="eastAsia" w:ascii="仿宋" w:hAnsi="仿宋" w:eastAsia="仿宋" w:cs="仿宋"/>
                <w:b w:val="0"/>
                <w:bCs/>
                <w:color w:val="auto"/>
                <w:kern w:val="2"/>
                <w:sz w:val="24"/>
                <w:szCs w:val="24"/>
                <w:highlight w:val="none"/>
                <w:u w:val="none"/>
                <w:lang w:val="en-US" w:eastAsia="zh-CN" w:bidi="ar-SA"/>
                <w14:ligatures w14:val="none"/>
              </w:rPr>
              <w:t>2.</w:t>
            </w:r>
            <w:r>
              <w:rPr>
                <w:rFonts w:hint="eastAsia" w:ascii="仿宋" w:hAnsi="仿宋" w:eastAsia="仿宋" w:cs="仿宋"/>
                <w:b w:val="0"/>
                <w:bCs/>
                <w:color w:val="auto"/>
                <w:kern w:val="0"/>
                <w:sz w:val="24"/>
                <w:szCs w:val="24"/>
                <w:highlight w:val="none"/>
                <w:u w:val="none"/>
                <w:lang w:val="en-US" w:eastAsia="zh-CN" w:bidi="ar-SA"/>
                <w14:ligatures w14:val="standardContextual"/>
              </w:rPr>
              <w:t>1.</w:t>
            </w:r>
            <w:r>
              <w:rPr>
                <w:rFonts w:hint="eastAsia" w:ascii="仿宋" w:hAnsi="仿宋" w:eastAsia="仿宋" w:cs="仿宋"/>
                <w:b w:val="0"/>
                <w:bCs/>
                <w:color w:val="auto"/>
                <w:kern w:val="2"/>
                <w:sz w:val="24"/>
                <w:szCs w:val="24"/>
                <w:highlight w:val="none"/>
                <w:u w:val="none"/>
                <w:lang w:val="en-US" w:eastAsia="zh-CN" w:bidi="ar-SA"/>
                <w14:ligatures w14:val="none"/>
              </w:rPr>
              <w:t>32</w:t>
            </w:r>
            <w:r>
              <w:rPr>
                <w:rFonts w:hint="eastAsia" w:ascii="仿宋" w:hAnsi="仿宋" w:eastAsia="仿宋" w:cs="仿宋"/>
                <w:color w:val="auto"/>
                <w:sz w:val="24"/>
                <w:highlight w:val="none"/>
                <w:u w:val="none"/>
                <w14:ligatures w14:val="none"/>
              </w:rPr>
              <w:t>提供产前超声报告模版</w:t>
            </w:r>
            <w:r>
              <w:rPr>
                <w:rFonts w:hint="eastAsia" w:ascii="仿宋" w:hAnsi="仿宋" w:eastAsia="仿宋" w:cs="仿宋"/>
                <w:color w:val="auto"/>
                <w:sz w:val="24"/>
                <w:highlight w:val="none"/>
                <w:u w:val="none"/>
                <w:lang w:eastAsia="zh-CN"/>
                <w14:ligatures w14:val="none"/>
              </w:rPr>
              <w:t>供医生选择</w:t>
            </w:r>
            <w:r>
              <w:rPr>
                <w:rFonts w:hint="eastAsia" w:ascii="仿宋" w:hAnsi="仿宋" w:eastAsia="仿宋" w:cs="仿宋"/>
                <w:color w:val="auto"/>
                <w:sz w:val="24"/>
                <w:highlight w:val="none"/>
                <w:u w:val="none"/>
                <w14:ligatures w14:val="none"/>
              </w:rPr>
              <w:t>；</w:t>
            </w:r>
          </w:p>
        </w:tc>
      </w:tr>
      <w:tr w14:paraId="45A73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34084323">
            <w:pPr>
              <w:pStyle w:val="607"/>
              <w:keepNext w:val="0"/>
              <w:keepLines w:val="0"/>
              <w:pageBreakBefore w:val="0"/>
              <w:widowControl w:val="0"/>
              <w:numPr>
                <w:ilvl w:val="0"/>
                <w:numId w:val="28"/>
              </w:numPr>
              <w:kinsoku/>
              <w:wordWrap/>
              <w:overflowPunct/>
              <w:topLinePunct w:val="0"/>
              <w:autoSpaceDE/>
              <w:autoSpaceDN/>
              <w:bidi w:val="0"/>
              <w:adjustRightInd/>
              <w:snapToGrid/>
              <w:spacing w:line="400" w:lineRule="exact"/>
              <w:ind w:left="0" w:firstLine="0"/>
              <w:contextualSpacing w:val="0"/>
              <w:jc w:val="center"/>
              <w:textAlignment w:val="auto"/>
              <w:rPr>
                <w:rFonts w:hint="eastAsia" w:ascii="仿宋" w:hAnsi="仿宋" w:eastAsia="仿宋" w:cs="仿宋"/>
                <w:color w:val="auto"/>
                <w:sz w:val="24"/>
                <w:highlight w:val="none"/>
                <w:u w:val="none"/>
              </w:rPr>
            </w:pPr>
          </w:p>
        </w:tc>
        <w:tc>
          <w:tcPr>
            <w:tcW w:w="4211" w:type="pct"/>
          </w:tcPr>
          <w:p w14:paraId="12978F7F">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14:ligatures w14:val="none"/>
              </w:rPr>
            </w:pPr>
            <w:r>
              <w:rPr>
                <w:rFonts w:hint="eastAsia" w:ascii="仿宋" w:hAnsi="仿宋" w:eastAsia="仿宋" w:cs="仿宋"/>
                <w:b w:val="0"/>
                <w:bCs/>
                <w:color w:val="auto"/>
                <w:kern w:val="2"/>
                <w:sz w:val="24"/>
                <w:szCs w:val="24"/>
                <w:highlight w:val="none"/>
                <w:u w:val="none"/>
                <w:lang w:val="en-US" w:eastAsia="zh-CN" w:bidi="ar-SA"/>
                <w14:ligatures w14:val="none"/>
              </w:rPr>
              <w:t>2.</w:t>
            </w:r>
            <w:r>
              <w:rPr>
                <w:rFonts w:hint="eastAsia" w:ascii="仿宋" w:hAnsi="仿宋" w:eastAsia="仿宋" w:cs="仿宋"/>
                <w:b w:val="0"/>
                <w:bCs/>
                <w:color w:val="auto"/>
                <w:kern w:val="0"/>
                <w:sz w:val="24"/>
                <w:szCs w:val="24"/>
                <w:highlight w:val="none"/>
                <w:u w:val="none"/>
                <w:lang w:val="en-US" w:eastAsia="zh-CN" w:bidi="ar-SA"/>
                <w14:ligatures w14:val="standardContextual"/>
              </w:rPr>
              <w:t>1.</w:t>
            </w:r>
            <w:r>
              <w:rPr>
                <w:rFonts w:hint="eastAsia" w:ascii="仿宋" w:hAnsi="仿宋" w:eastAsia="仿宋" w:cs="仿宋"/>
                <w:b w:val="0"/>
                <w:bCs/>
                <w:color w:val="auto"/>
                <w:kern w:val="2"/>
                <w:sz w:val="24"/>
                <w:szCs w:val="24"/>
                <w:highlight w:val="none"/>
                <w:u w:val="none"/>
                <w:lang w:val="en-US" w:eastAsia="zh-CN" w:bidi="ar-SA"/>
                <w14:ligatures w14:val="none"/>
              </w:rPr>
              <w:t>33</w:t>
            </w:r>
            <w:r>
              <w:rPr>
                <w:rFonts w:hint="eastAsia" w:ascii="仿宋" w:hAnsi="仿宋" w:eastAsia="仿宋" w:cs="仿宋"/>
                <w:color w:val="auto"/>
                <w:sz w:val="24"/>
                <w:highlight w:val="none"/>
                <w:u w:val="none"/>
                <w14:ligatures w14:val="none"/>
              </w:rPr>
              <w:t>正常规范报告快速生成，可以自由勾选</w:t>
            </w:r>
            <w:r>
              <w:rPr>
                <w:rFonts w:hint="eastAsia" w:ascii="仿宋" w:hAnsi="仿宋" w:eastAsia="仿宋" w:cs="仿宋"/>
                <w:color w:val="auto"/>
                <w:sz w:val="24"/>
                <w:highlight w:val="none"/>
                <w:u w:val="none"/>
                <w:lang w:eastAsia="zh-CN"/>
                <w14:ligatures w14:val="none"/>
              </w:rPr>
              <w:t>“</w:t>
            </w:r>
            <w:r>
              <w:rPr>
                <w:rFonts w:hint="eastAsia" w:ascii="仿宋" w:hAnsi="仿宋" w:eastAsia="仿宋" w:cs="仿宋"/>
                <w:color w:val="auto"/>
                <w:sz w:val="24"/>
                <w:highlight w:val="none"/>
                <w:u w:val="none"/>
                <w14:ligatures w14:val="none"/>
              </w:rPr>
              <w:t>正常</w:t>
            </w:r>
            <w:r>
              <w:rPr>
                <w:rFonts w:hint="eastAsia" w:ascii="仿宋" w:hAnsi="仿宋" w:eastAsia="仿宋" w:cs="仿宋"/>
                <w:color w:val="auto"/>
                <w:sz w:val="24"/>
                <w:highlight w:val="none"/>
                <w:u w:val="none"/>
                <w:lang w:eastAsia="zh-CN"/>
                <w14:ligatures w14:val="none"/>
              </w:rPr>
              <w:t>”</w:t>
            </w:r>
            <w:r>
              <w:rPr>
                <w:rFonts w:hint="eastAsia" w:ascii="仿宋" w:hAnsi="仿宋" w:eastAsia="仿宋" w:cs="仿宋"/>
                <w:color w:val="auto"/>
                <w:sz w:val="24"/>
                <w:highlight w:val="none"/>
                <w:u w:val="none"/>
                <w14:ligatures w14:val="none"/>
              </w:rPr>
              <w:t>前面胎儿检查部位，选择之后点击</w:t>
            </w:r>
            <w:r>
              <w:rPr>
                <w:rFonts w:hint="eastAsia" w:ascii="仿宋" w:hAnsi="仿宋" w:eastAsia="仿宋" w:cs="仿宋"/>
                <w:color w:val="auto"/>
                <w:sz w:val="24"/>
                <w:highlight w:val="none"/>
                <w:u w:val="none"/>
                <w:lang w:eastAsia="zh-CN"/>
                <w14:ligatures w14:val="none"/>
              </w:rPr>
              <w:t>“</w:t>
            </w:r>
            <w:r>
              <w:rPr>
                <w:rFonts w:hint="eastAsia" w:ascii="仿宋" w:hAnsi="仿宋" w:eastAsia="仿宋" w:cs="仿宋"/>
                <w:color w:val="auto"/>
                <w:sz w:val="24"/>
                <w:highlight w:val="none"/>
                <w:u w:val="none"/>
                <w14:ligatures w14:val="none"/>
              </w:rPr>
              <w:t>正常</w:t>
            </w:r>
            <w:r>
              <w:rPr>
                <w:rFonts w:hint="eastAsia" w:ascii="仿宋" w:hAnsi="仿宋" w:eastAsia="仿宋" w:cs="仿宋"/>
                <w:color w:val="auto"/>
                <w:sz w:val="24"/>
                <w:highlight w:val="none"/>
                <w:u w:val="none"/>
                <w:lang w:eastAsia="zh-CN"/>
                <w14:ligatures w14:val="none"/>
              </w:rPr>
              <w:t>”</w:t>
            </w:r>
            <w:r>
              <w:rPr>
                <w:rFonts w:hint="eastAsia" w:ascii="仿宋" w:hAnsi="仿宋" w:eastAsia="仿宋" w:cs="仿宋"/>
                <w:color w:val="auto"/>
                <w:sz w:val="24"/>
                <w:highlight w:val="none"/>
                <w:u w:val="none"/>
                <w14:ligatures w14:val="none"/>
              </w:rPr>
              <w:t>就会一键添加到报告中；</w:t>
            </w:r>
          </w:p>
        </w:tc>
      </w:tr>
      <w:tr w14:paraId="06BC4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14A2F6A9">
            <w:pPr>
              <w:pStyle w:val="607"/>
              <w:keepNext w:val="0"/>
              <w:keepLines w:val="0"/>
              <w:pageBreakBefore w:val="0"/>
              <w:widowControl w:val="0"/>
              <w:numPr>
                <w:ilvl w:val="0"/>
                <w:numId w:val="28"/>
              </w:numPr>
              <w:kinsoku/>
              <w:wordWrap/>
              <w:overflowPunct/>
              <w:topLinePunct w:val="0"/>
              <w:autoSpaceDE/>
              <w:autoSpaceDN/>
              <w:bidi w:val="0"/>
              <w:adjustRightInd/>
              <w:snapToGrid/>
              <w:spacing w:line="400" w:lineRule="exact"/>
              <w:ind w:left="0" w:firstLine="0"/>
              <w:contextualSpacing w:val="0"/>
              <w:jc w:val="center"/>
              <w:textAlignment w:val="auto"/>
              <w:rPr>
                <w:rFonts w:hint="eastAsia" w:ascii="仿宋" w:hAnsi="仿宋" w:eastAsia="仿宋" w:cs="仿宋"/>
                <w:color w:val="auto"/>
                <w:sz w:val="24"/>
                <w:highlight w:val="none"/>
                <w:u w:val="none"/>
              </w:rPr>
            </w:pPr>
          </w:p>
        </w:tc>
        <w:tc>
          <w:tcPr>
            <w:tcW w:w="4211" w:type="pct"/>
          </w:tcPr>
          <w:p w14:paraId="3335DAB0">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14:ligatures w14:val="none"/>
              </w:rPr>
            </w:pPr>
            <w:r>
              <w:rPr>
                <w:rFonts w:hint="eastAsia" w:ascii="仿宋" w:hAnsi="仿宋" w:eastAsia="仿宋" w:cs="仿宋"/>
                <w:b w:val="0"/>
                <w:bCs/>
                <w:color w:val="auto"/>
                <w:kern w:val="2"/>
                <w:sz w:val="24"/>
                <w:szCs w:val="24"/>
                <w:highlight w:val="none"/>
                <w:u w:val="none"/>
                <w:lang w:val="en-US" w:eastAsia="zh-CN" w:bidi="ar-SA"/>
                <w14:ligatures w14:val="none"/>
              </w:rPr>
              <w:t>2.</w:t>
            </w:r>
            <w:r>
              <w:rPr>
                <w:rFonts w:hint="eastAsia" w:ascii="仿宋" w:hAnsi="仿宋" w:eastAsia="仿宋" w:cs="仿宋"/>
                <w:b w:val="0"/>
                <w:bCs/>
                <w:color w:val="auto"/>
                <w:kern w:val="0"/>
                <w:sz w:val="24"/>
                <w:szCs w:val="24"/>
                <w:highlight w:val="none"/>
                <w:u w:val="none"/>
                <w:lang w:val="en-US" w:eastAsia="zh-CN" w:bidi="ar-SA"/>
                <w14:ligatures w14:val="standardContextual"/>
              </w:rPr>
              <w:t>1.</w:t>
            </w:r>
            <w:r>
              <w:rPr>
                <w:rFonts w:hint="eastAsia" w:ascii="仿宋" w:hAnsi="仿宋" w:eastAsia="仿宋" w:cs="仿宋"/>
                <w:b w:val="0"/>
                <w:bCs/>
                <w:color w:val="auto"/>
                <w:kern w:val="2"/>
                <w:sz w:val="24"/>
                <w:szCs w:val="24"/>
                <w:highlight w:val="none"/>
                <w:u w:val="none"/>
                <w:lang w:val="en-US" w:eastAsia="zh-CN" w:bidi="ar-SA"/>
                <w14:ligatures w14:val="none"/>
              </w:rPr>
              <w:t>34产前专用诊断知识库，选择好相应内容之后，对应内容支持加载到报告中，按部位提供多种胎儿异常疾病的报告模板</w:t>
            </w:r>
            <w:r>
              <w:rPr>
                <w:rFonts w:hint="eastAsia" w:ascii="仿宋" w:hAnsi="仿宋" w:eastAsia="仿宋" w:cs="仿宋"/>
                <w:color w:val="auto"/>
                <w:sz w:val="24"/>
                <w:highlight w:val="none"/>
                <w:u w:val="none"/>
                <w14:ligatures w14:val="none"/>
              </w:rPr>
              <w:t>；</w:t>
            </w:r>
          </w:p>
        </w:tc>
      </w:tr>
      <w:tr w14:paraId="6D377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09EA7E29">
            <w:pPr>
              <w:pStyle w:val="607"/>
              <w:keepNext w:val="0"/>
              <w:keepLines w:val="0"/>
              <w:pageBreakBefore w:val="0"/>
              <w:widowControl w:val="0"/>
              <w:numPr>
                <w:ilvl w:val="0"/>
                <w:numId w:val="28"/>
              </w:numPr>
              <w:kinsoku/>
              <w:wordWrap/>
              <w:overflowPunct/>
              <w:topLinePunct w:val="0"/>
              <w:autoSpaceDE/>
              <w:autoSpaceDN/>
              <w:bidi w:val="0"/>
              <w:adjustRightInd/>
              <w:snapToGrid/>
              <w:spacing w:line="400" w:lineRule="exact"/>
              <w:ind w:left="0" w:firstLine="0"/>
              <w:contextualSpacing w:val="0"/>
              <w:jc w:val="center"/>
              <w:textAlignment w:val="auto"/>
              <w:rPr>
                <w:rFonts w:hint="eastAsia" w:ascii="仿宋" w:hAnsi="仿宋" w:eastAsia="仿宋" w:cs="仿宋"/>
                <w:color w:val="auto"/>
                <w:sz w:val="24"/>
                <w:highlight w:val="none"/>
                <w:u w:val="none"/>
              </w:rPr>
            </w:pPr>
          </w:p>
        </w:tc>
        <w:tc>
          <w:tcPr>
            <w:tcW w:w="4211" w:type="pct"/>
          </w:tcPr>
          <w:p w14:paraId="1B58A9B2">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14:ligatures w14:val="none"/>
              </w:rPr>
            </w:pPr>
            <w:r>
              <w:rPr>
                <w:rFonts w:hint="eastAsia" w:ascii="仿宋" w:hAnsi="仿宋" w:eastAsia="仿宋" w:cs="仿宋"/>
                <w:color w:val="auto"/>
                <w:sz w:val="24"/>
                <w:highlight w:val="none"/>
                <w:u w:val="none"/>
              </w:rPr>
              <w:t>★</w:t>
            </w:r>
            <w:r>
              <w:rPr>
                <w:rFonts w:hint="eastAsia" w:ascii="仿宋" w:hAnsi="仿宋" w:eastAsia="仿宋" w:cs="仿宋"/>
                <w:b w:val="0"/>
                <w:bCs/>
                <w:color w:val="auto"/>
                <w:kern w:val="2"/>
                <w:sz w:val="24"/>
                <w:szCs w:val="24"/>
                <w:highlight w:val="none"/>
                <w:u w:val="none"/>
                <w:lang w:val="en-US" w:eastAsia="zh-CN" w:bidi="ar-SA"/>
                <w14:ligatures w14:val="none"/>
              </w:rPr>
              <w:t>2.</w:t>
            </w:r>
            <w:r>
              <w:rPr>
                <w:rFonts w:hint="eastAsia" w:ascii="仿宋" w:hAnsi="仿宋" w:eastAsia="仿宋" w:cs="仿宋"/>
                <w:b w:val="0"/>
                <w:bCs/>
                <w:color w:val="auto"/>
                <w:kern w:val="0"/>
                <w:sz w:val="24"/>
                <w:szCs w:val="24"/>
                <w:highlight w:val="none"/>
                <w:u w:val="none"/>
                <w:lang w:val="en-US" w:eastAsia="zh-CN" w:bidi="ar-SA"/>
                <w14:ligatures w14:val="standardContextual"/>
              </w:rPr>
              <w:t>1.</w:t>
            </w:r>
            <w:r>
              <w:rPr>
                <w:rFonts w:hint="eastAsia" w:ascii="仿宋" w:hAnsi="仿宋" w:eastAsia="仿宋" w:cs="仿宋"/>
                <w:b w:val="0"/>
                <w:bCs/>
                <w:color w:val="auto"/>
                <w:kern w:val="2"/>
                <w:sz w:val="24"/>
                <w:szCs w:val="24"/>
                <w:highlight w:val="none"/>
                <w:u w:val="none"/>
                <w:lang w:val="en-US" w:eastAsia="zh-CN" w:bidi="ar-SA"/>
                <w14:ligatures w14:val="none"/>
              </w:rPr>
              <w:t>35</w:t>
            </w:r>
            <w:r>
              <w:rPr>
                <w:rFonts w:hint="eastAsia" w:ascii="仿宋" w:hAnsi="仿宋" w:eastAsia="仿宋" w:cs="仿宋"/>
                <w:color w:val="auto"/>
                <w:sz w:val="24"/>
                <w:highlight w:val="none"/>
                <w:u w:val="none"/>
                <w14:ligatures w14:val="none"/>
              </w:rPr>
              <w:t>打印预览：显示出风险评估报告单。包括病人基本信息、评估指标、风险曲线图、说明、评估医生信息。点击报告单上的</w:t>
            </w:r>
            <w:r>
              <w:rPr>
                <w:rFonts w:hint="eastAsia" w:ascii="仿宋" w:hAnsi="仿宋" w:eastAsia="仿宋" w:cs="仿宋"/>
                <w:color w:val="auto"/>
                <w:sz w:val="24"/>
                <w:highlight w:val="none"/>
                <w:u w:val="none"/>
                <w:lang w:eastAsia="zh-CN"/>
                <w14:ligatures w14:val="none"/>
              </w:rPr>
              <w:t>“</w:t>
            </w:r>
            <w:r>
              <w:rPr>
                <w:rFonts w:hint="eastAsia" w:ascii="仿宋" w:hAnsi="仿宋" w:eastAsia="仿宋" w:cs="仿宋"/>
                <w:color w:val="auto"/>
                <w:sz w:val="24"/>
                <w:highlight w:val="none"/>
                <w:u w:val="none"/>
                <w14:ligatures w14:val="none"/>
              </w:rPr>
              <w:t>打印</w:t>
            </w:r>
            <w:r>
              <w:rPr>
                <w:rFonts w:hint="eastAsia" w:ascii="仿宋" w:hAnsi="仿宋" w:eastAsia="仿宋" w:cs="仿宋"/>
                <w:color w:val="auto"/>
                <w:sz w:val="24"/>
                <w:highlight w:val="none"/>
                <w:u w:val="none"/>
                <w:lang w:eastAsia="zh-CN"/>
                <w14:ligatures w14:val="none"/>
              </w:rPr>
              <w:t>”</w:t>
            </w:r>
            <w:r>
              <w:rPr>
                <w:rFonts w:hint="eastAsia" w:ascii="仿宋" w:hAnsi="仿宋" w:eastAsia="仿宋" w:cs="仿宋"/>
                <w:color w:val="auto"/>
                <w:sz w:val="24"/>
                <w:highlight w:val="none"/>
                <w:u w:val="none"/>
                <w14:ligatures w14:val="none"/>
              </w:rPr>
              <w:t>可以打印报告单；</w:t>
            </w:r>
          </w:p>
        </w:tc>
      </w:tr>
      <w:tr w14:paraId="29D4C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25891898">
            <w:pPr>
              <w:pStyle w:val="607"/>
              <w:keepNext w:val="0"/>
              <w:keepLines w:val="0"/>
              <w:pageBreakBefore w:val="0"/>
              <w:widowControl w:val="0"/>
              <w:numPr>
                <w:ilvl w:val="0"/>
                <w:numId w:val="28"/>
              </w:numPr>
              <w:kinsoku/>
              <w:wordWrap/>
              <w:overflowPunct/>
              <w:topLinePunct w:val="0"/>
              <w:autoSpaceDE/>
              <w:autoSpaceDN/>
              <w:bidi w:val="0"/>
              <w:adjustRightInd/>
              <w:snapToGrid/>
              <w:spacing w:line="400" w:lineRule="exact"/>
              <w:ind w:left="0" w:firstLine="0"/>
              <w:contextualSpacing w:val="0"/>
              <w:jc w:val="center"/>
              <w:textAlignment w:val="auto"/>
              <w:rPr>
                <w:rFonts w:hint="eastAsia" w:ascii="仿宋" w:hAnsi="仿宋" w:eastAsia="仿宋" w:cs="仿宋"/>
                <w:color w:val="auto"/>
                <w:sz w:val="24"/>
                <w:highlight w:val="none"/>
                <w:u w:val="none"/>
              </w:rPr>
            </w:pPr>
          </w:p>
        </w:tc>
        <w:tc>
          <w:tcPr>
            <w:tcW w:w="4211" w:type="pct"/>
          </w:tcPr>
          <w:p w14:paraId="29773472">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14:ligatures w14:val="none"/>
              </w:rPr>
            </w:pPr>
            <w:r>
              <w:rPr>
                <w:rFonts w:hint="eastAsia" w:ascii="仿宋" w:hAnsi="仿宋" w:eastAsia="仿宋" w:cs="仿宋"/>
                <w:color w:val="auto"/>
                <w:sz w:val="24"/>
                <w:highlight w:val="none"/>
                <w:u w:val="none"/>
              </w:rPr>
              <w:t>★</w:t>
            </w:r>
            <w:r>
              <w:rPr>
                <w:rFonts w:hint="eastAsia" w:ascii="仿宋" w:hAnsi="仿宋" w:eastAsia="仿宋" w:cs="仿宋"/>
                <w:b w:val="0"/>
                <w:bCs/>
                <w:color w:val="auto"/>
                <w:kern w:val="2"/>
                <w:sz w:val="24"/>
                <w:szCs w:val="24"/>
                <w:highlight w:val="none"/>
                <w:u w:val="none"/>
                <w:lang w:val="en-US" w:eastAsia="zh-CN" w:bidi="ar-SA"/>
                <w14:ligatures w14:val="none"/>
              </w:rPr>
              <w:t>2.</w:t>
            </w:r>
            <w:r>
              <w:rPr>
                <w:rFonts w:hint="eastAsia" w:ascii="仿宋" w:hAnsi="仿宋" w:eastAsia="仿宋" w:cs="仿宋"/>
                <w:b w:val="0"/>
                <w:bCs/>
                <w:color w:val="auto"/>
                <w:kern w:val="0"/>
                <w:sz w:val="24"/>
                <w:szCs w:val="24"/>
                <w:highlight w:val="none"/>
                <w:u w:val="none"/>
                <w:lang w:val="en-US" w:eastAsia="zh-CN" w:bidi="ar-SA"/>
                <w14:ligatures w14:val="standardContextual"/>
              </w:rPr>
              <w:t>1.</w:t>
            </w:r>
            <w:r>
              <w:rPr>
                <w:rFonts w:hint="eastAsia" w:ascii="仿宋" w:hAnsi="仿宋" w:eastAsia="仿宋" w:cs="仿宋"/>
                <w:b w:val="0"/>
                <w:bCs/>
                <w:color w:val="auto"/>
                <w:kern w:val="2"/>
                <w:sz w:val="24"/>
                <w:szCs w:val="24"/>
                <w:highlight w:val="none"/>
                <w:u w:val="none"/>
                <w:lang w:val="en-US" w:eastAsia="zh-CN" w:bidi="ar-SA"/>
                <w14:ligatures w14:val="none"/>
              </w:rPr>
              <w:t>36</w:t>
            </w:r>
            <w:r>
              <w:rPr>
                <w:rFonts w:hint="eastAsia" w:ascii="仿宋" w:hAnsi="仿宋" w:eastAsia="仿宋" w:cs="仿宋"/>
                <w:color w:val="auto"/>
                <w:sz w:val="24"/>
                <w:highlight w:val="none"/>
                <w:u w:val="none"/>
                <w14:ligatures w14:val="none"/>
              </w:rPr>
              <w:t>检查类型默认孕周设置：在此页面上用户可以自主设置产前检查类型的孕周范围。根据操作符设置最大最小孕周值；</w:t>
            </w:r>
          </w:p>
        </w:tc>
      </w:tr>
      <w:tr w14:paraId="4E21B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359F8EF5">
            <w:pPr>
              <w:pStyle w:val="607"/>
              <w:keepNext w:val="0"/>
              <w:keepLines w:val="0"/>
              <w:pageBreakBefore w:val="0"/>
              <w:widowControl w:val="0"/>
              <w:numPr>
                <w:ilvl w:val="0"/>
                <w:numId w:val="28"/>
              </w:numPr>
              <w:kinsoku/>
              <w:wordWrap/>
              <w:overflowPunct/>
              <w:topLinePunct w:val="0"/>
              <w:autoSpaceDE/>
              <w:autoSpaceDN/>
              <w:bidi w:val="0"/>
              <w:adjustRightInd/>
              <w:snapToGrid/>
              <w:spacing w:line="400" w:lineRule="exact"/>
              <w:ind w:left="0" w:firstLine="0"/>
              <w:contextualSpacing w:val="0"/>
              <w:jc w:val="center"/>
              <w:textAlignment w:val="auto"/>
              <w:rPr>
                <w:rFonts w:hint="eastAsia" w:ascii="仿宋" w:hAnsi="仿宋" w:eastAsia="仿宋" w:cs="仿宋"/>
                <w:color w:val="auto"/>
                <w:sz w:val="24"/>
                <w:highlight w:val="none"/>
                <w:u w:val="none"/>
              </w:rPr>
            </w:pPr>
          </w:p>
        </w:tc>
        <w:tc>
          <w:tcPr>
            <w:tcW w:w="4211" w:type="pct"/>
          </w:tcPr>
          <w:p w14:paraId="41890F45">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14:ligatures w14:val="none"/>
              </w:rPr>
            </w:pPr>
            <w:r>
              <w:rPr>
                <w:rFonts w:hint="eastAsia" w:ascii="仿宋" w:hAnsi="仿宋" w:eastAsia="仿宋" w:cs="仿宋"/>
                <w:b w:val="0"/>
                <w:bCs/>
                <w:color w:val="auto"/>
                <w:kern w:val="2"/>
                <w:sz w:val="24"/>
                <w:szCs w:val="24"/>
                <w:highlight w:val="none"/>
                <w:u w:val="none"/>
                <w:lang w:val="en-US" w:eastAsia="zh-CN" w:bidi="ar-SA"/>
                <w14:ligatures w14:val="none"/>
              </w:rPr>
              <w:t>2.</w:t>
            </w:r>
            <w:r>
              <w:rPr>
                <w:rFonts w:hint="eastAsia" w:ascii="仿宋" w:hAnsi="仿宋" w:eastAsia="仿宋" w:cs="仿宋"/>
                <w:b w:val="0"/>
                <w:bCs/>
                <w:color w:val="auto"/>
                <w:kern w:val="0"/>
                <w:sz w:val="24"/>
                <w:szCs w:val="24"/>
                <w:highlight w:val="none"/>
                <w:u w:val="none"/>
                <w:lang w:val="en-US" w:eastAsia="zh-CN" w:bidi="ar-SA"/>
                <w14:ligatures w14:val="standardContextual"/>
              </w:rPr>
              <w:t>1.</w:t>
            </w:r>
            <w:r>
              <w:rPr>
                <w:rFonts w:hint="eastAsia" w:ascii="仿宋" w:hAnsi="仿宋" w:eastAsia="仿宋" w:cs="仿宋"/>
                <w:b w:val="0"/>
                <w:bCs/>
                <w:color w:val="auto"/>
                <w:kern w:val="2"/>
                <w:sz w:val="24"/>
                <w:szCs w:val="24"/>
                <w:highlight w:val="none"/>
                <w:u w:val="none"/>
                <w:lang w:val="en-US" w:eastAsia="zh-CN" w:bidi="ar-SA"/>
                <w14:ligatures w14:val="none"/>
              </w:rPr>
              <w:t>37</w:t>
            </w:r>
            <w:r>
              <w:rPr>
                <w:rFonts w:hint="eastAsia" w:ascii="仿宋" w:hAnsi="仿宋" w:eastAsia="仿宋" w:cs="仿宋"/>
                <w:color w:val="auto"/>
                <w:sz w:val="24"/>
                <w:highlight w:val="none"/>
                <w:u w:val="none"/>
                <w14:ligatures w14:val="none"/>
              </w:rPr>
              <w:t>报告模板支持根据产前检查类型配置默认打印在报告上的孕妇知情提示信息；</w:t>
            </w:r>
          </w:p>
        </w:tc>
      </w:tr>
      <w:tr w14:paraId="02A77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74AC0C46">
            <w:pPr>
              <w:pStyle w:val="607"/>
              <w:keepNext w:val="0"/>
              <w:keepLines w:val="0"/>
              <w:pageBreakBefore w:val="0"/>
              <w:widowControl w:val="0"/>
              <w:numPr>
                <w:ilvl w:val="0"/>
                <w:numId w:val="28"/>
              </w:numPr>
              <w:kinsoku/>
              <w:wordWrap/>
              <w:overflowPunct/>
              <w:topLinePunct w:val="0"/>
              <w:autoSpaceDE/>
              <w:autoSpaceDN/>
              <w:bidi w:val="0"/>
              <w:adjustRightInd/>
              <w:snapToGrid/>
              <w:spacing w:line="400" w:lineRule="exact"/>
              <w:ind w:left="0" w:firstLine="0"/>
              <w:contextualSpacing w:val="0"/>
              <w:jc w:val="center"/>
              <w:textAlignment w:val="auto"/>
              <w:rPr>
                <w:rFonts w:hint="eastAsia" w:ascii="仿宋" w:hAnsi="仿宋" w:eastAsia="仿宋" w:cs="仿宋"/>
                <w:color w:val="auto"/>
                <w:sz w:val="24"/>
                <w:highlight w:val="none"/>
                <w:u w:val="none"/>
              </w:rPr>
            </w:pPr>
          </w:p>
        </w:tc>
        <w:tc>
          <w:tcPr>
            <w:tcW w:w="4211" w:type="pct"/>
          </w:tcPr>
          <w:p w14:paraId="517553F1">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lang w:val="en-US" w:eastAsia="zh-CN"/>
                <w14:ligatures w14:val="none"/>
              </w:rPr>
            </w:pPr>
            <w:r>
              <w:rPr>
                <w:rFonts w:hint="eastAsia" w:ascii="仿宋" w:hAnsi="仿宋" w:eastAsia="仿宋" w:cs="仿宋"/>
                <w:b w:val="0"/>
                <w:bCs/>
                <w:color w:val="auto"/>
                <w:kern w:val="2"/>
                <w:sz w:val="24"/>
                <w:szCs w:val="24"/>
                <w:highlight w:val="none"/>
                <w:u w:val="none"/>
                <w:lang w:val="en-US" w:eastAsia="zh-CN" w:bidi="ar-SA"/>
                <w14:ligatures w14:val="none"/>
              </w:rPr>
              <w:t>2.</w:t>
            </w:r>
            <w:r>
              <w:rPr>
                <w:rFonts w:hint="eastAsia" w:ascii="仿宋" w:hAnsi="仿宋" w:eastAsia="仿宋" w:cs="仿宋"/>
                <w:b w:val="0"/>
                <w:bCs/>
                <w:color w:val="auto"/>
                <w:kern w:val="0"/>
                <w:sz w:val="24"/>
                <w:szCs w:val="24"/>
                <w:highlight w:val="none"/>
                <w:u w:val="none"/>
                <w:lang w:val="en-US" w:eastAsia="zh-CN" w:bidi="ar-SA"/>
                <w14:ligatures w14:val="standardContextual"/>
              </w:rPr>
              <w:t>1.</w:t>
            </w:r>
            <w:r>
              <w:rPr>
                <w:rFonts w:hint="eastAsia" w:ascii="仿宋" w:hAnsi="仿宋" w:eastAsia="仿宋" w:cs="仿宋"/>
                <w:b w:val="0"/>
                <w:bCs/>
                <w:color w:val="auto"/>
                <w:kern w:val="2"/>
                <w:sz w:val="24"/>
                <w:szCs w:val="24"/>
                <w:highlight w:val="none"/>
                <w:u w:val="none"/>
                <w:lang w:val="en-US" w:eastAsia="zh-CN" w:bidi="ar-SA"/>
                <w14:ligatures w14:val="none"/>
              </w:rPr>
              <w:t>38</w:t>
            </w:r>
            <w:r>
              <w:rPr>
                <w:rFonts w:hint="eastAsia" w:ascii="仿宋" w:hAnsi="仿宋" w:eastAsia="仿宋" w:cs="仿宋"/>
                <w:color w:val="auto"/>
                <w:sz w:val="24"/>
                <w:highlight w:val="none"/>
                <w:u w:val="none"/>
                <w:lang w:val="en-US" w:eastAsia="zh-CN"/>
                <w14:ligatures w14:val="none"/>
              </w:rPr>
              <w:t>系统支持影像管理功能，系统基于深度学习模型实现病灶检出、切面识别等功能，不低于1500例经典正常切面和典型异常切面进行算法构建，部分切面能够提供扫查引导，指导医生开展检查手法的正确操作；支持收藏当前检查病例，并在病例列表中进行标记，便于后续回顾教学。</w:t>
            </w:r>
          </w:p>
        </w:tc>
      </w:tr>
      <w:tr w14:paraId="7ECF9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1F426735">
            <w:pPr>
              <w:pStyle w:val="607"/>
              <w:keepNext w:val="0"/>
              <w:keepLines w:val="0"/>
              <w:pageBreakBefore w:val="0"/>
              <w:widowControl w:val="0"/>
              <w:numPr>
                <w:ilvl w:val="0"/>
                <w:numId w:val="28"/>
              </w:numPr>
              <w:kinsoku/>
              <w:wordWrap/>
              <w:overflowPunct/>
              <w:topLinePunct w:val="0"/>
              <w:autoSpaceDE/>
              <w:autoSpaceDN/>
              <w:bidi w:val="0"/>
              <w:adjustRightInd/>
              <w:snapToGrid/>
              <w:spacing w:line="400" w:lineRule="exact"/>
              <w:ind w:left="0" w:firstLine="0"/>
              <w:contextualSpacing w:val="0"/>
              <w:jc w:val="center"/>
              <w:textAlignment w:val="auto"/>
              <w:rPr>
                <w:rFonts w:hint="eastAsia" w:ascii="仿宋" w:hAnsi="仿宋" w:eastAsia="仿宋" w:cs="仿宋"/>
                <w:color w:val="auto"/>
                <w:sz w:val="24"/>
                <w:highlight w:val="none"/>
                <w:u w:val="none"/>
              </w:rPr>
            </w:pPr>
          </w:p>
        </w:tc>
        <w:tc>
          <w:tcPr>
            <w:tcW w:w="4211" w:type="pct"/>
          </w:tcPr>
          <w:p w14:paraId="250B9E2D">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14:ligatures w14:val="none"/>
              </w:rPr>
            </w:pPr>
            <w:r>
              <w:rPr>
                <w:rFonts w:hint="eastAsia" w:ascii="仿宋" w:hAnsi="仿宋" w:eastAsia="仿宋" w:cs="仿宋"/>
                <w:color w:val="auto"/>
                <w:sz w:val="24"/>
                <w:highlight w:val="none"/>
                <w:u w:val="none"/>
                <w14:ligatures w14:val="none"/>
              </w:rPr>
              <w:t>★</w:t>
            </w:r>
            <w:r>
              <w:rPr>
                <w:rFonts w:hint="eastAsia" w:ascii="仿宋" w:hAnsi="仿宋" w:eastAsia="仿宋" w:cs="仿宋"/>
                <w:b w:val="0"/>
                <w:bCs/>
                <w:color w:val="auto"/>
                <w:kern w:val="2"/>
                <w:sz w:val="24"/>
                <w:szCs w:val="24"/>
                <w:highlight w:val="none"/>
                <w:u w:val="none"/>
                <w:lang w:val="en-US" w:eastAsia="zh-CN" w:bidi="ar-SA"/>
                <w14:ligatures w14:val="none"/>
              </w:rPr>
              <w:t>2.</w:t>
            </w:r>
            <w:r>
              <w:rPr>
                <w:rFonts w:hint="eastAsia" w:ascii="仿宋" w:hAnsi="仿宋" w:eastAsia="仿宋" w:cs="仿宋"/>
                <w:b w:val="0"/>
                <w:bCs/>
                <w:color w:val="auto"/>
                <w:kern w:val="0"/>
                <w:sz w:val="24"/>
                <w:szCs w:val="24"/>
                <w:highlight w:val="none"/>
                <w:u w:val="none"/>
                <w:lang w:val="en-US" w:eastAsia="zh-CN" w:bidi="ar-SA"/>
                <w14:ligatures w14:val="standardContextual"/>
              </w:rPr>
              <w:t>1.</w:t>
            </w:r>
            <w:r>
              <w:rPr>
                <w:rFonts w:hint="eastAsia" w:ascii="仿宋" w:hAnsi="仿宋" w:eastAsia="仿宋" w:cs="仿宋"/>
                <w:b w:val="0"/>
                <w:bCs/>
                <w:color w:val="auto"/>
                <w:kern w:val="2"/>
                <w:sz w:val="24"/>
                <w:szCs w:val="24"/>
                <w:highlight w:val="none"/>
                <w:u w:val="none"/>
                <w:lang w:val="en-US" w:eastAsia="zh-CN" w:bidi="ar-SA"/>
                <w14:ligatures w14:val="none"/>
              </w:rPr>
              <w:t>39</w:t>
            </w:r>
            <w:r>
              <w:rPr>
                <w:rFonts w:hint="eastAsia" w:ascii="仿宋" w:hAnsi="仿宋" w:eastAsia="仿宋" w:cs="仿宋"/>
                <w:color w:val="auto"/>
                <w:sz w:val="24"/>
                <w:highlight w:val="none"/>
                <w:u w:val="none"/>
                <w14:ligatures w14:val="none"/>
              </w:rPr>
              <w:t>有预后时预后按钮可用，畸形有预后子节点，非畸形没有预后子节点</w:t>
            </w:r>
            <w:r>
              <w:rPr>
                <w:rFonts w:hint="eastAsia" w:ascii="仿宋" w:hAnsi="仿宋" w:eastAsia="仿宋" w:cs="仿宋"/>
                <w:color w:val="auto"/>
                <w:sz w:val="24"/>
                <w:highlight w:val="none"/>
                <w:u w:val="none"/>
                <w:lang w:eastAsia="zh-CN"/>
                <w14:ligatures w14:val="none"/>
              </w:rPr>
              <w:t>；</w:t>
            </w:r>
          </w:p>
        </w:tc>
      </w:tr>
      <w:tr w14:paraId="434F6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7CD099CA">
            <w:pPr>
              <w:pStyle w:val="607"/>
              <w:keepNext w:val="0"/>
              <w:keepLines w:val="0"/>
              <w:pageBreakBefore w:val="0"/>
              <w:widowControl w:val="0"/>
              <w:numPr>
                <w:ilvl w:val="0"/>
                <w:numId w:val="29"/>
              </w:numPr>
              <w:kinsoku/>
              <w:wordWrap/>
              <w:overflowPunct/>
              <w:topLinePunct w:val="0"/>
              <w:autoSpaceDE/>
              <w:autoSpaceDN/>
              <w:bidi w:val="0"/>
              <w:adjustRightInd/>
              <w:snapToGrid/>
              <w:spacing w:line="400" w:lineRule="exact"/>
              <w:ind w:left="0" w:firstLine="0"/>
              <w:contextualSpacing w:val="0"/>
              <w:jc w:val="center"/>
              <w:textAlignment w:val="auto"/>
              <w:rPr>
                <w:rFonts w:hint="eastAsia" w:ascii="仿宋" w:hAnsi="仿宋" w:eastAsia="仿宋" w:cs="仿宋"/>
                <w:color w:val="auto"/>
                <w:sz w:val="24"/>
                <w:highlight w:val="none"/>
                <w:u w:val="none"/>
              </w:rPr>
            </w:pPr>
          </w:p>
        </w:tc>
        <w:tc>
          <w:tcPr>
            <w:tcW w:w="4211" w:type="pct"/>
          </w:tcPr>
          <w:p w14:paraId="6FEC2E6D">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14:ligatures w14:val="none"/>
              </w:rPr>
            </w:pPr>
            <w:r>
              <w:rPr>
                <w:rFonts w:hint="eastAsia" w:ascii="仿宋" w:hAnsi="仿宋" w:eastAsia="仿宋" w:cs="仿宋"/>
                <w:b w:val="0"/>
                <w:bCs/>
                <w:color w:val="auto"/>
                <w:kern w:val="2"/>
                <w:sz w:val="24"/>
                <w:szCs w:val="24"/>
                <w:highlight w:val="none"/>
                <w:u w:val="none"/>
                <w:lang w:val="en-US" w:eastAsia="zh-CN" w:bidi="ar-SA"/>
                <w14:ligatures w14:val="none"/>
              </w:rPr>
              <w:t>2.</w:t>
            </w:r>
            <w:r>
              <w:rPr>
                <w:rFonts w:hint="eastAsia" w:ascii="仿宋" w:hAnsi="仿宋" w:eastAsia="仿宋" w:cs="仿宋"/>
                <w:b w:val="0"/>
                <w:bCs/>
                <w:color w:val="auto"/>
                <w:kern w:val="0"/>
                <w:sz w:val="24"/>
                <w:szCs w:val="24"/>
                <w:highlight w:val="none"/>
                <w:u w:val="none"/>
                <w:lang w:val="en-US" w:eastAsia="zh-CN" w:bidi="ar-SA"/>
                <w14:ligatures w14:val="standardContextual"/>
              </w:rPr>
              <w:t>1.</w:t>
            </w:r>
            <w:r>
              <w:rPr>
                <w:rFonts w:hint="eastAsia" w:ascii="仿宋" w:hAnsi="仿宋" w:eastAsia="仿宋" w:cs="仿宋"/>
                <w:b w:val="0"/>
                <w:bCs/>
                <w:color w:val="auto"/>
                <w:kern w:val="2"/>
                <w:sz w:val="24"/>
                <w:szCs w:val="24"/>
                <w:highlight w:val="none"/>
                <w:u w:val="none"/>
                <w:lang w:val="en-US" w:eastAsia="zh-CN" w:bidi="ar-SA"/>
                <w14:ligatures w14:val="none"/>
              </w:rPr>
              <w:t>40</w:t>
            </w:r>
            <w:r>
              <w:rPr>
                <w:rFonts w:hint="eastAsia" w:ascii="仿宋" w:hAnsi="仿宋" w:eastAsia="仿宋" w:cs="仿宋"/>
                <w:color w:val="auto"/>
                <w:sz w:val="24"/>
                <w:highlight w:val="none"/>
                <w:u w:val="none"/>
                <w14:ligatures w14:val="none"/>
              </w:rPr>
              <w:t>支持</w:t>
            </w:r>
            <w:r>
              <w:rPr>
                <w:rFonts w:hint="eastAsia" w:ascii="仿宋" w:hAnsi="仿宋" w:eastAsia="仿宋" w:cs="仿宋"/>
                <w:color w:val="auto"/>
                <w:sz w:val="24"/>
                <w:highlight w:val="none"/>
                <w:u w:val="none"/>
                <w:lang w:val="en-US" w:eastAsia="zh-CN"/>
                <w14:ligatures w14:val="none"/>
              </w:rPr>
              <w:t>在超声工作中</w:t>
            </w:r>
            <w:r>
              <w:rPr>
                <w:rFonts w:hint="eastAsia" w:ascii="仿宋" w:hAnsi="仿宋" w:eastAsia="仿宋" w:cs="仿宋"/>
                <w:color w:val="auto"/>
                <w:sz w:val="24"/>
                <w:highlight w:val="none"/>
                <w:u w:val="none"/>
                <w14:ligatures w14:val="none"/>
              </w:rPr>
              <w:t xml:space="preserve">：在超声工作中点击影像采集模块时，显示产前超声实时智能检测系统；增加“智能采集”列表用于显示超声实时智能检测系统的采集情况； </w:t>
            </w:r>
          </w:p>
        </w:tc>
      </w:tr>
      <w:tr w14:paraId="76365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15294B3F">
            <w:pPr>
              <w:pStyle w:val="607"/>
              <w:keepNext w:val="0"/>
              <w:keepLines w:val="0"/>
              <w:pageBreakBefore w:val="0"/>
              <w:widowControl w:val="0"/>
              <w:numPr>
                <w:ilvl w:val="0"/>
                <w:numId w:val="29"/>
              </w:numPr>
              <w:kinsoku/>
              <w:wordWrap/>
              <w:overflowPunct/>
              <w:topLinePunct w:val="0"/>
              <w:autoSpaceDE/>
              <w:autoSpaceDN/>
              <w:bidi w:val="0"/>
              <w:adjustRightInd/>
              <w:snapToGrid/>
              <w:spacing w:line="400" w:lineRule="exact"/>
              <w:ind w:left="0" w:firstLine="0"/>
              <w:contextualSpacing w:val="0"/>
              <w:jc w:val="center"/>
              <w:textAlignment w:val="auto"/>
              <w:rPr>
                <w:rFonts w:hint="eastAsia" w:ascii="仿宋" w:hAnsi="仿宋" w:eastAsia="仿宋" w:cs="仿宋"/>
                <w:color w:val="auto"/>
                <w:sz w:val="24"/>
                <w:highlight w:val="none"/>
                <w:u w:val="none"/>
              </w:rPr>
            </w:pPr>
          </w:p>
        </w:tc>
        <w:tc>
          <w:tcPr>
            <w:tcW w:w="4211" w:type="pct"/>
          </w:tcPr>
          <w:p w14:paraId="159B91A7">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14:ligatures w14:val="none"/>
              </w:rPr>
            </w:pPr>
            <w:r>
              <w:rPr>
                <w:rFonts w:hint="eastAsia" w:ascii="仿宋" w:hAnsi="仿宋" w:eastAsia="仿宋" w:cs="仿宋"/>
                <w:b w:val="0"/>
                <w:bCs/>
                <w:color w:val="auto"/>
                <w:kern w:val="2"/>
                <w:sz w:val="24"/>
                <w:szCs w:val="24"/>
                <w:highlight w:val="none"/>
                <w:u w:val="none"/>
                <w:lang w:val="en-US" w:eastAsia="zh-CN" w:bidi="ar-SA"/>
                <w14:ligatures w14:val="none"/>
              </w:rPr>
              <w:t>2.</w:t>
            </w:r>
            <w:r>
              <w:rPr>
                <w:rFonts w:hint="eastAsia" w:ascii="仿宋" w:hAnsi="仿宋" w:eastAsia="仿宋" w:cs="仿宋"/>
                <w:b w:val="0"/>
                <w:bCs/>
                <w:color w:val="auto"/>
                <w:kern w:val="0"/>
                <w:sz w:val="24"/>
                <w:szCs w:val="24"/>
                <w:highlight w:val="none"/>
                <w:u w:val="none"/>
                <w:lang w:val="en-US" w:eastAsia="zh-CN" w:bidi="ar-SA"/>
                <w14:ligatures w14:val="standardContextual"/>
              </w:rPr>
              <w:t>1.</w:t>
            </w:r>
            <w:r>
              <w:rPr>
                <w:rFonts w:hint="eastAsia" w:ascii="仿宋" w:hAnsi="仿宋" w:eastAsia="仿宋" w:cs="仿宋"/>
                <w:b w:val="0"/>
                <w:bCs/>
                <w:color w:val="auto"/>
                <w:kern w:val="2"/>
                <w:sz w:val="24"/>
                <w:szCs w:val="24"/>
                <w:highlight w:val="none"/>
                <w:u w:val="none"/>
                <w:lang w:val="en-US" w:eastAsia="zh-CN" w:bidi="ar-SA"/>
                <w14:ligatures w14:val="none"/>
              </w:rPr>
              <w:t>41</w:t>
            </w:r>
            <w:r>
              <w:rPr>
                <w:rFonts w:hint="eastAsia" w:ascii="仿宋" w:hAnsi="仿宋" w:eastAsia="仿宋" w:cs="仿宋"/>
                <w:color w:val="auto"/>
                <w:sz w:val="24"/>
                <w:highlight w:val="none"/>
                <w:u w:val="none"/>
                <w:lang w:val="en-US" w:eastAsia="zh-CN"/>
                <w14:ligatures w14:val="none"/>
              </w:rPr>
              <w:t>支持在超声工作中</w:t>
            </w:r>
            <w:r>
              <w:rPr>
                <w:rFonts w:hint="eastAsia" w:ascii="仿宋" w:hAnsi="仿宋" w:eastAsia="仿宋" w:cs="仿宋"/>
                <w:color w:val="auto"/>
                <w:sz w:val="24"/>
                <w:highlight w:val="none"/>
                <w:u w:val="none"/>
                <w14:ligatures w14:val="none"/>
              </w:rPr>
              <w:t>自动运行超声实时智能检测系统;工作站关闭时，自动关闭产前超声质控系统；</w:t>
            </w:r>
          </w:p>
        </w:tc>
      </w:tr>
      <w:tr w14:paraId="4F028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3E7217EA">
            <w:pPr>
              <w:pStyle w:val="607"/>
              <w:keepNext w:val="0"/>
              <w:keepLines w:val="0"/>
              <w:pageBreakBefore w:val="0"/>
              <w:widowControl w:val="0"/>
              <w:numPr>
                <w:ilvl w:val="0"/>
                <w:numId w:val="29"/>
              </w:numPr>
              <w:kinsoku/>
              <w:wordWrap/>
              <w:overflowPunct/>
              <w:topLinePunct w:val="0"/>
              <w:autoSpaceDE/>
              <w:autoSpaceDN/>
              <w:bidi w:val="0"/>
              <w:adjustRightInd/>
              <w:snapToGrid/>
              <w:spacing w:line="400" w:lineRule="exact"/>
              <w:ind w:left="0" w:firstLine="0"/>
              <w:contextualSpacing w:val="0"/>
              <w:jc w:val="center"/>
              <w:textAlignment w:val="auto"/>
              <w:rPr>
                <w:rFonts w:hint="eastAsia" w:ascii="仿宋" w:hAnsi="仿宋" w:eastAsia="仿宋" w:cs="仿宋"/>
                <w:color w:val="auto"/>
                <w:sz w:val="24"/>
                <w:highlight w:val="none"/>
                <w:u w:val="none"/>
              </w:rPr>
            </w:pPr>
          </w:p>
        </w:tc>
        <w:tc>
          <w:tcPr>
            <w:tcW w:w="4211" w:type="pct"/>
          </w:tcPr>
          <w:p w14:paraId="6B5F14FC">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14:ligatures w14:val="none"/>
              </w:rPr>
            </w:pPr>
            <w:r>
              <w:rPr>
                <w:rFonts w:hint="eastAsia" w:ascii="仿宋" w:hAnsi="仿宋" w:eastAsia="仿宋" w:cs="仿宋"/>
                <w:color w:val="auto"/>
                <w:sz w:val="24"/>
                <w:highlight w:val="none"/>
                <w:u w:val="none"/>
                <w14:ligatures w14:val="none"/>
              </w:rPr>
              <w:t>★</w:t>
            </w:r>
            <w:r>
              <w:rPr>
                <w:rFonts w:hint="eastAsia" w:ascii="仿宋" w:hAnsi="仿宋" w:eastAsia="仿宋" w:cs="仿宋"/>
                <w:b w:val="0"/>
                <w:bCs/>
                <w:color w:val="auto"/>
                <w:kern w:val="2"/>
                <w:sz w:val="24"/>
                <w:szCs w:val="24"/>
                <w:highlight w:val="none"/>
                <w:u w:val="none"/>
                <w:lang w:val="en-US" w:eastAsia="zh-CN" w:bidi="ar-SA"/>
                <w14:ligatures w14:val="none"/>
              </w:rPr>
              <w:t>2.</w:t>
            </w:r>
            <w:r>
              <w:rPr>
                <w:rFonts w:hint="eastAsia" w:ascii="仿宋" w:hAnsi="仿宋" w:eastAsia="仿宋" w:cs="仿宋"/>
                <w:b w:val="0"/>
                <w:bCs/>
                <w:color w:val="auto"/>
                <w:kern w:val="0"/>
                <w:sz w:val="24"/>
                <w:szCs w:val="24"/>
                <w:highlight w:val="none"/>
                <w:u w:val="none"/>
                <w:lang w:val="en-US" w:eastAsia="zh-CN" w:bidi="ar-SA"/>
                <w14:ligatures w14:val="standardContextual"/>
              </w:rPr>
              <w:t>1.</w:t>
            </w:r>
            <w:r>
              <w:rPr>
                <w:rFonts w:hint="eastAsia" w:ascii="仿宋" w:hAnsi="仿宋" w:eastAsia="仿宋" w:cs="仿宋"/>
                <w:b w:val="0"/>
                <w:bCs/>
                <w:color w:val="auto"/>
                <w:kern w:val="2"/>
                <w:sz w:val="24"/>
                <w:szCs w:val="24"/>
                <w:highlight w:val="none"/>
                <w:u w:val="none"/>
                <w:lang w:val="en-US" w:eastAsia="zh-CN" w:bidi="ar-SA"/>
                <w14:ligatures w14:val="none"/>
              </w:rPr>
              <w:t>42</w:t>
            </w:r>
            <w:r>
              <w:rPr>
                <w:rFonts w:hint="eastAsia" w:ascii="仿宋" w:hAnsi="仿宋" w:eastAsia="仿宋" w:cs="仿宋"/>
                <w:color w:val="auto"/>
                <w:sz w:val="24"/>
                <w:highlight w:val="none"/>
                <w:u w:val="none"/>
                <w:lang w:val="en-US" w:eastAsia="zh-CN"/>
                <w14:ligatures w14:val="none"/>
              </w:rPr>
              <w:t>完成超声工作后</w:t>
            </w:r>
            <w:r>
              <w:rPr>
                <w:rFonts w:hint="eastAsia" w:ascii="仿宋" w:hAnsi="仿宋" w:eastAsia="仿宋" w:cs="仿宋"/>
                <w:color w:val="auto"/>
                <w:sz w:val="24"/>
                <w:highlight w:val="none"/>
                <w:u w:val="none"/>
                <w14:ligatures w14:val="none"/>
              </w:rPr>
              <w:t>，支持同工模式传输超声工作站当前患者信息给产前超声质控系统，传输项包括：患者姓名、性别、年龄、检查类型、检查部位、产前检查类型、胎儿数量、孕周；</w:t>
            </w:r>
          </w:p>
        </w:tc>
      </w:tr>
      <w:tr w14:paraId="783B8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74001043">
            <w:pPr>
              <w:pStyle w:val="607"/>
              <w:keepNext w:val="0"/>
              <w:keepLines w:val="0"/>
              <w:pageBreakBefore w:val="0"/>
              <w:widowControl w:val="0"/>
              <w:numPr>
                <w:ilvl w:val="0"/>
                <w:numId w:val="29"/>
              </w:numPr>
              <w:kinsoku/>
              <w:wordWrap/>
              <w:overflowPunct/>
              <w:topLinePunct w:val="0"/>
              <w:autoSpaceDE/>
              <w:autoSpaceDN/>
              <w:bidi w:val="0"/>
              <w:adjustRightInd/>
              <w:snapToGrid/>
              <w:spacing w:line="400" w:lineRule="exact"/>
              <w:ind w:left="0" w:firstLine="0"/>
              <w:contextualSpacing w:val="0"/>
              <w:jc w:val="center"/>
              <w:textAlignment w:val="auto"/>
              <w:rPr>
                <w:rFonts w:hint="eastAsia" w:ascii="仿宋" w:hAnsi="仿宋" w:eastAsia="仿宋" w:cs="仿宋"/>
                <w:color w:val="auto"/>
                <w:sz w:val="24"/>
                <w:highlight w:val="none"/>
                <w:u w:val="none"/>
              </w:rPr>
            </w:pPr>
          </w:p>
        </w:tc>
        <w:tc>
          <w:tcPr>
            <w:tcW w:w="4211" w:type="pct"/>
          </w:tcPr>
          <w:p w14:paraId="51AE7E99">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lang w:eastAsia="zh-CN"/>
                <w14:ligatures w14:val="none"/>
              </w:rPr>
            </w:pPr>
            <w:r>
              <w:rPr>
                <w:rFonts w:hint="eastAsia" w:ascii="仿宋" w:hAnsi="仿宋" w:eastAsia="仿宋" w:cs="仿宋"/>
                <w:b w:val="0"/>
                <w:bCs/>
                <w:color w:val="auto"/>
                <w:kern w:val="2"/>
                <w:sz w:val="24"/>
                <w:szCs w:val="24"/>
                <w:highlight w:val="none"/>
                <w:u w:val="none"/>
                <w:lang w:val="en-US" w:eastAsia="zh-CN" w:bidi="ar-SA"/>
                <w14:ligatures w14:val="none"/>
              </w:rPr>
              <w:t>2.</w:t>
            </w:r>
            <w:r>
              <w:rPr>
                <w:rFonts w:hint="eastAsia" w:ascii="仿宋" w:hAnsi="仿宋" w:eastAsia="仿宋" w:cs="仿宋"/>
                <w:b w:val="0"/>
                <w:bCs/>
                <w:color w:val="auto"/>
                <w:kern w:val="0"/>
                <w:sz w:val="24"/>
                <w:szCs w:val="24"/>
                <w:highlight w:val="none"/>
                <w:u w:val="none"/>
                <w:lang w:val="en-US" w:eastAsia="zh-CN" w:bidi="ar-SA"/>
                <w14:ligatures w14:val="standardContextual"/>
              </w:rPr>
              <w:t>1.</w:t>
            </w:r>
            <w:r>
              <w:rPr>
                <w:rFonts w:hint="eastAsia" w:ascii="仿宋" w:hAnsi="仿宋" w:eastAsia="仿宋" w:cs="仿宋"/>
                <w:b w:val="0"/>
                <w:bCs/>
                <w:color w:val="auto"/>
                <w:kern w:val="2"/>
                <w:sz w:val="24"/>
                <w:szCs w:val="24"/>
                <w:highlight w:val="none"/>
                <w:u w:val="none"/>
                <w:lang w:val="en-US" w:eastAsia="zh-CN" w:bidi="ar-SA"/>
                <w14:ligatures w14:val="none"/>
              </w:rPr>
              <w:t>43</w:t>
            </w:r>
            <w:r>
              <w:rPr>
                <w:rFonts w:hint="eastAsia" w:ascii="仿宋" w:hAnsi="仿宋" w:eastAsia="仿宋" w:cs="仿宋"/>
                <w:color w:val="auto"/>
                <w:sz w:val="24"/>
                <w:highlight w:val="none"/>
                <w:u w:val="none"/>
                <w14:ligatures w14:val="none"/>
              </w:rPr>
              <w:t>标准切面提示：参考国际国内指南及专家共识设定标准切面，参考指南及专家共识≥4份（ISUOG实践指南（2023年更新）、中国产科超声检查指南、中国胎儿产前超声检查规范、产科超声规范化培训考核标准中国专家共识(2022版)），早孕期标准切面提示数量≥7个，中晚孕标准切面提示数量≥62个</w:t>
            </w:r>
            <w:r>
              <w:rPr>
                <w:rFonts w:hint="eastAsia" w:ascii="仿宋" w:hAnsi="仿宋" w:eastAsia="仿宋" w:cs="仿宋"/>
                <w:color w:val="auto"/>
                <w:sz w:val="24"/>
                <w:highlight w:val="none"/>
                <w:u w:val="none"/>
                <w:lang w:eastAsia="zh-CN"/>
                <w14:ligatures w14:val="none"/>
              </w:rPr>
              <w:t>。</w:t>
            </w:r>
          </w:p>
        </w:tc>
      </w:tr>
      <w:tr w14:paraId="4AD81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45782B78">
            <w:pPr>
              <w:pStyle w:val="607"/>
              <w:keepNext w:val="0"/>
              <w:keepLines w:val="0"/>
              <w:pageBreakBefore w:val="0"/>
              <w:widowControl w:val="0"/>
              <w:numPr>
                <w:ilvl w:val="0"/>
                <w:numId w:val="29"/>
              </w:numPr>
              <w:kinsoku/>
              <w:wordWrap/>
              <w:overflowPunct/>
              <w:topLinePunct w:val="0"/>
              <w:autoSpaceDE/>
              <w:autoSpaceDN/>
              <w:bidi w:val="0"/>
              <w:adjustRightInd/>
              <w:snapToGrid/>
              <w:spacing w:line="400" w:lineRule="exact"/>
              <w:ind w:left="0" w:firstLine="0"/>
              <w:contextualSpacing w:val="0"/>
              <w:jc w:val="center"/>
              <w:textAlignment w:val="auto"/>
              <w:rPr>
                <w:rFonts w:hint="eastAsia" w:ascii="仿宋" w:hAnsi="仿宋" w:eastAsia="仿宋" w:cs="仿宋"/>
                <w:color w:val="auto"/>
                <w:sz w:val="24"/>
                <w:highlight w:val="none"/>
                <w:u w:val="none"/>
              </w:rPr>
            </w:pPr>
          </w:p>
        </w:tc>
        <w:tc>
          <w:tcPr>
            <w:tcW w:w="4211" w:type="pct"/>
          </w:tcPr>
          <w:p w14:paraId="23FA806D">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lang w:eastAsia="zh-CN"/>
                <w14:ligatures w14:val="none"/>
              </w:rPr>
            </w:pPr>
            <w:r>
              <w:rPr>
                <w:rFonts w:hint="eastAsia" w:ascii="仿宋" w:hAnsi="仿宋" w:eastAsia="仿宋" w:cs="仿宋"/>
                <w:b w:val="0"/>
                <w:bCs/>
                <w:color w:val="auto"/>
                <w:kern w:val="2"/>
                <w:sz w:val="24"/>
                <w:szCs w:val="24"/>
                <w:highlight w:val="none"/>
                <w:u w:val="none"/>
                <w:lang w:val="en-US" w:eastAsia="zh-CN" w:bidi="ar-SA"/>
                <w14:ligatures w14:val="none"/>
              </w:rPr>
              <w:t>2.</w:t>
            </w:r>
            <w:r>
              <w:rPr>
                <w:rFonts w:hint="eastAsia" w:ascii="仿宋" w:hAnsi="仿宋" w:eastAsia="仿宋" w:cs="仿宋"/>
                <w:b w:val="0"/>
                <w:bCs/>
                <w:color w:val="auto"/>
                <w:kern w:val="0"/>
                <w:sz w:val="24"/>
                <w:szCs w:val="24"/>
                <w:highlight w:val="none"/>
                <w:u w:val="none"/>
                <w:lang w:val="en-US" w:eastAsia="zh-CN" w:bidi="ar-SA"/>
                <w14:ligatures w14:val="standardContextual"/>
              </w:rPr>
              <w:t>1.</w:t>
            </w:r>
            <w:r>
              <w:rPr>
                <w:rFonts w:hint="eastAsia" w:ascii="仿宋" w:hAnsi="仿宋" w:eastAsia="仿宋" w:cs="仿宋"/>
                <w:b w:val="0"/>
                <w:bCs/>
                <w:color w:val="auto"/>
                <w:kern w:val="2"/>
                <w:sz w:val="24"/>
                <w:szCs w:val="24"/>
                <w:highlight w:val="none"/>
                <w:u w:val="none"/>
                <w:lang w:val="en-US" w:eastAsia="zh-CN" w:bidi="ar-SA"/>
                <w14:ligatures w14:val="none"/>
              </w:rPr>
              <w:t>44</w:t>
            </w:r>
            <w:r>
              <w:rPr>
                <w:rFonts w:hint="eastAsia" w:ascii="仿宋" w:hAnsi="仿宋" w:eastAsia="仿宋" w:cs="仿宋"/>
                <w:color w:val="auto"/>
                <w:sz w:val="24"/>
                <w:highlight w:val="none"/>
                <w:u w:val="none"/>
                <w14:ligatures w14:val="none"/>
              </w:rPr>
              <w:t>实时质控：系统支持在用户扫查的同时，自动匹配产前标准切面并留图，同时评估留图切面与标准切面之间的相似度，提供≥2种标记提示医生标准切面判定及存储标准</w:t>
            </w:r>
            <w:r>
              <w:rPr>
                <w:rFonts w:hint="eastAsia" w:ascii="仿宋" w:hAnsi="仿宋" w:eastAsia="仿宋" w:cs="仿宋"/>
                <w:color w:val="auto"/>
                <w:sz w:val="24"/>
                <w:highlight w:val="none"/>
                <w:u w:val="none"/>
                <w:lang w:eastAsia="zh-CN"/>
                <w14:ligatures w14:val="none"/>
              </w:rPr>
              <w:t>。</w:t>
            </w:r>
          </w:p>
        </w:tc>
      </w:tr>
      <w:tr w14:paraId="1D302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7E42B25F">
            <w:pPr>
              <w:pStyle w:val="607"/>
              <w:keepNext w:val="0"/>
              <w:keepLines w:val="0"/>
              <w:pageBreakBefore w:val="0"/>
              <w:widowControl w:val="0"/>
              <w:numPr>
                <w:ilvl w:val="0"/>
                <w:numId w:val="29"/>
              </w:numPr>
              <w:kinsoku/>
              <w:wordWrap/>
              <w:overflowPunct/>
              <w:topLinePunct w:val="0"/>
              <w:autoSpaceDE/>
              <w:autoSpaceDN/>
              <w:bidi w:val="0"/>
              <w:adjustRightInd/>
              <w:snapToGrid/>
              <w:spacing w:line="400" w:lineRule="exact"/>
              <w:ind w:left="0" w:firstLine="0"/>
              <w:contextualSpacing w:val="0"/>
              <w:jc w:val="center"/>
              <w:textAlignment w:val="auto"/>
              <w:rPr>
                <w:rFonts w:hint="eastAsia" w:ascii="仿宋" w:hAnsi="仿宋" w:eastAsia="仿宋" w:cs="仿宋"/>
                <w:color w:val="auto"/>
                <w:sz w:val="24"/>
                <w:highlight w:val="none"/>
                <w:u w:val="none"/>
              </w:rPr>
            </w:pPr>
          </w:p>
        </w:tc>
        <w:tc>
          <w:tcPr>
            <w:tcW w:w="4211" w:type="pct"/>
          </w:tcPr>
          <w:p w14:paraId="70AEC6E1">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u w:val="none"/>
                <w14:ligatures w14:val="none"/>
              </w:rPr>
            </w:pPr>
            <w:r>
              <w:rPr>
                <w:rFonts w:hint="eastAsia" w:ascii="仿宋" w:hAnsi="仿宋" w:eastAsia="仿宋" w:cs="仿宋"/>
                <w:color w:val="auto"/>
                <w:sz w:val="24"/>
                <w:highlight w:val="none"/>
                <w:u w:val="none"/>
                <w14:ligatures w14:val="none"/>
              </w:rPr>
              <w:t>★</w:t>
            </w:r>
            <w:r>
              <w:rPr>
                <w:rFonts w:hint="eastAsia" w:ascii="仿宋" w:hAnsi="仿宋" w:eastAsia="仿宋" w:cs="仿宋"/>
                <w:b w:val="0"/>
                <w:bCs/>
                <w:color w:val="auto"/>
                <w:kern w:val="2"/>
                <w:sz w:val="24"/>
                <w:szCs w:val="24"/>
                <w:highlight w:val="none"/>
                <w:u w:val="none"/>
                <w:lang w:val="en-US" w:eastAsia="zh-CN" w:bidi="ar-SA"/>
                <w14:ligatures w14:val="none"/>
              </w:rPr>
              <w:t>2.</w:t>
            </w:r>
            <w:r>
              <w:rPr>
                <w:rFonts w:hint="eastAsia" w:ascii="仿宋" w:hAnsi="仿宋" w:eastAsia="仿宋" w:cs="仿宋"/>
                <w:b w:val="0"/>
                <w:bCs/>
                <w:color w:val="auto"/>
                <w:kern w:val="0"/>
                <w:sz w:val="24"/>
                <w:szCs w:val="24"/>
                <w:highlight w:val="none"/>
                <w:u w:val="none"/>
                <w:lang w:val="en-US" w:eastAsia="zh-CN" w:bidi="ar-SA"/>
                <w14:ligatures w14:val="standardContextual"/>
              </w:rPr>
              <w:t>1.</w:t>
            </w:r>
            <w:r>
              <w:rPr>
                <w:rFonts w:hint="eastAsia" w:ascii="仿宋" w:hAnsi="仿宋" w:eastAsia="仿宋" w:cs="仿宋"/>
                <w:b w:val="0"/>
                <w:bCs/>
                <w:color w:val="auto"/>
                <w:kern w:val="2"/>
                <w:sz w:val="24"/>
                <w:szCs w:val="24"/>
                <w:highlight w:val="none"/>
                <w:u w:val="none"/>
                <w:lang w:val="en-US" w:eastAsia="zh-CN" w:bidi="ar-SA"/>
                <w14:ligatures w14:val="none"/>
              </w:rPr>
              <w:t>45</w:t>
            </w:r>
            <w:r>
              <w:rPr>
                <w:rFonts w:hint="eastAsia" w:ascii="仿宋" w:hAnsi="仿宋" w:eastAsia="仿宋" w:cs="仿宋"/>
                <w:color w:val="auto"/>
                <w:sz w:val="24"/>
                <w:highlight w:val="none"/>
                <w:u w:val="none"/>
                <w14:ligatures w14:val="none"/>
              </w:rPr>
              <w:t>此项目</w:t>
            </w:r>
            <w:r>
              <w:rPr>
                <w:rFonts w:hint="eastAsia" w:ascii="仿宋" w:hAnsi="仿宋" w:eastAsia="仿宋" w:cs="仿宋"/>
                <w:color w:val="auto"/>
                <w:sz w:val="24"/>
                <w:highlight w:val="none"/>
                <w:u w:val="none"/>
                <w:lang w:val="en-US" w:eastAsia="zh-CN"/>
                <w14:ligatures w14:val="none"/>
              </w:rPr>
              <w:t>须</w:t>
            </w:r>
            <w:r>
              <w:rPr>
                <w:rFonts w:hint="eastAsia" w:ascii="仿宋" w:hAnsi="仿宋" w:eastAsia="仿宋" w:cs="仿宋"/>
                <w:color w:val="auto"/>
                <w:sz w:val="24"/>
                <w:highlight w:val="none"/>
                <w:u w:val="none"/>
                <w14:ligatures w14:val="none"/>
              </w:rPr>
              <w:t>完成与</w:t>
            </w:r>
            <w:r>
              <w:rPr>
                <w:rFonts w:hint="eastAsia" w:ascii="仿宋" w:hAnsi="仿宋" w:eastAsia="仿宋" w:cs="仿宋"/>
                <w:color w:val="auto"/>
                <w:sz w:val="24"/>
                <w:highlight w:val="none"/>
                <w:u w:val="none"/>
                <w:lang w:val="en-US" w:eastAsia="zh-CN"/>
                <w14:ligatures w14:val="none"/>
              </w:rPr>
              <w:t>上级部门的指令性平台或接口的对接改造，须完成医共体平台及院内信息化相关接口的对接改造，该</w:t>
            </w:r>
            <w:r>
              <w:rPr>
                <w:rFonts w:hint="eastAsia" w:ascii="仿宋" w:hAnsi="仿宋" w:eastAsia="仿宋" w:cs="仿宋"/>
                <w:color w:val="auto"/>
                <w:sz w:val="24"/>
                <w:highlight w:val="none"/>
                <w:u w:val="none"/>
                <w:lang w:eastAsia="zh-CN"/>
                <w14:ligatures w14:val="none"/>
              </w:rPr>
              <w:t>费用须包含在投标总价中</w:t>
            </w:r>
            <w:r>
              <w:rPr>
                <w:rFonts w:hint="eastAsia" w:ascii="仿宋" w:hAnsi="仿宋" w:eastAsia="仿宋" w:cs="仿宋"/>
                <w:color w:val="auto"/>
                <w:sz w:val="24"/>
                <w:highlight w:val="none"/>
                <w:u w:val="none"/>
                <w14:ligatures w14:val="none"/>
              </w:rPr>
              <w:t>。</w:t>
            </w:r>
          </w:p>
        </w:tc>
      </w:tr>
      <w:tr w14:paraId="23FEF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tcPr>
          <w:p w14:paraId="0DE62434">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contextualSpacing w:val="0"/>
              <w:jc w:val="both"/>
              <w:textAlignment w:val="auto"/>
              <w:rPr>
                <w:rFonts w:hint="eastAsia" w:ascii="仿宋" w:hAnsi="仿宋" w:eastAsia="仿宋" w:cs="仿宋"/>
                <w:color w:val="auto"/>
                <w:sz w:val="24"/>
                <w:highlight w:val="none"/>
                <w:u w:val="none"/>
              </w:rPr>
            </w:pPr>
          </w:p>
        </w:tc>
        <w:tc>
          <w:tcPr>
            <w:tcW w:w="4211" w:type="pct"/>
          </w:tcPr>
          <w:p w14:paraId="3F749B7D">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b w:val="0"/>
                <w:bCs/>
                <w:color w:val="auto"/>
                <w:kern w:val="2"/>
                <w:sz w:val="24"/>
                <w:szCs w:val="24"/>
                <w:highlight w:val="none"/>
                <w:u w:val="none"/>
                <w:lang w:val="en-US" w:eastAsia="zh-CN" w:bidi="ar-SA"/>
                <w14:ligatures w14:val="none"/>
              </w:rPr>
            </w:pPr>
            <w:r>
              <w:rPr>
                <w:rFonts w:hint="eastAsia" w:ascii="仿宋" w:hAnsi="仿宋" w:eastAsia="仿宋" w:cs="仿宋"/>
                <w:color w:val="auto"/>
                <w:sz w:val="24"/>
                <w:highlight w:val="none"/>
                <w:u w:val="none"/>
              </w:rPr>
              <w:t>★</w:t>
            </w:r>
            <w:r>
              <w:rPr>
                <w:rFonts w:hint="eastAsia" w:ascii="仿宋" w:hAnsi="仿宋" w:eastAsia="仿宋" w:cs="仿宋"/>
                <w:b w:val="0"/>
                <w:bCs/>
                <w:color w:val="auto"/>
                <w:kern w:val="2"/>
                <w:sz w:val="24"/>
                <w:szCs w:val="24"/>
                <w:highlight w:val="none"/>
                <w:u w:val="none"/>
                <w:lang w:val="en-US" w:eastAsia="zh-CN" w:bidi="ar-SA"/>
                <w14:ligatures w14:val="none"/>
              </w:rPr>
              <w:t>2.</w:t>
            </w:r>
            <w:r>
              <w:rPr>
                <w:rFonts w:hint="eastAsia" w:ascii="仿宋" w:hAnsi="仿宋" w:eastAsia="仿宋" w:cs="仿宋"/>
                <w:b w:val="0"/>
                <w:bCs/>
                <w:color w:val="auto"/>
                <w:kern w:val="0"/>
                <w:sz w:val="24"/>
                <w:szCs w:val="24"/>
                <w:highlight w:val="none"/>
                <w:u w:val="none"/>
                <w:lang w:val="en-US" w:eastAsia="zh-CN" w:bidi="ar-SA"/>
                <w14:ligatures w14:val="standardContextual"/>
              </w:rPr>
              <w:t>1.</w:t>
            </w:r>
            <w:r>
              <w:rPr>
                <w:rFonts w:hint="eastAsia" w:ascii="仿宋" w:hAnsi="仿宋" w:eastAsia="仿宋" w:cs="仿宋"/>
                <w:b w:val="0"/>
                <w:bCs/>
                <w:color w:val="auto"/>
                <w:kern w:val="2"/>
                <w:sz w:val="24"/>
                <w:szCs w:val="24"/>
                <w:highlight w:val="none"/>
                <w:u w:val="none"/>
                <w:lang w:val="en-US" w:eastAsia="zh-CN" w:bidi="ar-SA"/>
                <w14:ligatures w14:val="none"/>
              </w:rPr>
              <w:t>46在双方合同续存的服务期内，须遵守以下约定：</w:t>
            </w:r>
          </w:p>
          <w:p w14:paraId="037886EC">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b w:val="0"/>
                <w:bCs/>
                <w:color w:val="auto"/>
                <w:kern w:val="2"/>
                <w:sz w:val="24"/>
                <w:szCs w:val="24"/>
                <w:highlight w:val="none"/>
                <w:u w:val="none"/>
                <w:lang w:val="en-US" w:eastAsia="zh-CN" w:bidi="ar-SA"/>
                <w14:ligatures w14:val="none"/>
              </w:rPr>
            </w:pPr>
            <w:r>
              <w:rPr>
                <w:rFonts w:hint="eastAsia" w:ascii="仿宋" w:hAnsi="仿宋" w:eastAsia="仿宋" w:cs="仿宋"/>
                <w:b w:val="0"/>
                <w:bCs/>
                <w:color w:val="auto"/>
                <w:kern w:val="2"/>
                <w:sz w:val="24"/>
                <w:szCs w:val="24"/>
                <w:highlight w:val="none"/>
                <w:u w:val="none"/>
                <w:lang w:val="en-US" w:eastAsia="zh-CN" w:bidi="ar-SA"/>
                <w14:ligatures w14:val="none"/>
              </w:rPr>
              <w:t>①AI智能数据库提供免费升级服务；</w:t>
            </w:r>
          </w:p>
          <w:p w14:paraId="5DFFDBD9">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b w:val="0"/>
                <w:bCs/>
                <w:color w:val="auto"/>
                <w:kern w:val="2"/>
                <w:sz w:val="24"/>
                <w:szCs w:val="24"/>
                <w:highlight w:val="none"/>
                <w:u w:val="none"/>
                <w:lang w:val="en-US" w:eastAsia="zh-CN" w:bidi="ar-SA"/>
                <w14:ligatures w14:val="none"/>
              </w:rPr>
            </w:pPr>
            <w:r>
              <w:rPr>
                <w:rFonts w:hint="eastAsia" w:ascii="仿宋" w:hAnsi="仿宋" w:eastAsia="仿宋" w:cs="仿宋"/>
                <w:b w:val="0"/>
                <w:bCs/>
                <w:color w:val="auto"/>
                <w:kern w:val="2"/>
                <w:sz w:val="24"/>
                <w:szCs w:val="24"/>
                <w:highlight w:val="none"/>
                <w:u w:val="none"/>
                <w:lang w:val="en-US" w:eastAsia="zh-CN" w:bidi="ar-SA"/>
                <w14:ligatures w14:val="none"/>
              </w:rPr>
              <w:t>②为保障我院的业务扩展需求，应为我院无偿提供AI质控其他成熟功能模块的临床应用，如：甲状腺、乳腺、盆底等方面的质控功能。</w:t>
            </w:r>
          </w:p>
        </w:tc>
      </w:tr>
      <w:tr w14:paraId="5B11E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788" w:type="pct"/>
            <w:shd w:val="clear" w:color="auto" w:fill="auto"/>
            <w:vAlign w:val="center"/>
          </w:tcPr>
          <w:p w14:paraId="78E4CA3C">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color w:val="auto"/>
                <w:kern w:val="2"/>
                <w:sz w:val="24"/>
                <w:szCs w:val="24"/>
                <w:highlight w:val="none"/>
                <w:u w:val="none"/>
                <w:lang w:val="en-US" w:eastAsia="zh-CN" w:bidi="ar-SA"/>
                <w14:ligatures w14:val="standardContextual"/>
              </w:rPr>
            </w:pPr>
            <w:r>
              <w:rPr>
                <w:rFonts w:hint="eastAsia" w:ascii="仿宋" w:hAnsi="仿宋" w:eastAsia="仿宋" w:cs="仿宋"/>
                <w:color w:val="auto"/>
                <w:sz w:val="24"/>
                <w:highlight w:val="none"/>
                <w:u w:val="none"/>
                <w:lang w:val="en-US" w:eastAsia="zh-CN"/>
              </w:rPr>
              <w:t>2.2</w:t>
            </w:r>
            <w:r>
              <w:rPr>
                <w:rFonts w:hint="eastAsia" w:ascii="仿宋" w:hAnsi="仿宋" w:eastAsia="仿宋" w:cs="仿宋"/>
                <w:color w:val="auto"/>
                <w:sz w:val="24"/>
                <w:highlight w:val="none"/>
                <w:u w:val="none"/>
                <w14:ligatures w14:val="standardContextual"/>
              </w:rPr>
              <w:t>超声</w:t>
            </w:r>
            <w:r>
              <w:rPr>
                <w:rFonts w:hint="eastAsia" w:ascii="仿宋" w:hAnsi="仿宋" w:eastAsia="仿宋" w:cs="仿宋"/>
                <w:color w:val="auto"/>
                <w:sz w:val="24"/>
                <w:highlight w:val="none"/>
                <w:u w:val="none"/>
                <w:lang w:val="en-US" w:eastAsia="zh-CN"/>
                <w14:ligatures w14:val="standardContextual"/>
              </w:rPr>
              <w:t>质控软件系统A</w:t>
            </w:r>
            <w:r>
              <w:rPr>
                <w:rFonts w:hint="eastAsia" w:ascii="仿宋" w:hAnsi="仿宋" w:eastAsia="仿宋" w:cs="仿宋"/>
                <w:color w:val="auto"/>
                <w:sz w:val="24"/>
                <w:highlight w:val="none"/>
                <w:u w:val="none"/>
                <w14:ligatures w14:val="standardContextual"/>
              </w:rPr>
              <w:t>I</w:t>
            </w:r>
            <w:r>
              <w:rPr>
                <w:rFonts w:hint="eastAsia" w:ascii="仿宋" w:hAnsi="仿宋" w:eastAsia="仿宋" w:cs="仿宋"/>
                <w:color w:val="auto"/>
                <w:sz w:val="24"/>
                <w:highlight w:val="none"/>
                <w:u w:val="none"/>
                <w:lang w:val="en-US" w:eastAsia="zh-CN"/>
                <w14:ligatures w14:val="standardContextual"/>
              </w:rPr>
              <w:t>服务</w:t>
            </w:r>
            <w:r>
              <w:rPr>
                <w:rFonts w:hint="eastAsia" w:ascii="仿宋" w:hAnsi="仿宋" w:eastAsia="仿宋" w:cs="仿宋"/>
                <w:color w:val="auto"/>
                <w:sz w:val="24"/>
                <w:highlight w:val="none"/>
                <w:u w:val="none"/>
                <w14:ligatures w14:val="standardContextual"/>
              </w:rPr>
              <w:t>硬件</w:t>
            </w:r>
            <w:r>
              <w:rPr>
                <w:rFonts w:hint="eastAsia" w:ascii="仿宋" w:hAnsi="仿宋" w:eastAsia="仿宋" w:cs="仿宋"/>
                <w:color w:val="auto"/>
                <w:sz w:val="24"/>
                <w:highlight w:val="none"/>
                <w:u w:val="none"/>
                <w:lang w:val="en-US" w:eastAsia="zh-CN"/>
                <w14:ligatures w14:val="standardContextual"/>
              </w:rPr>
              <w:t>设备</w:t>
            </w:r>
          </w:p>
          <w:p w14:paraId="17AEFA31">
            <w:pPr>
              <w:pStyle w:val="607"/>
              <w:keepNext w:val="0"/>
              <w:keepLines w:val="0"/>
              <w:pageBreakBefore w:val="0"/>
              <w:widowControl w:val="0"/>
              <w:kinsoku/>
              <w:wordWrap/>
              <w:overflowPunct/>
              <w:topLinePunct w:val="0"/>
              <w:autoSpaceDE/>
              <w:autoSpaceDN/>
              <w:bidi w:val="0"/>
              <w:adjustRightInd/>
              <w:snapToGrid/>
              <w:spacing w:line="400" w:lineRule="exact"/>
              <w:ind w:left="0" w:firstLine="0"/>
              <w:contextualSpacing w:val="0"/>
              <w:jc w:val="center"/>
              <w:textAlignment w:val="auto"/>
              <w:rPr>
                <w:rFonts w:hint="eastAsia" w:ascii="仿宋" w:hAnsi="仿宋" w:eastAsia="仿宋" w:cs="仿宋"/>
                <w:color w:val="auto"/>
                <w:sz w:val="24"/>
                <w:highlight w:val="none"/>
                <w:u w:val="none"/>
              </w:rPr>
            </w:pPr>
          </w:p>
        </w:tc>
        <w:tc>
          <w:tcPr>
            <w:tcW w:w="4211" w:type="pct"/>
            <w:shd w:val="clear" w:color="auto" w:fill="auto"/>
            <w:vAlign w:val="center"/>
          </w:tcPr>
          <w:p w14:paraId="0F587A44">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jc w:val="both"/>
              <w:textAlignment w:val="auto"/>
              <w:rPr>
                <w:rFonts w:hint="eastAsia" w:ascii="仿宋" w:hAnsi="仿宋" w:eastAsia="仿宋" w:cs="仿宋"/>
                <w:color w:val="auto"/>
                <w:kern w:val="2"/>
                <w:sz w:val="24"/>
                <w:szCs w:val="24"/>
                <w:highlight w:val="none"/>
                <w:u w:val="none"/>
                <w:lang w:val="en-US" w:eastAsia="zh-CN" w:bidi="ar-SA"/>
                <w14:ligatures w14:val="standardContextual"/>
              </w:rPr>
            </w:pPr>
            <w:r>
              <w:rPr>
                <w:rFonts w:hint="eastAsia" w:ascii="仿宋" w:hAnsi="仿宋" w:eastAsia="仿宋" w:cs="仿宋"/>
                <w:color w:val="auto"/>
                <w:sz w:val="24"/>
                <w:highlight w:val="none"/>
                <w:u w:val="none"/>
                <w:lang w:val="en-US" w:eastAsia="zh-CN"/>
              </w:rPr>
              <w:t>2.2.1需提供深度定制化的超声质控软件AI服务专用硬件设备，集成高性能计算单元（如多核CPU、NVIDIA专业GPU）与高速内存，必要的高清采集卡等，结合医疗级稳定性设计，确保AI软件在院内对应检查诊室内高强度、全方位运行，持续稳定、流畅、高效运行，并提供专业运维支持。</w:t>
            </w:r>
            <w:r>
              <w:rPr>
                <w:rFonts w:hint="eastAsia" w:ascii="仿宋" w:hAnsi="仿宋" w:eastAsia="仿宋" w:cs="仿宋"/>
                <w:color w:val="auto"/>
                <w:sz w:val="24"/>
                <w:highlight w:val="none"/>
                <w:u w:val="none"/>
              </w:rPr>
              <w:t>​</w:t>
            </w:r>
          </w:p>
        </w:tc>
      </w:tr>
      <w:tr w14:paraId="05AA5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88" w:type="pct"/>
            <w:vMerge w:val="restart"/>
            <w:vAlign w:val="center"/>
          </w:tcPr>
          <w:p w14:paraId="1059AEF8">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color w:val="auto"/>
                <w:kern w:val="0"/>
                <w:sz w:val="24"/>
                <w:highlight w:val="none"/>
                <w:u w:val="none"/>
                <w14:ligatures w14:val="standardContextual"/>
              </w:rPr>
            </w:pPr>
            <w:r>
              <w:rPr>
                <w:rFonts w:hint="eastAsia" w:ascii="仿宋" w:hAnsi="仿宋" w:eastAsia="仿宋" w:cs="仿宋"/>
                <w:b w:val="0"/>
                <w:bCs/>
                <w:color w:val="auto"/>
                <w:kern w:val="0"/>
                <w:sz w:val="24"/>
                <w:highlight w:val="none"/>
                <w:u w:val="none"/>
                <w:lang w:val="en-US" w:eastAsia="zh-CN"/>
              </w:rPr>
              <w:t>3.</w:t>
            </w:r>
            <w:r>
              <w:rPr>
                <w:rFonts w:hint="eastAsia" w:ascii="仿宋" w:hAnsi="仿宋" w:eastAsia="仿宋" w:cs="仿宋"/>
                <w:color w:val="auto"/>
                <w:sz w:val="24"/>
                <w:highlight w:val="none"/>
                <w:u w:val="none"/>
                <w14:ligatures w14:val="standardContextual"/>
              </w:rPr>
              <w:t>远程超声会诊云平台服务</w:t>
            </w:r>
          </w:p>
        </w:tc>
        <w:tc>
          <w:tcPr>
            <w:tcW w:w="4211" w:type="pct"/>
            <w:vAlign w:val="center"/>
          </w:tcPr>
          <w:p w14:paraId="019985DA">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 w:hAnsi="仿宋" w:eastAsia="仿宋" w:cs="仿宋"/>
                <w:b/>
                <w:color w:val="auto"/>
                <w:kern w:val="0"/>
                <w:sz w:val="24"/>
                <w:highlight w:val="none"/>
                <w:u w:val="none"/>
              </w:rPr>
            </w:pPr>
            <w:r>
              <w:rPr>
                <w:rFonts w:hint="eastAsia" w:ascii="仿宋" w:hAnsi="仿宋" w:eastAsia="仿宋" w:cs="仿宋"/>
                <w:b w:val="0"/>
                <w:bCs/>
                <w:color w:val="auto"/>
                <w:kern w:val="0"/>
                <w:sz w:val="24"/>
                <w:szCs w:val="24"/>
                <w:highlight w:val="none"/>
                <w:u w:val="none"/>
                <w:lang w:val="en-US" w:eastAsia="zh-CN" w:bidi="ar-SA"/>
                <w14:ligatures w14:val="standardContextual"/>
              </w:rPr>
              <w:t>3.1</w:t>
            </w:r>
            <w:r>
              <w:rPr>
                <w:rFonts w:hint="eastAsia" w:ascii="仿宋" w:hAnsi="仿宋" w:eastAsia="仿宋" w:cs="仿宋"/>
                <w:color w:val="auto"/>
                <w:sz w:val="24"/>
                <w:highlight w:val="none"/>
                <w:u w:val="none"/>
              </w:rPr>
              <w:t>会诊业务平台</w:t>
            </w:r>
            <w:r>
              <w:rPr>
                <w:rFonts w:hint="eastAsia" w:ascii="仿宋" w:hAnsi="仿宋" w:eastAsia="仿宋" w:cs="仿宋"/>
                <w:color w:val="auto"/>
                <w:sz w:val="24"/>
                <w:highlight w:val="none"/>
                <w:u w:val="none"/>
                <w:lang w:val="en-US" w:eastAsia="zh-CN"/>
              </w:rPr>
              <w:t>具有必要的</w:t>
            </w:r>
            <w:r>
              <w:rPr>
                <w:rFonts w:hint="eastAsia" w:ascii="仿宋" w:hAnsi="仿宋" w:eastAsia="仿宋" w:cs="仿宋"/>
                <w:color w:val="auto"/>
                <w:sz w:val="24"/>
                <w:highlight w:val="none"/>
                <w:u w:val="none"/>
              </w:rPr>
              <w:t>音视频模块。</w:t>
            </w:r>
          </w:p>
        </w:tc>
      </w:tr>
      <w:tr w14:paraId="7063F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3E5C0599">
            <w:pPr>
              <w:pStyle w:val="607"/>
              <w:keepNext w:val="0"/>
              <w:keepLines w:val="0"/>
              <w:pageBreakBefore w:val="0"/>
              <w:widowControl w:val="0"/>
              <w:numPr>
                <w:ilvl w:val="0"/>
                <w:numId w:val="30"/>
              </w:numPr>
              <w:kinsoku/>
              <w:wordWrap/>
              <w:overflowPunct/>
              <w:topLinePunct w:val="0"/>
              <w:autoSpaceDE/>
              <w:autoSpaceDN/>
              <w:bidi w:val="0"/>
              <w:adjustRightInd/>
              <w:snapToGrid/>
              <w:spacing w:line="400" w:lineRule="exact"/>
              <w:ind w:left="0" w:firstLine="0"/>
              <w:contextualSpacing w:val="0"/>
              <w:jc w:val="center"/>
              <w:textAlignment w:val="auto"/>
              <w:rPr>
                <w:rFonts w:hint="eastAsia" w:ascii="仿宋" w:hAnsi="仿宋" w:eastAsia="仿宋" w:cs="仿宋"/>
                <w:color w:val="auto"/>
                <w:sz w:val="24"/>
                <w:highlight w:val="none"/>
                <w:u w:val="none"/>
                <w:lang w:eastAsia="zh-Hans"/>
              </w:rPr>
            </w:pPr>
          </w:p>
        </w:tc>
        <w:tc>
          <w:tcPr>
            <w:tcW w:w="4211" w:type="pct"/>
            <w:vAlign w:val="center"/>
          </w:tcPr>
          <w:p w14:paraId="6E260541">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 w:hAnsi="仿宋" w:eastAsia="仿宋" w:cs="仿宋"/>
                <w:color w:val="auto"/>
                <w:sz w:val="24"/>
                <w:highlight w:val="none"/>
                <w:u w:val="none"/>
              </w:rPr>
            </w:pPr>
            <w:r>
              <w:rPr>
                <w:rFonts w:hint="eastAsia" w:ascii="仿宋" w:hAnsi="仿宋" w:eastAsia="仿宋" w:cs="仿宋"/>
                <w:b w:val="0"/>
                <w:bCs/>
                <w:color w:val="auto"/>
                <w:kern w:val="2"/>
                <w:sz w:val="24"/>
                <w:szCs w:val="24"/>
                <w:highlight w:val="none"/>
                <w:u w:val="none"/>
                <w:lang w:val="en-US" w:eastAsia="zh-CN" w:bidi="ar-SA"/>
                <w14:ligatures w14:val="standardContextual"/>
              </w:rPr>
              <w:t>3.2</w:t>
            </w:r>
            <w:r>
              <w:rPr>
                <w:rFonts w:hint="eastAsia" w:ascii="仿宋" w:hAnsi="仿宋" w:eastAsia="仿宋" w:cs="仿宋"/>
                <w:color w:val="auto"/>
                <w:sz w:val="24"/>
                <w:highlight w:val="none"/>
                <w:u w:val="none"/>
              </w:rPr>
              <w:t>支持医护在发起会诊时录入相关病例、会议主题、邀请专家、邀请系统外人员、选择会诊时间、预计会诊时长和会议说明。</w:t>
            </w:r>
          </w:p>
        </w:tc>
      </w:tr>
      <w:tr w14:paraId="13ABC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5265A9B6">
            <w:pPr>
              <w:pStyle w:val="607"/>
              <w:keepNext w:val="0"/>
              <w:keepLines w:val="0"/>
              <w:pageBreakBefore w:val="0"/>
              <w:widowControl w:val="0"/>
              <w:numPr>
                <w:ilvl w:val="0"/>
                <w:numId w:val="31"/>
              </w:numPr>
              <w:kinsoku/>
              <w:wordWrap/>
              <w:overflowPunct/>
              <w:topLinePunct w:val="0"/>
              <w:autoSpaceDE/>
              <w:autoSpaceDN/>
              <w:bidi w:val="0"/>
              <w:adjustRightInd/>
              <w:snapToGrid/>
              <w:spacing w:line="400" w:lineRule="exact"/>
              <w:ind w:left="0" w:firstLine="0"/>
              <w:contextualSpacing w:val="0"/>
              <w:jc w:val="center"/>
              <w:textAlignment w:val="auto"/>
              <w:rPr>
                <w:rFonts w:hint="eastAsia" w:ascii="仿宋" w:hAnsi="仿宋" w:eastAsia="仿宋" w:cs="仿宋"/>
                <w:color w:val="auto"/>
                <w:sz w:val="24"/>
                <w:highlight w:val="none"/>
                <w:u w:val="none"/>
              </w:rPr>
            </w:pPr>
          </w:p>
        </w:tc>
        <w:tc>
          <w:tcPr>
            <w:tcW w:w="4211" w:type="pct"/>
            <w:vAlign w:val="center"/>
          </w:tcPr>
          <w:p w14:paraId="4C1B1C86">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 w:hAnsi="仿宋" w:eastAsia="仿宋" w:cs="仿宋"/>
                <w:color w:val="auto"/>
                <w:sz w:val="24"/>
                <w:highlight w:val="none"/>
                <w:u w:val="none"/>
              </w:rPr>
            </w:pPr>
            <w:r>
              <w:rPr>
                <w:rFonts w:hint="eastAsia" w:ascii="仿宋" w:hAnsi="仿宋" w:eastAsia="仿宋" w:cs="仿宋"/>
                <w:b w:val="0"/>
                <w:bCs/>
                <w:color w:val="auto"/>
                <w:kern w:val="2"/>
                <w:sz w:val="24"/>
                <w:szCs w:val="24"/>
                <w:highlight w:val="none"/>
                <w:u w:val="none"/>
                <w:lang w:val="en-US" w:eastAsia="zh-CN" w:bidi="ar-SA"/>
                <w14:ligatures w14:val="standardContextual"/>
              </w:rPr>
              <w:t>3.3</w:t>
            </w:r>
            <w:r>
              <w:rPr>
                <w:rFonts w:hint="eastAsia" w:ascii="仿宋" w:hAnsi="仿宋" w:eastAsia="仿宋" w:cs="仿宋"/>
                <w:color w:val="auto"/>
                <w:sz w:val="24"/>
                <w:highlight w:val="none"/>
                <w:u w:val="none"/>
              </w:rPr>
              <w:t>支持医护在线撤回会诊申请，撤回后患者信息将归回</w:t>
            </w:r>
            <w:r>
              <w:rPr>
                <w:rFonts w:hint="eastAsia" w:ascii="仿宋" w:hAnsi="仿宋" w:eastAsia="仿宋" w:cs="仿宋"/>
                <w:color w:val="auto"/>
                <w:sz w:val="24"/>
                <w:highlight w:val="none"/>
                <w:u w:val="none"/>
                <w:lang w:val="en-US" w:eastAsia="zh-CN"/>
              </w:rPr>
              <w:t>相应</w:t>
            </w:r>
            <w:r>
              <w:rPr>
                <w:rFonts w:hint="eastAsia" w:ascii="仿宋" w:hAnsi="仿宋" w:eastAsia="仿宋" w:cs="仿宋"/>
                <w:color w:val="auto"/>
                <w:sz w:val="24"/>
                <w:highlight w:val="none"/>
                <w:u w:val="none"/>
              </w:rPr>
              <w:t>列表。</w:t>
            </w:r>
          </w:p>
        </w:tc>
      </w:tr>
      <w:tr w14:paraId="0DDAE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3822B90F">
            <w:pPr>
              <w:pStyle w:val="607"/>
              <w:keepNext w:val="0"/>
              <w:keepLines w:val="0"/>
              <w:pageBreakBefore w:val="0"/>
              <w:widowControl w:val="0"/>
              <w:numPr>
                <w:ilvl w:val="0"/>
                <w:numId w:val="31"/>
              </w:numPr>
              <w:kinsoku/>
              <w:wordWrap/>
              <w:overflowPunct/>
              <w:topLinePunct w:val="0"/>
              <w:autoSpaceDE/>
              <w:autoSpaceDN/>
              <w:bidi w:val="0"/>
              <w:adjustRightInd/>
              <w:snapToGrid/>
              <w:spacing w:line="400" w:lineRule="exact"/>
              <w:ind w:left="0" w:firstLine="0"/>
              <w:contextualSpacing w:val="0"/>
              <w:jc w:val="center"/>
              <w:textAlignment w:val="auto"/>
              <w:rPr>
                <w:rFonts w:hint="eastAsia" w:ascii="仿宋" w:hAnsi="仿宋" w:eastAsia="仿宋" w:cs="仿宋"/>
                <w:color w:val="auto"/>
                <w:sz w:val="24"/>
                <w:highlight w:val="none"/>
                <w:u w:val="none"/>
              </w:rPr>
            </w:pPr>
          </w:p>
        </w:tc>
        <w:tc>
          <w:tcPr>
            <w:tcW w:w="4211" w:type="pct"/>
            <w:vAlign w:val="center"/>
          </w:tcPr>
          <w:p w14:paraId="37A4B53F">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 w:hAnsi="仿宋" w:eastAsia="仿宋" w:cs="仿宋"/>
                <w:color w:val="auto"/>
                <w:sz w:val="24"/>
                <w:highlight w:val="none"/>
                <w:u w:val="none"/>
              </w:rPr>
            </w:pPr>
            <w:r>
              <w:rPr>
                <w:rFonts w:hint="eastAsia" w:ascii="仿宋" w:hAnsi="仿宋" w:eastAsia="仿宋" w:cs="仿宋"/>
                <w:b w:val="0"/>
                <w:bCs/>
                <w:color w:val="auto"/>
                <w:kern w:val="2"/>
                <w:sz w:val="24"/>
                <w:szCs w:val="24"/>
                <w:highlight w:val="none"/>
                <w:u w:val="none"/>
                <w:lang w:val="en-US" w:eastAsia="zh-CN" w:bidi="ar-SA"/>
                <w14:ligatures w14:val="standardContextual"/>
              </w:rPr>
              <w:t>3.4</w:t>
            </w:r>
            <w:r>
              <w:rPr>
                <w:rFonts w:hint="eastAsia" w:ascii="仿宋" w:hAnsi="仿宋" w:eastAsia="仿宋" w:cs="仿宋"/>
                <w:color w:val="auto"/>
                <w:sz w:val="24"/>
                <w:highlight w:val="none"/>
                <w:u w:val="none"/>
              </w:rPr>
              <w:t>支持医护从</w:t>
            </w:r>
            <w:r>
              <w:rPr>
                <w:rFonts w:hint="eastAsia" w:ascii="仿宋" w:hAnsi="仿宋" w:eastAsia="仿宋" w:cs="仿宋"/>
                <w:color w:val="auto"/>
                <w:sz w:val="24"/>
                <w:highlight w:val="none"/>
                <w:u w:val="none"/>
                <w:lang w:val="en-US" w:eastAsia="zh-CN"/>
              </w:rPr>
              <w:t>服务</w:t>
            </w:r>
            <w:r>
              <w:rPr>
                <w:rFonts w:hint="eastAsia" w:ascii="仿宋" w:hAnsi="仿宋" w:eastAsia="仿宋" w:cs="仿宋"/>
                <w:color w:val="auto"/>
                <w:sz w:val="24"/>
                <w:highlight w:val="none"/>
                <w:u w:val="none"/>
              </w:rPr>
              <w:t>列表中接收会诊申请，接收会诊申请后，可在正式会诊时从待会诊中一键进入音视频会诊。</w:t>
            </w:r>
          </w:p>
        </w:tc>
      </w:tr>
      <w:tr w14:paraId="54329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442CA8A4">
            <w:pPr>
              <w:pStyle w:val="607"/>
              <w:keepNext w:val="0"/>
              <w:keepLines w:val="0"/>
              <w:pageBreakBefore w:val="0"/>
              <w:widowControl w:val="0"/>
              <w:numPr>
                <w:ilvl w:val="0"/>
                <w:numId w:val="31"/>
              </w:numPr>
              <w:kinsoku/>
              <w:wordWrap/>
              <w:overflowPunct/>
              <w:topLinePunct w:val="0"/>
              <w:autoSpaceDE/>
              <w:autoSpaceDN/>
              <w:bidi w:val="0"/>
              <w:adjustRightInd/>
              <w:snapToGrid/>
              <w:spacing w:line="400" w:lineRule="exact"/>
              <w:ind w:left="0" w:firstLine="0"/>
              <w:contextualSpacing w:val="0"/>
              <w:jc w:val="center"/>
              <w:textAlignment w:val="auto"/>
              <w:rPr>
                <w:rFonts w:hint="eastAsia" w:ascii="仿宋" w:hAnsi="仿宋" w:eastAsia="仿宋" w:cs="仿宋"/>
                <w:color w:val="auto"/>
                <w:sz w:val="24"/>
                <w:highlight w:val="none"/>
                <w:u w:val="none"/>
              </w:rPr>
            </w:pPr>
          </w:p>
        </w:tc>
        <w:tc>
          <w:tcPr>
            <w:tcW w:w="4211" w:type="pct"/>
            <w:vAlign w:val="center"/>
          </w:tcPr>
          <w:p w14:paraId="1DADB6D1">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 w:hAnsi="仿宋" w:eastAsia="仿宋" w:cs="仿宋"/>
                <w:color w:val="auto"/>
                <w:sz w:val="24"/>
                <w:highlight w:val="none"/>
                <w:u w:val="none"/>
              </w:rPr>
            </w:pPr>
            <w:r>
              <w:rPr>
                <w:rFonts w:hint="eastAsia" w:ascii="仿宋" w:hAnsi="仿宋" w:eastAsia="仿宋" w:cs="仿宋"/>
                <w:b w:val="0"/>
                <w:bCs/>
                <w:color w:val="auto"/>
                <w:kern w:val="2"/>
                <w:sz w:val="24"/>
                <w:szCs w:val="24"/>
                <w:highlight w:val="none"/>
                <w:u w:val="none"/>
                <w:lang w:val="en-US" w:eastAsia="zh-CN" w:bidi="ar-SA"/>
                <w14:ligatures w14:val="standardContextual"/>
              </w:rPr>
              <w:t>3.5</w:t>
            </w:r>
            <w:r>
              <w:rPr>
                <w:rFonts w:hint="eastAsia" w:ascii="仿宋" w:hAnsi="仿宋" w:eastAsia="仿宋" w:cs="仿宋"/>
                <w:color w:val="auto"/>
                <w:sz w:val="24"/>
                <w:highlight w:val="none"/>
                <w:u w:val="none"/>
              </w:rPr>
              <w:t>支持医护退回还未开始的会诊申请，填写退回原因后患者信息将会归回已退回列表。</w:t>
            </w:r>
          </w:p>
        </w:tc>
      </w:tr>
      <w:tr w14:paraId="566FD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5098BA51">
            <w:pPr>
              <w:pStyle w:val="607"/>
              <w:keepNext w:val="0"/>
              <w:keepLines w:val="0"/>
              <w:pageBreakBefore w:val="0"/>
              <w:widowControl w:val="0"/>
              <w:numPr>
                <w:ilvl w:val="0"/>
                <w:numId w:val="31"/>
              </w:numPr>
              <w:kinsoku/>
              <w:wordWrap/>
              <w:overflowPunct/>
              <w:topLinePunct w:val="0"/>
              <w:autoSpaceDE/>
              <w:autoSpaceDN/>
              <w:bidi w:val="0"/>
              <w:adjustRightInd/>
              <w:snapToGrid/>
              <w:spacing w:line="400" w:lineRule="exact"/>
              <w:ind w:left="0" w:firstLine="0"/>
              <w:contextualSpacing w:val="0"/>
              <w:jc w:val="center"/>
              <w:textAlignment w:val="auto"/>
              <w:rPr>
                <w:rFonts w:hint="eastAsia" w:ascii="仿宋" w:hAnsi="仿宋" w:eastAsia="仿宋" w:cs="仿宋"/>
                <w:color w:val="auto"/>
                <w:sz w:val="24"/>
                <w:highlight w:val="none"/>
                <w:u w:val="none"/>
              </w:rPr>
            </w:pPr>
          </w:p>
        </w:tc>
        <w:tc>
          <w:tcPr>
            <w:tcW w:w="4211" w:type="pct"/>
            <w:vAlign w:val="center"/>
          </w:tcPr>
          <w:p w14:paraId="5F47CB9C">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 w:hAnsi="仿宋" w:eastAsia="仿宋" w:cs="仿宋"/>
                <w:color w:val="auto"/>
                <w:sz w:val="24"/>
                <w:highlight w:val="none"/>
                <w:u w:val="none"/>
              </w:rPr>
            </w:pPr>
            <w:r>
              <w:rPr>
                <w:rFonts w:hint="eastAsia" w:ascii="仿宋" w:hAnsi="仿宋" w:eastAsia="仿宋" w:cs="仿宋"/>
                <w:b w:val="0"/>
                <w:bCs/>
                <w:color w:val="auto"/>
                <w:kern w:val="2"/>
                <w:sz w:val="24"/>
                <w:szCs w:val="24"/>
                <w:highlight w:val="none"/>
                <w:u w:val="none"/>
                <w:lang w:val="en-US" w:eastAsia="zh-CN" w:bidi="ar-SA"/>
                <w14:ligatures w14:val="standardContextual"/>
              </w:rPr>
              <w:t>3.6</w:t>
            </w:r>
            <w:r>
              <w:rPr>
                <w:rFonts w:hint="eastAsia" w:ascii="仿宋" w:hAnsi="仿宋" w:eastAsia="仿宋" w:cs="仿宋"/>
                <w:color w:val="auto"/>
                <w:sz w:val="24"/>
                <w:highlight w:val="none"/>
                <w:u w:val="none"/>
              </w:rPr>
              <w:t>支持医护由会诊列表进入或退出音视频会诊。参会人员可以选择静音和解除静音、打开和关闭摄像头。</w:t>
            </w:r>
          </w:p>
        </w:tc>
      </w:tr>
      <w:tr w14:paraId="12C46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00FD974D">
            <w:pPr>
              <w:pStyle w:val="607"/>
              <w:keepNext w:val="0"/>
              <w:keepLines w:val="0"/>
              <w:pageBreakBefore w:val="0"/>
              <w:widowControl w:val="0"/>
              <w:numPr>
                <w:ilvl w:val="0"/>
                <w:numId w:val="31"/>
              </w:numPr>
              <w:kinsoku/>
              <w:wordWrap/>
              <w:overflowPunct/>
              <w:topLinePunct w:val="0"/>
              <w:autoSpaceDE/>
              <w:autoSpaceDN/>
              <w:bidi w:val="0"/>
              <w:adjustRightInd/>
              <w:snapToGrid/>
              <w:spacing w:line="400" w:lineRule="exact"/>
              <w:ind w:left="0" w:firstLine="0"/>
              <w:contextualSpacing w:val="0"/>
              <w:jc w:val="center"/>
              <w:textAlignment w:val="auto"/>
              <w:rPr>
                <w:rFonts w:hint="eastAsia" w:ascii="仿宋" w:hAnsi="仿宋" w:eastAsia="仿宋" w:cs="仿宋"/>
                <w:color w:val="auto"/>
                <w:sz w:val="24"/>
                <w:highlight w:val="none"/>
                <w:u w:val="none"/>
              </w:rPr>
            </w:pPr>
          </w:p>
        </w:tc>
        <w:tc>
          <w:tcPr>
            <w:tcW w:w="4211" w:type="pct"/>
            <w:vAlign w:val="center"/>
          </w:tcPr>
          <w:p w14:paraId="4FE3B832">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 w:hAnsi="仿宋" w:eastAsia="仿宋" w:cs="仿宋"/>
                <w:color w:val="auto"/>
                <w:sz w:val="24"/>
                <w:highlight w:val="none"/>
                <w:u w:val="none"/>
              </w:rPr>
            </w:pPr>
            <w:r>
              <w:rPr>
                <w:rFonts w:hint="eastAsia" w:ascii="仿宋" w:hAnsi="仿宋" w:eastAsia="仿宋" w:cs="仿宋"/>
                <w:b w:val="0"/>
                <w:bCs/>
                <w:color w:val="auto"/>
                <w:kern w:val="2"/>
                <w:sz w:val="24"/>
                <w:szCs w:val="24"/>
                <w:highlight w:val="none"/>
                <w:u w:val="none"/>
                <w:lang w:val="en-US" w:eastAsia="zh-CN" w:bidi="ar-SA"/>
                <w14:ligatures w14:val="standardContextual"/>
              </w:rPr>
              <w:t>3.7</w:t>
            </w:r>
            <w:r>
              <w:rPr>
                <w:rFonts w:hint="eastAsia" w:ascii="仿宋" w:hAnsi="仿宋" w:eastAsia="仿宋" w:cs="仿宋"/>
                <w:color w:val="auto"/>
                <w:sz w:val="24"/>
                <w:highlight w:val="none"/>
                <w:u w:val="none"/>
              </w:rPr>
              <w:t>邀请协助：会诊过程中支持医护根据地区、机构等级、机构名称、医生类型以及医生姓名等多方面匹配对应专家，并邀请其参与协助会诊。</w:t>
            </w:r>
          </w:p>
        </w:tc>
      </w:tr>
      <w:tr w14:paraId="7F10D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33371C7F">
            <w:pPr>
              <w:pStyle w:val="607"/>
              <w:keepNext w:val="0"/>
              <w:keepLines w:val="0"/>
              <w:pageBreakBefore w:val="0"/>
              <w:widowControl w:val="0"/>
              <w:numPr>
                <w:ilvl w:val="0"/>
                <w:numId w:val="31"/>
              </w:numPr>
              <w:kinsoku/>
              <w:wordWrap/>
              <w:overflowPunct/>
              <w:topLinePunct w:val="0"/>
              <w:autoSpaceDE/>
              <w:autoSpaceDN/>
              <w:bidi w:val="0"/>
              <w:adjustRightInd/>
              <w:snapToGrid/>
              <w:spacing w:line="400" w:lineRule="exact"/>
              <w:ind w:left="0" w:firstLine="0"/>
              <w:contextualSpacing w:val="0"/>
              <w:jc w:val="center"/>
              <w:textAlignment w:val="auto"/>
              <w:rPr>
                <w:rFonts w:hint="eastAsia" w:ascii="仿宋" w:hAnsi="仿宋" w:eastAsia="仿宋" w:cs="仿宋"/>
                <w:color w:val="auto"/>
                <w:sz w:val="24"/>
                <w:highlight w:val="none"/>
                <w:u w:val="none"/>
              </w:rPr>
            </w:pPr>
          </w:p>
        </w:tc>
        <w:tc>
          <w:tcPr>
            <w:tcW w:w="4211" w:type="pct"/>
            <w:vAlign w:val="center"/>
          </w:tcPr>
          <w:p w14:paraId="24C4DD58">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 w:hAnsi="仿宋" w:eastAsia="仿宋" w:cs="仿宋"/>
                <w:color w:val="auto"/>
                <w:sz w:val="24"/>
                <w:highlight w:val="none"/>
                <w:u w:val="none"/>
              </w:rPr>
            </w:pPr>
            <w:r>
              <w:rPr>
                <w:rFonts w:hint="eastAsia" w:ascii="仿宋" w:hAnsi="仿宋" w:eastAsia="仿宋" w:cs="仿宋"/>
                <w:b w:val="0"/>
                <w:bCs/>
                <w:color w:val="auto"/>
                <w:kern w:val="2"/>
                <w:sz w:val="24"/>
                <w:szCs w:val="24"/>
                <w:highlight w:val="none"/>
                <w:u w:val="none"/>
                <w:lang w:val="en-US" w:eastAsia="zh-CN" w:bidi="ar-SA"/>
                <w14:ligatures w14:val="standardContextual"/>
              </w:rPr>
              <w:t>3.8</w:t>
            </w:r>
            <w:r>
              <w:rPr>
                <w:rFonts w:hint="eastAsia" w:ascii="仿宋" w:hAnsi="仿宋" w:eastAsia="仿宋" w:cs="仿宋"/>
                <w:color w:val="auto"/>
                <w:sz w:val="24"/>
                <w:highlight w:val="none"/>
                <w:u w:val="none"/>
              </w:rPr>
              <w:t>邀请系统外人员：支持参会医护通过复制邀请链接、密码在线邀请系统外人员参与会诊。</w:t>
            </w:r>
          </w:p>
        </w:tc>
      </w:tr>
      <w:tr w14:paraId="22446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69412109">
            <w:pPr>
              <w:pStyle w:val="607"/>
              <w:keepNext w:val="0"/>
              <w:keepLines w:val="0"/>
              <w:pageBreakBefore w:val="0"/>
              <w:widowControl w:val="0"/>
              <w:numPr>
                <w:ilvl w:val="0"/>
                <w:numId w:val="31"/>
              </w:numPr>
              <w:kinsoku/>
              <w:wordWrap/>
              <w:overflowPunct/>
              <w:topLinePunct w:val="0"/>
              <w:autoSpaceDE/>
              <w:autoSpaceDN/>
              <w:bidi w:val="0"/>
              <w:adjustRightInd/>
              <w:snapToGrid/>
              <w:spacing w:line="400" w:lineRule="exact"/>
              <w:ind w:left="0" w:firstLine="0"/>
              <w:contextualSpacing w:val="0"/>
              <w:jc w:val="center"/>
              <w:textAlignment w:val="auto"/>
              <w:rPr>
                <w:rFonts w:hint="eastAsia" w:ascii="仿宋" w:hAnsi="仿宋" w:eastAsia="仿宋" w:cs="仿宋"/>
                <w:color w:val="auto"/>
                <w:sz w:val="24"/>
                <w:highlight w:val="none"/>
                <w:u w:val="none"/>
              </w:rPr>
            </w:pPr>
          </w:p>
        </w:tc>
        <w:tc>
          <w:tcPr>
            <w:tcW w:w="4211" w:type="pct"/>
            <w:vAlign w:val="center"/>
          </w:tcPr>
          <w:p w14:paraId="123AE7DB">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 w:hAnsi="仿宋" w:eastAsia="仿宋" w:cs="仿宋"/>
                <w:color w:val="auto"/>
                <w:sz w:val="24"/>
                <w:highlight w:val="none"/>
                <w:u w:val="none"/>
              </w:rPr>
            </w:pPr>
            <w:r>
              <w:rPr>
                <w:rFonts w:hint="eastAsia" w:ascii="仿宋" w:hAnsi="仿宋" w:eastAsia="仿宋" w:cs="仿宋"/>
                <w:b w:val="0"/>
                <w:bCs/>
                <w:color w:val="auto"/>
                <w:kern w:val="2"/>
                <w:sz w:val="24"/>
                <w:szCs w:val="24"/>
                <w:highlight w:val="none"/>
                <w:u w:val="none"/>
                <w:lang w:val="en-US" w:eastAsia="zh-CN" w:bidi="ar-SA"/>
                <w14:ligatures w14:val="standardContextual"/>
              </w:rPr>
              <w:t>3.9</w:t>
            </w:r>
            <w:r>
              <w:rPr>
                <w:rFonts w:hint="eastAsia" w:ascii="仿宋" w:hAnsi="仿宋" w:eastAsia="仿宋" w:cs="仿宋"/>
                <w:color w:val="auto"/>
                <w:sz w:val="24"/>
                <w:highlight w:val="none"/>
                <w:u w:val="none"/>
              </w:rPr>
              <w:t>支持在线查看参会者，支持修改在会议中显示的昵称，会议主持人可全员静音或全员关闭摄像头。</w:t>
            </w:r>
          </w:p>
        </w:tc>
      </w:tr>
      <w:tr w14:paraId="0A9BD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6C9CDA01">
            <w:pPr>
              <w:pStyle w:val="607"/>
              <w:keepNext w:val="0"/>
              <w:keepLines w:val="0"/>
              <w:pageBreakBefore w:val="0"/>
              <w:widowControl w:val="0"/>
              <w:numPr>
                <w:ilvl w:val="0"/>
                <w:numId w:val="32"/>
              </w:numPr>
              <w:kinsoku/>
              <w:wordWrap/>
              <w:overflowPunct/>
              <w:topLinePunct w:val="0"/>
              <w:autoSpaceDE/>
              <w:autoSpaceDN/>
              <w:bidi w:val="0"/>
              <w:adjustRightInd/>
              <w:snapToGrid/>
              <w:spacing w:line="400" w:lineRule="exact"/>
              <w:ind w:left="0" w:firstLine="0"/>
              <w:contextualSpacing w:val="0"/>
              <w:jc w:val="center"/>
              <w:textAlignment w:val="auto"/>
              <w:rPr>
                <w:rFonts w:hint="eastAsia" w:ascii="仿宋" w:hAnsi="仿宋" w:eastAsia="仿宋" w:cs="仿宋"/>
                <w:color w:val="auto"/>
                <w:sz w:val="24"/>
                <w:highlight w:val="none"/>
                <w:u w:val="none"/>
              </w:rPr>
            </w:pPr>
          </w:p>
        </w:tc>
        <w:tc>
          <w:tcPr>
            <w:tcW w:w="4211" w:type="pct"/>
            <w:vAlign w:val="center"/>
          </w:tcPr>
          <w:p w14:paraId="48C4AABF">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 w:hAnsi="仿宋" w:eastAsia="仿宋" w:cs="仿宋"/>
                <w:color w:val="auto"/>
                <w:sz w:val="24"/>
                <w:highlight w:val="none"/>
                <w:u w:val="none"/>
              </w:rPr>
            </w:pPr>
            <w:r>
              <w:rPr>
                <w:rFonts w:hint="eastAsia" w:ascii="仿宋" w:hAnsi="仿宋" w:eastAsia="仿宋" w:cs="仿宋"/>
                <w:b w:val="0"/>
                <w:bCs/>
                <w:color w:val="auto"/>
                <w:kern w:val="2"/>
                <w:sz w:val="24"/>
                <w:szCs w:val="24"/>
                <w:highlight w:val="none"/>
                <w:u w:val="none"/>
                <w:lang w:val="en-US" w:eastAsia="zh-CN" w:bidi="ar-SA"/>
                <w14:ligatures w14:val="standardContextual"/>
              </w:rPr>
              <w:t>3.10</w:t>
            </w:r>
            <w:r>
              <w:rPr>
                <w:rFonts w:hint="eastAsia" w:ascii="仿宋" w:hAnsi="仿宋" w:eastAsia="仿宋" w:cs="仿宋"/>
                <w:color w:val="auto"/>
                <w:sz w:val="24"/>
                <w:highlight w:val="none"/>
                <w:u w:val="none"/>
              </w:rPr>
              <w:t>支持会议主持人与专家对会议进行录屏，将录制后的视频转码完成后可下载查看。</w:t>
            </w:r>
          </w:p>
        </w:tc>
      </w:tr>
      <w:tr w14:paraId="00331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5A5BFCE3">
            <w:pPr>
              <w:pStyle w:val="607"/>
              <w:keepNext w:val="0"/>
              <w:keepLines w:val="0"/>
              <w:pageBreakBefore w:val="0"/>
              <w:widowControl w:val="0"/>
              <w:numPr>
                <w:ilvl w:val="0"/>
                <w:numId w:val="32"/>
              </w:numPr>
              <w:kinsoku/>
              <w:wordWrap/>
              <w:overflowPunct/>
              <w:topLinePunct w:val="0"/>
              <w:autoSpaceDE/>
              <w:autoSpaceDN/>
              <w:bidi w:val="0"/>
              <w:adjustRightInd/>
              <w:snapToGrid/>
              <w:spacing w:line="400" w:lineRule="exact"/>
              <w:ind w:left="0" w:firstLine="0"/>
              <w:contextualSpacing w:val="0"/>
              <w:jc w:val="center"/>
              <w:textAlignment w:val="auto"/>
              <w:rPr>
                <w:rFonts w:hint="eastAsia" w:ascii="仿宋" w:hAnsi="仿宋" w:eastAsia="仿宋" w:cs="仿宋"/>
                <w:color w:val="auto"/>
                <w:sz w:val="24"/>
                <w:highlight w:val="none"/>
                <w:u w:val="none"/>
              </w:rPr>
            </w:pPr>
          </w:p>
        </w:tc>
        <w:tc>
          <w:tcPr>
            <w:tcW w:w="4211" w:type="pct"/>
            <w:vAlign w:val="center"/>
          </w:tcPr>
          <w:p w14:paraId="15E73EA4">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 w:hAnsi="仿宋" w:eastAsia="仿宋" w:cs="仿宋"/>
                <w:color w:val="auto"/>
                <w:sz w:val="24"/>
                <w:highlight w:val="none"/>
                <w:u w:val="none"/>
              </w:rPr>
            </w:pPr>
            <w:r>
              <w:rPr>
                <w:rFonts w:hint="eastAsia" w:ascii="仿宋" w:hAnsi="仿宋" w:eastAsia="仿宋" w:cs="仿宋"/>
                <w:b w:val="0"/>
                <w:bCs/>
                <w:color w:val="auto"/>
                <w:kern w:val="2"/>
                <w:sz w:val="24"/>
                <w:szCs w:val="24"/>
                <w:highlight w:val="none"/>
                <w:u w:val="none"/>
                <w:lang w:val="en-US" w:eastAsia="zh-CN" w:bidi="ar-SA"/>
                <w14:ligatures w14:val="standardContextual"/>
              </w:rPr>
              <w:t>3.11</w:t>
            </w:r>
            <w:r>
              <w:rPr>
                <w:rFonts w:hint="eastAsia" w:ascii="仿宋" w:hAnsi="仿宋" w:eastAsia="仿宋" w:cs="仿宋"/>
                <w:color w:val="auto"/>
                <w:sz w:val="24"/>
                <w:highlight w:val="none"/>
                <w:u w:val="none"/>
              </w:rPr>
              <w:t>支持会诊接收者书写会诊结论，可以在线查看已完成患者的会诊结论和会诊详情。</w:t>
            </w:r>
          </w:p>
        </w:tc>
      </w:tr>
      <w:tr w14:paraId="23C56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vMerge w:val="continue"/>
          </w:tcPr>
          <w:p w14:paraId="558DD7FF">
            <w:pPr>
              <w:pStyle w:val="607"/>
              <w:keepNext w:val="0"/>
              <w:keepLines w:val="0"/>
              <w:pageBreakBefore w:val="0"/>
              <w:widowControl w:val="0"/>
              <w:numPr>
                <w:ilvl w:val="0"/>
                <w:numId w:val="32"/>
              </w:numPr>
              <w:kinsoku/>
              <w:wordWrap/>
              <w:overflowPunct/>
              <w:topLinePunct w:val="0"/>
              <w:autoSpaceDE/>
              <w:autoSpaceDN/>
              <w:bidi w:val="0"/>
              <w:adjustRightInd/>
              <w:snapToGrid/>
              <w:spacing w:line="400" w:lineRule="exact"/>
              <w:ind w:left="0" w:firstLine="0"/>
              <w:contextualSpacing w:val="0"/>
              <w:jc w:val="center"/>
              <w:textAlignment w:val="auto"/>
              <w:rPr>
                <w:rFonts w:hint="eastAsia" w:ascii="仿宋" w:hAnsi="仿宋" w:eastAsia="仿宋" w:cs="仿宋"/>
                <w:color w:val="auto"/>
                <w:sz w:val="24"/>
                <w:highlight w:val="none"/>
                <w:u w:val="none"/>
              </w:rPr>
            </w:pPr>
          </w:p>
        </w:tc>
        <w:tc>
          <w:tcPr>
            <w:tcW w:w="4211" w:type="pct"/>
            <w:vAlign w:val="center"/>
          </w:tcPr>
          <w:p w14:paraId="760B7490">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 w:hAnsi="仿宋" w:eastAsia="仿宋" w:cs="仿宋"/>
                <w:color w:val="auto"/>
                <w:sz w:val="24"/>
                <w:highlight w:val="none"/>
                <w:u w:val="none"/>
              </w:rPr>
            </w:pPr>
            <w:r>
              <w:rPr>
                <w:rFonts w:hint="eastAsia" w:ascii="仿宋" w:hAnsi="仿宋" w:eastAsia="仿宋" w:cs="仿宋"/>
                <w:b w:val="0"/>
                <w:bCs/>
                <w:color w:val="auto"/>
                <w:kern w:val="2"/>
                <w:sz w:val="24"/>
                <w:szCs w:val="24"/>
                <w:highlight w:val="none"/>
                <w:u w:val="none"/>
                <w:lang w:val="en-US" w:eastAsia="zh-CN" w:bidi="ar-SA"/>
                <w14:ligatures w14:val="standardContextual"/>
              </w:rPr>
              <w:t>3.12</w:t>
            </w:r>
            <w:r>
              <w:rPr>
                <w:rFonts w:hint="eastAsia" w:ascii="仿宋" w:hAnsi="仿宋" w:eastAsia="仿宋" w:cs="仿宋"/>
                <w:color w:val="auto"/>
                <w:sz w:val="24"/>
                <w:highlight w:val="none"/>
                <w:u w:val="none"/>
              </w:rPr>
              <w:t>支持对已完成会诊结论的会诊进行收藏，医护在收藏列表查看已收藏的患者信息。可以在收藏列表取消并移除已收藏患者信息。</w:t>
            </w:r>
          </w:p>
        </w:tc>
      </w:tr>
      <w:tr w14:paraId="23742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788" w:type="pct"/>
          </w:tcPr>
          <w:p w14:paraId="24E44A56">
            <w:pPr>
              <w:pStyle w:val="607"/>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highlight w:val="none"/>
                <w:u w:val="none"/>
                <w14:ligatures w14:val="standardContextual"/>
              </w:rPr>
            </w:pPr>
            <w:r>
              <w:rPr>
                <w:rFonts w:hint="eastAsia" w:ascii="仿宋" w:hAnsi="仿宋" w:eastAsia="仿宋" w:cs="仿宋"/>
                <w:color w:val="auto"/>
                <w:sz w:val="24"/>
                <w:highlight w:val="none"/>
                <w:u w:val="none"/>
                <w:lang w:val="en-US" w:eastAsia="zh-CN"/>
              </w:rPr>
              <w:t>4.</w:t>
            </w:r>
            <w:r>
              <w:rPr>
                <w:rFonts w:hint="eastAsia" w:ascii="仿宋" w:hAnsi="仿宋" w:eastAsia="仿宋" w:cs="仿宋"/>
                <w:color w:val="auto"/>
                <w:sz w:val="24"/>
                <w:highlight w:val="none"/>
                <w:u w:val="none"/>
                <w14:ligatures w14:val="standardContextual"/>
              </w:rPr>
              <w:t>系统集成开发服务</w:t>
            </w:r>
          </w:p>
        </w:tc>
        <w:tc>
          <w:tcPr>
            <w:tcW w:w="4211" w:type="pct"/>
            <w:vAlign w:val="center"/>
          </w:tcPr>
          <w:p w14:paraId="2E83BED5">
            <w:pPr>
              <w:pStyle w:val="607"/>
              <w:keepNext w:val="0"/>
              <w:keepLines w:val="0"/>
              <w:pageBreakBefore w:val="0"/>
              <w:widowControl w:val="0"/>
              <w:numPr>
                <w:ilvl w:val="0"/>
                <w:numId w:val="33"/>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 w:hAnsi="仿宋" w:eastAsia="仿宋" w:cs="仿宋"/>
                <w:color w:val="auto"/>
                <w:sz w:val="24"/>
                <w:highlight w:val="none"/>
                <w:u w:val="none"/>
              </w:rPr>
            </w:pPr>
            <w:r>
              <w:rPr>
                <w:rFonts w:hint="eastAsia" w:ascii="仿宋" w:hAnsi="仿宋" w:eastAsia="仿宋" w:cs="仿宋"/>
                <w:color w:val="auto"/>
                <w:kern w:val="0"/>
                <w:sz w:val="24"/>
                <w:highlight w:val="none"/>
                <w:u w:val="none"/>
                <w:lang w:bidi="ar"/>
              </w:rPr>
              <w:t>根据客户个性化功能开发需求，进行产品需求调研、产品设计、功能开发和测试。</w:t>
            </w:r>
          </w:p>
        </w:tc>
      </w:tr>
    </w:tbl>
    <w:p w14:paraId="12A402E3">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ascii="仿宋" w:hAnsi="仿宋" w:eastAsia="仿宋" w:cs="仿宋"/>
          <w:b w:val="0"/>
          <w:bCs w:val="0"/>
          <w:color w:val="auto"/>
          <w:sz w:val="24"/>
          <w:szCs w:val="24"/>
          <w:highlight w:val="none"/>
          <w:lang w:val="en-US" w:eastAsia="zh-CN"/>
        </w:rPr>
      </w:pPr>
    </w:p>
    <w:p w14:paraId="674CB828">
      <w:pPr>
        <w:pStyle w:val="58"/>
        <w:spacing w:after="0" w:line="400" w:lineRule="exact"/>
        <w:ind w:left="0" w:leftChars="0" w:firstLine="480"/>
        <w:rPr>
          <w:rFonts w:hint="eastAsia" w:ascii="仿宋" w:hAnsi="仿宋" w:eastAsia="仿宋" w:cs="仿宋"/>
          <w:color w:val="auto"/>
          <w:highlight w:val="none"/>
          <w:lang w:eastAsia="zh-CN"/>
        </w:rPr>
      </w:pPr>
      <w:r>
        <w:rPr>
          <w:rFonts w:hint="eastAsia" w:ascii="仿宋" w:hAnsi="仿宋" w:eastAsia="仿宋" w:cs="仿宋"/>
          <w:b w:val="0"/>
          <w:bCs w:val="0"/>
          <w:color w:val="auto"/>
          <w:sz w:val="24"/>
          <w:szCs w:val="24"/>
          <w:highlight w:val="none"/>
          <w:lang w:val="en-US" w:eastAsia="zh-CN"/>
        </w:rPr>
        <w:t>三、</w:t>
      </w:r>
      <w:r>
        <w:rPr>
          <w:rFonts w:hint="eastAsia" w:ascii="仿宋" w:hAnsi="仿宋" w:eastAsia="仿宋" w:cs="仿宋"/>
          <w:color w:val="auto"/>
          <w:highlight w:val="none"/>
          <w:lang w:eastAsia="zh-CN"/>
        </w:rPr>
        <w:t>其他要求</w:t>
      </w:r>
    </w:p>
    <w:p w14:paraId="6B4082C7">
      <w:pPr>
        <w:pStyle w:val="58"/>
        <w:spacing w:after="0" w:line="400" w:lineRule="exact"/>
        <w:ind w:left="0" w:leftChars="0" w:firstLine="48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1.售后服务</w:t>
      </w:r>
    </w:p>
    <w:p w14:paraId="41CF3FC6">
      <w:pPr>
        <w:pStyle w:val="58"/>
        <w:spacing w:after="0" w:line="400" w:lineRule="exact"/>
        <w:ind w:left="0" w:leftChars="0" w:firstLine="48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1.1</w:t>
      </w:r>
      <w:r>
        <w:rPr>
          <w:rFonts w:hint="eastAsia" w:ascii="仿宋" w:hAnsi="仿宋" w:eastAsia="仿宋" w:cs="仿宋"/>
          <w:color w:val="auto"/>
          <w:highlight w:val="none"/>
        </w:rPr>
        <w:t>故障响应时间：2小时响应，常规故障专业维修工程师应于4小时内到场并解决问题；如遇紧急故障，专业维修工程师应于2小时内到达故障现场处理；由此产生的交通食宿等费用由乙方自行承担。故障设备修复期限自报修之日起计算，不超过2个工作日，同时</w:t>
      </w:r>
      <w:r>
        <w:rPr>
          <w:rFonts w:hint="eastAsia" w:ascii="仿宋" w:hAnsi="仿宋" w:eastAsia="仿宋" w:cs="仿宋"/>
          <w:color w:val="auto"/>
          <w:highlight w:val="none"/>
          <w:lang w:eastAsia="zh-CN"/>
        </w:rPr>
        <w:t>维保</w:t>
      </w:r>
      <w:r>
        <w:rPr>
          <w:rFonts w:hint="eastAsia" w:ascii="仿宋" w:hAnsi="仿宋" w:eastAsia="仿宋" w:cs="仿宋"/>
          <w:color w:val="auto"/>
          <w:highlight w:val="none"/>
        </w:rPr>
        <w:t>期按照逾期天数顺延。</w:t>
      </w:r>
    </w:p>
    <w:p w14:paraId="29C140FB">
      <w:pPr>
        <w:pStyle w:val="58"/>
        <w:spacing w:after="0" w:line="400" w:lineRule="exact"/>
        <w:ind w:left="0" w:leftChars="0" w:firstLine="48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1.2</w:t>
      </w:r>
      <w:r>
        <w:rPr>
          <w:rFonts w:hint="eastAsia" w:ascii="仿宋" w:hAnsi="仿宋" w:eastAsia="仿宋" w:cs="仿宋"/>
          <w:color w:val="auto"/>
          <w:highlight w:val="none"/>
          <w:lang w:eastAsia="zh-CN"/>
        </w:rPr>
        <w:t>维保</w:t>
      </w:r>
      <w:r>
        <w:rPr>
          <w:rFonts w:hint="eastAsia" w:ascii="仿宋" w:hAnsi="仿宋" w:eastAsia="仿宋" w:cs="仿宋"/>
          <w:color w:val="auto"/>
          <w:highlight w:val="none"/>
        </w:rPr>
        <w:t>期内，</w:t>
      </w:r>
      <w:r>
        <w:rPr>
          <w:rFonts w:hint="eastAsia" w:ascii="仿宋" w:hAnsi="仿宋" w:eastAsia="仿宋" w:cs="仿宋"/>
          <w:color w:val="auto"/>
          <w:highlight w:val="none"/>
          <w:lang w:eastAsia="zh-CN"/>
        </w:rPr>
        <w:t>中标单位</w:t>
      </w:r>
      <w:r>
        <w:rPr>
          <w:rFonts w:hint="eastAsia" w:ascii="仿宋" w:hAnsi="仿宋" w:eastAsia="仿宋" w:cs="仿宋"/>
          <w:color w:val="auto"/>
          <w:highlight w:val="none"/>
        </w:rPr>
        <w:t>应按甲方要求随时提供现场服务，同时必须提供设备定期巡检服务，巡检周期为自设备验收合格之日起每</w:t>
      </w:r>
      <w:r>
        <w:rPr>
          <w:rFonts w:hint="eastAsia" w:ascii="仿宋" w:hAnsi="仿宋" w:eastAsia="仿宋" w:cs="仿宋"/>
          <w:color w:val="auto"/>
          <w:highlight w:val="none"/>
          <w:lang w:val="en-US" w:eastAsia="zh-CN"/>
        </w:rPr>
        <w:t>季度</w:t>
      </w:r>
      <w:r>
        <w:rPr>
          <w:rFonts w:hint="eastAsia" w:ascii="仿宋" w:hAnsi="仿宋" w:eastAsia="仿宋" w:cs="仿宋"/>
          <w:color w:val="auto"/>
          <w:highlight w:val="none"/>
        </w:rPr>
        <w:t>一次，须由专业技术工程师完成。由此产生的交通食宿等费用由</w:t>
      </w:r>
      <w:r>
        <w:rPr>
          <w:rFonts w:hint="eastAsia" w:ascii="仿宋" w:hAnsi="仿宋" w:eastAsia="仿宋" w:cs="仿宋"/>
          <w:color w:val="auto"/>
          <w:highlight w:val="none"/>
          <w:lang w:eastAsia="zh-CN"/>
        </w:rPr>
        <w:t>中标单位</w:t>
      </w:r>
      <w:r>
        <w:rPr>
          <w:rFonts w:hint="eastAsia" w:ascii="仿宋" w:hAnsi="仿宋" w:eastAsia="仿宋" w:cs="仿宋"/>
          <w:color w:val="auto"/>
          <w:highlight w:val="none"/>
        </w:rPr>
        <w:t>自行承担。</w:t>
      </w:r>
    </w:p>
    <w:p w14:paraId="1386CE55">
      <w:pPr>
        <w:pStyle w:val="58"/>
        <w:spacing w:after="0" w:line="400" w:lineRule="exact"/>
        <w:ind w:left="0" w:leftChars="0" w:firstLine="48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1.3维保期</w:t>
      </w:r>
      <w:r>
        <w:rPr>
          <w:rFonts w:hint="eastAsia" w:ascii="仿宋" w:hAnsi="仿宋" w:eastAsia="仿宋" w:cs="仿宋"/>
          <w:color w:val="auto"/>
          <w:highlight w:val="none"/>
        </w:rPr>
        <w:t>满后，</w:t>
      </w:r>
      <w:r>
        <w:rPr>
          <w:rFonts w:hint="eastAsia" w:ascii="仿宋" w:hAnsi="仿宋" w:eastAsia="仿宋" w:cs="仿宋"/>
          <w:color w:val="auto"/>
          <w:highlight w:val="none"/>
          <w:lang w:eastAsia="zh-CN"/>
        </w:rPr>
        <w:t>中标单位应承诺</w:t>
      </w:r>
      <w:r>
        <w:rPr>
          <w:rFonts w:hint="eastAsia" w:ascii="仿宋" w:hAnsi="仿宋" w:eastAsia="仿宋" w:cs="仿宋"/>
          <w:color w:val="auto"/>
          <w:highlight w:val="none"/>
        </w:rPr>
        <w:t>提供长期、不间断的技术服务支持。</w:t>
      </w:r>
    </w:p>
    <w:p w14:paraId="666CA076">
      <w:pPr>
        <w:pStyle w:val="58"/>
        <w:spacing w:after="0" w:line="400" w:lineRule="exact"/>
        <w:ind w:left="0" w:leftChars="0" w:firstLine="48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1.4</w:t>
      </w:r>
      <w:r>
        <w:rPr>
          <w:rFonts w:hint="eastAsia" w:ascii="仿宋" w:hAnsi="仿宋" w:eastAsia="仿宋" w:cs="仿宋"/>
          <w:color w:val="auto"/>
          <w:highlight w:val="none"/>
        </w:rPr>
        <w:t>本项目</w:t>
      </w:r>
      <w:r>
        <w:rPr>
          <w:rFonts w:hint="eastAsia" w:ascii="仿宋" w:hAnsi="仿宋" w:eastAsia="仿宋" w:cs="仿宋"/>
          <w:color w:val="auto"/>
          <w:highlight w:val="none"/>
          <w:lang w:eastAsia="zh-CN"/>
        </w:rPr>
        <w:t>中标单位</w:t>
      </w:r>
      <w:r>
        <w:rPr>
          <w:rFonts w:hint="eastAsia" w:ascii="仿宋" w:hAnsi="仿宋" w:eastAsia="仿宋" w:cs="仿宋"/>
          <w:color w:val="auto"/>
          <w:highlight w:val="none"/>
        </w:rPr>
        <w:t>提供的所有软件系统在项目终验合格后，采购人即取得该软件的合法永久使用权，</w:t>
      </w:r>
      <w:r>
        <w:rPr>
          <w:rFonts w:hint="eastAsia" w:ascii="仿宋" w:hAnsi="仿宋" w:eastAsia="仿宋" w:cs="仿宋"/>
          <w:color w:val="auto"/>
          <w:highlight w:val="none"/>
          <w:lang w:eastAsia="zh-CN"/>
        </w:rPr>
        <w:t>中标单位</w:t>
      </w:r>
      <w:r>
        <w:rPr>
          <w:rFonts w:hint="eastAsia" w:ascii="仿宋" w:hAnsi="仿宋" w:eastAsia="仿宋" w:cs="仿宋"/>
          <w:color w:val="auto"/>
          <w:highlight w:val="none"/>
        </w:rPr>
        <w:t>不得限制采购人在本单位服务器和客户端安装数量；不得限制采购人由于操作系统或硬件故障或设备更新等原因重新安装服务器端和客户端；不得设置使用期限。</w:t>
      </w:r>
    </w:p>
    <w:p w14:paraId="258F0D51">
      <w:pPr>
        <w:pStyle w:val="58"/>
        <w:spacing w:after="0" w:line="400" w:lineRule="exact"/>
        <w:ind w:left="0" w:leftChars="0" w:firstLine="48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1.5</w:t>
      </w:r>
      <w:r>
        <w:rPr>
          <w:rFonts w:hint="eastAsia" w:ascii="仿宋" w:hAnsi="仿宋" w:eastAsia="仿宋" w:cs="仿宋"/>
          <w:color w:val="auto"/>
          <w:highlight w:val="none"/>
          <w:lang w:eastAsia="zh-CN"/>
        </w:rPr>
        <w:t>中标单位</w:t>
      </w:r>
      <w:r>
        <w:rPr>
          <w:rFonts w:hint="eastAsia" w:ascii="仿宋" w:hAnsi="仿宋" w:eastAsia="仿宋" w:cs="仿宋"/>
          <w:color w:val="auto"/>
          <w:highlight w:val="none"/>
        </w:rPr>
        <w:t>提供的软件产品应有良好的兼容性，确保采购人可以长期正常使用，由于采购人服务器或终端设备的操作系统升级导致本项目</w:t>
      </w:r>
      <w:r>
        <w:rPr>
          <w:rFonts w:hint="eastAsia" w:ascii="仿宋" w:hAnsi="仿宋" w:eastAsia="仿宋" w:cs="仿宋"/>
          <w:color w:val="auto"/>
          <w:highlight w:val="none"/>
          <w:lang w:eastAsia="zh-CN"/>
        </w:rPr>
        <w:t>中标单位</w:t>
      </w:r>
      <w:r>
        <w:rPr>
          <w:rFonts w:hint="eastAsia" w:ascii="仿宋" w:hAnsi="仿宋" w:eastAsia="仿宋" w:cs="仿宋"/>
          <w:color w:val="auto"/>
          <w:highlight w:val="none"/>
        </w:rPr>
        <w:t>的软件不能兼容运行，无论是否在项目执行期内还是之外，都必须免费向采购人提供可兼容运行的升级软件版本。</w:t>
      </w:r>
    </w:p>
    <w:p w14:paraId="73E80275">
      <w:pPr>
        <w:spacing w:line="44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2.服务团队要求</w:t>
      </w:r>
    </w:p>
    <w:p w14:paraId="19D25795">
      <w:pPr>
        <w:spacing w:line="44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2.1具备医疗软件系统安装、调试、维修等技能，能准确排除常见故障。</w:t>
      </w:r>
    </w:p>
    <w:p w14:paraId="1417BB5F">
      <w:pPr>
        <w:spacing w:line="44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2.2能与医护人员进行清晰、有效的沟通，准确理解使用中遇到的问题并给予专业指导。</w:t>
      </w:r>
    </w:p>
    <w:p w14:paraId="03658349">
      <w:pPr>
        <w:spacing w:line="44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2.3面对医疗软件系统突发故障，可迅速响应，及时赶赴现场解决问题，保障医疗工作正常开展。</w:t>
      </w:r>
    </w:p>
    <w:p w14:paraId="5E10A0F9">
      <w:pPr>
        <w:spacing w:line="44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2.4不断跟进医疗软件系统行业的新技术、新产品，及时更新知识储备，提升服务水平。</w:t>
      </w:r>
    </w:p>
    <w:p w14:paraId="101CF2AE">
      <w:pPr>
        <w:spacing w:line="44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2.5成员间相互配合，共同完成复杂的安装、维修及培训等任务。</w:t>
      </w:r>
    </w:p>
    <w:p w14:paraId="2F641B30">
      <w:pPr>
        <w:spacing w:line="44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2.6始终以客户为中心，提供主动、周到的服务，确保医疗器械稳定运行。</w:t>
      </w:r>
    </w:p>
    <w:p w14:paraId="5ACA7DAA">
      <w:pPr>
        <w:spacing w:line="44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3.培训</w:t>
      </w:r>
    </w:p>
    <w:p w14:paraId="27C5419B">
      <w:pPr>
        <w:spacing w:line="44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培训分为对普通业务人员的应用培训和系统维护人员的专业技术培训等。培训内容分别包括：系统设计思想和结构、开发工具、数据交换技术、信息发布和后台管理平台操作等。系统正式运行前，要制订详细的培训计划，分别提供对领导、各部门领导、各部门工作人员、系统管理员的不同层面的培训。</w:t>
      </w:r>
    </w:p>
    <w:p w14:paraId="31E8CCC0">
      <w:pPr>
        <w:shd w:val="clear" w:color="auto" w:fill="FFFFFF"/>
        <w:spacing w:line="44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4.验收</w:t>
      </w:r>
    </w:p>
    <w:p w14:paraId="7B8E846B">
      <w:pPr>
        <w:shd w:val="clear" w:color="auto" w:fill="FFFFFF"/>
        <w:spacing w:line="44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4.1项目正式上线无故障运行满10日，组织项目验收。中标单位应提前准备好验收工作资料清单，包含验收流程、步骤、方式方法、各类项目有关文件等，采购人将按本招标文件、投标响应文件、合同所列要求对系统的每个部分逐一进行验收，如验收环节发现供应商提供虚假投标资料(包括技术支持资料和相关承诺)或信息骗取招标的，将取消其中标资格，并无条件终止项目合同，同时报主管部门备案，对采购人造成损失的，由中标单位承担全部违约及赔偿责任。</w:t>
      </w:r>
    </w:p>
    <w:p w14:paraId="1BF35402">
      <w:pPr>
        <w:shd w:val="clear" w:color="auto" w:fill="FFFFFF"/>
        <w:spacing w:line="44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4.2中标单位应负责在项目最终验收前将系统的全部相关的系统软件、服务文档、运行稳定可靠的系统及其安装程序、注释清晰明了的应用程序安装包等通过光盘、U盘等存储介质交付采购人，同时相关文档纸质版汇集成册交付采购人。</w:t>
      </w:r>
    </w:p>
    <w:p w14:paraId="0D9D9458">
      <w:pPr>
        <w:shd w:val="clear" w:color="auto" w:fill="FFFFFF"/>
        <w:spacing w:line="44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4.3系统运行稳定，符合合同约定及招标文件全部技术参数要求，实现采购人采购预期，即为项目终验合格。</w:t>
      </w:r>
    </w:p>
    <w:p w14:paraId="187537A3">
      <w:pPr>
        <w:shd w:val="clear" w:color="auto" w:fill="FFFFFF"/>
        <w:spacing w:line="44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5.知识产权要求</w:t>
      </w:r>
    </w:p>
    <w:p w14:paraId="7394F862">
      <w:pPr>
        <w:shd w:val="clear" w:color="auto" w:fill="FFFFFF"/>
        <w:spacing w:line="44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5.1投标软件产品应列明软件名称、开发商名称、最新版本号，OEM第三方的软件产品必须提供原开发商针对本项目授权和售后服务承诺书，OEM的第三方软件产品必须经采购人确认认同。</w:t>
      </w:r>
    </w:p>
    <w:p w14:paraId="246FEA70">
      <w:pPr>
        <w:shd w:val="clear" w:color="auto" w:fill="FFFFFF"/>
        <w:spacing w:line="44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5.2如出现软件使用侵权成立，最终裁决采购人禁止使用本合同项下所提供的合同货物和服务，无论是全部还是部分，中标单位承担全部法律、经济及赔偿责任，并应立即与采购人协商后作如下选择：</w:t>
      </w:r>
    </w:p>
    <w:p w14:paraId="102F772B">
      <w:pPr>
        <w:shd w:val="clear" w:color="auto" w:fill="FFFFFF"/>
        <w:spacing w:line="44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5.2.1对采购人不造成任何损失的前提下，修改本项目下所提供的项目所采购的软件系统和服务，使之不再存在侵权问题；</w:t>
      </w:r>
    </w:p>
    <w:p w14:paraId="3C24E042">
      <w:pPr>
        <w:shd w:val="clear" w:color="auto" w:fill="FFFFFF"/>
        <w:spacing w:line="44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5.2.2采用其它符合相关项目规定的技术要求，性能等同但无侵权行为的软件、设备或部件和服务，以取代所提供的项目所采购货物或部件合服务。</w:t>
      </w:r>
    </w:p>
    <w:p w14:paraId="2FE7EDBA">
      <w:pPr>
        <w:shd w:val="clear" w:color="auto" w:fill="FFFFFF"/>
        <w:spacing w:line="44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br w:type="page"/>
      </w:r>
    </w:p>
    <w:p w14:paraId="365350CC">
      <w:pPr>
        <w:pStyle w:val="328"/>
        <w:spacing w:beforeLines="50" w:afterLines="50" w:line="360" w:lineRule="auto"/>
        <w:jc w:val="center"/>
        <w:outlineLvl w:val="0"/>
        <w:rPr>
          <w:rFonts w:hint="eastAsia" w:ascii="仿宋" w:hAnsi="仿宋" w:eastAsia="仿宋" w:cs="仿宋"/>
          <w:b/>
          <w:color w:val="auto"/>
          <w:sz w:val="32"/>
          <w:szCs w:val="32"/>
          <w:highlight w:val="none"/>
        </w:rPr>
      </w:pPr>
      <w:bookmarkStart w:id="44" w:name="_Toc139284258"/>
    </w:p>
    <w:p w14:paraId="452EEAFC">
      <w:pPr>
        <w:pStyle w:val="328"/>
        <w:spacing w:beforeLines="50" w:afterLines="50"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第五章  投标文件格式</w:t>
      </w:r>
      <w:bookmarkEnd w:id="44"/>
    </w:p>
    <w:p w14:paraId="445D0EAD">
      <w:pPr>
        <w:pStyle w:val="328"/>
        <w:spacing w:line="360" w:lineRule="auto"/>
        <w:jc w:val="center"/>
        <w:rPr>
          <w:rFonts w:hint="eastAsia" w:ascii="仿宋" w:hAnsi="仿宋" w:eastAsia="仿宋" w:cs="仿宋"/>
          <w:b/>
          <w:color w:val="auto"/>
          <w:szCs w:val="24"/>
          <w:highlight w:val="none"/>
        </w:rPr>
      </w:pPr>
    </w:p>
    <w:p w14:paraId="5591DE58">
      <w:pPr>
        <w:widowControl/>
        <w:jc w:val="left"/>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封面</w:t>
      </w:r>
      <w:r>
        <w:rPr>
          <w:rFonts w:hint="eastAsia" w:ascii="仿宋" w:hAnsi="仿宋" w:eastAsia="仿宋" w:cs="仿宋"/>
          <w:b/>
          <w:bCs/>
          <w:color w:val="auto"/>
          <w:sz w:val="30"/>
          <w:szCs w:val="30"/>
          <w:highlight w:val="none"/>
          <w:u w:val="single"/>
        </w:rPr>
        <w:t>（注：非投标强制要求，仅作为供应商提供纸质版文件时的封面</w:t>
      </w:r>
      <w:r>
        <w:rPr>
          <w:rFonts w:hint="eastAsia" w:ascii="仿宋" w:hAnsi="仿宋" w:eastAsia="仿宋" w:cs="仿宋"/>
          <w:b/>
          <w:bCs/>
          <w:color w:val="auto"/>
          <w:sz w:val="30"/>
          <w:szCs w:val="30"/>
          <w:highlight w:val="none"/>
          <w:u w:val="single"/>
          <w:lang w:val="en-US" w:eastAsia="zh-CN"/>
        </w:rPr>
        <w:t>参考</w:t>
      </w:r>
      <w:r>
        <w:rPr>
          <w:rFonts w:hint="eastAsia" w:ascii="仿宋" w:hAnsi="仿宋" w:eastAsia="仿宋" w:cs="仿宋"/>
          <w:b/>
          <w:bCs/>
          <w:color w:val="auto"/>
          <w:sz w:val="30"/>
          <w:szCs w:val="30"/>
          <w:highlight w:val="none"/>
          <w:u w:val="single"/>
        </w:rPr>
        <w:t>）</w:t>
      </w:r>
    </w:p>
    <w:p w14:paraId="2A57D8C0">
      <w:pPr>
        <w:pStyle w:val="45"/>
        <w:rPr>
          <w:rFonts w:hint="eastAsia" w:ascii="仿宋" w:hAnsi="仿宋" w:eastAsia="仿宋" w:cs="仿宋"/>
          <w:color w:val="auto"/>
          <w:highlight w:val="none"/>
        </w:rPr>
      </w:pPr>
    </w:p>
    <w:p w14:paraId="763A83B6">
      <w:pPr>
        <w:widowControl/>
        <w:jc w:val="left"/>
        <w:rPr>
          <w:rFonts w:hint="eastAsia" w:ascii="仿宋" w:hAnsi="仿宋" w:eastAsia="仿宋" w:cs="仿宋"/>
          <w:color w:val="auto"/>
          <w:sz w:val="36"/>
          <w:szCs w:val="36"/>
          <w:highlight w:val="none"/>
        </w:rPr>
      </w:pPr>
    </w:p>
    <w:p w14:paraId="34F9F70F">
      <w:pPr>
        <w:widowControl/>
        <w:jc w:val="left"/>
        <w:rPr>
          <w:rFonts w:hint="eastAsia" w:ascii="仿宋" w:hAnsi="仿宋" w:eastAsia="仿宋" w:cs="仿宋"/>
          <w:color w:val="auto"/>
          <w:sz w:val="28"/>
          <w:szCs w:val="28"/>
          <w:highlight w:val="none"/>
        </w:rPr>
      </w:pPr>
    </w:p>
    <w:p w14:paraId="610AD95C">
      <w:pPr>
        <w:widowControl/>
        <w:ind w:firstLine="2520" w:firstLineChars="300"/>
        <w:rPr>
          <w:rFonts w:hint="eastAsia" w:ascii="仿宋" w:hAnsi="仿宋" w:eastAsia="仿宋" w:cs="仿宋"/>
          <w:color w:val="auto"/>
          <w:sz w:val="84"/>
          <w:szCs w:val="84"/>
          <w:highlight w:val="none"/>
        </w:rPr>
      </w:pPr>
      <w:r>
        <w:rPr>
          <w:rFonts w:hint="eastAsia" w:ascii="仿宋" w:hAnsi="仿宋" w:eastAsia="仿宋" w:cs="仿宋"/>
          <w:color w:val="auto"/>
          <w:sz w:val="84"/>
          <w:szCs w:val="84"/>
          <w:highlight w:val="none"/>
        </w:rPr>
        <w:t>投 标 文 件</w:t>
      </w:r>
    </w:p>
    <w:p w14:paraId="34EFEA83">
      <w:pPr>
        <w:pStyle w:val="45"/>
        <w:rPr>
          <w:rFonts w:hint="eastAsia" w:ascii="仿宋" w:hAnsi="仿宋" w:eastAsia="仿宋" w:cs="仿宋"/>
          <w:color w:val="auto"/>
          <w:sz w:val="28"/>
          <w:szCs w:val="28"/>
          <w:highlight w:val="none"/>
        </w:rPr>
      </w:pPr>
    </w:p>
    <w:p w14:paraId="10B62DEC">
      <w:pPr>
        <w:widowControl/>
        <w:jc w:val="left"/>
        <w:rPr>
          <w:rFonts w:hint="eastAsia" w:ascii="仿宋" w:hAnsi="仿宋" w:eastAsia="仿宋" w:cs="仿宋"/>
          <w:color w:val="auto"/>
          <w:sz w:val="28"/>
          <w:szCs w:val="28"/>
          <w:highlight w:val="none"/>
        </w:rPr>
      </w:pPr>
    </w:p>
    <w:p w14:paraId="3149F6C5">
      <w:pPr>
        <w:widowControl/>
        <w:jc w:val="left"/>
        <w:rPr>
          <w:rFonts w:hint="eastAsia" w:ascii="仿宋" w:hAnsi="仿宋" w:eastAsia="仿宋" w:cs="仿宋"/>
          <w:color w:val="auto"/>
          <w:sz w:val="28"/>
          <w:szCs w:val="28"/>
          <w:highlight w:val="none"/>
        </w:rPr>
      </w:pPr>
    </w:p>
    <w:p w14:paraId="6B1799E5">
      <w:pPr>
        <w:widowControl/>
        <w:spacing w:line="360" w:lineRule="auto"/>
        <w:ind w:firstLine="840" w:firstLineChars="300"/>
        <w:jc w:val="left"/>
        <w:rPr>
          <w:rFonts w:hint="eastAsia" w:ascii="仿宋" w:hAnsi="仿宋" w:eastAsia="仿宋" w:cs="仿宋"/>
          <w:color w:val="auto"/>
          <w:sz w:val="28"/>
          <w:szCs w:val="28"/>
          <w:highlight w:val="none"/>
        </w:rPr>
      </w:pPr>
    </w:p>
    <w:p w14:paraId="3C777920">
      <w:pPr>
        <w:widowControl/>
        <w:spacing w:line="360" w:lineRule="auto"/>
        <w:ind w:firstLine="840" w:firstLineChars="3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采购人名称：</w:t>
      </w:r>
    </w:p>
    <w:p w14:paraId="62117FEC">
      <w:pPr>
        <w:widowControl/>
        <w:spacing w:line="360" w:lineRule="auto"/>
        <w:ind w:left="2518" w:leftChars="399" w:hanging="1680" w:hangingChars="6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标项名称：  </w:t>
      </w:r>
    </w:p>
    <w:p w14:paraId="1FCC0396">
      <w:pPr>
        <w:widowControl/>
        <w:spacing w:line="360" w:lineRule="auto"/>
        <w:ind w:firstLine="840" w:firstLineChars="3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项目编号：</w:t>
      </w:r>
    </w:p>
    <w:p w14:paraId="0A27AA61">
      <w:pPr>
        <w:widowControl/>
        <w:spacing w:line="360" w:lineRule="auto"/>
        <w:ind w:firstLine="840" w:firstLineChars="3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采购代理机构名称：</w:t>
      </w:r>
    </w:p>
    <w:p w14:paraId="0D6BCC66">
      <w:pPr>
        <w:widowControl/>
        <w:spacing w:line="360" w:lineRule="auto"/>
        <w:ind w:firstLine="840" w:firstLineChars="3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投标单位名称：</w:t>
      </w:r>
    </w:p>
    <w:p w14:paraId="11D8685B">
      <w:pPr>
        <w:widowControl/>
        <w:spacing w:line="360" w:lineRule="auto"/>
        <w:ind w:firstLine="840" w:firstLineChars="3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投标单位地址：</w:t>
      </w:r>
    </w:p>
    <w:p w14:paraId="20D6DB5D">
      <w:pPr>
        <w:widowControl/>
        <w:spacing w:line="360" w:lineRule="auto"/>
        <w:ind w:firstLine="840" w:firstLineChars="3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法定代表人或授权代表姓名：</w:t>
      </w:r>
    </w:p>
    <w:p w14:paraId="0DC6CC94">
      <w:pPr>
        <w:widowControl/>
        <w:spacing w:line="360" w:lineRule="auto"/>
        <w:ind w:firstLine="840" w:firstLineChars="300"/>
        <w:jc w:val="left"/>
        <w:rPr>
          <w:rFonts w:hint="eastAsia" w:ascii="仿宋" w:hAnsi="仿宋" w:eastAsia="仿宋" w:cs="仿宋"/>
          <w:b/>
          <w:color w:val="auto"/>
          <w:sz w:val="32"/>
          <w:szCs w:val="32"/>
          <w:highlight w:val="none"/>
        </w:rPr>
      </w:pPr>
      <w:r>
        <w:rPr>
          <w:rFonts w:hint="eastAsia" w:ascii="仿宋" w:hAnsi="仿宋" w:eastAsia="仿宋" w:cs="仿宋"/>
          <w:color w:val="auto"/>
          <w:sz w:val="28"/>
          <w:szCs w:val="28"/>
          <w:highlight w:val="none"/>
        </w:rPr>
        <w:t>联系电话：</w:t>
      </w:r>
    </w:p>
    <w:p w14:paraId="7C29C76D">
      <w:pPr>
        <w:pStyle w:val="328"/>
        <w:spacing w:line="360" w:lineRule="auto"/>
        <w:jc w:val="center"/>
        <w:rPr>
          <w:rFonts w:hint="eastAsia" w:ascii="仿宋" w:hAnsi="仿宋" w:eastAsia="仿宋" w:cs="仿宋"/>
          <w:b/>
          <w:color w:val="auto"/>
          <w:sz w:val="72"/>
          <w:highlight w:val="none"/>
        </w:rPr>
      </w:pPr>
    </w:p>
    <w:p w14:paraId="1E0CE907">
      <w:pPr>
        <w:ind w:firstLine="560"/>
        <w:rPr>
          <w:rFonts w:hint="eastAsia" w:ascii="仿宋" w:hAnsi="仿宋" w:eastAsia="仿宋" w:cs="仿宋"/>
          <w:color w:val="auto"/>
          <w:sz w:val="28"/>
          <w:highlight w:val="none"/>
        </w:rPr>
      </w:pPr>
    </w:p>
    <w:p w14:paraId="66166727">
      <w:pPr>
        <w:widowControl/>
        <w:jc w:val="left"/>
        <w:rPr>
          <w:rFonts w:hint="eastAsia" w:ascii="仿宋" w:hAnsi="仿宋" w:eastAsia="仿宋" w:cs="仿宋"/>
          <w:color w:val="auto"/>
          <w:sz w:val="24"/>
          <w:highlight w:val="none"/>
        </w:rPr>
      </w:pPr>
      <w:r>
        <w:rPr>
          <w:rFonts w:hint="eastAsia" w:ascii="仿宋" w:hAnsi="仿宋" w:eastAsia="仿宋" w:cs="仿宋"/>
          <w:b/>
          <w:bCs/>
          <w:color w:val="auto"/>
          <w:kern w:val="0"/>
          <w:sz w:val="24"/>
          <w:highlight w:val="none"/>
        </w:rPr>
        <w:t xml:space="preserve">附件一 </w:t>
      </w:r>
      <w:r>
        <w:rPr>
          <w:rFonts w:hint="eastAsia" w:ascii="仿宋" w:hAnsi="仿宋" w:eastAsia="仿宋" w:cs="仿宋"/>
          <w:b/>
          <w:bCs/>
          <w:color w:val="auto"/>
          <w:kern w:val="0"/>
          <w:sz w:val="24"/>
          <w:highlight w:val="none"/>
          <w:lang w:val="en-US" w:eastAsia="zh-CN"/>
        </w:rPr>
        <w:t xml:space="preserve"> </w:t>
      </w:r>
      <w:r>
        <w:rPr>
          <w:rFonts w:hint="eastAsia" w:ascii="仿宋" w:hAnsi="仿宋" w:eastAsia="仿宋" w:cs="仿宋"/>
          <w:b/>
          <w:bCs/>
          <w:color w:val="auto"/>
          <w:kern w:val="0"/>
          <w:sz w:val="24"/>
          <w:highlight w:val="none"/>
        </w:rPr>
        <w:t>供应商营业执照或其他组织资格证书（扫描件）</w:t>
      </w:r>
    </w:p>
    <w:p w14:paraId="36C5D8FF">
      <w:pPr>
        <w:widowControl/>
        <w:spacing w:line="440" w:lineRule="exact"/>
        <w:jc w:val="left"/>
        <w:rPr>
          <w:rFonts w:hint="eastAsia" w:ascii="仿宋" w:hAnsi="仿宋" w:eastAsia="仿宋" w:cs="仿宋"/>
          <w:bCs/>
          <w:color w:val="auto"/>
          <w:sz w:val="24"/>
          <w:highlight w:val="none"/>
        </w:rPr>
      </w:pPr>
    </w:p>
    <w:p w14:paraId="2E79F5CE">
      <w:pPr>
        <w:widowControl/>
        <w:spacing w:line="440" w:lineRule="exact"/>
        <w:jc w:val="left"/>
        <w:rPr>
          <w:rFonts w:hint="eastAsia" w:ascii="仿宋" w:hAnsi="仿宋" w:eastAsia="仿宋" w:cs="仿宋"/>
          <w:bCs/>
          <w:color w:val="auto"/>
          <w:sz w:val="24"/>
          <w:highlight w:val="none"/>
        </w:rPr>
      </w:pPr>
    </w:p>
    <w:p w14:paraId="637EE14C">
      <w:pPr>
        <w:widowControl/>
        <w:spacing w:line="440" w:lineRule="exact"/>
        <w:jc w:val="left"/>
        <w:rPr>
          <w:rFonts w:hint="eastAsia" w:ascii="仿宋" w:hAnsi="仿宋" w:eastAsia="仿宋" w:cs="仿宋"/>
          <w:bCs/>
          <w:color w:val="auto"/>
          <w:sz w:val="24"/>
          <w:highlight w:val="none"/>
        </w:rPr>
      </w:pPr>
    </w:p>
    <w:p w14:paraId="08257222">
      <w:pPr>
        <w:widowControl/>
        <w:spacing w:line="440" w:lineRule="exact"/>
        <w:jc w:val="left"/>
        <w:rPr>
          <w:rFonts w:hint="eastAsia" w:ascii="仿宋" w:hAnsi="仿宋" w:eastAsia="仿宋" w:cs="仿宋"/>
          <w:bCs/>
          <w:color w:val="auto"/>
          <w:sz w:val="24"/>
          <w:highlight w:val="none"/>
        </w:rPr>
      </w:pPr>
    </w:p>
    <w:p w14:paraId="00210AB6">
      <w:pPr>
        <w:shd w:val="clear" w:color="auto" w:fill="FFFFFF"/>
        <w:spacing w:line="440" w:lineRule="exact"/>
        <w:rPr>
          <w:rFonts w:hint="eastAsia" w:ascii="仿宋" w:hAnsi="仿宋" w:eastAsia="仿宋" w:cs="仿宋"/>
          <w:bCs/>
          <w:color w:val="auto"/>
          <w:kern w:val="0"/>
          <w:sz w:val="24"/>
          <w:highlight w:val="none"/>
        </w:rPr>
      </w:pPr>
      <w:r>
        <w:rPr>
          <w:rFonts w:hint="eastAsia" w:ascii="仿宋" w:hAnsi="仿宋" w:eastAsia="仿宋" w:cs="仿宋"/>
          <w:b/>
          <w:bCs/>
          <w:color w:val="auto"/>
          <w:kern w:val="0"/>
          <w:sz w:val="24"/>
          <w:highlight w:val="none"/>
        </w:rPr>
        <w:br w:type="page"/>
      </w:r>
      <w:r>
        <w:rPr>
          <w:rFonts w:hint="eastAsia" w:ascii="仿宋" w:hAnsi="仿宋" w:eastAsia="仿宋" w:cs="仿宋"/>
          <w:b/>
          <w:bCs/>
          <w:color w:val="auto"/>
          <w:kern w:val="0"/>
          <w:sz w:val="24"/>
          <w:highlight w:val="none"/>
        </w:rPr>
        <w:t>附件二  法定代表人资格证明书及法定代表人授权委托书</w:t>
      </w:r>
    </w:p>
    <w:p w14:paraId="157E3D72">
      <w:pPr>
        <w:shd w:val="clear" w:color="auto" w:fill="FFFFFF"/>
        <w:spacing w:beforeLines="100" w:afterLines="100" w:line="440" w:lineRule="exact"/>
        <w:jc w:val="center"/>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法定代表人资格证明书</w:t>
      </w:r>
    </w:p>
    <w:p w14:paraId="1F32AB74">
      <w:pPr>
        <w:shd w:val="clear" w:color="auto" w:fill="FFFFFF"/>
        <w:spacing w:line="440" w:lineRule="exact"/>
        <w:rPr>
          <w:rFonts w:hint="eastAsia" w:ascii="仿宋" w:hAnsi="仿宋" w:eastAsia="仿宋" w:cs="仿宋"/>
          <w:color w:val="auto"/>
          <w:sz w:val="24"/>
          <w:highlight w:val="none"/>
        </w:rPr>
      </w:pPr>
    </w:p>
    <w:p w14:paraId="042E1B62">
      <w:pPr>
        <w:pStyle w:val="730"/>
        <w:adjustRightInd w:val="0"/>
        <w:snapToGrid w:val="0"/>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（代理机构名称）</w:t>
      </w:r>
      <w:r>
        <w:rPr>
          <w:rFonts w:hint="eastAsia" w:ascii="仿宋" w:hAnsi="仿宋" w:eastAsia="仿宋" w:cs="仿宋"/>
          <w:color w:val="auto"/>
          <w:sz w:val="24"/>
          <w:szCs w:val="24"/>
          <w:highlight w:val="none"/>
        </w:rPr>
        <w:t>：</w:t>
      </w:r>
    </w:p>
    <w:p w14:paraId="45A3DC47">
      <w:pPr>
        <w:pStyle w:val="730"/>
        <w:adjustRightInd w:val="0"/>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兹有</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同志为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公司</w:t>
      </w:r>
      <w:r>
        <w:rPr>
          <w:rFonts w:hint="eastAsia" w:ascii="仿宋" w:hAnsi="仿宋" w:eastAsia="仿宋" w:cs="仿宋"/>
          <w:color w:val="auto"/>
          <w:sz w:val="24"/>
          <w:szCs w:val="24"/>
          <w:highlight w:val="none"/>
          <w:lang w:eastAsia="zh-CN"/>
        </w:rPr>
        <w:t>法定代表人</w:t>
      </w:r>
      <w:r>
        <w:rPr>
          <w:rFonts w:hint="eastAsia" w:ascii="仿宋" w:hAnsi="仿宋" w:eastAsia="仿宋" w:cs="仿宋"/>
          <w:color w:val="auto"/>
          <w:sz w:val="24"/>
          <w:szCs w:val="24"/>
          <w:highlight w:val="none"/>
        </w:rPr>
        <w:t xml:space="preserve">，代表我公司办理一切社会公务事宜，具有法律效力。 </w:t>
      </w:r>
    </w:p>
    <w:p w14:paraId="39B1D617">
      <w:pPr>
        <w:pStyle w:val="730"/>
        <w:adjustRightInd w:val="0"/>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w:t>
      </w:r>
      <w:r>
        <w:rPr>
          <w:rFonts w:hint="eastAsia" w:ascii="仿宋" w:hAnsi="仿宋" w:eastAsia="仿宋" w:cs="仿宋"/>
          <w:color w:val="auto"/>
          <w:sz w:val="24"/>
          <w:szCs w:val="24"/>
          <w:highlight w:val="none"/>
          <w:lang w:eastAsia="zh-CN"/>
        </w:rPr>
        <w:t>法定代表人</w:t>
      </w:r>
      <w:r>
        <w:rPr>
          <w:rFonts w:hint="eastAsia" w:ascii="仿宋" w:hAnsi="仿宋" w:eastAsia="仿宋" w:cs="仿宋"/>
          <w:color w:val="auto"/>
          <w:sz w:val="24"/>
          <w:szCs w:val="24"/>
          <w:highlight w:val="none"/>
        </w:rPr>
        <w:t xml:space="preserve">基本情况： </w:t>
      </w:r>
    </w:p>
    <w:p w14:paraId="5C8D8F16">
      <w:pPr>
        <w:pStyle w:val="730"/>
        <w:adjustRightInd w:val="0"/>
        <w:snapToGrid w:val="0"/>
        <w:spacing w:line="50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姓名：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性别：</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职务：</w:t>
      </w:r>
      <w:r>
        <w:rPr>
          <w:rFonts w:hint="eastAsia" w:ascii="仿宋" w:hAnsi="仿宋" w:eastAsia="仿宋" w:cs="仿宋"/>
          <w:color w:val="auto"/>
          <w:sz w:val="24"/>
          <w:szCs w:val="24"/>
          <w:highlight w:val="none"/>
          <w:u w:val="single"/>
        </w:rPr>
        <w:t xml:space="preserve">         </w:t>
      </w:r>
    </w:p>
    <w:p w14:paraId="0D9EBF65">
      <w:pPr>
        <w:pStyle w:val="730"/>
        <w:adjustRightInd w:val="0"/>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u w:val="single"/>
        </w:rPr>
        <w:t xml:space="preserve">                     </w:t>
      </w:r>
    </w:p>
    <w:p w14:paraId="7FCB1928">
      <w:pPr>
        <w:pStyle w:val="730"/>
        <w:adjustRightInd w:val="0"/>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通讯地址：</w:t>
      </w:r>
      <w:r>
        <w:rPr>
          <w:rFonts w:hint="eastAsia" w:ascii="仿宋" w:hAnsi="仿宋" w:eastAsia="仿宋" w:cs="仿宋"/>
          <w:color w:val="auto"/>
          <w:sz w:val="24"/>
          <w:szCs w:val="24"/>
          <w:highlight w:val="none"/>
          <w:u w:val="single"/>
        </w:rPr>
        <w:t xml:space="preserve">                       </w:t>
      </w:r>
    </w:p>
    <w:p w14:paraId="1CED701A">
      <w:pPr>
        <w:shd w:val="clear" w:color="auto" w:fill="FFFFFF"/>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电话号码：</w:t>
      </w:r>
      <w:r>
        <w:rPr>
          <w:rFonts w:hint="eastAsia" w:ascii="仿宋" w:hAnsi="仿宋" w:eastAsia="仿宋" w:cs="仿宋"/>
          <w:color w:val="auto"/>
          <w:sz w:val="24"/>
          <w:highlight w:val="none"/>
          <w:u w:val="single"/>
        </w:rPr>
        <w:t xml:space="preserve">                   </w:t>
      </w:r>
    </w:p>
    <w:p w14:paraId="4DEF0667">
      <w:pPr>
        <w:shd w:val="clear" w:color="auto" w:fill="FFFFFF"/>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pict>
          <v:shape id="文本框 4" o:spid="_x0000_s1030" o:spt="202" type="#_x0000_t202" style="position:absolute;left:0pt;margin-left:-19.6pt;margin-top:12.8pt;height:151.1pt;width:252.1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">
            <v:path/>
            <v:fill focussize="0,0"/>
            <v:stroke miterlimit="2"/>
            <v:imagedata o:title=""/>
            <o:lock v:ext="edit"/>
            <v:textbox>
              <w:txbxContent>
                <w:p w14:paraId="657BE24E"/>
                <w:p w14:paraId="204AFC5F"/>
                <w:p w14:paraId="1050B0E8">
                  <w:pPr>
                    <w:jc w:val="center"/>
                    <w:rPr>
                      <w:rFonts w:ascii="仿宋" w:hAnsi="仿宋" w:eastAsia="仿宋"/>
                      <w:sz w:val="36"/>
                      <w:szCs w:val="36"/>
                    </w:rPr>
                  </w:pPr>
                  <w:r>
                    <w:rPr>
                      <w:rFonts w:hint="eastAsia" w:ascii="仿宋" w:hAnsi="仿宋" w:eastAsia="仿宋"/>
                      <w:spacing w:val="-11"/>
                      <w:sz w:val="36"/>
                      <w:szCs w:val="36"/>
                    </w:rPr>
                    <w:t>法定代表人身份证</w:t>
                  </w:r>
                </w:p>
                <w:p w14:paraId="708314A4">
                  <w:pPr>
                    <w:jc w:val="center"/>
                    <w:rPr>
                      <w:rFonts w:ascii="仿宋" w:hAnsi="仿宋" w:eastAsia="仿宋"/>
                      <w:sz w:val="36"/>
                      <w:szCs w:val="36"/>
                    </w:rPr>
                  </w:pPr>
                  <w:r>
                    <w:rPr>
                      <w:rFonts w:hint="eastAsia" w:ascii="仿宋" w:hAnsi="仿宋" w:eastAsia="仿宋"/>
                      <w:sz w:val="36"/>
                      <w:szCs w:val="36"/>
                    </w:rPr>
                    <w:t>（人像面）</w:t>
                  </w:r>
                </w:p>
                <w:p w14:paraId="572B3C33"/>
                <w:p w14:paraId="5E99B2F8"/>
                <w:p w14:paraId="4478B142"/>
                <w:p w14:paraId="7465E069"/>
                <w:p w14:paraId="762EC67B"/>
                <w:p w14:paraId="2FE354A4"/>
                <w:p w14:paraId="442A12A0">
                  <w:pPr>
                    <w:rPr>
                      <w:sz w:val="32"/>
                      <w:szCs w:val="32"/>
                    </w:rPr>
                  </w:pPr>
                </w:p>
              </w:txbxContent>
            </v:textbox>
          </v:shape>
        </w:pict>
      </w:r>
      <w:r>
        <w:rPr>
          <w:rFonts w:hint="eastAsia" w:ascii="仿宋" w:hAnsi="仿宋" w:eastAsia="仿宋" w:cs="仿宋"/>
          <w:color w:val="auto"/>
          <w:szCs w:val="21"/>
          <w:highlight w:val="none"/>
        </w:rPr>
        <w:pict>
          <v:shape id="文本框 3" o:spid="_x0000_s1031" o:spt="202" type="#_x0000_t202" style="position:absolute;left:0pt;margin-left:249pt;margin-top:12.8pt;height:151.1pt;width:254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">
            <v:path/>
            <v:fill focussize="0,0"/>
            <v:stroke miterlimit="2"/>
            <v:imagedata o:title=""/>
            <o:lock v:ext="edit"/>
            <v:textbox>
              <w:txbxContent>
                <w:p w14:paraId="4B3D2510"/>
                <w:p w14:paraId="6F7A22C6"/>
                <w:p w14:paraId="378DC9D7">
                  <w:pPr>
                    <w:jc w:val="center"/>
                    <w:rPr>
                      <w:rFonts w:ascii="仿宋" w:hAnsi="仿宋" w:eastAsia="仿宋"/>
                      <w:sz w:val="36"/>
                      <w:szCs w:val="36"/>
                    </w:rPr>
                  </w:pPr>
                  <w:r>
                    <w:rPr>
                      <w:rFonts w:hint="eastAsia" w:ascii="仿宋" w:hAnsi="仿宋" w:eastAsia="仿宋"/>
                      <w:spacing w:val="-11"/>
                      <w:sz w:val="36"/>
                      <w:szCs w:val="36"/>
                    </w:rPr>
                    <w:t>法定代表人身份证</w:t>
                  </w:r>
                </w:p>
                <w:p w14:paraId="5270A894">
                  <w:pPr>
                    <w:jc w:val="center"/>
                    <w:rPr>
                      <w:rFonts w:ascii="仿宋" w:hAnsi="仿宋" w:eastAsia="仿宋"/>
                      <w:sz w:val="36"/>
                      <w:szCs w:val="36"/>
                    </w:rPr>
                  </w:pPr>
                  <w:r>
                    <w:rPr>
                      <w:rFonts w:hint="eastAsia" w:ascii="仿宋" w:hAnsi="仿宋" w:eastAsia="仿宋"/>
                      <w:sz w:val="36"/>
                      <w:szCs w:val="36"/>
                    </w:rPr>
                    <w:t>（国徽面）</w:t>
                  </w:r>
                </w:p>
                <w:p w14:paraId="00C25505"/>
                <w:p w14:paraId="7C0D0B05"/>
                <w:p w14:paraId="4496A175"/>
                <w:p w14:paraId="2AB454F9"/>
                <w:p w14:paraId="6398564E"/>
                <w:p w14:paraId="05EA224B"/>
                <w:p w14:paraId="5E738DF1">
                  <w:pPr>
                    <w:rPr>
                      <w:sz w:val="32"/>
                      <w:szCs w:val="32"/>
                    </w:rPr>
                  </w:pPr>
                </w:p>
              </w:txbxContent>
            </v:textbox>
          </v:shape>
        </w:pict>
      </w:r>
    </w:p>
    <w:p w14:paraId="0CB727E5">
      <w:pPr>
        <w:shd w:val="clear" w:color="auto" w:fill="FFFFFF"/>
        <w:spacing w:line="440" w:lineRule="exact"/>
        <w:rPr>
          <w:rFonts w:hint="eastAsia" w:ascii="仿宋" w:hAnsi="仿宋" w:eastAsia="仿宋" w:cs="仿宋"/>
          <w:color w:val="auto"/>
          <w:szCs w:val="21"/>
          <w:highlight w:val="none"/>
        </w:rPr>
      </w:pPr>
    </w:p>
    <w:p w14:paraId="78E3F3BD">
      <w:pPr>
        <w:shd w:val="clear" w:color="auto" w:fill="FFFFFF"/>
        <w:spacing w:line="440" w:lineRule="exact"/>
        <w:rPr>
          <w:rFonts w:hint="eastAsia" w:ascii="仿宋" w:hAnsi="仿宋" w:eastAsia="仿宋" w:cs="仿宋"/>
          <w:color w:val="auto"/>
          <w:szCs w:val="21"/>
          <w:highlight w:val="none"/>
        </w:rPr>
      </w:pPr>
    </w:p>
    <w:p w14:paraId="513AEA48">
      <w:pPr>
        <w:shd w:val="clear" w:color="auto" w:fill="FFFFFF"/>
        <w:spacing w:line="440" w:lineRule="exact"/>
        <w:rPr>
          <w:rFonts w:hint="eastAsia" w:ascii="仿宋" w:hAnsi="仿宋" w:eastAsia="仿宋" w:cs="仿宋"/>
          <w:color w:val="auto"/>
          <w:szCs w:val="21"/>
          <w:highlight w:val="none"/>
        </w:rPr>
      </w:pPr>
    </w:p>
    <w:p w14:paraId="59C27438">
      <w:pPr>
        <w:shd w:val="clear" w:color="auto" w:fill="FFFFFF"/>
        <w:spacing w:line="440" w:lineRule="exact"/>
        <w:rPr>
          <w:rFonts w:hint="eastAsia" w:ascii="仿宋" w:hAnsi="仿宋" w:eastAsia="仿宋" w:cs="仿宋"/>
          <w:color w:val="auto"/>
          <w:szCs w:val="21"/>
          <w:highlight w:val="none"/>
        </w:rPr>
      </w:pPr>
    </w:p>
    <w:p w14:paraId="17ACCC63">
      <w:pPr>
        <w:shd w:val="clear" w:color="auto" w:fill="FFFFFF"/>
        <w:spacing w:line="440" w:lineRule="exact"/>
        <w:rPr>
          <w:rFonts w:hint="eastAsia" w:ascii="仿宋" w:hAnsi="仿宋" w:eastAsia="仿宋" w:cs="仿宋"/>
          <w:color w:val="auto"/>
          <w:szCs w:val="21"/>
          <w:highlight w:val="none"/>
        </w:rPr>
      </w:pPr>
    </w:p>
    <w:p w14:paraId="0BDBC37A">
      <w:pPr>
        <w:shd w:val="clear" w:color="auto" w:fill="FFFFFF"/>
        <w:spacing w:line="440" w:lineRule="exact"/>
        <w:rPr>
          <w:rFonts w:hint="eastAsia" w:ascii="仿宋" w:hAnsi="仿宋" w:eastAsia="仿宋" w:cs="仿宋"/>
          <w:color w:val="auto"/>
          <w:szCs w:val="21"/>
          <w:highlight w:val="none"/>
        </w:rPr>
      </w:pPr>
    </w:p>
    <w:p w14:paraId="0E1FAC23">
      <w:pPr>
        <w:shd w:val="clear" w:color="auto" w:fill="FFFFFF"/>
        <w:spacing w:line="440" w:lineRule="exact"/>
        <w:rPr>
          <w:rFonts w:hint="eastAsia" w:ascii="仿宋" w:hAnsi="仿宋" w:eastAsia="仿宋" w:cs="仿宋"/>
          <w:color w:val="auto"/>
          <w:szCs w:val="21"/>
          <w:highlight w:val="none"/>
        </w:rPr>
      </w:pPr>
    </w:p>
    <w:p w14:paraId="3F3605CD">
      <w:pPr>
        <w:shd w:val="clear" w:color="auto" w:fill="FFFFFF"/>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14:paraId="785DC8F2">
      <w:pPr>
        <w:shd w:val="clear" w:color="auto" w:fill="FFFFFF"/>
        <w:spacing w:line="440" w:lineRule="exact"/>
        <w:rPr>
          <w:rFonts w:hint="eastAsia" w:ascii="仿宋" w:hAnsi="仿宋" w:eastAsia="仿宋" w:cs="仿宋"/>
          <w:color w:val="auto"/>
          <w:sz w:val="24"/>
          <w:highlight w:val="none"/>
        </w:rPr>
      </w:pPr>
    </w:p>
    <w:p w14:paraId="44152BFE">
      <w:pPr>
        <w:shd w:val="clear" w:color="auto" w:fill="FFFFFF"/>
        <w:spacing w:line="440" w:lineRule="exact"/>
        <w:rPr>
          <w:rFonts w:hint="eastAsia" w:ascii="仿宋" w:hAnsi="仿宋" w:eastAsia="仿宋" w:cs="仿宋"/>
          <w:color w:val="auto"/>
          <w:sz w:val="24"/>
          <w:highlight w:val="none"/>
        </w:rPr>
      </w:pPr>
    </w:p>
    <w:p w14:paraId="1E92017D">
      <w:pPr>
        <w:pStyle w:val="305"/>
        <w:shd w:val="clear" w:color="auto" w:fill="FFFFFF"/>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供应商（公章）：</w:t>
      </w:r>
    </w:p>
    <w:p w14:paraId="2C0D94FF">
      <w:pPr>
        <w:shd w:val="clear" w:color="auto" w:fill="FFFFFF"/>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法定代表人</w:t>
      </w:r>
      <w:r>
        <w:rPr>
          <w:rFonts w:hint="eastAsia" w:ascii="仿宋" w:hAnsi="仿宋" w:eastAsia="仿宋" w:cs="仿宋"/>
          <w:color w:val="auto"/>
          <w:sz w:val="24"/>
          <w:highlight w:val="none"/>
        </w:rPr>
        <w:t>（签字或签章）：</w:t>
      </w:r>
    </w:p>
    <w:p w14:paraId="1CF98644">
      <w:pPr>
        <w:shd w:val="clear" w:color="auto" w:fill="FFFFFF"/>
        <w:tabs>
          <w:tab w:val="left" w:pos="3780"/>
        </w:tabs>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3A2BAA4D">
      <w:pPr>
        <w:shd w:val="clear" w:color="auto" w:fill="FFFFFF"/>
        <w:spacing w:line="500" w:lineRule="exact"/>
        <w:rPr>
          <w:rFonts w:hint="eastAsia" w:ascii="仿宋" w:hAnsi="仿宋" w:eastAsia="仿宋" w:cs="仿宋"/>
          <w:b/>
          <w:bCs/>
          <w:color w:val="auto"/>
          <w:szCs w:val="21"/>
          <w:highlight w:val="none"/>
        </w:rPr>
      </w:pPr>
    </w:p>
    <w:p w14:paraId="5C7A66BD">
      <w:pPr>
        <w:shd w:val="clear" w:color="auto" w:fill="FFFFFF"/>
        <w:spacing w:line="440" w:lineRule="exact"/>
        <w:rPr>
          <w:rFonts w:hint="eastAsia" w:ascii="仿宋" w:hAnsi="仿宋" w:eastAsia="仿宋" w:cs="仿宋"/>
          <w:bCs/>
          <w:color w:val="auto"/>
          <w:sz w:val="24"/>
          <w:highlight w:val="none"/>
        </w:rPr>
      </w:pPr>
      <w:r>
        <w:rPr>
          <w:rFonts w:hint="eastAsia" w:ascii="仿宋" w:hAnsi="仿宋" w:eastAsia="仿宋" w:cs="仿宋"/>
          <w:b/>
          <w:bCs/>
          <w:color w:val="auto"/>
          <w:sz w:val="18"/>
          <w:szCs w:val="18"/>
          <w:highlight w:val="none"/>
        </w:rPr>
        <w:br w:type="page"/>
      </w:r>
    </w:p>
    <w:p w14:paraId="66D76E89">
      <w:pPr>
        <w:shd w:val="clear" w:color="auto" w:fill="FFFFFF"/>
        <w:spacing w:line="440" w:lineRule="exact"/>
        <w:jc w:val="center"/>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法定代表人授权委托书</w:t>
      </w:r>
    </w:p>
    <w:p w14:paraId="28DECF6C">
      <w:pPr>
        <w:shd w:val="clear" w:color="auto" w:fill="FFFFFF"/>
        <w:spacing w:line="440" w:lineRule="exact"/>
        <w:jc w:val="center"/>
        <w:rPr>
          <w:rFonts w:hint="eastAsia" w:ascii="仿宋" w:hAnsi="仿宋" w:eastAsia="仿宋" w:cs="仿宋"/>
          <w:b/>
          <w:bCs/>
          <w:color w:val="auto"/>
          <w:sz w:val="24"/>
          <w:highlight w:val="none"/>
        </w:rPr>
      </w:pPr>
    </w:p>
    <w:p w14:paraId="3F8B77EA">
      <w:pPr>
        <w:shd w:val="clear" w:color="auto" w:fill="FFFFFF"/>
        <w:spacing w:line="440" w:lineRule="exact"/>
        <w:ind w:firstLine="453" w:firstLineChars="189"/>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rPr>
        <w:t>本授权委托书声明：我系</w:t>
      </w:r>
      <w:r>
        <w:rPr>
          <w:rFonts w:hint="eastAsia" w:ascii="仿宋" w:hAnsi="仿宋" w:eastAsia="仿宋" w:cs="仿宋"/>
          <w:bCs/>
          <w:color w:val="auto"/>
          <w:sz w:val="24"/>
          <w:highlight w:val="none"/>
          <w:u w:val="single"/>
        </w:rPr>
        <w:t xml:space="preserve">  （供应商名称）  </w:t>
      </w:r>
      <w:r>
        <w:rPr>
          <w:rFonts w:hint="eastAsia" w:ascii="仿宋" w:hAnsi="仿宋" w:eastAsia="仿宋" w:cs="仿宋"/>
          <w:bCs/>
          <w:color w:val="auto"/>
          <w:sz w:val="24"/>
          <w:highlight w:val="none"/>
        </w:rPr>
        <w:t>的法定代表人，现授权委托</w:t>
      </w:r>
      <w:r>
        <w:rPr>
          <w:rFonts w:hint="eastAsia" w:ascii="仿宋" w:hAnsi="仿宋" w:eastAsia="仿宋" w:cs="仿宋"/>
          <w:bCs/>
          <w:color w:val="auto"/>
          <w:sz w:val="24"/>
          <w:highlight w:val="none"/>
          <w:u w:val="single"/>
        </w:rPr>
        <w:t xml:space="preserve">   （供应商名称） </w:t>
      </w:r>
      <w:r>
        <w:rPr>
          <w:rFonts w:hint="eastAsia" w:ascii="仿宋" w:hAnsi="仿宋" w:eastAsia="仿宋" w:cs="仿宋"/>
          <w:bCs/>
          <w:color w:val="auto"/>
          <w:sz w:val="24"/>
          <w:highlight w:val="none"/>
        </w:rPr>
        <w:t>的</w:t>
      </w:r>
      <w:r>
        <w:rPr>
          <w:rFonts w:hint="eastAsia" w:ascii="仿宋" w:hAnsi="仿宋" w:eastAsia="仿宋" w:cs="仿宋"/>
          <w:bCs/>
          <w:color w:val="auto"/>
          <w:sz w:val="24"/>
          <w:highlight w:val="none"/>
          <w:u w:val="single"/>
        </w:rPr>
        <w:t xml:space="preserve"> （授权代表姓名） </w:t>
      </w:r>
      <w:r>
        <w:rPr>
          <w:rFonts w:hint="eastAsia" w:ascii="仿宋" w:hAnsi="仿宋" w:eastAsia="仿宋" w:cs="仿宋"/>
          <w:bCs/>
          <w:color w:val="auto"/>
          <w:sz w:val="24"/>
          <w:highlight w:val="none"/>
        </w:rPr>
        <w:t xml:space="preserve"> 为我的代理人，以</w:t>
      </w:r>
      <w:r>
        <w:rPr>
          <w:rFonts w:hint="eastAsia" w:ascii="仿宋" w:hAnsi="仿宋" w:eastAsia="仿宋" w:cs="仿宋"/>
          <w:bCs/>
          <w:color w:val="auto"/>
          <w:sz w:val="24"/>
          <w:highlight w:val="none"/>
          <w:u w:val="single"/>
        </w:rPr>
        <w:t>（供应商名称）</w:t>
      </w:r>
      <w:r>
        <w:rPr>
          <w:rFonts w:hint="eastAsia" w:ascii="仿宋" w:hAnsi="仿宋" w:eastAsia="仿宋" w:cs="仿宋"/>
          <w:bCs/>
          <w:color w:val="auto"/>
          <w:sz w:val="24"/>
          <w:highlight w:val="none"/>
        </w:rPr>
        <w:t>的名义参加</w:t>
      </w:r>
      <w:r>
        <w:rPr>
          <w:rFonts w:hint="eastAsia" w:ascii="仿宋" w:hAnsi="仿宋" w:eastAsia="仿宋" w:cs="仿宋"/>
          <w:bCs/>
          <w:color w:val="auto"/>
          <w:sz w:val="24"/>
          <w:highlight w:val="none"/>
          <w:u w:val="single"/>
        </w:rPr>
        <w:t>（标项名称和项目编号）</w:t>
      </w:r>
      <w:r>
        <w:rPr>
          <w:rFonts w:hint="eastAsia" w:ascii="仿宋" w:hAnsi="仿宋" w:eastAsia="仿宋" w:cs="仿宋"/>
          <w:bCs/>
          <w:color w:val="auto"/>
          <w:sz w:val="24"/>
          <w:highlight w:val="none"/>
        </w:rPr>
        <w:t>招标项目的投标活动。代理人在参加整个招标投标活动所签署的一切文件和处理与之相关的一切事务，我均予承认。</w:t>
      </w:r>
    </w:p>
    <w:p w14:paraId="136C94B8">
      <w:pPr>
        <w:shd w:val="clear" w:color="auto" w:fill="FFFFFF"/>
        <w:spacing w:line="440" w:lineRule="exact"/>
        <w:ind w:firstLine="480" w:firstLineChars="200"/>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rPr>
        <w:t>代理人：    性别：    年龄：</w:t>
      </w:r>
    </w:p>
    <w:p w14:paraId="7B998084">
      <w:pPr>
        <w:shd w:val="clear" w:color="auto" w:fill="FFFFFF"/>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部门：      职务：     联系电话：</w:t>
      </w:r>
    </w:p>
    <w:p w14:paraId="0DBBC166">
      <w:pPr>
        <w:shd w:val="clear" w:color="auto" w:fill="FFFFFF"/>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代理期限：</w:t>
      </w:r>
    </w:p>
    <w:p w14:paraId="68361158">
      <w:pPr>
        <w:shd w:val="clear" w:color="auto" w:fill="FFFFFF"/>
        <w:spacing w:line="440" w:lineRule="exac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pict>
          <v:shape id="_x0000_s1034" o:spid="_x0000_s1034" o:spt="202" type="#_x0000_t202" style="position:absolute;left:0pt;margin-left:-7.3pt;margin-top:9.65pt;height:149.25pt;width:234pt;z-index:25166540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">
            <v:path/>
            <v:fill focussize="0,0"/>
            <v:stroke miterlimit="2"/>
            <v:imagedata o:title=""/>
            <o:lock v:ext="edit"/>
            <v:textbox>
              <w:txbxContent>
                <w:p w14:paraId="2F091107"/>
                <w:p w14:paraId="741809A0"/>
                <w:p w14:paraId="11591E71"/>
                <w:p w14:paraId="22DC2F32">
                  <w:pPr>
                    <w:jc w:val="center"/>
                    <w:rPr>
                      <w:rFonts w:ascii="仿宋" w:hAnsi="仿宋" w:eastAsia="仿宋"/>
                      <w:sz w:val="36"/>
                      <w:szCs w:val="36"/>
                    </w:rPr>
                  </w:pPr>
                  <w:r>
                    <w:rPr>
                      <w:rFonts w:hint="eastAsia" w:ascii="仿宋" w:hAnsi="仿宋" w:eastAsia="仿宋"/>
                      <w:spacing w:val="-11"/>
                      <w:sz w:val="36"/>
                      <w:szCs w:val="36"/>
                    </w:rPr>
                    <w:t>法定代表人身份证</w:t>
                  </w:r>
                </w:p>
                <w:p w14:paraId="5129F96B">
                  <w:pPr>
                    <w:jc w:val="center"/>
                    <w:rPr>
                      <w:rFonts w:ascii="仿宋" w:hAnsi="仿宋" w:eastAsia="仿宋"/>
                      <w:sz w:val="36"/>
                      <w:szCs w:val="36"/>
                    </w:rPr>
                  </w:pPr>
                  <w:r>
                    <w:rPr>
                      <w:rFonts w:hint="eastAsia" w:ascii="仿宋" w:hAnsi="仿宋" w:eastAsia="仿宋"/>
                      <w:sz w:val="36"/>
                      <w:szCs w:val="36"/>
                    </w:rPr>
                    <w:t>（人像面）</w:t>
                  </w:r>
                </w:p>
                <w:p w14:paraId="1D24733C"/>
                <w:p w14:paraId="4A9DC11B"/>
                <w:p w14:paraId="60D02A7B"/>
                <w:p w14:paraId="55B757D3"/>
                <w:p w14:paraId="6319FBDB"/>
                <w:p w14:paraId="0AEBF498"/>
                <w:p w14:paraId="14EEAD8F">
                  <w:pPr>
                    <w:rPr>
                      <w:sz w:val="32"/>
                      <w:szCs w:val="32"/>
                    </w:rPr>
                  </w:pPr>
                </w:p>
              </w:txbxContent>
            </v:textbox>
          </v:shape>
        </w:pict>
      </w:r>
      <w:r>
        <w:rPr>
          <w:rFonts w:hint="eastAsia" w:ascii="仿宋" w:hAnsi="仿宋" w:eastAsia="仿宋" w:cs="仿宋"/>
          <w:bCs/>
          <w:color w:val="auto"/>
          <w:szCs w:val="21"/>
          <w:highlight w:val="none"/>
        </w:rPr>
        <w:pict>
          <v:shape id="_x0000_s1035" o:spid="_x0000_s1035" o:spt="202" type="#_x0000_t202" style="position:absolute;left:0pt;margin-left:244.7pt;margin-top:9.65pt;height:149.25pt;width:234pt;z-index:25166643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">
            <v:path/>
            <v:fill focussize="0,0"/>
            <v:stroke miterlimit="2"/>
            <v:imagedata o:title=""/>
            <o:lock v:ext="edit"/>
            <v:textbox>
              <w:txbxContent>
                <w:p w14:paraId="5CABB782"/>
                <w:p w14:paraId="2487F106"/>
                <w:p w14:paraId="5F78B671"/>
                <w:p w14:paraId="46D2173E">
                  <w:pPr>
                    <w:jc w:val="center"/>
                    <w:rPr>
                      <w:rFonts w:hint="eastAsia" w:ascii="仿宋" w:hAnsi="仿宋" w:eastAsia="仿宋"/>
                      <w:sz w:val="36"/>
                      <w:szCs w:val="36"/>
                    </w:rPr>
                  </w:pPr>
                  <w:r>
                    <w:rPr>
                      <w:rFonts w:hint="eastAsia" w:ascii="仿宋" w:hAnsi="仿宋" w:eastAsia="仿宋"/>
                      <w:spacing w:val="-11"/>
                      <w:sz w:val="36"/>
                      <w:szCs w:val="36"/>
                    </w:rPr>
                    <w:t>法定代表人身份证</w:t>
                  </w:r>
                </w:p>
                <w:p w14:paraId="0BA0DE1B">
                  <w:pPr>
                    <w:jc w:val="center"/>
                    <w:rPr>
                      <w:rFonts w:ascii="仿宋" w:hAnsi="仿宋" w:eastAsia="仿宋"/>
                      <w:sz w:val="36"/>
                      <w:szCs w:val="36"/>
                    </w:rPr>
                  </w:pPr>
                  <w:r>
                    <w:rPr>
                      <w:rFonts w:hint="eastAsia" w:ascii="仿宋" w:hAnsi="仿宋" w:eastAsia="仿宋"/>
                      <w:sz w:val="36"/>
                      <w:szCs w:val="36"/>
                    </w:rPr>
                    <w:t>（国徽面）</w:t>
                  </w:r>
                </w:p>
                <w:p w14:paraId="73062E06"/>
                <w:p w14:paraId="62B89F3C"/>
                <w:p w14:paraId="0D1FFE41"/>
                <w:p w14:paraId="513AE5C6"/>
                <w:p w14:paraId="2F421D62"/>
                <w:p w14:paraId="25F5DCE8"/>
                <w:p w14:paraId="527696BA">
                  <w:pPr>
                    <w:rPr>
                      <w:sz w:val="32"/>
                      <w:szCs w:val="32"/>
                    </w:rPr>
                  </w:pPr>
                </w:p>
              </w:txbxContent>
            </v:textbox>
          </v:shape>
        </w:pict>
      </w:r>
    </w:p>
    <w:p w14:paraId="46EFE4B6">
      <w:pPr>
        <w:shd w:val="clear" w:color="auto" w:fill="FFFFFF"/>
        <w:spacing w:line="440" w:lineRule="exact"/>
        <w:rPr>
          <w:rFonts w:hint="eastAsia" w:ascii="仿宋" w:hAnsi="仿宋" w:eastAsia="仿宋" w:cs="仿宋"/>
          <w:bCs/>
          <w:color w:val="auto"/>
          <w:szCs w:val="21"/>
          <w:highlight w:val="none"/>
        </w:rPr>
      </w:pPr>
    </w:p>
    <w:p w14:paraId="414F5976">
      <w:pPr>
        <w:shd w:val="clear" w:color="auto" w:fill="FFFFFF"/>
        <w:spacing w:line="440" w:lineRule="exact"/>
        <w:rPr>
          <w:rFonts w:hint="eastAsia" w:ascii="仿宋" w:hAnsi="仿宋" w:eastAsia="仿宋" w:cs="仿宋"/>
          <w:bCs/>
          <w:color w:val="auto"/>
          <w:szCs w:val="21"/>
          <w:highlight w:val="none"/>
        </w:rPr>
      </w:pPr>
    </w:p>
    <w:p w14:paraId="5D1032D5">
      <w:pPr>
        <w:shd w:val="clear" w:color="auto" w:fill="FFFFFF"/>
        <w:spacing w:line="440" w:lineRule="exact"/>
        <w:rPr>
          <w:rFonts w:hint="eastAsia" w:ascii="仿宋" w:hAnsi="仿宋" w:eastAsia="仿宋" w:cs="仿宋"/>
          <w:bCs/>
          <w:color w:val="auto"/>
          <w:szCs w:val="21"/>
          <w:highlight w:val="none"/>
        </w:rPr>
      </w:pPr>
    </w:p>
    <w:p w14:paraId="576DAEA1">
      <w:pPr>
        <w:shd w:val="clear" w:color="auto" w:fill="FFFFFF"/>
        <w:spacing w:line="440" w:lineRule="exact"/>
        <w:rPr>
          <w:rFonts w:hint="eastAsia" w:ascii="仿宋" w:hAnsi="仿宋" w:eastAsia="仿宋" w:cs="仿宋"/>
          <w:bCs/>
          <w:color w:val="auto"/>
          <w:szCs w:val="21"/>
          <w:highlight w:val="none"/>
        </w:rPr>
      </w:pPr>
    </w:p>
    <w:p w14:paraId="6F2EA5D2">
      <w:pPr>
        <w:shd w:val="clear" w:color="auto" w:fill="FFFFFF"/>
        <w:spacing w:line="440" w:lineRule="exact"/>
        <w:rPr>
          <w:rFonts w:hint="eastAsia" w:ascii="仿宋" w:hAnsi="仿宋" w:eastAsia="仿宋" w:cs="仿宋"/>
          <w:bCs/>
          <w:color w:val="auto"/>
          <w:szCs w:val="21"/>
          <w:highlight w:val="none"/>
        </w:rPr>
      </w:pPr>
    </w:p>
    <w:p w14:paraId="7C4D6EBC">
      <w:pPr>
        <w:shd w:val="clear" w:color="auto" w:fill="FFFFFF"/>
        <w:spacing w:line="440" w:lineRule="exact"/>
        <w:rPr>
          <w:rFonts w:hint="eastAsia" w:ascii="仿宋" w:hAnsi="仿宋" w:eastAsia="仿宋" w:cs="仿宋"/>
          <w:bCs/>
          <w:color w:val="auto"/>
          <w:szCs w:val="21"/>
          <w:highlight w:val="none"/>
        </w:rPr>
      </w:pPr>
    </w:p>
    <w:p w14:paraId="67EFCEBB">
      <w:pPr>
        <w:shd w:val="clear" w:color="auto" w:fill="FFFFFF"/>
        <w:spacing w:line="440" w:lineRule="exact"/>
        <w:rPr>
          <w:rFonts w:hint="eastAsia" w:ascii="仿宋" w:hAnsi="仿宋" w:eastAsia="仿宋" w:cs="仿宋"/>
          <w:bCs/>
          <w:color w:val="auto"/>
          <w:sz w:val="24"/>
          <w:highlight w:val="none"/>
        </w:rPr>
      </w:pPr>
    </w:p>
    <w:p w14:paraId="59FFDBB7">
      <w:pPr>
        <w:shd w:val="clear" w:color="auto" w:fill="FFFFFF"/>
        <w:spacing w:line="440" w:lineRule="exac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pict>
          <v:shape id="文本框 2" o:spid="_x0000_s1036" o:spt="202" type="#_x0000_t202" style="position:absolute;left:0pt;margin-left:-7.3pt;margin-top:9.65pt;height:149.25pt;width:234pt;z-index:25166336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">
            <v:path/>
            <v:fill focussize="0,0"/>
            <v:stroke miterlimit="2"/>
            <v:imagedata o:title=""/>
            <o:lock v:ext="edit"/>
            <v:textbox>
              <w:txbxContent>
                <w:p w14:paraId="6614989B"/>
                <w:p w14:paraId="6EC116C2"/>
                <w:p w14:paraId="69B495AE"/>
                <w:p w14:paraId="0E9097EE">
                  <w:pPr>
                    <w:jc w:val="center"/>
                    <w:rPr>
                      <w:rFonts w:ascii="仿宋" w:hAnsi="仿宋" w:eastAsia="仿宋"/>
                      <w:sz w:val="36"/>
                      <w:szCs w:val="36"/>
                    </w:rPr>
                  </w:pPr>
                  <w:r>
                    <w:rPr>
                      <w:rFonts w:hint="eastAsia" w:ascii="仿宋" w:hAnsi="仿宋" w:eastAsia="仿宋"/>
                      <w:sz w:val="36"/>
                      <w:szCs w:val="36"/>
                    </w:rPr>
                    <w:t>代理人身份证</w:t>
                  </w:r>
                </w:p>
                <w:p w14:paraId="21A26C18">
                  <w:pPr>
                    <w:jc w:val="center"/>
                    <w:rPr>
                      <w:rFonts w:ascii="仿宋" w:hAnsi="仿宋" w:eastAsia="仿宋"/>
                      <w:sz w:val="36"/>
                      <w:szCs w:val="36"/>
                    </w:rPr>
                  </w:pPr>
                  <w:r>
                    <w:rPr>
                      <w:rFonts w:hint="eastAsia" w:ascii="仿宋" w:hAnsi="仿宋" w:eastAsia="仿宋"/>
                      <w:sz w:val="36"/>
                      <w:szCs w:val="36"/>
                    </w:rPr>
                    <w:t>（人像面）</w:t>
                  </w:r>
                </w:p>
                <w:p w14:paraId="75746D42"/>
                <w:p w14:paraId="448AF534"/>
                <w:p w14:paraId="0FDBC4EA"/>
                <w:p w14:paraId="669CA7D5"/>
                <w:p w14:paraId="5B163837"/>
                <w:p w14:paraId="7281EC82"/>
                <w:p w14:paraId="2CB40466">
                  <w:pPr>
                    <w:rPr>
                      <w:sz w:val="32"/>
                      <w:szCs w:val="32"/>
                    </w:rPr>
                  </w:pPr>
                </w:p>
              </w:txbxContent>
            </v:textbox>
          </v:shape>
        </w:pict>
      </w:r>
      <w:r>
        <w:rPr>
          <w:rFonts w:hint="eastAsia" w:ascii="仿宋" w:hAnsi="仿宋" w:eastAsia="仿宋" w:cs="仿宋"/>
          <w:bCs/>
          <w:color w:val="auto"/>
          <w:szCs w:val="21"/>
          <w:highlight w:val="none"/>
        </w:rPr>
        <w:pict>
          <v:shape id="文本框 1" o:spid="_x0000_s1037" o:spt="202" type="#_x0000_t202" style="position:absolute;left:0pt;margin-left:244.7pt;margin-top:9.65pt;height:149.25pt;width:234pt;z-index:25166438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">
            <v:path/>
            <v:fill focussize="0,0"/>
            <v:stroke miterlimit="2"/>
            <v:imagedata o:title=""/>
            <o:lock v:ext="edit"/>
            <v:textbox>
              <w:txbxContent>
                <w:p w14:paraId="707E2A5B"/>
                <w:p w14:paraId="237DC414"/>
                <w:p w14:paraId="2453EF3B"/>
                <w:p w14:paraId="42D0524D">
                  <w:pPr>
                    <w:jc w:val="center"/>
                    <w:rPr>
                      <w:rFonts w:hint="eastAsia" w:ascii="仿宋" w:hAnsi="仿宋" w:eastAsia="仿宋"/>
                      <w:sz w:val="36"/>
                      <w:szCs w:val="36"/>
                    </w:rPr>
                  </w:pPr>
                  <w:r>
                    <w:rPr>
                      <w:rFonts w:hint="eastAsia" w:ascii="仿宋" w:hAnsi="仿宋" w:eastAsia="仿宋"/>
                      <w:sz w:val="36"/>
                      <w:szCs w:val="36"/>
                    </w:rPr>
                    <w:t>代理人身份证</w:t>
                  </w:r>
                </w:p>
                <w:p w14:paraId="3AEFD928">
                  <w:pPr>
                    <w:jc w:val="center"/>
                    <w:rPr>
                      <w:rFonts w:ascii="仿宋" w:hAnsi="仿宋" w:eastAsia="仿宋"/>
                      <w:sz w:val="36"/>
                      <w:szCs w:val="36"/>
                    </w:rPr>
                  </w:pPr>
                  <w:r>
                    <w:rPr>
                      <w:rFonts w:hint="eastAsia" w:ascii="仿宋" w:hAnsi="仿宋" w:eastAsia="仿宋"/>
                      <w:sz w:val="36"/>
                      <w:szCs w:val="36"/>
                    </w:rPr>
                    <w:t>（国徽面）</w:t>
                  </w:r>
                </w:p>
                <w:p w14:paraId="274670EB"/>
                <w:p w14:paraId="57E46739"/>
                <w:p w14:paraId="5FC12577"/>
                <w:p w14:paraId="0352AE0C"/>
                <w:p w14:paraId="2F7A3526"/>
                <w:p w14:paraId="5AFB9438"/>
                <w:p w14:paraId="4CBE5D72">
                  <w:pPr>
                    <w:rPr>
                      <w:sz w:val="32"/>
                      <w:szCs w:val="32"/>
                    </w:rPr>
                  </w:pPr>
                </w:p>
              </w:txbxContent>
            </v:textbox>
          </v:shape>
        </w:pict>
      </w:r>
    </w:p>
    <w:p w14:paraId="02EF41D2">
      <w:pPr>
        <w:shd w:val="clear" w:color="auto" w:fill="FFFFFF"/>
        <w:spacing w:line="440" w:lineRule="exact"/>
        <w:rPr>
          <w:rFonts w:hint="eastAsia" w:ascii="仿宋" w:hAnsi="仿宋" w:eastAsia="仿宋" w:cs="仿宋"/>
          <w:bCs/>
          <w:color w:val="auto"/>
          <w:szCs w:val="21"/>
          <w:highlight w:val="none"/>
        </w:rPr>
      </w:pPr>
    </w:p>
    <w:p w14:paraId="04672CD9">
      <w:pPr>
        <w:shd w:val="clear" w:color="auto" w:fill="FFFFFF"/>
        <w:spacing w:line="440" w:lineRule="exact"/>
        <w:rPr>
          <w:rFonts w:hint="eastAsia" w:ascii="仿宋" w:hAnsi="仿宋" w:eastAsia="仿宋" w:cs="仿宋"/>
          <w:bCs/>
          <w:color w:val="auto"/>
          <w:szCs w:val="21"/>
          <w:highlight w:val="none"/>
        </w:rPr>
      </w:pPr>
    </w:p>
    <w:p w14:paraId="2BEF8AF4">
      <w:pPr>
        <w:shd w:val="clear" w:color="auto" w:fill="FFFFFF"/>
        <w:spacing w:line="440" w:lineRule="exact"/>
        <w:rPr>
          <w:rFonts w:hint="eastAsia" w:ascii="仿宋" w:hAnsi="仿宋" w:eastAsia="仿宋" w:cs="仿宋"/>
          <w:bCs/>
          <w:color w:val="auto"/>
          <w:szCs w:val="21"/>
          <w:highlight w:val="none"/>
        </w:rPr>
      </w:pPr>
    </w:p>
    <w:p w14:paraId="05821B79">
      <w:pPr>
        <w:shd w:val="clear" w:color="auto" w:fill="FFFFFF"/>
        <w:spacing w:line="440" w:lineRule="exact"/>
        <w:rPr>
          <w:rFonts w:hint="eastAsia" w:ascii="仿宋" w:hAnsi="仿宋" w:eastAsia="仿宋" w:cs="仿宋"/>
          <w:bCs/>
          <w:color w:val="auto"/>
          <w:szCs w:val="21"/>
          <w:highlight w:val="none"/>
        </w:rPr>
      </w:pPr>
    </w:p>
    <w:p w14:paraId="1E90C71B">
      <w:pPr>
        <w:shd w:val="clear" w:color="auto" w:fill="FFFFFF"/>
        <w:spacing w:line="440" w:lineRule="exact"/>
        <w:rPr>
          <w:rFonts w:hint="eastAsia" w:ascii="仿宋" w:hAnsi="仿宋" w:eastAsia="仿宋" w:cs="仿宋"/>
          <w:bCs/>
          <w:color w:val="auto"/>
          <w:szCs w:val="21"/>
          <w:highlight w:val="none"/>
        </w:rPr>
      </w:pPr>
    </w:p>
    <w:p w14:paraId="1A2FDB73">
      <w:pPr>
        <w:shd w:val="clear" w:color="auto" w:fill="FFFFFF"/>
        <w:spacing w:line="440" w:lineRule="exact"/>
        <w:rPr>
          <w:rFonts w:hint="eastAsia" w:ascii="仿宋" w:hAnsi="仿宋" w:eastAsia="仿宋" w:cs="仿宋"/>
          <w:bCs/>
          <w:color w:val="auto"/>
          <w:szCs w:val="21"/>
          <w:highlight w:val="none"/>
        </w:rPr>
      </w:pPr>
    </w:p>
    <w:p w14:paraId="6BDD08B1">
      <w:pPr>
        <w:pStyle w:val="305"/>
        <w:shd w:val="clear" w:color="auto" w:fill="FFFFFF"/>
        <w:snapToGrid w:val="0"/>
        <w:spacing w:line="440" w:lineRule="exact"/>
        <w:ind w:firstLine="210"/>
        <w:rPr>
          <w:rFonts w:hint="eastAsia" w:ascii="仿宋" w:hAnsi="仿宋" w:eastAsia="仿宋" w:cs="仿宋"/>
          <w:color w:val="auto"/>
          <w:sz w:val="21"/>
          <w:szCs w:val="21"/>
          <w:highlight w:val="none"/>
        </w:rPr>
      </w:pPr>
    </w:p>
    <w:p w14:paraId="5722451C">
      <w:pPr>
        <w:pStyle w:val="305"/>
        <w:shd w:val="clear" w:color="auto" w:fill="FFFFFF"/>
        <w:snapToGrid w:val="0"/>
        <w:spacing w:line="440" w:lineRule="exact"/>
        <w:rPr>
          <w:rFonts w:hint="eastAsia" w:ascii="仿宋" w:hAnsi="仿宋" w:eastAsia="仿宋" w:cs="仿宋"/>
          <w:color w:val="auto"/>
          <w:sz w:val="21"/>
          <w:szCs w:val="21"/>
          <w:highlight w:val="none"/>
        </w:rPr>
      </w:pPr>
    </w:p>
    <w:p w14:paraId="4B900947">
      <w:pPr>
        <w:pStyle w:val="305"/>
        <w:shd w:val="clear" w:color="auto" w:fill="FFFFFF"/>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供应商（公章）：</w:t>
      </w:r>
    </w:p>
    <w:p w14:paraId="0973324D">
      <w:pPr>
        <w:shd w:val="clear" w:color="auto" w:fill="FFFFFF"/>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法定代表人</w:t>
      </w:r>
      <w:r>
        <w:rPr>
          <w:rFonts w:hint="eastAsia" w:ascii="仿宋" w:hAnsi="仿宋" w:eastAsia="仿宋" w:cs="仿宋"/>
          <w:color w:val="auto"/>
          <w:sz w:val="24"/>
          <w:highlight w:val="none"/>
        </w:rPr>
        <w:t>（签字或签章）：</w:t>
      </w:r>
    </w:p>
    <w:p w14:paraId="3074890E">
      <w:pPr>
        <w:shd w:val="clear" w:color="auto" w:fill="FFFFFF"/>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授权代理人（签字或签章）：</w:t>
      </w:r>
    </w:p>
    <w:p w14:paraId="7ECA503F">
      <w:pPr>
        <w:widowControl/>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5352519F">
      <w:pPr>
        <w:widowControl/>
        <w:spacing w:line="440" w:lineRule="exact"/>
        <w:jc w:val="left"/>
        <w:rPr>
          <w:rFonts w:hint="eastAsia" w:ascii="仿宋" w:hAnsi="仿宋" w:eastAsia="仿宋" w:cs="仿宋"/>
          <w:color w:val="auto"/>
          <w:sz w:val="24"/>
          <w:highlight w:val="none"/>
        </w:rPr>
      </w:pPr>
    </w:p>
    <w:p w14:paraId="6A458AB9">
      <w:pPr>
        <w:widowControl/>
        <w:spacing w:line="440" w:lineRule="exact"/>
        <w:jc w:val="left"/>
        <w:rPr>
          <w:rFonts w:hint="eastAsia" w:ascii="仿宋" w:hAnsi="仿宋" w:eastAsia="仿宋" w:cs="仿宋"/>
          <w:color w:val="auto"/>
          <w:sz w:val="24"/>
          <w:highlight w:val="none"/>
        </w:rPr>
      </w:pPr>
    </w:p>
    <w:p w14:paraId="11898FB0">
      <w:pPr>
        <w:widowControl/>
        <w:spacing w:line="440" w:lineRule="exact"/>
        <w:jc w:val="lef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br w:type="page"/>
      </w:r>
      <w:r>
        <w:rPr>
          <w:rFonts w:hint="eastAsia" w:ascii="仿宋" w:hAnsi="仿宋" w:eastAsia="仿宋" w:cs="仿宋"/>
          <w:b/>
          <w:bCs/>
          <w:color w:val="auto"/>
          <w:kern w:val="0"/>
          <w:sz w:val="24"/>
          <w:highlight w:val="none"/>
        </w:rPr>
        <w:t>附件三  供应商开标前三个月内任意一个月依法纳税</w:t>
      </w:r>
      <w:r>
        <w:rPr>
          <w:rFonts w:hint="eastAsia" w:ascii="仿宋" w:hAnsi="仿宋" w:eastAsia="仿宋" w:cs="仿宋"/>
          <w:b/>
          <w:bCs/>
          <w:color w:val="auto"/>
          <w:kern w:val="0"/>
          <w:sz w:val="24"/>
          <w:highlight w:val="none"/>
          <w:lang w:val="en-US" w:eastAsia="zh-CN"/>
        </w:rPr>
        <w:t>以及</w:t>
      </w:r>
      <w:r>
        <w:rPr>
          <w:rFonts w:hint="eastAsia" w:ascii="仿宋" w:hAnsi="仿宋" w:eastAsia="仿宋" w:cs="仿宋"/>
          <w:b/>
          <w:bCs/>
          <w:color w:val="auto"/>
          <w:kern w:val="0"/>
          <w:sz w:val="24"/>
          <w:highlight w:val="none"/>
        </w:rPr>
        <w:t>缴纳社会保险相关证明资料</w:t>
      </w:r>
    </w:p>
    <w:p w14:paraId="285733C3">
      <w:pPr>
        <w:widowControl/>
        <w:spacing w:line="440" w:lineRule="exact"/>
        <w:ind w:firstLine="1320" w:firstLineChars="550"/>
        <w:jc w:val="left"/>
        <w:rPr>
          <w:rFonts w:hint="eastAsia" w:ascii="仿宋" w:hAnsi="仿宋" w:eastAsia="仿宋" w:cs="仿宋"/>
          <w:bCs/>
          <w:color w:val="auto"/>
          <w:sz w:val="24"/>
          <w:highlight w:val="none"/>
        </w:rPr>
      </w:pPr>
    </w:p>
    <w:p w14:paraId="1DD1EFD6">
      <w:pPr>
        <w:widowControl/>
        <w:spacing w:line="440" w:lineRule="exact"/>
        <w:jc w:val="left"/>
        <w:rPr>
          <w:rFonts w:hint="eastAsia" w:ascii="仿宋" w:hAnsi="仿宋" w:eastAsia="仿宋" w:cs="仿宋"/>
          <w:b/>
          <w:color w:val="auto"/>
          <w:kern w:val="0"/>
          <w:sz w:val="24"/>
          <w:szCs w:val="22"/>
          <w:highlight w:val="none"/>
        </w:rPr>
      </w:pPr>
      <w:r>
        <w:rPr>
          <w:rFonts w:hint="eastAsia" w:ascii="仿宋" w:hAnsi="仿宋" w:eastAsia="仿宋" w:cs="仿宋"/>
          <w:b/>
          <w:bCs/>
          <w:color w:val="auto"/>
          <w:kern w:val="0"/>
          <w:sz w:val="24"/>
          <w:highlight w:val="none"/>
        </w:rPr>
        <w:br w:type="page"/>
      </w:r>
      <w:r>
        <w:rPr>
          <w:rFonts w:hint="eastAsia" w:ascii="仿宋" w:hAnsi="仿宋" w:eastAsia="仿宋" w:cs="仿宋"/>
          <w:b/>
          <w:bCs/>
          <w:color w:val="auto"/>
          <w:kern w:val="0"/>
          <w:sz w:val="24"/>
          <w:highlight w:val="none"/>
        </w:rPr>
        <w:t>附件四  供应商是法人组织的应提供经第三方审计的上一年度（202</w:t>
      </w:r>
      <w:r>
        <w:rPr>
          <w:rFonts w:hint="eastAsia" w:ascii="仿宋" w:hAnsi="仿宋" w:eastAsia="仿宋" w:cs="仿宋"/>
          <w:b/>
          <w:bCs/>
          <w:color w:val="auto"/>
          <w:kern w:val="0"/>
          <w:sz w:val="24"/>
          <w:highlight w:val="none"/>
          <w:lang w:val="en-US" w:eastAsia="zh-CN"/>
        </w:rPr>
        <w:t>4</w:t>
      </w:r>
      <w:r>
        <w:rPr>
          <w:rFonts w:hint="eastAsia" w:ascii="仿宋" w:hAnsi="仿宋" w:eastAsia="仿宋" w:cs="仿宋"/>
          <w:b/>
          <w:bCs/>
          <w:color w:val="auto"/>
          <w:kern w:val="0"/>
          <w:sz w:val="24"/>
          <w:highlight w:val="none"/>
        </w:rPr>
        <w:t>年）的财务审计报告；自成立到投标截止时间，未跨一个自然年度的须提供近一个季度的财务报表或开标前三个月内基本开户银行出具的资信证明</w:t>
      </w:r>
      <w:r>
        <w:rPr>
          <w:rFonts w:hint="eastAsia" w:ascii="仿宋" w:hAnsi="仿宋" w:eastAsia="仿宋" w:cs="仿宋"/>
          <w:b/>
          <w:bCs/>
          <w:color w:val="auto"/>
          <w:kern w:val="0"/>
          <w:sz w:val="24"/>
          <w:highlight w:val="none"/>
        </w:rPr>
        <w:br w:type="page"/>
      </w:r>
    </w:p>
    <w:p w14:paraId="32650B02">
      <w:pPr>
        <w:shd w:val="clear" w:color="auto" w:fill="FFFFFF"/>
        <w:spacing w:line="440" w:lineRule="exac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附件五  供应商参加本次政府采购活动前3年内在经营活动中没有重大违法记录的书面声明</w:t>
      </w:r>
    </w:p>
    <w:p w14:paraId="54636CDF">
      <w:pPr>
        <w:shd w:val="clear" w:color="auto" w:fill="FFFFFF"/>
        <w:spacing w:beforeLines="100" w:afterLines="100" w:line="440" w:lineRule="exact"/>
        <w:jc w:val="center"/>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无重大违法记录声明书</w:t>
      </w:r>
    </w:p>
    <w:p w14:paraId="2DBC5931">
      <w:pPr>
        <w:shd w:val="clear" w:color="auto" w:fill="FFFFFF"/>
        <w:tabs>
          <w:tab w:val="left" w:pos="996"/>
        </w:tabs>
        <w:spacing w:line="440" w:lineRule="exact"/>
        <w:rPr>
          <w:rFonts w:hint="eastAsia" w:ascii="仿宋" w:hAnsi="仿宋" w:eastAsia="仿宋" w:cs="仿宋"/>
          <w:color w:val="auto"/>
          <w:sz w:val="24"/>
          <w:highlight w:val="none"/>
        </w:rPr>
      </w:pPr>
    </w:p>
    <w:p w14:paraId="04FA55C6">
      <w:pPr>
        <w:shd w:val="clear" w:color="auto" w:fill="FFFFFF"/>
        <w:tabs>
          <w:tab w:val="left" w:pos="996"/>
        </w:tabs>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致：（采购人）</w:t>
      </w:r>
    </w:p>
    <w:p w14:paraId="17CC166C">
      <w:pPr>
        <w:shd w:val="clear" w:color="auto" w:fill="FFFFFF"/>
        <w:tabs>
          <w:tab w:val="left" w:pos="996"/>
        </w:tabs>
        <w:spacing w:line="440" w:lineRule="exact"/>
        <w:rPr>
          <w:rFonts w:hint="eastAsia" w:ascii="仿宋" w:hAnsi="仿宋" w:eastAsia="仿宋" w:cs="仿宋"/>
          <w:color w:val="auto"/>
          <w:sz w:val="24"/>
          <w:highlight w:val="none"/>
        </w:rPr>
      </w:pPr>
    </w:p>
    <w:p w14:paraId="667E9AA1">
      <w:pPr>
        <w:shd w:val="clear" w:color="auto" w:fill="FFFFFF"/>
        <w:tabs>
          <w:tab w:val="left" w:pos="996"/>
        </w:tabs>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我公司参与</w:t>
      </w:r>
      <w:r>
        <w:rPr>
          <w:rFonts w:hint="eastAsia" w:ascii="仿宋" w:hAnsi="仿宋" w:eastAsia="仿宋" w:cs="仿宋"/>
          <w:color w:val="auto"/>
          <w:sz w:val="24"/>
          <w:highlight w:val="none"/>
          <w:u w:val="single"/>
        </w:rPr>
        <w:t>（标项名称、项目编号）</w:t>
      </w:r>
      <w:r>
        <w:rPr>
          <w:rFonts w:hint="eastAsia" w:ascii="仿宋" w:hAnsi="仿宋" w:eastAsia="仿宋" w:cs="仿宋"/>
          <w:color w:val="auto"/>
          <w:sz w:val="24"/>
          <w:highlight w:val="none"/>
        </w:rPr>
        <w:t>招标投标活动，本公司郑重声明，我方参加本项目政府采购活动前三年内无重大违法记录，符合《政府采购法》规定的供应商条件。若贵方在本项目招标过程中发现我方在政府采购活动前三年内有重大违法记录，我公司将无条件退出本项目的响应，并承担因此引起的一切后果。我方对此声明负全部法律责任。</w:t>
      </w:r>
    </w:p>
    <w:p w14:paraId="347A0EA0">
      <w:pPr>
        <w:shd w:val="clear" w:color="auto" w:fill="FFFFFF"/>
        <w:tabs>
          <w:tab w:val="left" w:pos="996"/>
        </w:tabs>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特此声明  </w:t>
      </w:r>
    </w:p>
    <w:p w14:paraId="05891D47">
      <w:pPr>
        <w:shd w:val="clear" w:color="auto" w:fill="FFFFFF"/>
        <w:tabs>
          <w:tab w:val="left" w:pos="996"/>
        </w:tabs>
        <w:spacing w:line="440" w:lineRule="exact"/>
        <w:rPr>
          <w:rFonts w:hint="eastAsia" w:ascii="仿宋" w:hAnsi="仿宋" w:eastAsia="仿宋" w:cs="仿宋"/>
          <w:color w:val="auto"/>
          <w:sz w:val="24"/>
          <w:highlight w:val="none"/>
        </w:rPr>
      </w:pPr>
    </w:p>
    <w:p w14:paraId="1E783684">
      <w:pPr>
        <w:shd w:val="clear" w:color="auto" w:fill="FFFFFF"/>
        <w:tabs>
          <w:tab w:val="left" w:pos="996"/>
        </w:tabs>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供应商（盖公章）：</w:t>
      </w:r>
    </w:p>
    <w:p w14:paraId="0C93DFE9">
      <w:pPr>
        <w:shd w:val="clear" w:color="auto" w:fill="FFFFFF"/>
        <w:tabs>
          <w:tab w:val="left" w:pos="996"/>
        </w:tabs>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法定代表人</w:t>
      </w:r>
      <w:r>
        <w:rPr>
          <w:rFonts w:hint="eastAsia" w:ascii="仿宋" w:hAnsi="仿宋" w:eastAsia="仿宋" w:cs="仿宋"/>
          <w:color w:val="auto"/>
          <w:sz w:val="24"/>
          <w:highlight w:val="none"/>
        </w:rPr>
        <w:t>（签字或签章）：</w:t>
      </w:r>
    </w:p>
    <w:p w14:paraId="68080CD7">
      <w:pPr>
        <w:shd w:val="clear" w:color="auto" w:fill="FFFFFF"/>
        <w:tabs>
          <w:tab w:val="left" w:pos="996"/>
        </w:tabs>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授权代理人（签字或签章）：</w:t>
      </w:r>
    </w:p>
    <w:p w14:paraId="39A4CBB5">
      <w:pPr>
        <w:shd w:val="clear" w:color="auto" w:fill="FFFFFF"/>
        <w:tabs>
          <w:tab w:val="left" w:pos="996"/>
        </w:tabs>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日期：年月日</w:t>
      </w:r>
    </w:p>
    <w:p w14:paraId="0CA8E5AB">
      <w:pPr>
        <w:shd w:val="clear" w:color="auto" w:fill="FFFFFF"/>
        <w:tabs>
          <w:tab w:val="left" w:pos="996"/>
        </w:tabs>
        <w:spacing w:line="440" w:lineRule="exact"/>
        <w:rPr>
          <w:rFonts w:hint="eastAsia" w:ascii="仿宋" w:hAnsi="仿宋" w:eastAsia="仿宋" w:cs="仿宋"/>
          <w:color w:val="auto"/>
          <w:sz w:val="24"/>
          <w:highlight w:val="none"/>
        </w:rPr>
      </w:pPr>
    </w:p>
    <w:p w14:paraId="45CCDE54">
      <w:pPr>
        <w:widowControl/>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注：[近三年：指成立三年以上的，为提交首次投标文件截止时间前三年内；成立不足三年的，为实际时间。]</w:t>
      </w:r>
    </w:p>
    <w:p w14:paraId="7F200C72">
      <w:pPr>
        <w:widowControl/>
        <w:spacing w:line="440" w:lineRule="exact"/>
        <w:jc w:val="left"/>
        <w:rPr>
          <w:rFonts w:hint="eastAsia" w:ascii="仿宋" w:hAnsi="仿宋" w:eastAsia="仿宋" w:cs="仿宋"/>
          <w:color w:val="auto"/>
          <w:sz w:val="24"/>
          <w:highlight w:val="none"/>
        </w:rPr>
      </w:pPr>
    </w:p>
    <w:p w14:paraId="1E4E5D64">
      <w:pPr>
        <w:widowControl/>
        <w:jc w:val="lef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br w:type="page"/>
      </w:r>
    </w:p>
    <w:p w14:paraId="55BED920">
      <w:pPr>
        <w:shd w:val="clear" w:color="auto" w:fill="FFFFFF"/>
        <w:spacing w:line="440" w:lineRule="exact"/>
        <w:jc w:val="left"/>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kern w:val="0"/>
          <w:sz w:val="24"/>
          <w:highlight w:val="none"/>
        </w:rPr>
        <w:t>附件</w:t>
      </w:r>
      <w:r>
        <w:rPr>
          <w:rFonts w:hint="eastAsia" w:ascii="仿宋" w:hAnsi="仿宋" w:eastAsia="仿宋" w:cs="仿宋"/>
          <w:b/>
          <w:bCs/>
          <w:color w:val="auto"/>
          <w:kern w:val="0"/>
          <w:sz w:val="24"/>
          <w:highlight w:val="none"/>
          <w:lang w:eastAsia="zh-CN"/>
        </w:rPr>
        <w:t>六</w:t>
      </w:r>
    </w:p>
    <w:p w14:paraId="1BEDB6E3">
      <w:pPr>
        <w:shd w:val="clear" w:color="auto" w:fill="FFFFFF"/>
        <w:spacing w:line="440" w:lineRule="exact"/>
        <w:jc w:val="center"/>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投标承诺书</w:t>
      </w:r>
    </w:p>
    <w:p w14:paraId="556042BE">
      <w:pPr>
        <w:shd w:val="clear" w:color="auto" w:fill="FFFFFF"/>
        <w:spacing w:line="440" w:lineRule="exact"/>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（采购人名称） </w:t>
      </w:r>
    </w:p>
    <w:p w14:paraId="6C25B5B6">
      <w:pPr>
        <w:shd w:val="clear" w:color="auto" w:fill="FFFFFF"/>
        <w:spacing w:line="440" w:lineRule="exact"/>
        <w:ind w:firstLine="489" w:firstLineChars="204"/>
        <w:rPr>
          <w:rFonts w:hint="eastAsia" w:ascii="仿宋" w:hAnsi="仿宋" w:eastAsia="仿宋" w:cs="仿宋"/>
          <w:color w:val="auto"/>
          <w:sz w:val="24"/>
          <w:highlight w:val="none"/>
        </w:rPr>
      </w:pPr>
      <w:r>
        <w:rPr>
          <w:rFonts w:hint="eastAsia" w:ascii="仿宋" w:hAnsi="仿宋" w:eastAsia="仿宋" w:cs="仿宋"/>
          <w:color w:val="auto"/>
          <w:sz w:val="24"/>
          <w:highlight w:val="none"/>
        </w:rPr>
        <w:t>我方收到并研究了贵方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（标项名称、项目编号）项目的招标文件，愿意按照招标文件规定的内容承担该项目的投标任务，严格执行我方所承诺的责任和义务。为此，我方郑重声明以下诸点，并承担法律责任。</w:t>
      </w:r>
    </w:p>
    <w:p w14:paraId="2B03917A">
      <w:pPr>
        <w:shd w:val="clear" w:color="auto" w:fill="FFFFFF"/>
        <w:spacing w:line="440" w:lineRule="exact"/>
        <w:ind w:firstLine="489" w:firstLineChars="204"/>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1、我方提交投标文件：加密的电子投标文件1份，并在投标截止时间前上传至招标文件规定的指定地点。如我方中标，在领取中标通知书时向招标代理机构提供纸质版投标文件</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份；我方愿按《中华人民共和国政府采购法》及其他有关法律、法规的规定及招标文件的规定，自觉履行自己的全部责。</w:t>
      </w:r>
    </w:p>
    <w:p w14:paraId="6598A5BB">
      <w:pPr>
        <w:shd w:val="clear" w:color="auto" w:fill="FFFFFF"/>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2、我方同意在投标有效期内遵守本投标文件，在此期限期满前的任何时间，本投标文件一直对我方具有约束力。</w:t>
      </w:r>
    </w:p>
    <w:p w14:paraId="668794E7">
      <w:pPr>
        <w:shd w:val="clear" w:color="auto" w:fill="FFFFFF"/>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3、如果我方投标文件被接受，我方将按照招标文件的规定，保证按招标要求和投标文件中的承诺按期、按质、按量交付使用方。</w:t>
      </w:r>
    </w:p>
    <w:p w14:paraId="5722F63E">
      <w:pPr>
        <w:shd w:val="clear" w:color="auto" w:fill="FFFFFF"/>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4、如果我方中标，我方将在招标文件规定的时间内签订委托合同并按招标要求提供履约担保。如果我方违约，除投标保证金不予退还外，贵方有权终止我方中标并选择其它中标人。</w:t>
      </w:r>
    </w:p>
    <w:p w14:paraId="2501EEF4">
      <w:pPr>
        <w:shd w:val="clear" w:color="auto" w:fill="FFFFFF"/>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5、如果我方中标，我方将在招标文件规定的时间内签订政府采购合同。如果我方违约，借故拒签合同或拖延签订的，则采购人有权废除授标，没收投标保证金，给采购人造成的损失超过投</w:t>
      </w:r>
      <w:r>
        <w:rPr>
          <w:rFonts w:hint="eastAsia" w:ascii="仿宋" w:hAnsi="仿宋" w:eastAsia="仿宋" w:cs="仿宋"/>
          <w:color w:val="auto"/>
          <w:sz w:val="24"/>
          <w:highlight w:val="none"/>
          <w:lang w:val="en-US" w:eastAsia="zh-CN"/>
        </w:rPr>
        <w:t>标</w:t>
      </w:r>
      <w:r>
        <w:rPr>
          <w:rFonts w:hint="eastAsia" w:ascii="仿宋" w:hAnsi="仿宋" w:eastAsia="仿宋" w:cs="仿宋"/>
          <w:color w:val="auto"/>
          <w:sz w:val="24"/>
          <w:highlight w:val="none"/>
        </w:rPr>
        <w:t>保证金数额的，我方对超过部分予以赔偿，同时依法承担相应法律责任，采购人可另行选择中标单位。</w:t>
      </w:r>
    </w:p>
    <w:p w14:paraId="3F51FC82">
      <w:pPr>
        <w:shd w:val="clear" w:color="auto" w:fill="FFFFFF"/>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6、一旦我方中标，我方愿意按招标要求承担招标代理服务费。</w:t>
      </w:r>
    </w:p>
    <w:p w14:paraId="207B39EA">
      <w:pPr>
        <w:shd w:val="clear" w:color="auto" w:fill="FFFFFF"/>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7、贵方的中标通知书和本投标文件将成为构成约束双方合同的组成部分。</w:t>
      </w:r>
    </w:p>
    <w:p w14:paraId="0C238DC5">
      <w:pPr>
        <w:shd w:val="clear" w:color="auto" w:fill="FFFFFF"/>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、我方的投标文件自提交投标文件截止之日起有效期为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w:t>
      </w:r>
    </w:p>
    <w:p w14:paraId="428ECE9A">
      <w:pPr>
        <w:pStyle w:val="305"/>
        <w:shd w:val="clear" w:color="auto" w:fill="FFFFFF"/>
        <w:snapToGrid w:val="0"/>
        <w:spacing w:line="440" w:lineRule="exact"/>
        <w:rPr>
          <w:rFonts w:hint="eastAsia" w:ascii="仿宋" w:hAnsi="仿宋" w:eastAsia="仿宋" w:cs="仿宋"/>
          <w:color w:val="auto"/>
          <w:sz w:val="24"/>
          <w:highlight w:val="none"/>
        </w:rPr>
      </w:pPr>
    </w:p>
    <w:p w14:paraId="0560786F">
      <w:pPr>
        <w:pStyle w:val="305"/>
        <w:shd w:val="clear" w:color="auto" w:fill="FFFFFF"/>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供应商（公章）：</w:t>
      </w:r>
    </w:p>
    <w:p w14:paraId="52419A77">
      <w:pPr>
        <w:shd w:val="clear" w:color="auto" w:fill="FFFFFF"/>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法定代表人（签字或签章）：</w:t>
      </w:r>
    </w:p>
    <w:p w14:paraId="08E96582">
      <w:pPr>
        <w:shd w:val="clear" w:color="auto" w:fill="FFFFFF"/>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授权代理人（签字或签章）：</w:t>
      </w:r>
    </w:p>
    <w:p w14:paraId="715FBB65">
      <w:pPr>
        <w:widowControl/>
        <w:spacing w:line="400" w:lineRule="exact"/>
        <w:jc w:val="left"/>
        <w:rPr>
          <w:rFonts w:hint="eastAsia" w:ascii="仿宋" w:hAnsi="仿宋" w:eastAsia="仿宋" w:cs="仿宋"/>
          <w:b/>
          <w:bCs/>
          <w:color w:val="auto"/>
          <w:kern w:val="0"/>
          <w:sz w:val="24"/>
          <w:highlight w:val="none"/>
        </w:rPr>
      </w:pPr>
      <w:r>
        <w:rPr>
          <w:rFonts w:hint="eastAsia" w:ascii="仿宋" w:hAnsi="仿宋" w:eastAsia="仿宋" w:cs="仿宋"/>
          <w:color w:val="auto"/>
          <w:sz w:val="24"/>
          <w:highlight w:val="none"/>
        </w:rPr>
        <w:t>日期：  年  月  日</w:t>
      </w:r>
      <w:r>
        <w:rPr>
          <w:rFonts w:hint="eastAsia" w:ascii="仿宋" w:hAnsi="仿宋" w:eastAsia="仿宋" w:cs="仿宋"/>
          <w:color w:val="auto"/>
          <w:sz w:val="18"/>
          <w:szCs w:val="18"/>
          <w:highlight w:val="none"/>
        </w:rPr>
        <w:br w:type="page"/>
      </w:r>
    </w:p>
    <w:p w14:paraId="7BF78EC8">
      <w:pPr>
        <w:widowControl/>
        <w:jc w:val="left"/>
        <w:rPr>
          <w:rFonts w:hint="eastAsia" w:ascii="仿宋" w:hAnsi="仿宋" w:eastAsia="仿宋" w:cs="仿宋"/>
          <w:color w:val="auto"/>
          <w:kern w:val="0"/>
          <w:sz w:val="24"/>
          <w:highlight w:val="none"/>
          <w:lang w:eastAsia="zh-CN"/>
        </w:rPr>
      </w:pPr>
      <w:r>
        <w:rPr>
          <w:rFonts w:hint="eastAsia" w:ascii="仿宋" w:hAnsi="仿宋" w:eastAsia="仿宋" w:cs="仿宋"/>
          <w:b/>
          <w:bCs/>
          <w:color w:val="auto"/>
          <w:kern w:val="0"/>
          <w:sz w:val="24"/>
          <w:highlight w:val="none"/>
        </w:rPr>
        <w:t>附件</w:t>
      </w:r>
      <w:r>
        <w:rPr>
          <w:rFonts w:hint="eastAsia" w:ascii="仿宋" w:hAnsi="仿宋" w:eastAsia="仿宋" w:cs="仿宋"/>
          <w:b/>
          <w:bCs/>
          <w:color w:val="auto"/>
          <w:kern w:val="0"/>
          <w:sz w:val="24"/>
          <w:highlight w:val="none"/>
          <w:lang w:eastAsia="zh-CN"/>
        </w:rPr>
        <w:t>七</w:t>
      </w:r>
    </w:p>
    <w:p w14:paraId="211CB840">
      <w:pPr>
        <w:shd w:val="clear" w:color="auto" w:fill="FFFFFF"/>
        <w:spacing w:line="440" w:lineRule="exact"/>
        <w:jc w:val="center"/>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商务及合同条款偏离表</w:t>
      </w:r>
    </w:p>
    <w:p w14:paraId="33EE9223">
      <w:pPr>
        <w:shd w:val="clear" w:color="auto" w:fill="FFFFFF"/>
        <w:spacing w:beforeLines="50"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标项名称：                                                  项目编号:</w:t>
      </w:r>
    </w:p>
    <w:tbl>
      <w:tblPr>
        <w:tblStyle w:val="59"/>
        <w:tblW w:w="4998" w:type="pct"/>
        <w:tblInd w:w="0" w:type="dxa"/>
        <w:tblLayout w:type="autofit"/>
        <w:tblCellMar>
          <w:top w:w="0" w:type="dxa"/>
          <w:left w:w="108" w:type="dxa"/>
          <w:bottom w:w="0" w:type="dxa"/>
          <w:right w:w="108" w:type="dxa"/>
        </w:tblCellMar>
      </w:tblPr>
      <w:tblGrid>
        <w:gridCol w:w="1226"/>
        <w:gridCol w:w="2644"/>
        <w:gridCol w:w="2794"/>
        <w:gridCol w:w="3186"/>
      </w:tblGrid>
      <w:tr w14:paraId="6AD7DD22">
        <w:tblPrEx>
          <w:tblCellMar>
            <w:top w:w="0" w:type="dxa"/>
            <w:left w:w="108" w:type="dxa"/>
            <w:bottom w:w="0" w:type="dxa"/>
            <w:right w:w="108" w:type="dxa"/>
          </w:tblCellMar>
        </w:tblPrEx>
        <w:trPr>
          <w:cantSplit/>
          <w:trHeight w:val="651" w:hRule="exact"/>
        </w:trPr>
        <w:tc>
          <w:tcPr>
            <w:tcW w:w="622" w:type="pct"/>
            <w:tcBorders>
              <w:top w:val="single" w:color="auto" w:sz="6" w:space="0"/>
              <w:left w:val="single" w:color="auto" w:sz="6" w:space="0"/>
              <w:bottom w:val="single" w:color="auto" w:sz="6" w:space="0"/>
              <w:right w:val="single" w:color="auto" w:sz="6" w:space="0"/>
            </w:tcBorders>
          </w:tcPr>
          <w:p w14:paraId="748FF7F3">
            <w:pPr>
              <w:shd w:val="clear" w:color="auto" w:fill="FFFFFF"/>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342" w:type="pct"/>
            <w:tcBorders>
              <w:top w:val="single" w:color="auto" w:sz="6" w:space="0"/>
              <w:left w:val="single" w:color="auto" w:sz="6" w:space="0"/>
              <w:bottom w:val="single" w:color="auto" w:sz="6" w:space="0"/>
              <w:right w:val="single" w:color="auto" w:sz="6" w:space="0"/>
            </w:tcBorders>
          </w:tcPr>
          <w:p w14:paraId="5AFD72F0">
            <w:pPr>
              <w:shd w:val="clear" w:color="auto" w:fill="FFFFFF"/>
              <w:spacing w:line="4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招标</w:t>
            </w:r>
            <w:r>
              <w:rPr>
                <w:rFonts w:hint="eastAsia" w:ascii="仿宋" w:hAnsi="仿宋" w:eastAsia="仿宋" w:cs="仿宋"/>
                <w:color w:val="auto"/>
                <w:szCs w:val="21"/>
                <w:highlight w:val="none"/>
                <w:lang w:eastAsia="zh-CN"/>
              </w:rPr>
              <w:t>文件</w:t>
            </w:r>
            <w:r>
              <w:rPr>
                <w:rFonts w:hint="eastAsia" w:ascii="仿宋" w:hAnsi="仿宋" w:eastAsia="仿宋" w:cs="仿宋"/>
                <w:color w:val="auto"/>
                <w:szCs w:val="21"/>
                <w:highlight w:val="none"/>
              </w:rPr>
              <w:t>条款</w:t>
            </w:r>
          </w:p>
        </w:tc>
        <w:tc>
          <w:tcPr>
            <w:tcW w:w="1418" w:type="pct"/>
            <w:tcBorders>
              <w:top w:val="single" w:color="auto" w:sz="6" w:space="0"/>
              <w:left w:val="single" w:color="auto" w:sz="6" w:space="0"/>
              <w:bottom w:val="single" w:color="auto" w:sz="6" w:space="0"/>
              <w:right w:val="single" w:color="auto" w:sz="6" w:space="0"/>
            </w:tcBorders>
          </w:tcPr>
          <w:p w14:paraId="2AC1BE50">
            <w:pPr>
              <w:shd w:val="clear" w:color="auto" w:fill="FFFFFF"/>
              <w:spacing w:line="44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投标</w:t>
            </w:r>
            <w:r>
              <w:rPr>
                <w:rFonts w:hint="eastAsia" w:ascii="仿宋" w:hAnsi="仿宋" w:eastAsia="仿宋" w:cs="仿宋"/>
                <w:color w:val="auto"/>
                <w:szCs w:val="21"/>
                <w:highlight w:val="none"/>
                <w:lang w:eastAsia="zh-CN"/>
              </w:rPr>
              <w:t>响应内容</w:t>
            </w:r>
          </w:p>
        </w:tc>
        <w:tc>
          <w:tcPr>
            <w:tcW w:w="1617" w:type="pct"/>
            <w:tcBorders>
              <w:top w:val="single" w:color="auto" w:sz="6" w:space="0"/>
              <w:left w:val="single" w:color="auto" w:sz="6" w:space="0"/>
              <w:bottom w:val="single" w:color="auto" w:sz="6" w:space="0"/>
              <w:right w:val="single" w:color="auto" w:sz="6" w:space="0"/>
            </w:tcBorders>
          </w:tcPr>
          <w:p w14:paraId="7DF09637">
            <w:pPr>
              <w:shd w:val="clear" w:color="auto" w:fill="FFFFFF"/>
              <w:spacing w:line="4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响应/偏离</w:t>
            </w:r>
          </w:p>
        </w:tc>
      </w:tr>
      <w:tr w14:paraId="4C245324">
        <w:tblPrEx>
          <w:tblCellMar>
            <w:top w:w="0" w:type="dxa"/>
            <w:left w:w="108" w:type="dxa"/>
            <w:bottom w:w="0" w:type="dxa"/>
            <w:right w:w="108" w:type="dxa"/>
          </w:tblCellMar>
        </w:tblPrEx>
        <w:trPr>
          <w:cantSplit/>
          <w:trHeight w:val="651" w:hRule="exact"/>
        </w:trPr>
        <w:tc>
          <w:tcPr>
            <w:tcW w:w="622" w:type="pct"/>
            <w:tcBorders>
              <w:top w:val="single" w:color="auto" w:sz="6" w:space="0"/>
              <w:left w:val="single" w:color="auto" w:sz="6" w:space="0"/>
              <w:bottom w:val="single" w:color="auto" w:sz="6" w:space="0"/>
              <w:right w:val="single" w:color="auto" w:sz="6" w:space="0"/>
            </w:tcBorders>
          </w:tcPr>
          <w:p w14:paraId="260C1BA8">
            <w:pPr>
              <w:shd w:val="clear" w:color="auto" w:fill="FFFFFF"/>
              <w:spacing w:line="440" w:lineRule="exact"/>
              <w:ind w:firstLine="99"/>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1342" w:type="pct"/>
            <w:tcBorders>
              <w:top w:val="single" w:color="auto" w:sz="6" w:space="0"/>
              <w:left w:val="single" w:color="auto" w:sz="6" w:space="0"/>
              <w:bottom w:val="single" w:color="auto" w:sz="6" w:space="0"/>
              <w:right w:val="single" w:color="auto" w:sz="6" w:space="0"/>
            </w:tcBorders>
          </w:tcPr>
          <w:p w14:paraId="6F094824">
            <w:pPr>
              <w:shd w:val="clear" w:color="auto" w:fill="FFFFFF"/>
              <w:spacing w:line="440" w:lineRule="exact"/>
              <w:ind w:firstLine="99"/>
              <w:rPr>
                <w:rFonts w:hint="eastAsia" w:ascii="仿宋" w:hAnsi="仿宋" w:eastAsia="仿宋" w:cs="仿宋"/>
                <w:color w:val="auto"/>
                <w:szCs w:val="21"/>
                <w:highlight w:val="none"/>
              </w:rPr>
            </w:pPr>
          </w:p>
        </w:tc>
        <w:tc>
          <w:tcPr>
            <w:tcW w:w="1418" w:type="pct"/>
            <w:tcBorders>
              <w:top w:val="single" w:color="auto" w:sz="6" w:space="0"/>
              <w:left w:val="single" w:color="auto" w:sz="6" w:space="0"/>
              <w:bottom w:val="single" w:color="auto" w:sz="6" w:space="0"/>
              <w:right w:val="single" w:color="auto" w:sz="6" w:space="0"/>
            </w:tcBorders>
          </w:tcPr>
          <w:p w14:paraId="75284D97">
            <w:pPr>
              <w:shd w:val="clear" w:color="auto" w:fill="FFFFFF"/>
              <w:spacing w:line="440" w:lineRule="exact"/>
              <w:ind w:firstLine="99"/>
              <w:rPr>
                <w:rFonts w:hint="eastAsia" w:ascii="仿宋" w:hAnsi="仿宋" w:eastAsia="仿宋" w:cs="仿宋"/>
                <w:color w:val="auto"/>
                <w:szCs w:val="21"/>
                <w:highlight w:val="none"/>
              </w:rPr>
            </w:pPr>
          </w:p>
        </w:tc>
        <w:tc>
          <w:tcPr>
            <w:tcW w:w="1617" w:type="pct"/>
            <w:tcBorders>
              <w:top w:val="single" w:color="auto" w:sz="6" w:space="0"/>
              <w:left w:val="single" w:color="auto" w:sz="6" w:space="0"/>
              <w:bottom w:val="single" w:color="auto" w:sz="6" w:space="0"/>
              <w:right w:val="single" w:color="auto" w:sz="6" w:space="0"/>
            </w:tcBorders>
          </w:tcPr>
          <w:p w14:paraId="4AB47C5A">
            <w:pPr>
              <w:shd w:val="clear" w:color="auto" w:fill="FFFFFF"/>
              <w:spacing w:line="440" w:lineRule="exact"/>
              <w:ind w:firstLine="99"/>
              <w:rPr>
                <w:rFonts w:hint="eastAsia" w:ascii="仿宋" w:hAnsi="仿宋" w:eastAsia="仿宋" w:cs="仿宋"/>
                <w:color w:val="auto"/>
                <w:szCs w:val="21"/>
                <w:highlight w:val="none"/>
              </w:rPr>
            </w:pPr>
          </w:p>
        </w:tc>
      </w:tr>
      <w:tr w14:paraId="3DF1B1F5">
        <w:tblPrEx>
          <w:tblCellMar>
            <w:top w:w="0" w:type="dxa"/>
            <w:left w:w="108" w:type="dxa"/>
            <w:bottom w:w="0" w:type="dxa"/>
            <w:right w:w="108" w:type="dxa"/>
          </w:tblCellMar>
        </w:tblPrEx>
        <w:trPr>
          <w:cantSplit/>
          <w:trHeight w:val="651" w:hRule="exact"/>
        </w:trPr>
        <w:tc>
          <w:tcPr>
            <w:tcW w:w="622" w:type="pct"/>
            <w:tcBorders>
              <w:top w:val="single" w:color="auto" w:sz="6" w:space="0"/>
              <w:left w:val="single" w:color="auto" w:sz="6" w:space="0"/>
              <w:bottom w:val="single" w:color="auto" w:sz="6" w:space="0"/>
              <w:right w:val="single" w:color="auto" w:sz="6" w:space="0"/>
            </w:tcBorders>
          </w:tcPr>
          <w:p w14:paraId="7D300B3A">
            <w:pPr>
              <w:shd w:val="clear" w:color="auto" w:fill="FFFFFF"/>
              <w:spacing w:line="440" w:lineRule="exact"/>
              <w:ind w:firstLine="99"/>
              <w:rPr>
                <w:rFonts w:hint="eastAsia" w:ascii="仿宋" w:hAnsi="仿宋" w:eastAsia="仿宋" w:cs="仿宋"/>
                <w:color w:val="auto"/>
                <w:szCs w:val="21"/>
                <w:highlight w:val="none"/>
              </w:rPr>
            </w:pPr>
          </w:p>
        </w:tc>
        <w:tc>
          <w:tcPr>
            <w:tcW w:w="1342" w:type="pct"/>
            <w:tcBorders>
              <w:top w:val="single" w:color="auto" w:sz="6" w:space="0"/>
              <w:left w:val="single" w:color="auto" w:sz="6" w:space="0"/>
              <w:bottom w:val="single" w:color="auto" w:sz="6" w:space="0"/>
              <w:right w:val="single" w:color="auto" w:sz="6" w:space="0"/>
            </w:tcBorders>
          </w:tcPr>
          <w:p w14:paraId="1EF791A2">
            <w:pPr>
              <w:shd w:val="clear" w:color="auto" w:fill="FFFFFF"/>
              <w:spacing w:line="440" w:lineRule="exact"/>
              <w:ind w:firstLine="99"/>
              <w:rPr>
                <w:rFonts w:hint="eastAsia" w:ascii="仿宋" w:hAnsi="仿宋" w:eastAsia="仿宋" w:cs="仿宋"/>
                <w:color w:val="auto"/>
                <w:szCs w:val="21"/>
                <w:highlight w:val="none"/>
              </w:rPr>
            </w:pPr>
          </w:p>
        </w:tc>
        <w:tc>
          <w:tcPr>
            <w:tcW w:w="1418" w:type="pct"/>
            <w:tcBorders>
              <w:top w:val="single" w:color="auto" w:sz="6" w:space="0"/>
              <w:left w:val="single" w:color="auto" w:sz="6" w:space="0"/>
              <w:bottom w:val="single" w:color="auto" w:sz="6" w:space="0"/>
              <w:right w:val="single" w:color="auto" w:sz="6" w:space="0"/>
            </w:tcBorders>
          </w:tcPr>
          <w:p w14:paraId="6A180A8F">
            <w:pPr>
              <w:shd w:val="clear" w:color="auto" w:fill="FFFFFF"/>
              <w:spacing w:line="440" w:lineRule="exact"/>
              <w:ind w:firstLine="99"/>
              <w:rPr>
                <w:rFonts w:hint="eastAsia" w:ascii="仿宋" w:hAnsi="仿宋" w:eastAsia="仿宋" w:cs="仿宋"/>
                <w:color w:val="auto"/>
                <w:szCs w:val="21"/>
                <w:highlight w:val="none"/>
              </w:rPr>
            </w:pPr>
          </w:p>
        </w:tc>
        <w:tc>
          <w:tcPr>
            <w:tcW w:w="1617" w:type="pct"/>
            <w:tcBorders>
              <w:top w:val="single" w:color="auto" w:sz="6" w:space="0"/>
              <w:left w:val="single" w:color="auto" w:sz="6" w:space="0"/>
              <w:bottom w:val="single" w:color="auto" w:sz="6" w:space="0"/>
              <w:right w:val="single" w:color="auto" w:sz="6" w:space="0"/>
            </w:tcBorders>
          </w:tcPr>
          <w:p w14:paraId="3EE45B61">
            <w:pPr>
              <w:shd w:val="clear" w:color="auto" w:fill="FFFFFF"/>
              <w:spacing w:line="440" w:lineRule="exact"/>
              <w:ind w:firstLine="99"/>
              <w:rPr>
                <w:rFonts w:hint="eastAsia" w:ascii="仿宋" w:hAnsi="仿宋" w:eastAsia="仿宋" w:cs="仿宋"/>
                <w:color w:val="auto"/>
                <w:szCs w:val="21"/>
                <w:highlight w:val="none"/>
              </w:rPr>
            </w:pPr>
          </w:p>
        </w:tc>
      </w:tr>
      <w:tr w14:paraId="3D35CE05">
        <w:tblPrEx>
          <w:tblCellMar>
            <w:top w:w="0" w:type="dxa"/>
            <w:left w:w="108" w:type="dxa"/>
            <w:bottom w:w="0" w:type="dxa"/>
            <w:right w:w="108" w:type="dxa"/>
          </w:tblCellMar>
        </w:tblPrEx>
        <w:trPr>
          <w:cantSplit/>
          <w:trHeight w:val="651" w:hRule="exact"/>
        </w:trPr>
        <w:tc>
          <w:tcPr>
            <w:tcW w:w="622" w:type="pct"/>
            <w:tcBorders>
              <w:top w:val="single" w:color="auto" w:sz="6" w:space="0"/>
              <w:left w:val="single" w:color="auto" w:sz="6" w:space="0"/>
              <w:bottom w:val="single" w:color="auto" w:sz="6" w:space="0"/>
              <w:right w:val="single" w:color="auto" w:sz="6" w:space="0"/>
            </w:tcBorders>
          </w:tcPr>
          <w:p w14:paraId="580C6B88">
            <w:pPr>
              <w:shd w:val="clear" w:color="auto" w:fill="FFFFFF"/>
              <w:spacing w:line="440" w:lineRule="exact"/>
              <w:ind w:firstLine="99"/>
              <w:rPr>
                <w:rFonts w:hint="eastAsia" w:ascii="仿宋" w:hAnsi="仿宋" w:eastAsia="仿宋" w:cs="仿宋"/>
                <w:color w:val="auto"/>
                <w:szCs w:val="21"/>
                <w:highlight w:val="none"/>
              </w:rPr>
            </w:pPr>
          </w:p>
        </w:tc>
        <w:tc>
          <w:tcPr>
            <w:tcW w:w="1342" w:type="pct"/>
            <w:tcBorders>
              <w:top w:val="single" w:color="auto" w:sz="6" w:space="0"/>
              <w:left w:val="single" w:color="auto" w:sz="6" w:space="0"/>
              <w:bottom w:val="single" w:color="auto" w:sz="6" w:space="0"/>
              <w:right w:val="single" w:color="auto" w:sz="6" w:space="0"/>
            </w:tcBorders>
          </w:tcPr>
          <w:p w14:paraId="7E0C0AEE">
            <w:pPr>
              <w:shd w:val="clear" w:color="auto" w:fill="FFFFFF"/>
              <w:spacing w:line="440" w:lineRule="exact"/>
              <w:ind w:firstLine="99"/>
              <w:rPr>
                <w:rFonts w:hint="eastAsia" w:ascii="仿宋" w:hAnsi="仿宋" w:eastAsia="仿宋" w:cs="仿宋"/>
                <w:color w:val="auto"/>
                <w:szCs w:val="21"/>
                <w:highlight w:val="none"/>
              </w:rPr>
            </w:pPr>
          </w:p>
        </w:tc>
        <w:tc>
          <w:tcPr>
            <w:tcW w:w="1418" w:type="pct"/>
            <w:tcBorders>
              <w:top w:val="single" w:color="auto" w:sz="6" w:space="0"/>
              <w:left w:val="single" w:color="auto" w:sz="6" w:space="0"/>
              <w:bottom w:val="single" w:color="auto" w:sz="6" w:space="0"/>
              <w:right w:val="single" w:color="auto" w:sz="6" w:space="0"/>
            </w:tcBorders>
          </w:tcPr>
          <w:p w14:paraId="01B8068E">
            <w:pPr>
              <w:shd w:val="clear" w:color="auto" w:fill="FFFFFF"/>
              <w:spacing w:line="440" w:lineRule="exact"/>
              <w:ind w:firstLine="99"/>
              <w:rPr>
                <w:rFonts w:hint="eastAsia" w:ascii="仿宋" w:hAnsi="仿宋" w:eastAsia="仿宋" w:cs="仿宋"/>
                <w:color w:val="auto"/>
                <w:szCs w:val="21"/>
                <w:highlight w:val="none"/>
              </w:rPr>
            </w:pPr>
          </w:p>
        </w:tc>
        <w:tc>
          <w:tcPr>
            <w:tcW w:w="1617" w:type="pct"/>
            <w:tcBorders>
              <w:top w:val="single" w:color="auto" w:sz="6" w:space="0"/>
              <w:left w:val="single" w:color="auto" w:sz="6" w:space="0"/>
              <w:bottom w:val="single" w:color="auto" w:sz="6" w:space="0"/>
              <w:right w:val="single" w:color="auto" w:sz="6" w:space="0"/>
            </w:tcBorders>
          </w:tcPr>
          <w:p w14:paraId="477C89A5">
            <w:pPr>
              <w:shd w:val="clear" w:color="auto" w:fill="FFFFFF"/>
              <w:spacing w:line="440" w:lineRule="exact"/>
              <w:ind w:firstLine="99"/>
              <w:rPr>
                <w:rFonts w:hint="eastAsia" w:ascii="仿宋" w:hAnsi="仿宋" w:eastAsia="仿宋" w:cs="仿宋"/>
                <w:color w:val="auto"/>
                <w:szCs w:val="21"/>
                <w:highlight w:val="none"/>
              </w:rPr>
            </w:pPr>
          </w:p>
        </w:tc>
      </w:tr>
      <w:tr w14:paraId="377D46AE">
        <w:tblPrEx>
          <w:tblCellMar>
            <w:top w:w="0" w:type="dxa"/>
            <w:left w:w="108" w:type="dxa"/>
            <w:bottom w:w="0" w:type="dxa"/>
            <w:right w:w="108" w:type="dxa"/>
          </w:tblCellMar>
        </w:tblPrEx>
        <w:trPr>
          <w:cantSplit/>
          <w:trHeight w:val="651" w:hRule="exact"/>
        </w:trPr>
        <w:tc>
          <w:tcPr>
            <w:tcW w:w="622" w:type="pct"/>
            <w:tcBorders>
              <w:top w:val="single" w:color="auto" w:sz="6" w:space="0"/>
              <w:left w:val="single" w:color="auto" w:sz="6" w:space="0"/>
              <w:bottom w:val="single" w:color="auto" w:sz="6" w:space="0"/>
              <w:right w:val="single" w:color="auto" w:sz="6" w:space="0"/>
            </w:tcBorders>
          </w:tcPr>
          <w:p w14:paraId="55AC5685">
            <w:pPr>
              <w:shd w:val="clear" w:color="auto" w:fill="FFFFFF"/>
              <w:spacing w:line="440" w:lineRule="exact"/>
              <w:ind w:firstLine="99"/>
              <w:rPr>
                <w:rFonts w:hint="eastAsia" w:ascii="仿宋" w:hAnsi="仿宋" w:eastAsia="仿宋" w:cs="仿宋"/>
                <w:color w:val="auto"/>
                <w:szCs w:val="21"/>
                <w:highlight w:val="none"/>
              </w:rPr>
            </w:pPr>
          </w:p>
        </w:tc>
        <w:tc>
          <w:tcPr>
            <w:tcW w:w="1342" w:type="pct"/>
            <w:tcBorders>
              <w:top w:val="single" w:color="auto" w:sz="6" w:space="0"/>
              <w:left w:val="single" w:color="auto" w:sz="6" w:space="0"/>
              <w:bottom w:val="single" w:color="auto" w:sz="6" w:space="0"/>
              <w:right w:val="single" w:color="auto" w:sz="6" w:space="0"/>
            </w:tcBorders>
          </w:tcPr>
          <w:p w14:paraId="76348A4D">
            <w:pPr>
              <w:shd w:val="clear" w:color="auto" w:fill="FFFFFF"/>
              <w:spacing w:line="440" w:lineRule="exact"/>
              <w:ind w:firstLine="99"/>
              <w:rPr>
                <w:rFonts w:hint="eastAsia" w:ascii="仿宋" w:hAnsi="仿宋" w:eastAsia="仿宋" w:cs="仿宋"/>
                <w:color w:val="auto"/>
                <w:szCs w:val="21"/>
                <w:highlight w:val="none"/>
              </w:rPr>
            </w:pPr>
          </w:p>
        </w:tc>
        <w:tc>
          <w:tcPr>
            <w:tcW w:w="1418" w:type="pct"/>
            <w:tcBorders>
              <w:top w:val="single" w:color="auto" w:sz="6" w:space="0"/>
              <w:left w:val="single" w:color="auto" w:sz="6" w:space="0"/>
              <w:bottom w:val="single" w:color="auto" w:sz="6" w:space="0"/>
              <w:right w:val="single" w:color="auto" w:sz="6" w:space="0"/>
            </w:tcBorders>
          </w:tcPr>
          <w:p w14:paraId="5B90DF99">
            <w:pPr>
              <w:shd w:val="clear" w:color="auto" w:fill="FFFFFF"/>
              <w:spacing w:line="440" w:lineRule="exact"/>
              <w:ind w:firstLine="99"/>
              <w:rPr>
                <w:rFonts w:hint="eastAsia" w:ascii="仿宋" w:hAnsi="仿宋" w:eastAsia="仿宋" w:cs="仿宋"/>
                <w:color w:val="auto"/>
                <w:szCs w:val="21"/>
                <w:highlight w:val="none"/>
              </w:rPr>
            </w:pPr>
          </w:p>
        </w:tc>
        <w:tc>
          <w:tcPr>
            <w:tcW w:w="1617" w:type="pct"/>
            <w:tcBorders>
              <w:top w:val="single" w:color="auto" w:sz="6" w:space="0"/>
              <w:left w:val="single" w:color="auto" w:sz="6" w:space="0"/>
              <w:bottom w:val="single" w:color="auto" w:sz="6" w:space="0"/>
              <w:right w:val="single" w:color="auto" w:sz="6" w:space="0"/>
            </w:tcBorders>
          </w:tcPr>
          <w:p w14:paraId="347ABBF6">
            <w:pPr>
              <w:shd w:val="clear" w:color="auto" w:fill="FFFFFF"/>
              <w:spacing w:line="440" w:lineRule="exact"/>
              <w:ind w:firstLine="99"/>
              <w:rPr>
                <w:rFonts w:hint="eastAsia" w:ascii="仿宋" w:hAnsi="仿宋" w:eastAsia="仿宋" w:cs="仿宋"/>
                <w:color w:val="auto"/>
                <w:szCs w:val="21"/>
                <w:highlight w:val="none"/>
              </w:rPr>
            </w:pPr>
          </w:p>
        </w:tc>
      </w:tr>
      <w:tr w14:paraId="016FF0B0">
        <w:tblPrEx>
          <w:tblCellMar>
            <w:top w:w="0" w:type="dxa"/>
            <w:left w:w="108" w:type="dxa"/>
            <w:bottom w:w="0" w:type="dxa"/>
            <w:right w:w="108" w:type="dxa"/>
          </w:tblCellMar>
        </w:tblPrEx>
        <w:trPr>
          <w:cantSplit/>
          <w:trHeight w:val="651" w:hRule="exact"/>
        </w:trPr>
        <w:tc>
          <w:tcPr>
            <w:tcW w:w="622" w:type="pct"/>
            <w:tcBorders>
              <w:top w:val="single" w:color="auto" w:sz="6" w:space="0"/>
              <w:left w:val="single" w:color="auto" w:sz="6" w:space="0"/>
              <w:bottom w:val="single" w:color="auto" w:sz="6" w:space="0"/>
              <w:right w:val="single" w:color="auto" w:sz="6" w:space="0"/>
            </w:tcBorders>
          </w:tcPr>
          <w:p w14:paraId="40E5E908">
            <w:pPr>
              <w:shd w:val="clear" w:color="auto" w:fill="FFFFFF"/>
              <w:spacing w:line="440" w:lineRule="exact"/>
              <w:ind w:firstLine="99"/>
              <w:rPr>
                <w:rFonts w:hint="eastAsia" w:ascii="仿宋" w:hAnsi="仿宋" w:eastAsia="仿宋" w:cs="仿宋"/>
                <w:color w:val="auto"/>
                <w:szCs w:val="21"/>
                <w:highlight w:val="none"/>
              </w:rPr>
            </w:pPr>
          </w:p>
        </w:tc>
        <w:tc>
          <w:tcPr>
            <w:tcW w:w="1342" w:type="pct"/>
            <w:tcBorders>
              <w:top w:val="single" w:color="auto" w:sz="6" w:space="0"/>
              <w:left w:val="single" w:color="auto" w:sz="6" w:space="0"/>
              <w:bottom w:val="single" w:color="auto" w:sz="6" w:space="0"/>
              <w:right w:val="single" w:color="auto" w:sz="6" w:space="0"/>
            </w:tcBorders>
          </w:tcPr>
          <w:p w14:paraId="5A5AB95C">
            <w:pPr>
              <w:shd w:val="clear" w:color="auto" w:fill="FFFFFF"/>
              <w:spacing w:line="440" w:lineRule="exact"/>
              <w:ind w:firstLine="99"/>
              <w:rPr>
                <w:rFonts w:hint="eastAsia" w:ascii="仿宋" w:hAnsi="仿宋" w:eastAsia="仿宋" w:cs="仿宋"/>
                <w:color w:val="auto"/>
                <w:szCs w:val="21"/>
                <w:highlight w:val="none"/>
              </w:rPr>
            </w:pPr>
          </w:p>
        </w:tc>
        <w:tc>
          <w:tcPr>
            <w:tcW w:w="1418" w:type="pct"/>
            <w:tcBorders>
              <w:top w:val="single" w:color="auto" w:sz="6" w:space="0"/>
              <w:left w:val="single" w:color="auto" w:sz="6" w:space="0"/>
              <w:bottom w:val="single" w:color="auto" w:sz="6" w:space="0"/>
              <w:right w:val="single" w:color="auto" w:sz="6" w:space="0"/>
            </w:tcBorders>
          </w:tcPr>
          <w:p w14:paraId="1EA2E81F">
            <w:pPr>
              <w:shd w:val="clear" w:color="auto" w:fill="FFFFFF"/>
              <w:spacing w:line="440" w:lineRule="exact"/>
              <w:ind w:firstLine="99"/>
              <w:rPr>
                <w:rFonts w:hint="eastAsia" w:ascii="仿宋" w:hAnsi="仿宋" w:eastAsia="仿宋" w:cs="仿宋"/>
                <w:color w:val="auto"/>
                <w:szCs w:val="21"/>
                <w:highlight w:val="none"/>
              </w:rPr>
            </w:pPr>
          </w:p>
        </w:tc>
        <w:tc>
          <w:tcPr>
            <w:tcW w:w="1617" w:type="pct"/>
            <w:tcBorders>
              <w:top w:val="single" w:color="auto" w:sz="6" w:space="0"/>
              <w:left w:val="single" w:color="auto" w:sz="6" w:space="0"/>
              <w:bottom w:val="single" w:color="auto" w:sz="6" w:space="0"/>
              <w:right w:val="single" w:color="auto" w:sz="6" w:space="0"/>
            </w:tcBorders>
          </w:tcPr>
          <w:p w14:paraId="6E2B6501">
            <w:pPr>
              <w:shd w:val="clear" w:color="auto" w:fill="FFFFFF"/>
              <w:spacing w:line="440" w:lineRule="exact"/>
              <w:ind w:firstLine="99"/>
              <w:rPr>
                <w:rFonts w:hint="eastAsia" w:ascii="仿宋" w:hAnsi="仿宋" w:eastAsia="仿宋" w:cs="仿宋"/>
                <w:color w:val="auto"/>
                <w:szCs w:val="21"/>
                <w:highlight w:val="none"/>
              </w:rPr>
            </w:pPr>
          </w:p>
        </w:tc>
      </w:tr>
      <w:tr w14:paraId="23BB514C">
        <w:tblPrEx>
          <w:tblCellMar>
            <w:top w:w="0" w:type="dxa"/>
            <w:left w:w="108" w:type="dxa"/>
            <w:bottom w:w="0" w:type="dxa"/>
            <w:right w:w="108" w:type="dxa"/>
          </w:tblCellMar>
        </w:tblPrEx>
        <w:trPr>
          <w:cantSplit/>
          <w:trHeight w:val="651" w:hRule="exact"/>
        </w:trPr>
        <w:tc>
          <w:tcPr>
            <w:tcW w:w="622" w:type="pct"/>
            <w:tcBorders>
              <w:top w:val="single" w:color="auto" w:sz="6" w:space="0"/>
              <w:left w:val="single" w:color="auto" w:sz="6" w:space="0"/>
              <w:bottom w:val="single" w:color="auto" w:sz="6" w:space="0"/>
              <w:right w:val="single" w:color="auto" w:sz="6" w:space="0"/>
            </w:tcBorders>
          </w:tcPr>
          <w:p w14:paraId="2A603C0A">
            <w:pPr>
              <w:shd w:val="clear" w:color="auto" w:fill="FFFFFF"/>
              <w:spacing w:line="440" w:lineRule="exact"/>
              <w:ind w:firstLine="99"/>
              <w:rPr>
                <w:rFonts w:hint="eastAsia" w:ascii="仿宋" w:hAnsi="仿宋" w:eastAsia="仿宋" w:cs="仿宋"/>
                <w:color w:val="auto"/>
                <w:szCs w:val="21"/>
                <w:highlight w:val="none"/>
              </w:rPr>
            </w:pPr>
          </w:p>
        </w:tc>
        <w:tc>
          <w:tcPr>
            <w:tcW w:w="1342" w:type="pct"/>
            <w:tcBorders>
              <w:top w:val="single" w:color="auto" w:sz="6" w:space="0"/>
              <w:left w:val="single" w:color="auto" w:sz="6" w:space="0"/>
              <w:bottom w:val="single" w:color="auto" w:sz="6" w:space="0"/>
              <w:right w:val="single" w:color="auto" w:sz="6" w:space="0"/>
            </w:tcBorders>
          </w:tcPr>
          <w:p w14:paraId="6CC96590">
            <w:pPr>
              <w:shd w:val="clear" w:color="auto" w:fill="FFFFFF"/>
              <w:spacing w:line="440" w:lineRule="exact"/>
              <w:ind w:firstLine="99"/>
              <w:rPr>
                <w:rFonts w:hint="eastAsia" w:ascii="仿宋" w:hAnsi="仿宋" w:eastAsia="仿宋" w:cs="仿宋"/>
                <w:color w:val="auto"/>
                <w:szCs w:val="21"/>
                <w:highlight w:val="none"/>
              </w:rPr>
            </w:pPr>
          </w:p>
        </w:tc>
        <w:tc>
          <w:tcPr>
            <w:tcW w:w="1418" w:type="pct"/>
            <w:tcBorders>
              <w:top w:val="single" w:color="auto" w:sz="6" w:space="0"/>
              <w:left w:val="single" w:color="auto" w:sz="6" w:space="0"/>
              <w:bottom w:val="single" w:color="auto" w:sz="6" w:space="0"/>
              <w:right w:val="single" w:color="auto" w:sz="6" w:space="0"/>
            </w:tcBorders>
          </w:tcPr>
          <w:p w14:paraId="7A496F30">
            <w:pPr>
              <w:shd w:val="clear" w:color="auto" w:fill="FFFFFF"/>
              <w:spacing w:line="440" w:lineRule="exact"/>
              <w:ind w:firstLine="99"/>
              <w:rPr>
                <w:rFonts w:hint="eastAsia" w:ascii="仿宋" w:hAnsi="仿宋" w:eastAsia="仿宋" w:cs="仿宋"/>
                <w:color w:val="auto"/>
                <w:szCs w:val="21"/>
                <w:highlight w:val="none"/>
              </w:rPr>
            </w:pPr>
          </w:p>
        </w:tc>
        <w:tc>
          <w:tcPr>
            <w:tcW w:w="1617" w:type="pct"/>
            <w:tcBorders>
              <w:top w:val="single" w:color="auto" w:sz="6" w:space="0"/>
              <w:left w:val="single" w:color="auto" w:sz="6" w:space="0"/>
              <w:bottom w:val="single" w:color="auto" w:sz="6" w:space="0"/>
              <w:right w:val="single" w:color="auto" w:sz="6" w:space="0"/>
            </w:tcBorders>
          </w:tcPr>
          <w:p w14:paraId="3F2782D4">
            <w:pPr>
              <w:shd w:val="clear" w:color="auto" w:fill="FFFFFF"/>
              <w:spacing w:line="440" w:lineRule="exact"/>
              <w:ind w:firstLine="99"/>
              <w:rPr>
                <w:rFonts w:hint="eastAsia" w:ascii="仿宋" w:hAnsi="仿宋" w:eastAsia="仿宋" w:cs="仿宋"/>
                <w:color w:val="auto"/>
                <w:szCs w:val="21"/>
                <w:highlight w:val="none"/>
              </w:rPr>
            </w:pPr>
          </w:p>
        </w:tc>
      </w:tr>
      <w:tr w14:paraId="06EED1F8">
        <w:tblPrEx>
          <w:tblCellMar>
            <w:top w:w="0" w:type="dxa"/>
            <w:left w:w="108" w:type="dxa"/>
            <w:bottom w:w="0" w:type="dxa"/>
            <w:right w:w="108" w:type="dxa"/>
          </w:tblCellMar>
        </w:tblPrEx>
        <w:trPr>
          <w:cantSplit/>
          <w:trHeight w:val="651" w:hRule="exact"/>
        </w:trPr>
        <w:tc>
          <w:tcPr>
            <w:tcW w:w="622" w:type="pct"/>
            <w:tcBorders>
              <w:top w:val="single" w:color="auto" w:sz="6" w:space="0"/>
              <w:left w:val="single" w:color="auto" w:sz="6" w:space="0"/>
              <w:bottom w:val="single" w:color="auto" w:sz="6" w:space="0"/>
              <w:right w:val="single" w:color="auto" w:sz="6" w:space="0"/>
            </w:tcBorders>
          </w:tcPr>
          <w:p w14:paraId="4608AFC2">
            <w:pPr>
              <w:shd w:val="clear" w:color="auto" w:fill="FFFFFF"/>
              <w:spacing w:line="440" w:lineRule="exact"/>
              <w:ind w:firstLine="99"/>
              <w:rPr>
                <w:rFonts w:hint="eastAsia" w:ascii="仿宋" w:hAnsi="仿宋" w:eastAsia="仿宋" w:cs="仿宋"/>
                <w:color w:val="auto"/>
                <w:szCs w:val="21"/>
                <w:highlight w:val="none"/>
              </w:rPr>
            </w:pPr>
          </w:p>
        </w:tc>
        <w:tc>
          <w:tcPr>
            <w:tcW w:w="1342" w:type="pct"/>
            <w:tcBorders>
              <w:top w:val="single" w:color="auto" w:sz="6" w:space="0"/>
              <w:left w:val="single" w:color="auto" w:sz="6" w:space="0"/>
              <w:bottom w:val="single" w:color="auto" w:sz="6" w:space="0"/>
              <w:right w:val="single" w:color="auto" w:sz="6" w:space="0"/>
            </w:tcBorders>
          </w:tcPr>
          <w:p w14:paraId="375C8B44">
            <w:pPr>
              <w:shd w:val="clear" w:color="auto" w:fill="FFFFFF"/>
              <w:spacing w:line="440" w:lineRule="exact"/>
              <w:ind w:firstLine="99"/>
              <w:rPr>
                <w:rFonts w:hint="eastAsia" w:ascii="仿宋" w:hAnsi="仿宋" w:eastAsia="仿宋" w:cs="仿宋"/>
                <w:color w:val="auto"/>
                <w:szCs w:val="21"/>
                <w:highlight w:val="none"/>
              </w:rPr>
            </w:pPr>
          </w:p>
        </w:tc>
        <w:tc>
          <w:tcPr>
            <w:tcW w:w="1418" w:type="pct"/>
            <w:tcBorders>
              <w:top w:val="single" w:color="auto" w:sz="6" w:space="0"/>
              <w:left w:val="single" w:color="auto" w:sz="6" w:space="0"/>
              <w:bottom w:val="single" w:color="auto" w:sz="6" w:space="0"/>
              <w:right w:val="single" w:color="auto" w:sz="6" w:space="0"/>
            </w:tcBorders>
          </w:tcPr>
          <w:p w14:paraId="08B2D8A2">
            <w:pPr>
              <w:shd w:val="clear" w:color="auto" w:fill="FFFFFF"/>
              <w:spacing w:line="440" w:lineRule="exact"/>
              <w:ind w:firstLine="99"/>
              <w:rPr>
                <w:rFonts w:hint="eastAsia" w:ascii="仿宋" w:hAnsi="仿宋" w:eastAsia="仿宋" w:cs="仿宋"/>
                <w:color w:val="auto"/>
                <w:szCs w:val="21"/>
                <w:highlight w:val="none"/>
              </w:rPr>
            </w:pPr>
          </w:p>
        </w:tc>
        <w:tc>
          <w:tcPr>
            <w:tcW w:w="1617" w:type="pct"/>
            <w:tcBorders>
              <w:top w:val="single" w:color="auto" w:sz="6" w:space="0"/>
              <w:left w:val="single" w:color="auto" w:sz="6" w:space="0"/>
              <w:bottom w:val="single" w:color="auto" w:sz="6" w:space="0"/>
              <w:right w:val="single" w:color="auto" w:sz="6" w:space="0"/>
            </w:tcBorders>
          </w:tcPr>
          <w:p w14:paraId="5DAA649F">
            <w:pPr>
              <w:shd w:val="clear" w:color="auto" w:fill="FFFFFF"/>
              <w:spacing w:line="440" w:lineRule="exact"/>
              <w:ind w:firstLine="99"/>
              <w:rPr>
                <w:rFonts w:hint="eastAsia" w:ascii="仿宋" w:hAnsi="仿宋" w:eastAsia="仿宋" w:cs="仿宋"/>
                <w:color w:val="auto"/>
                <w:szCs w:val="21"/>
                <w:highlight w:val="none"/>
              </w:rPr>
            </w:pPr>
          </w:p>
        </w:tc>
      </w:tr>
      <w:tr w14:paraId="658485B2">
        <w:tblPrEx>
          <w:tblCellMar>
            <w:top w:w="0" w:type="dxa"/>
            <w:left w:w="108" w:type="dxa"/>
            <w:bottom w:w="0" w:type="dxa"/>
            <w:right w:w="108" w:type="dxa"/>
          </w:tblCellMar>
        </w:tblPrEx>
        <w:trPr>
          <w:cantSplit/>
          <w:trHeight w:val="628" w:hRule="exact"/>
        </w:trPr>
        <w:tc>
          <w:tcPr>
            <w:tcW w:w="622" w:type="pct"/>
            <w:tcBorders>
              <w:top w:val="single" w:color="auto" w:sz="6" w:space="0"/>
              <w:left w:val="single" w:color="auto" w:sz="6" w:space="0"/>
              <w:bottom w:val="single" w:color="auto" w:sz="6" w:space="0"/>
              <w:right w:val="single" w:color="auto" w:sz="6" w:space="0"/>
            </w:tcBorders>
          </w:tcPr>
          <w:p w14:paraId="253A73DE">
            <w:pPr>
              <w:shd w:val="clear" w:color="auto" w:fill="FFFFFF"/>
              <w:spacing w:line="440" w:lineRule="exact"/>
              <w:ind w:firstLine="99"/>
              <w:rPr>
                <w:rFonts w:hint="eastAsia" w:ascii="仿宋" w:hAnsi="仿宋" w:eastAsia="仿宋" w:cs="仿宋"/>
                <w:color w:val="auto"/>
                <w:szCs w:val="21"/>
                <w:highlight w:val="none"/>
              </w:rPr>
            </w:pPr>
          </w:p>
        </w:tc>
        <w:tc>
          <w:tcPr>
            <w:tcW w:w="1342" w:type="pct"/>
            <w:tcBorders>
              <w:top w:val="single" w:color="auto" w:sz="6" w:space="0"/>
              <w:left w:val="single" w:color="auto" w:sz="6" w:space="0"/>
              <w:bottom w:val="single" w:color="auto" w:sz="6" w:space="0"/>
              <w:right w:val="single" w:color="auto" w:sz="6" w:space="0"/>
            </w:tcBorders>
          </w:tcPr>
          <w:p w14:paraId="3304F56B">
            <w:pPr>
              <w:shd w:val="clear" w:color="auto" w:fill="FFFFFF"/>
              <w:spacing w:line="440" w:lineRule="exact"/>
              <w:ind w:firstLine="99"/>
              <w:rPr>
                <w:rFonts w:hint="eastAsia" w:ascii="仿宋" w:hAnsi="仿宋" w:eastAsia="仿宋" w:cs="仿宋"/>
                <w:color w:val="auto"/>
                <w:szCs w:val="21"/>
                <w:highlight w:val="none"/>
              </w:rPr>
            </w:pPr>
          </w:p>
        </w:tc>
        <w:tc>
          <w:tcPr>
            <w:tcW w:w="1418" w:type="pct"/>
            <w:tcBorders>
              <w:top w:val="single" w:color="auto" w:sz="6" w:space="0"/>
              <w:left w:val="single" w:color="auto" w:sz="6" w:space="0"/>
              <w:bottom w:val="single" w:color="auto" w:sz="6" w:space="0"/>
              <w:right w:val="single" w:color="auto" w:sz="6" w:space="0"/>
            </w:tcBorders>
          </w:tcPr>
          <w:p w14:paraId="160ABE7E">
            <w:pPr>
              <w:shd w:val="clear" w:color="auto" w:fill="FFFFFF"/>
              <w:spacing w:line="440" w:lineRule="exact"/>
              <w:ind w:firstLine="99"/>
              <w:rPr>
                <w:rFonts w:hint="eastAsia" w:ascii="仿宋" w:hAnsi="仿宋" w:eastAsia="仿宋" w:cs="仿宋"/>
                <w:color w:val="auto"/>
                <w:szCs w:val="21"/>
                <w:highlight w:val="none"/>
              </w:rPr>
            </w:pPr>
          </w:p>
        </w:tc>
        <w:tc>
          <w:tcPr>
            <w:tcW w:w="1617" w:type="pct"/>
            <w:tcBorders>
              <w:top w:val="single" w:color="auto" w:sz="6" w:space="0"/>
              <w:left w:val="single" w:color="auto" w:sz="6" w:space="0"/>
              <w:bottom w:val="single" w:color="auto" w:sz="6" w:space="0"/>
              <w:right w:val="single" w:color="auto" w:sz="6" w:space="0"/>
            </w:tcBorders>
          </w:tcPr>
          <w:p w14:paraId="68EC03E7">
            <w:pPr>
              <w:shd w:val="clear" w:color="auto" w:fill="FFFFFF"/>
              <w:spacing w:line="440" w:lineRule="exact"/>
              <w:ind w:firstLine="99"/>
              <w:rPr>
                <w:rFonts w:hint="eastAsia" w:ascii="仿宋" w:hAnsi="仿宋" w:eastAsia="仿宋" w:cs="仿宋"/>
                <w:color w:val="auto"/>
                <w:szCs w:val="21"/>
                <w:highlight w:val="none"/>
              </w:rPr>
            </w:pPr>
          </w:p>
        </w:tc>
      </w:tr>
    </w:tbl>
    <w:p w14:paraId="486C98A6">
      <w:pPr>
        <w:shd w:val="clear" w:color="auto" w:fill="FFFFFF"/>
        <w:spacing w:line="42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重要说明：</w:t>
      </w:r>
      <w:r>
        <w:rPr>
          <w:rFonts w:hint="eastAsia" w:ascii="仿宋" w:hAnsi="仿宋" w:eastAsia="仿宋" w:cs="仿宋"/>
          <w:b/>
          <w:bCs/>
          <w:color w:val="auto"/>
          <w:sz w:val="24"/>
          <w:highlight w:val="none"/>
          <w:lang w:val="en-US" w:eastAsia="zh-CN"/>
        </w:rPr>
        <w:t>为方便评标委员会评审，</w:t>
      </w:r>
      <w:r>
        <w:rPr>
          <w:rFonts w:hint="eastAsia" w:ascii="仿宋" w:hAnsi="仿宋" w:eastAsia="仿宋" w:cs="仿宋"/>
          <w:b/>
          <w:bCs/>
          <w:color w:val="auto"/>
          <w:sz w:val="24"/>
          <w:highlight w:val="none"/>
        </w:rPr>
        <w:t>供应商在上表中说明的内容，</w:t>
      </w:r>
      <w:r>
        <w:rPr>
          <w:rFonts w:hint="eastAsia" w:ascii="仿宋" w:hAnsi="仿宋" w:eastAsia="仿宋" w:cs="仿宋"/>
          <w:b/>
          <w:bCs/>
          <w:color w:val="auto"/>
          <w:sz w:val="24"/>
          <w:highlight w:val="none"/>
          <w:lang w:val="en-US" w:eastAsia="zh-CN"/>
        </w:rPr>
        <w:t>须</w:t>
      </w:r>
      <w:r>
        <w:rPr>
          <w:rFonts w:hint="eastAsia" w:ascii="仿宋" w:hAnsi="仿宋" w:eastAsia="仿宋" w:cs="仿宋"/>
          <w:b/>
          <w:bCs/>
          <w:color w:val="auto"/>
          <w:sz w:val="24"/>
          <w:highlight w:val="none"/>
        </w:rPr>
        <w:t>至少包括对本文件《投标须知前附表》提出的“投标有效期”、“交付时间”、“</w:t>
      </w:r>
      <w:r>
        <w:rPr>
          <w:rFonts w:hint="eastAsia" w:ascii="仿宋" w:hAnsi="仿宋" w:eastAsia="仿宋" w:cs="仿宋"/>
          <w:b/>
          <w:bCs/>
          <w:color w:val="auto"/>
          <w:sz w:val="24"/>
          <w:highlight w:val="none"/>
          <w:lang w:eastAsia="zh-CN"/>
        </w:rPr>
        <w:t>服务</w:t>
      </w:r>
      <w:r>
        <w:rPr>
          <w:rFonts w:hint="eastAsia" w:ascii="仿宋" w:hAnsi="仿宋" w:eastAsia="仿宋" w:cs="仿宋"/>
          <w:b/>
          <w:bCs/>
          <w:color w:val="auto"/>
          <w:sz w:val="24"/>
          <w:highlight w:val="none"/>
        </w:rPr>
        <w:t>地点”、“</w:t>
      </w:r>
      <w:r>
        <w:rPr>
          <w:rFonts w:hint="eastAsia" w:ascii="仿宋" w:hAnsi="仿宋" w:eastAsia="仿宋" w:cs="仿宋"/>
          <w:b/>
          <w:bCs/>
          <w:color w:val="auto"/>
          <w:sz w:val="24"/>
          <w:highlight w:val="none"/>
          <w:lang w:val="en-US" w:eastAsia="zh-CN"/>
        </w:rPr>
        <w:t>维保</w:t>
      </w:r>
      <w:r>
        <w:rPr>
          <w:rFonts w:hint="eastAsia" w:ascii="仿宋" w:hAnsi="仿宋" w:eastAsia="仿宋" w:cs="仿宋"/>
          <w:b/>
          <w:bCs/>
          <w:color w:val="auto"/>
          <w:sz w:val="24"/>
          <w:highlight w:val="none"/>
          <w:lang w:eastAsia="zh-CN"/>
        </w:rPr>
        <w:t>期</w:t>
      </w:r>
      <w:r>
        <w:rPr>
          <w:rFonts w:hint="eastAsia" w:ascii="仿宋" w:hAnsi="仿宋" w:eastAsia="仿宋" w:cs="仿宋"/>
          <w:b/>
          <w:bCs/>
          <w:color w:val="auto"/>
          <w:sz w:val="24"/>
          <w:highlight w:val="none"/>
        </w:rPr>
        <w:t>”、“付款方式”</w:t>
      </w:r>
      <w:r>
        <w:rPr>
          <w:rFonts w:hint="eastAsia" w:ascii="仿宋" w:hAnsi="仿宋" w:eastAsia="仿宋" w:cs="仿宋"/>
          <w:b/>
          <w:bCs/>
          <w:color w:val="auto"/>
          <w:sz w:val="24"/>
          <w:highlight w:val="none"/>
          <w:lang w:eastAsia="zh-CN"/>
        </w:rPr>
        <w:t>的</w:t>
      </w:r>
      <w:r>
        <w:rPr>
          <w:rFonts w:hint="eastAsia" w:ascii="仿宋" w:hAnsi="仿宋" w:eastAsia="仿宋" w:cs="仿宋"/>
          <w:b/>
          <w:bCs/>
          <w:color w:val="auto"/>
          <w:sz w:val="24"/>
          <w:highlight w:val="none"/>
        </w:rPr>
        <w:t>响应</w:t>
      </w:r>
      <w:r>
        <w:rPr>
          <w:rFonts w:hint="eastAsia" w:ascii="仿宋" w:hAnsi="仿宋" w:eastAsia="仿宋" w:cs="仿宋"/>
          <w:b/>
          <w:bCs/>
          <w:color w:val="auto"/>
          <w:sz w:val="24"/>
          <w:highlight w:val="none"/>
          <w:lang w:eastAsia="zh-CN"/>
        </w:rPr>
        <w:t>情况，</w:t>
      </w:r>
      <w:r>
        <w:rPr>
          <w:rFonts w:hint="eastAsia" w:ascii="仿宋" w:hAnsi="仿宋" w:eastAsia="仿宋" w:cs="仿宋"/>
          <w:b/>
          <w:bCs/>
          <w:color w:val="auto"/>
          <w:sz w:val="24"/>
          <w:highlight w:val="none"/>
          <w:lang w:val="en-US" w:eastAsia="zh-CN"/>
        </w:rPr>
        <w:t>且“投标有效期”、“服务地点”、“付款方式”不接受负偏离。本表“投标响应内容”中</w:t>
      </w:r>
      <w:r>
        <w:rPr>
          <w:rFonts w:hint="eastAsia" w:ascii="仿宋" w:hAnsi="仿宋" w:eastAsia="仿宋" w:cs="仿宋"/>
          <w:b/>
          <w:bCs/>
          <w:color w:val="auto"/>
          <w:sz w:val="24"/>
          <w:highlight w:val="none"/>
        </w:rPr>
        <w:t>“交付时间”、“</w:t>
      </w:r>
      <w:r>
        <w:rPr>
          <w:rFonts w:hint="eastAsia" w:ascii="仿宋" w:hAnsi="仿宋" w:eastAsia="仿宋" w:cs="仿宋"/>
          <w:b/>
          <w:bCs/>
          <w:color w:val="auto"/>
          <w:sz w:val="24"/>
          <w:highlight w:val="none"/>
          <w:lang w:val="en-US" w:eastAsia="zh-CN"/>
        </w:rPr>
        <w:t>维保</w:t>
      </w:r>
      <w:r>
        <w:rPr>
          <w:rFonts w:hint="eastAsia" w:ascii="仿宋" w:hAnsi="仿宋" w:eastAsia="仿宋" w:cs="仿宋"/>
          <w:b/>
          <w:bCs/>
          <w:color w:val="auto"/>
          <w:sz w:val="24"/>
          <w:highlight w:val="none"/>
          <w:lang w:eastAsia="zh-CN"/>
        </w:rPr>
        <w:t>期</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如与供应商投标文件其他地方陈述不一致的，以本表载明的内容为准</w:t>
      </w:r>
      <w:r>
        <w:rPr>
          <w:rFonts w:hint="eastAsia" w:ascii="仿宋" w:hAnsi="仿宋" w:eastAsia="仿宋" w:cs="仿宋"/>
          <w:b/>
          <w:bCs/>
          <w:color w:val="auto"/>
          <w:sz w:val="24"/>
          <w:highlight w:val="none"/>
        </w:rPr>
        <w:t>。</w:t>
      </w:r>
      <w:bookmarkStart w:id="46" w:name="_GoBack"/>
      <w:bookmarkEnd w:id="46"/>
    </w:p>
    <w:p w14:paraId="38E9B1F4">
      <w:pPr>
        <w:pStyle w:val="305"/>
        <w:shd w:val="clear" w:color="auto" w:fill="FFFFFF"/>
        <w:snapToGrid w:val="0"/>
        <w:spacing w:line="400" w:lineRule="exact"/>
        <w:rPr>
          <w:rFonts w:hint="eastAsia" w:ascii="仿宋" w:hAnsi="仿宋" w:eastAsia="仿宋" w:cs="仿宋"/>
          <w:color w:val="auto"/>
          <w:sz w:val="24"/>
          <w:highlight w:val="none"/>
        </w:rPr>
      </w:pPr>
    </w:p>
    <w:p w14:paraId="4793A0A3">
      <w:pPr>
        <w:pStyle w:val="305"/>
        <w:shd w:val="clear" w:color="auto" w:fill="FFFFFF"/>
        <w:snapToGrid w:val="0"/>
        <w:spacing w:line="400" w:lineRule="exact"/>
        <w:rPr>
          <w:rFonts w:hint="eastAsia" w:ascii="仿宋" w:hAnsi="仿宋" w:eastAsia="仿宋" w:cs="仿宋"/>
          <w:color w:val="auto"/>
          <w:sz w:val="24"/>
          <w:highlight w:val="none"/>
        </w:rPr>
      </w:pPr>
    </w:p>
    <w:p w14:paraId="1A0A6764">
      <w:pPr>
        <w:pStyle w:val="305"/>
        <w:shd w:val="clear" w:color="auto" w:fill="FFFFFF"/>
        <w:snapToGrid w:val="0"/>
        <w:spacing w:line="400" w:lineRule="exact"/>
        <w:rPr>
          <w:rFonts w:hint="eastAsia" w:ascii="仿宋" w:hAnsi="仿宋" w:eastAsia="仿宋" w:cs="仿宋"/>
          <w:color w:val="auto"/>
          <w:sz w:val="24"/>
          <w:highlight w:val="none"/>
        </w:rPr>
      </w:pPr>
    </w:p>
    <w:p w14:paraId="3DB704CE">
      <w:pPr>
        <w:pStyle w:val="305"/>
        <w:shd w:val="clear" w:color="auto" w:fill="FFFFFF"/>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供应商（公章）：</w:t>
      </w:r>
    </w:p>
    <w:p w14:paraId="5A9101BC">
      <w:pPr>
        <w:shd w:val="clear" w:color="auto" w:fill="FFFFFF"/>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法定代表人（签字或签章）：</w:t>
      </w:r>
    </w:p>
    <w:p w14:paraId="3F1BF04D">
      <w:pPr>
        <w:shd w:val="clear" w:color="auto" w:fill="FFFFFF"/>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授权代理人（签字或签章）：</w:t>
      </w:r>
    </w:p>
    <w:p w14:paraId="11EC68D7">
      <w:pPr>
        <w:widowControl/>
        <w:spacing w:line="440" w:lineRule="exact"/>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日期：  年  月  日</w:t>
      </w:r>
    </w:p>
    <w:p w14:paraId="4455FA61">
      <w:pPr>
        <w:shd w:val="clear" w:color="auto" w:fill="FFFFFF"/>
        <w:spacing w:line="440" w:lineRule="exact"/>
        <w:jc w:val="left"/>
        <w:rPr>
          <w:rFonts w:hint="eastAsia" w:ascii="仿宋" w:hAnsi="仿宋" w:eastAsia="仿宋" w:cs="仿宋"/>
          <w:b/>
          <w:bCs/>
          <w:color w:val="auto"/>
          <w:sz w:val="24"/>
          <w:highlight w:val="none"/>
        </w:rPr>
      </w:pPr>
    </w:p>
    <w:p w14:paraId="52B7D333">
      <w:pPr>
        <w:widowControl/>
        <w:jc w:val="left"/>
        <w:rPr>
          <w:rFonts w:hint="eastAsia" w:ascii="仿宋" w:hAnsi="仿宋" w:eastAsia="仿宋" w:cs="仿宋"/>
          <w:b/>
          <w:bCs/>
          <w:color w:val="auto"/>
          <w:kern w:val="0"/>
          <w:sz w:val="24"/>
          <w:highlight w:val="none"/>
        </w:rPr>
      </w:pPr>
    </w:p>
    <w:p w14:paraId="685E6C7D">
      <w:pP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br w:type="page"/>
      </w:r>
    </w:p>
    <w:p w14:paraId="7141FE4A">
      <w:pPr>
        <w:shd w:val="clear" w:color="auto" w:fill="FFFFFF"/>
        <w:spacing w:line="440" w:lineRule="exac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附件</w:t>
      </w:r>
      <w:r>
        <w:rPr>
          <w:rFonts w:hint="eastAsia" w:ascii="仿宋" w:hAnsi="仿宋" w:eastAsia="仿宋" w:cs="仿宋"/>
          <w:b/>
          <w:bCs/>
          <w:color w:val="auto"/>
          <w:kern w:val="0"/>
          <w:sz w:val="24"/>
          <w:highlight w:val="none"/>
          <w:lang w:eastAsia="zh-CN"/>
        </w:rPr>
        <w:t>八</w:t>
      </w:r>
      <w:r>
        <w:rPr>
          <w:rFonts w:hint="eastAsia" w:ascii="仿宋" w:hAnsi="仿宋" w:eastAsia="仿宋" w:cs="仿宋"/>
          <w:b/>
          <w:bCs/>
          <w:color w:val="auto"/>
          <w:kern w:val="0"/>
          <w:sz w:val="24"/>
          <w:highlight w:val="none"/>
        </w:rPr>
        <w:t xml:space="preserve">  投标保证金缴纳凭证</w:t>
      </w:r>
    </w:p>
    <w:p w14:paraId="76A9B974">
      <w:pPr>
        <w:spacing w:line="46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此处请附： 投标保证金缴纳凭证</w:t>
      </w:r>
    </w:p>
    <w:p w14:paraId="30A063BA">
      <w:pPr>
        <w:spacing w:line="460" w:lineRule="exact"/>
        <w:ind w:firstLine="1320" w:firstLineChars="550"/>
        <w:rPr>
          <w:rFonts w:hint="eastAsia" w:ascii="仿宋" w:hAnsi="仿宋" w:eastAsia="仿宋" w:cs="仿宋"/>
          <w:color w:val="auto"/>
          <w:kern w:val="0"/>
          <w:sz w:val="24"/>
          <w:highlight w:val="none"/>
        </w:rPr>
      </w:pPr>
    </w:p>
    <w:p w14:paraId="6458962C">
      <w:pPr>
        <w:spacing w:line="460" w:lineRule="exact"/>
        <w:ind w:firstLine="1320" w:firstLineChars="550"/>
        <w:rPr>
          <w:rFonts w:hint="eastAsia" w:ascii="仿宋" w:hAnsi="仿宋" w:eastAsia="仿宋" w:cs="仿宋"/>
          <w:color w:val="auto"/>
          <w:kern w:val="0"/>
          <w:sz w:val="24"/>
          <w:highlight w:val="none"/>
        </w:rPr>
      </w:pPr>
    </w:p>
    <w:p w14:paraId="0286D2A7">
      <w:pPr>
        <w:spacing w:line="460" w:lineRule="exact"/>
        <w:ind w:firstLine="1320" w:firstLineChars="550"/>
        <w:rPr>
          <w:rFonts w:hint="eastAsia" w:ascii="仿宋" w:hAnsi="仿宋" w:eastAsia="仿宋" w:cs="仿宋"/>
          <w:color w:val="auto"/>
          <w:kern w:val="0"/>
          <w:sz w:val="24"/>
          <w:highlight w:val="none"/>
        </w:rPr>
      </w:pPr>
    </w:p>
    <w:p w14:paraId="41A24C97">
      <w:pPr>
        <w:spacing w:line="460" w:lineRule="exact"/>
        <w:ind w:firstLine="1320" w:firstLineChars="550"/>
        <w:rPr>
          <w:rFonts w:hint="eastAsia" w:ascii="仿宋" w:hAnsi="仿宋" w:eastAsia="仿宋" w:cs="仿宋"/>
          <w:color w:val="auto"/>
          <w:kern w:val="0"/>
          <w:sz w:val="24"/>
          <w:highlight w:val="none"/>
        </w:rPr>
      </w:pPr>
    </w:p>
    <w:p w14:paraId="46AFD112">
      <w:pPr>
        <w:spacing w:line="460" w:lineRule="exact"/>
        <w:ind w:firstLine="1320" w:firstLineChars="550"/>
        <w:rPr>
          <w:rFonts w:hint="eastAsia" w:ascii="仿宋" w:hAnsi="仿宋" w:eastAsia="仿宋" w:cs="仿宋"/>
          <w:color w:val="auto"/>
          <w:kern w:val="0"/>
          <w:sz w:val="24"/>
          <w:highlight w:val="none"/>
        </w:rPr>
      </w:pPr>
    </w:p>
    <w:p w14:paraId="312BB406">
      <w:pPr>
        <w:pStyle w:val="57"/>
        <w:ind w:firstLine="210"/>
        <w:rPr>
          <w:rFonts w:hint="eastAsia" w:ascii="仿宋" w:hAnsi="仿宋" w:eastAsia="仿宋" w:cs="仿宋"/>
          <w:color w:val="auto"/>
          <w:highlight w:val="none"/>
        </w:rPr>
      </w:pPr>
    </w:p>
    <w:p w14:paraId="1A6823E0">
      <w:pPr>
        <w:pStyle w:val="57"/>
        <w:ind w:firstLine="0" w:firstLineChars="0"/>
        <w:rPr>
          <w:rFonts w:hint="eastAsia" w:ascii="仿宋" w:hAnsi="仿宋" w:eastAsia="仿宋" w:cs="仿宋"/>
          <w:color w:val="auto"/>
          <w:highlight w:val="none"/>
        </w:rPr>
      </w:pPr>
    </w:p>
    <w:p w14:paraId="53D45113">
      <w:pPr>
        <w:spacing w:line="46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请随</w:t>
      </w:r>
      <w:r>
        <w:rPr>
          <w:rFonts w:hint="eastAsia" w:ascii="仿宋" w:hAnsi="仿宋" w:eastAsia="仿宋" w:cs="仿宋"/>
          <w:color w:val="auto"/>
          <w:kern w:val="0"/>
          <w:sz w:val="24"/>
          <w:highlight w:val="none"/>
          <w:lang w:eastAsia="zh-CN"/>
        </w:rPr>
        <w:t>缴纳凭证后</w:t>
      </w:r>
      <w:r>
        <w:rPr>
          <w:rFonts w:hint="eastAsia" w:ascii="仿宋" w:hAnsi="仿宋" w:eastAsia="仿宋" w:cs="仿宋"/>
          <w:color w:val="auto"/>
          <w:kern w:val="0"/>
          <w:sz w:val="24"/>
          <w:highlight w:val="none"/>
        </w:rPr>
        <w:t>附：供应商缴纳保证金的账户信息（作退保证金使用</w:t>
      </w:r>
      <w:r>
        <w:rPr>
          <w:rFonts w:hint="eastAsia" w:ascii="仿宋" w:hAnsi="仿宋" w:eastAsia="仿宋" w:cs="仿宋"/>
          <w:color w:val="auto"/>
          <w:kern w:val="0"/>
          <w:sz w:val="24"/>
          <w:highlight w:val="none"/>
          <w:lang w:val="en-US" w:eastAsia="zh-CN"/>
        </w:rPr>
        <w:t>,供应商使用保函缴纳的可不提供</w:t>
      </w:r>
      <w:r>
        <w:rPr>
          <w:rFonts w:hint="eastAsia" w:ascii="仿宋" w:hAnsi="仿宋" w:eastAsia="仿宋" w:cs="仿宋"/>
          <w:color w:val="auto"/>
          <w:kern w:val="0"/>
          <w:sz w:val="24"/>
          <w:highlight w:val="none"/>
        </w:rPr>
        <w:t>）</w:t>
      </w:r>
    </w:p>
    <w:p w14:paraId="0F2E557D">
      <w:pPr>
        <w:spacing w:line="460" w:lineRule="exac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供应商名称：</w:t>
      </w:r>
    </w:p>
    <w:p w14:paraId="61F8B399">
      <w:pPr>
        <w:spacing w:line="46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开户行名称：</w:t>
      </w:r>
    </w:p>
    <w:p w14:paraId="38F657AF">
      <w:pPr>
        <w:spacing w:line="46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银行账号：</w:t>
      </w:r>
    </w:p>
    <w:p w14:paraId="504370DF">
      <w:pPr>
        <w:widowControl/>
        <w:spacing w:line="440" w:lineRule="exact"/>
        <w:jc w:val="left"/>
        <w:rPr>
          <w:rFonts w:hint="eastAsia" w:ascii="仿宋" w:hAnsi="仿宋" w:eastAsia="仿宋" w:cs="仿宋"/>
          <w:bCs/>
          <w:color w:val="auto"/>
          <w:sz w:val="24"/>
          <w:highlight w:val="none"/>
        </w:rPr>
      </w:pPr>
      <w:r>
        <w:rPr>
          <w:rFonts w:hint="eastAsia" w:ascii="仿宋" w:hAnsi="仿宋" w:eastAsia="仿宋" w:cs="仿宋"/>
          <w:color w:val="auto"/>
          <w:kern w:val="0"/>
          <w:sz w:val="24"/>
          <w:highlight w:val="none"/>
        </w:rPr>
        <w:t>银行行号：</w:t>
      </w:r>
    </w:p>
    <w:p w14:paraId="76A41485">
      <w:pPr>
        <w:widowControl/>
        <w:jc w:val="lef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br w:type="page"/>
      </w:r>
    </w:p>
    <w:p w14:paraId="333C31CA">
      <w:pPr>
        <w:widowControl/>
        <w:jc w:val="lef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附件九</w:t>
      </w:r>
    </w:p>
    <w:p w14:paraId="17545081">
      <w:pPr>
        <w:widowControl/>
        <w:spacing w:beforeLines="50" w:afterLines="50" w:line="44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kern w:val="0"/>
          <w:sz w:val="28"/>
          <w:szCs w:val="28"/>
          <w:highlight w:val="none"/>
        </w:rPr>
        <w:t>同类项目业绩表</w:t>
      </w:r>
    </w:p>
    <w:tbl>
      <w:tblPr>
        <w:tblStyle w:val="59"/>
        <w:tblW w:w="9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2268"/>
        <w:gridCol w:w="1760"/>
        <w:gridCol w:w="1393"/>
        <w:gridCol w:w="3120"/>
      </w:tblGrid>
      <w:tr w14:paraId="1FD03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89" w:type="dxa"/>
            <w:shd w:val="clear" w:color="auto" w:fill="F3F3F3"/>
            <w:vAlign w:val="center"/>
          </w:tcPr>
          <w:p w14:paraId="53016CFC">
            <w:pPr>
              <w:widowControl/>
              <w:spacing w:line="440" w:lineRule="exact"/>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序号</w:t>
            </w:r>
          </w:p>
        </w:tc>
        <w:tc>
          <w:tcPr>
            <w:tcW w:w="2268" w:type="dxa"/>
            <w:shd w:val="clear" w:color="auto" w:fill="F3F3F3"/>
            <w:vAlign w:val="center"/>
          </w:tcPr>
          <w:p w14:paraId="461F7FB3">
            <w:pPr>
              <w:widowControl/>
              <w:spacing w:line="440" w:lineRule="exact"/>
              <w:jc w:val="center"/>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标的名称</w:t>
            </w:r>
          </w:p>
        </w:tc>
        <w:tc>
          <w:tcPr>
            <w:tcW w:w="1760" w:type="dxa"/>
            <w:shd w:val="clear" w:color="auto" w:fill="F3F3F3"/>
            <w:vAlign w:val="center"/>
          </w:tcPr>
          <w:p w14:paraId="4D82EB8A">
            <w:pPr>
              <w:widowControl/>
              <w:spacing w:line="440" w:lineRule="exact"/>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数量规模</w:t>
            </w:r>
          </w:p>
        </w:tc>
        <w:tc>
          <w:tcPr>
            <w:tcW w:w="1393" w:type="dxa"/>
            <w:shd w:val="clear" w:color="auto" w:fill="F3F3F3"/>
            <w:vAlign w:val="center"/>
          </w:tcPr>
          <w:p w14:paraId="259FF0DA">
            <w:pPr>
              <w:widowControl/>
              <w:spacing w:line="440" w:lineRule="exact"/>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合同价格</w:t>
            </w:r>
          </w:p>
        </w:tc>
        <w:tc>
          <w:tcPr>
            <w:tcW w:w="3120" w:type="dxa"/>
            <w:shd w:val="clear" w:color="auto" w:fill="F3F3F3"/>
            <w:vAlign w:val="center"/>
          </w:tcPr>
          <w:p w14:paraId="313DD071">
            <w:pPr>
              <w:widowControl/>
              <w:spacing w:line="440" w:lineRule="exact"/>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业主名称/联系人/电话</w:t>
            </w:r>
          </w:p>
        </w:tc>
      </w:tr>
      <w:tr w14:paraId="7454E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9" w:type="dxa"/>
            <w:vAlign w:val="center"/>
          </w:tcPr>
          <w:p w14:paraId="1306DD9D">
            <w:pPr>
              <w:widowControl/>
              <w:spacing w:line="440" w:lineRule="exact"/>
              <w:jc w:val="left"/>
              <w:rPr>
                <w:rFonts w:hint="eastAsia" w:ascii="仿宋" w:hAnsi="仿宋" w:eastAsia="仿宋" w:cs="仿宋"/>
                <w:color w:val="auto"/>
                <w:szCs w:val="21"/>
                <w:highlight w:val="none"/>
              </w:rPr>
            </w:pPr>
          </w:p>
        </w:tc>
        <w:tc>
          <w:tcPr>
            <w:tcW w:w="2268" w:type="dxa"/>
            <w:vAlign w:val="center"/>
          </w:tcPr>
          <w:p w14:paraId="2CDFAB3A">
            <w:pPr>
              <w:widowControl/>
              <w:spacing w:line="440" w:lineRule="exact"/>
              <w:jc w:val="left"/>
              <w:rPr>
                <w:rFonts w:hint="eastAsia" w:ascii="仿宋" w:hAnsi="仿宋" w:eastAsia="仿宋" w:cs="仿宋"/>
                <w:color w:val="auto"/>
                <w:szCs w:val="21"/>
                <w:highlight w:val="none"/>
              </w:rPr>
            </w:pPr>
          </w:p>
        </w:tc>
        <w:tc>
          <w:tcPr>
            <w:tcW w:w="1760" w:type="dxa"/>
          </w:tcPr>
          <w:p w14:paraId="60C1EF92">
            <w:pPr>
              <w:widowControl/>
              <w:spacing w:line="440" w:lineRule="exact"/>
              <w:jc w:val="left"/>
              <w:rPr>
                <w:rFonts w:hint="eastAsia" w:ascii="仿宋" w:hAnsi="仿宋" w:eastAsia="仿宋" w:cs="仿宋"/>
                <w:color w:val="auto"/>
                <w:szCs w:val="21"/>
                <w:highlight w:val="none"/>
              </w:rPr>
            </w:pPr>
          </w:p>
        </w:tc>
        <w:tc>
          <w:tcPr>
            <w:tcW w:w="1393" w:type="dxa"/>
            <w:vAlign w:val="center"/>
          </w:tcPr>
          <w:p w14:paraId="45CD9C14">
            <w:pPr>
              <w:widowControl/>
              <w:spacing w:line="440" w:lineRule="exact"/>
              <w:jc w:val="left"/>
              <w:rPr>
                <w:rFonts w:hint="eastAsia" w:ascii="仿宋" w:hAnsi="仿宋" w:eastAsia="仿宋" w:cs="仿宋"/>
                <w:color w:val="auto"/>
                <w:szCs w:val="21"/>
                <w:highlight w:val="none"/>
              </w:rPr>
            </w:pPr>
          </w:p>
        </w:tc>
        <w:tc>
          <w:tcPr>
            <w:tcW w:w="3120" w:type="dxa"/>
            <w:vAlign w:val="center"/>
          </w:tcPr>
          <w:p w14:paraId="56B9728A">
            <w:pPr>
              <w:widowControl/>
              <w:spacing w:line="440" w:lineRule="exact"/>
              <w:jc w:val="left"/>
              <w:rPr>
                <w:rFonts w:hint="eastAsia" w:ascii="仿宋" w:hAnsi="仿宋" w:eastAsia="仿宋" w:cs="仿宋"/>
                <w:color w:val="auto"/>
                <w:szCs w:val="21"/>
                <w:highlight w:val="none"/>
              </w:rPr>
            </w:pPr>
          </w:p>
        </w:tc>
      </w:tr>
      <w:tr w14:paraId="4E869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9" w:type="dxa"/>
            <w:vAlign w:val="center"/>
          </w:tcPr>
          <w:p w14:paraId="32095FFD">
            <w:pPr>
              <w:widowControl/>
              <w:spacing w:line="440" w:lineRule="exact"/>
              <w:jc w:val="left"/>
              <w:rPr>
                <w:rFonts w:hint="eastAsia" w:ascii="仿宋" w:hAnsi="仿宋" w:eastAsia="仿宋" w:cs="仿宋"/>
                <w:color w:val="auto"/>
                <w:szCs w:val="21"/>
                <w:highlight w:val="none"/>
              </w:rPr>
            </w:pPr>
          </w:p>
        </w:tc>
        <w:tc>
          <w:tcPr>
            <w:tcW w:w="2268" w:type="dxa"/>
            <w:vAlign w:val="center"/>
          </w:tcPr>
          <w:p w14:paraId="322AA0BC">
            <w:pPr>
              <w:widowControl/>
              <w:spacing w:line="440" w:lineRule="exact"/>
              <w:jc w:val="left"/>
              <w:rPr>
                <w:rFonts w:hint="eastAsia" w:ascii="仿宋" w:hAnsi="仿宋" w:eastAsia="仿宋" w:cs="仿宋"/>
                <w:color w:val="auto"/>
                <w:szCs w:val="21"/>
                <w:highlight w:val="none"/>
              </w:rPr>
            </w:pPr>
          </w:p>
        </w:tc>
        <w:tc>
          <w:tcPr>
            <w:tcW w:w="1760" w:type="dxa"/>
          </w:tcPr>
          <w:p w14:paraId="1368D220">
            <w:pPr>
              <w:widowControl/>
              <w:spacing w:line="440" w:lineRule="exact"/>
              <w:jc w:val="left"/>
              <w:rPr>
                <w:rFonts w:hint="eastAsia" w:ascii="仿宋" w:hAnsi="仿宋" w:eastAsia="仿宋" w:cs="仿宋"/>
                <w:color w:val="auto"/>
                <w:szCs w:val="21"/>
                <w:highlight w:val="none"/>
              </w:rPr>
            </w:pPr>
          </w:p>
        </w:tc>
        <w:tc>
          <w:tcPr>
            <w:tcW w:w="1393" w:type="dxa"/>
            <w:vAlign w:val="center"/>
          </w:tcPr>
          <w:p w14:paraId="012C09C7">
            <w:pPr>
              <w:widowControl/>
              <w:spacing w:line="440" w:lineRule="exact"/>
              <w:jc w:val="left"/>
              <w:rPr>
                <w:rFonts w:hint="eastAsia" w:ascii="仿宋" w:hAnsi="仿宋" w:eastAsia="仿宋" w:cs="仿宋"/>
                <w:color w:val="auto"/>
                <w:szCs w:val="21"/>
                <w:highlight w:val="none"/>
              </w:rPr>
            </w:pPr>
          </w:p>
        </w:tc>
        <w:tc>
          <w:tcPr>
            <w:tcW w:w="3120" w:type="dxa"/>
            <w:vAlign w:val="center"/>
          </w:tcPr>
          <w:p w14:paraId="7362BE7E">
            <w:pPr>
              <w:widowControl/>
              <w:spacing w:line="440" w:lineRule="exact"/>
              <w:jc w:val="left"/>
              <w:rPr>
                <w:rFonts w:hint="eastAsia" w:ascii="仿宋" w:hAnsi="仿宋" w:eastAsia="仿宋" w:cs="仿宋"/>
                <w:color w:val="auto"/>
                <w:szCs w:val="21"/>
                <w:highlight w:val="none"/>
              </w:rPr>
            </w:pPr>
          </w:p>
        </w:tc>
      </w:tr>
      <w:tr w14:paraId="461A5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9" w:type="dxa"/>
            <w:vAlign w:val="center"/>
          </w:tcPr>
          <w:p w14:paraId="61424A13">
            <w:pPr>
              <w:widowControl/>
              <w:spacing w:line="440" w:lineRule="exact"/>
              <w:jc w:val="left"/>
              <w:rPr>
                <w:rFonts w:hint="eastAsia" w:ascii="仿宋" w:hAnsi="仿宋" w:eastAsia="仿宋" w:cs="仿宋"/>
                <w:color w:val="auto"/>
                <w:szCs w:val="21"/>
                <w:highlight w:val="none"/>
              </w:rPr>
            </w:pPr>
          </w:p>
        </w:tc>
        <w:tc>
          <w:tcPr>
            <w:tcW w:w="2268" w:type="dxa"/>
            <w:vAlign w:val="center"/>
          </w:tcPr>
          <w:p w14:paraId="075F2AE9">
            <w:pPr>
              <w:widowControl/>
              <w:spacing w:line="440" w:lineRule="exact"/>
              <w:jc w:val="left"/>
              <w:rPr>
                <w:rFonts w:hint="eastAsia" w:ascii="仿宋" w:hAnsi="仿宋" w:eastAsia="仿宋" w:cs="仿宋"/>
                <w:color w:val="auto"/>
                <w:szCs w:val="21"/>
                <w:highlight w:val="none"/>
              </w:rPr>
            </w:pPr>
          </w:p>
        </w:tc>
        <w:tc>
          <w:tcPr>
            <w:tcW w:w="1760" w:type="dxa"/>
          </w:tcPr>
          <w:p w14:paraId="5E24FBE8">
            <w:pPr>
              <w:widowControl/>
              <w:spacing w:line="440" w:lineRule="exact"/>
              <w:jc w:val="left"/>
              <w:rPr>
                <w:rFonts w:hint="eastAsia" w:ascii="仿宋" w:hAnsi="仿宋" w:eastAsia="仿宋" w:cs="仿宋"/>
                <w:color w:val="auto"/>
                <w:szCs w:val="21"/>
                <w:highlight w:val="none"/>
              </w:rPr>
            </w:pPr>
          </w:p>
        </w:tc>
        <w:tc>
          <w:tcPr>
            <w:tcW w:w="1393" w:type="dxa"/>
            <w:vAlign w:val="center"/>
          </w:tcPr>
          <w:p w14:paraId="612C10AF">
            <w:pPr>
              <w:widowControl/>
              <w:spacing w:line="440" w:lineRule="exact"/>
              <w:jc w:val="left"/>
              <w:rPr>
                <w:rFonts w:hint="eastAsia" w:ascii="仿宋" w:hAnsi="仿宋" w:eastAsia="仿宋" w:cs="仿宋"/>
                <w:color w:val="auto"/>
                <w:szCs w:val="21"/>
                <w:highlight w:val="none"/>
              </w:rPr>
            </w:pPr>
          </w:p>
        </w:tc>
        <w:tc>
          <w:tcPr>
            <w:tcW w:w="3120" w:type="dxa"/>
            <w:vAlign w:val="center"/>
          </w:tcPr>
          <w:p w14:paraId="54F6D643">
            <w:pPr>
              <w:widowControl/>
              <w:spacing w:line="440" w:lineRule="exact"/>
              <w:jc w:val="left"/>
              <w:rPr>
                <w:rFonts w:hint="eastAsia" w:ascii="仿宋" w:hAnsi="仿宋" w:eastAsia="仿宋" w:cs="仿宋"/>
                <w:color w:val="auto"/>
                <w:szCs w:val="21"/>
                <w:highlight w:val="none"/>
              </w:rPr>
            </w:pPr>
          </w:p>
        </w:tc>
      </w:tr>
      <w:tr w14:paraId="5904C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9" w:type="dxa"/>
            <w:vAlign w:val="center"/>
          </w:tcPr>
          <w:p w14:paraId="69482F0B">
            <w:pPr>
              <w:widowControl/>
              <w:spacing w:line="440" w:lineRule="exact"/>
              <w:jc w:val="left"/>
              <w:rPr>
                <w:rFonts w:hint="eastAsia" w:ascii="仿宋" w:hAnsi="仿宋" w:eastAsia="仿宋" w:cs="仿宋"/>
                <w:color w:val="auto"/>
                <w:szCs w:val="21"/>
                <w:highlight w:val="none"/>
              </w:rPr>
            </w:pPr>
          </w:p>
        </w:tc>
        <w:tc>
          <w:tcPr>
            <w:tcW w:w="2268" w:type="dxa"/>
            <w:vAlign w:val="center"/>
          </w:tcPr>
          <w:p w14:paraId="05FBE4A1">
            <w:pPr>
              <w:widowControl/>
              <w:spacing w:line="440" w:lineRule="exact"/>
              <w:jc w:val="left"/>
              <w:rPr>
                <w:rFonts w:hint="eastAsia" w:ascii="仿宋" w:hAnsi="仿宋" w:eastAsia="仿宋" w:cs="仿宋"/>
                <w:color w:val="auto"/>
                <w:szCs w:val="21"/>
                <w:highlight w:val="none"/>
              </w:rPr>
            </w:pPr>
          </w:p>
        </w:tc>
        <w:tc>
          <w:tcPr>
            <w:tcW w:w="1760" w:type="dxa"/>
          </w:tcPr>
          <w:p w14:paraId="462479ED">
            <w:pPr>
              <w:widowControl/>
              <w:spacing w:line="440" w:lineRule="exact"/>
              <w:jc w:val="left"/>
              <w:rPr>
                <w:rFonts w:hint="eastAsia" w:ascii="仿宋" w:hAnsi="仿宋" w:eastAsia="仿宋" w:cs="仿宋"/>
                <w:color w:val="auto"/>
                <w:szCs w:val="21"/>
                <w:highlight w:val="none"/>
              </w:rPr>
            </w:pPr>
          </w:p>
        </w:tc>
        <w:tc>
          <w:tcPr>
            <w:tcW w:w="1393" w:type="dxa"/>
            <w:vAlign w:val="center"/>
          </w:tcPr>
          <w:p w14:paraId="5467767C">
            <w:pPr>
              <w:widowControl/>
              <w:spacing w:line="440" w:lineRule="exact"/>
              <w:jc w:val="left"/>
              <w:rPr>
                <w:rFonts w:hint="eastAsia" w:ascii="仿宋" w:hAnsi="仿宋" w:eastAsia="仿宋" w:cs="仿宋"/>
                <w:color w:val="auto"/>
                <w:szCs w:val="21"/>
                <w:highlight w:val="none"/>
              </w:rPr>
            </w:pPr>
          </w:p>
        </w:tc>
        <w:tc>
          <w:tcPr>
            <w:tcW w:w="3120" w:type="dxa"/>
            <w:vAlign w:val="center"/>
          </w:tcPr>
          <w:p w14:paraId="32C1CFED">
            <w:pPr>
              <w:widowControl/>
              <w:spacing w:line="440" w:lineRule="exact"/>
              <w:jc w:val="left"/>
              <w:rPr>
                <w:rFonts w:hint="eastAsia" w:ascii="仿宋" w:hAnsi="仿宋" w:eastAsia="仿宋" w:cs="仿宋"/>
                <w:color w:val="auto"/>
                <w:szCs w:val="21"/>
                <w:highlight w:val="none"/>
              </w:rPr>
            </w:pPr>
          </w:p>
        </w:tc>
      </w:tr>
      <w:tr w14:paraId="0AF4B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9" w:type="dxa"/>
            <w:vAlign w:val="center"/>
          </w:tcPr>
          <w:p w14:paraId="7CD1B188">
            <w:pPr>
              <w:widowControl/>
              <w:spacing w:line="440" w:lineRule="exact"/>
              <w:jc w:val="left"/>
              <w:rPr>
                <w:rFonts w:hint="eastAsia" w:ascii="仿宋" w:hAnsi="仿宋" w:eastAsia="仿宋" w:cs="仿宋"/>
                <w:color w:val="auto"/>
                <w:szCs w:val="21"/>
                <w:highlight w:val="none"/>
              </w:rPr>
            </w:pPr>
          </w:p>
        </w:tc>
        <w:tc>
          <w:tcPr>
            <w:tcW w:w="2268" w:type="dxa"/>
            <w:vAlign w:val="center"/>
          </w:tcPr>
          <w:p w14:paraId="46F8000F">
            <w:pPr>
              <w:widowControl/>
              <w:spacing w:line="440" w:lineRule="exact"/>
              <w:jc w:val="left"/>
              <w:rPr>
                <w:rFonts w:hint="eastAsia" w:ascii="仿宋" w:hAnsi="仿宋" w:eastAsia="仿宋" w:cs="仿宋"/>
                <w:color w:val="auto"/>
                <w:szCs w:val="21"/>
                <w:highlight w:val="none"/>
              </w:rPr>
            </w:pPr>
          </w:p>
        </w:tc>
        <w:tc>
          <w:tcPr>
            <w:tcW w:w="1760" w:type="dxa"/>
          </w:tcPr>
          <w:p w14:paraId="58B06B6C">
            <w:pPr>
              <w:widowControl/>
              <w:spacing w:line="440" w:lineRule="exact"/>
              <w:jc w:val="left"/>
              <w:rPr>
                <w:rFonts w:hint="eastAsia" w:ascii="仿宋" w:hAnsi="仿宋" w:eastAsia="仿宋" w:cs="仿宋"/>
                <w:color w:val="auto"/>
                <w:szCs w:val="21"/>
                <w:highlight w:val="none"/>
              </w:rPr>
            </w:pPr>
          </w:p>
        </w:tc>
        <w:tc>
          <w:tcPr>
            <w:tcW w:w="1393" w:type="dxa"/>
            <w:vAlign w:val="center"/>
          </w:tcPr>
          <w:p w14:paraId="09983CAF">
            <w:pPr>
              <w:widowControl/>
              <w:spacing w:line="440" w:lineRule="exact"/>
              <w:jc w:val="left"/>
              <w:rPr>
                <w:rFonts w:hint="eastAsia" w:ascii="仿宋" w:hAnsi="仿宋" w:eastAsia="仿宋" w:cs="仿宋"/>
                <w:color w:val="auto"/>
                <w:szCs w:val="21"/>
                <w:highlight w:val="none"/>
              </w:rPr>
            </w:pPr>
          </w:p>
        </w:tc>
        <w:tc>
          <w:tcPr>
            <w:tcW w:w="3120" w:type="dxa"/>
            <w:vAlign w:val="center"/>
          </w:tcPr>
          <w:p w14:paraId="51294077">
            <w:pPr>
              <w:widowControl/>
              <w:spacing w:line="440" w:lineRule="exact"/>
              <w:jc w:val="left"/>
              <w:rPr>
                <w:rFonts w:hint="eastAsia" w:ascii="仿宋" w:hAnsi="仿宋" w:eastAsia="仿宋" w:cs="仿宋"/>
                <w:color w:val="auto"/>
                <w:szCs w:val="21"/>
                <w:highlight w:val="none"/>
              </w:rPr>
            </w:pPr>
          </w:p>
        </w:tc>
      </w:tr>
      <w:tr w14:paraId="3651D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9" w:type="dxa"/>
            <w:vAlign w:val="center"/>
          </w:tcPr>
          <w:p w14:paraId="6A9E15CA">
            <w:pPr>
              <w:widowControl/>
              <w:spacing w:line="440" w:lineRule="exact"/>
              <w:jc w:val="left"/>
              <w:rPr>
                <w:rFonts w:hint="eastAsia" w:ascii="仿宋" w:hAnsi="仿宋" w:eastAsia="仿宋" w:cs="仿宋"/>
                <w:color w:val="auto"/>
                <w:szCs w:val="21"/>
                <w:highlight w:val="none"/>
              </w:rPr>
            </w:pPr>
          </w:p>
        </w:tc>
        <w:tc>
          <w:tcPr>
            <w:tcW w:w="2268" w:type="dxa"/>
            <w:vAlign w:val="center"/>
          </w:tcPr>
          <w:p w14:paraId="104EB214">
            <w:pPr>
              <w:widowControl/>
              <w:spacing w:line="440" w:lineRule="exact"/>
              <w:jc w:val="left"/>
              <w:rPr>
                <w:rFonts w:hint="eastAsia" w:ascii="仿宋" w:hAnsi="仿宋" w:eastAsia="仿宋" w:cs="仿宋"/>
                <w:color w:val="auto"/>
                <w:szCs w:val="21"/>
                <w:highlight w:val="none"/>
              </w:rPr>
            </w:pPr>
          </w:p>
        </w:tc>
        <w:tc>
          <w:tcPr>
            <w:tcW w:w="1760" w:type="dxa"/>
          </w:tcPr>
          <w:p w14:paraId="4E45F076">
            <w:pPr>
              <w:widowControl/>
              <w:spacing w:line="440" w:lineRule="exact"/>
              <w:jc w:val="left"/>
              <w:rPr>
                <w:rFonts w:hint="eastAsia" w:ascii="仿宋" w:hAnsi="仿宋" w:eastAsia="仿宋" w:cs="仿宋"/>
                <w:color w:val="auto"/>
                <w:szCs w:val="21"/>
                <w:highlight w:val="none"/>
              </w:rPr>
            </w:pPr>
          </w:p>
        </w:tc>
        <w:tc>
          <w:tcPr>
            <w:tcW w:w="1393" w:type="dxa"/>
            <w:vAlign w:val="center"/>
          </w:tcPr>
          <w:p w14:paraId="7508FB36">
            <w:pPr>
              <w:widowControl/>
              <w:spacing w:line="440" w:lineRule="exact"/>
              <w:jc w:val="left"/>
              <w:rPr>
                <w:rFonts w:hint="eastAsia" w:ascii="仿宋" w:hAnsi="仿宋" w:eastAsia="仿宋" w:cs="仿宋"/>
                <w:color w:val="auto"/>
                <w:szCs w:val="21"/>
                <w:highlight w:val="none"/>
              </w:rPr>
            </w:pPr>
          </w:p>
        </w:tc>
        <w:tc>
          <w:tcPr>
            <w:tcW w:w="3120" w:type="dxa"/>
            <w:vAlign w:val="center"/>
          </w:tcPr>
          <w:p w14:paraId="335FB75A">
            <w:pPr>
              <w:widowControl/>
              <w:spacing w:line="440" w:lineRule="exact"/>
              <w:jc w:val="left"/>
              <w:rPr>
                <w:rFonts w:hint="eastAsia" w:ascii="仿宋" w:hAnsi="仿宋" w:eastAsia="仿宋" w:cs="仿宋"/>
                <w:color w:val="auto"/>
                <w:szCs w:val="21"/>
                <w:highlight w:val="none"/>
              </w:rPr>
            </w:pPr>
          </w:p>
        </w:tc>
      </w:tr>
      <w:tr w14:paraId="11E9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9" w:type="dxa"/>
            <w:vAlign w:val="center"/>
          </w:tcPr>
          <w:p w14:paraId="5485A7CC">
            <w:pPr>
              <w:widowControl/>
              <w:spacing w:line="44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2268" w:type="dxa"/>
            <w:vAlign w:val="center"/>
          </w:tcPr>
          <w:p w14:paraId="66F78C52">
            <w:pPr>
              <w:widowControl/>
              <w:spacing w:line="44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1760" w:type="dxa"/>
          </w:tcPr>
          <w:p w14:paraId="59237437">
            <w:pPr>
              <w:widowControl/>
              <w:spacing w:line="440" w:lineRule="exact"/>
              <w:jc w:val="left"/>
              <w:rPr>
                <w:rFonts w:hint="eastAsia" w:ascii="仿宋" w:hAnsi="仿宋" w:eastAsia="仿宋" w:cs="仿宋"/>
                <w:color w:val="auto"/>
                <w:szCs w:val="21"/>
                <w:highlight w:val="none"/>
              </w:rPr>
            </w:pPr>
          </w:p>
        </w:tc>
        <w:tc>
          <w:tcPr>
            <w:tcW w:w="1393" w:type="dxa"/>
            <w:vAlign w:val="center"/>
          </w:tcPr>
          <w:p w14:paraId="527C17E8">
            <w:pPr>
              <w:widowControl/>
              <w:spacing w:line="440" w:lineRule="exact"/>
              <w:jc w:val="left"/>
              <w:rPr>
                <w:rFonts w:hint="eastAsia" w:ascii="仿宋" w:hAnsi="仿宋" w:eastAsia="仿宋" w:cs="仿宋"/>
                <w:color w:val="auto"/>
                <w:szCs w:val="21"/>
                <w:highlight w:val="none"/>
              </w:rPr>
            </w:pPr>
          </w:p>
        </w:tc>
        <w:tc>
          <w:tcPr>
            <w:tcW w:w="3120" w:type="dxa"/>
            <w:vAlign w:val="center"/>
          </w:tcPr>
          <w:p w14:paraId="1C51395A">
            <w:pPr>
              <w:widowControl/>
              <w:spacing w:line="440" w:lineRule="exact"/>
              <w:jc w:val="left"/>
              <w:rPr>
                <w:rFonts w:hint="eastAsia" w:ascii="仿宋" w:hAnsi="仿宋" w:eastAsia="仿宋" w:cs="仿宋"/>
                <w:color w:val="auto"/>
                <w:szCs w:val="21"/>
                <w:highlight w:val="none"/>
              </w:rPr>
            </w:pPr>
          </w:p>
        </w:tc>
      </w:tr>
      <w:tr w14:paraId="4B66B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9" w:type="dxa"/>
            <w:vAlign w:val="center"/>
          </w:tcPr>
          <w:p w14:paraId="3A2C13A2">
            <w:pPr>
              <w:widowControl/>
              <w:spacing w:line="440" w:lineRule="exact"/>
              <w:jc w:val="left"/>
              <w:rPr>
                <w:rFonts w:hint="eastAsia" w:ascii="仿宋" w:hAnsi="仿宋" w:eastAsia="仿宋" w:cs="仿宋"/>
                <w:color w:val="auto"/>
                <w:szCs w:val="21"/>
                <w:highlight w:val="none"/>
              </w:rPr>
            </w:pPr>
          </w:p>
        </w:tc>
        <w:tc>
          <w:tcPr>
            <w:tcW w:w="2268" w:type="dxa"/>
            <w:vAlign w:val="center"/>
          </w:tcPr>
          <w:p w14:paraId="7259A964">
            <w:pPr>
              <w:widowControl/>
              <w:spacing w:line="440" w:lineRule="exact"/>
              <w:jc w:val="left"/>
              <w:rPr>
                <w:rFonts w:hint="eastAsia" w:ascii="仿宋" w:hAnsi="仿宋" w:eastAsia="仿宋" w:cs="仿宋"/>
                <w:color w:val="auto"/>
                <w:szCs w:val="21"/>
                <w:highlight w:val="none"/>
              </w:rPr>
            </w:pPr>
          </w:p>
        </w:tc>
        <w:tc>
          <w:tcPr>
            <w:tcW w:w="1760" w:type="dxa"/>
          </w:tcPr>
          <w:p w14:paraId="2BED5F7E">
            <w:pPr>
              <w:widowControl/>
              <w:spacing w:line="440" w:lineRule="exact"/>
              <w:jc w:val="left"/>
              <w:rPr>
                <w:rFonts w:hint="eastAsia" w:ascii="仿宋" w:hAnsi="仿宋" w:eastAsia="仿宋" w:cs="仿宋"/>
                <w:color w:val="auto"/>
                <w:szCs w:val="21"/>
                <w:highlight w:val="none"/>
              </w:rPr>
            </w:pPr>
          </w:p>
        </w:tc>
        <w:tc>
          <w:tcPr>
            <w:tcW w:w="1393" w:type="dxa"/>
            <w:vAlign w:val="center"/>
          </w:tcPr>
          <w:p w14:paraId="27F37E8F">
            <w:pPr>
              <w:widowControl/>
              <w:spacing w:line="440" w:lineRule="exact"/>
              <w:jc w:val="left"/>
              <w:rPr>
                <w:rFonts w:hint="eastAsia" w:ascii="仿宋" w:hAnsi="仿宋" w:eastAsia="仿宋" w:cs="仿宋"/>
                <w:color w:val="auto"/>
                <w:szCs w:val="21"/>
                <w:highlight w:val="none"/>
              </w:rPr>
            </w:pPr>
          </w:p>
        </w:tc>
        <w:tc>
          <w:tcPr>
            <w:tcW w:w="3120" w:type="dxa"/>
            <w:vAlign w:val="center"/>
          </w:tcPr>
          <w:p w14:paraId="59E0C046">
            <w:pPr>
              <w:widowControl/>
              <w:spacing w:line="440" w:lineRule="exact"/>
              <w:jc w:val="left"/>
              <w:rPr>
                <w:rFonts w:hint="eastAsia" w:ascii="仿宋" w:hAnsi="仿宋" w:eastAsia="仿宋" w:cs="仿宋"/>
                <w:color w:val="auto"/>
                <w:szCs w:val="21"/>
                <w:highlight w:val="none"/>
              </w:rPr>
            </w:pPr>
          </w:p>
        </w:tc>
      </w:tr>
      <w:tr w14:paraId="24046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9" w:type="dxa"/>
            <w:vAlign w:val="center"/>
          </w:tcPr>
          <w:p w14:paraId="684BB1F5">
            <w:pPr>
              <w:widowControl/>
              <w:spacing w:line="440" w:lineRule="exact"/>
              <w:jc w:val="left"/>
              <w:rPr>
                <w:rFonts w:hint="eastAsia" w:ascii="仿宋" w:hAnsi="仿宋" w:eastAsia="仿宋" w:cs="仿宋"/>
                <w:color w:val="auto"/>
                <w:szCs w:val="21"/>
                <w:highlight w:val="none"/>
              </w:rPr>
            </w:pPr>
          </w:p>
        </w:tc>
        <w:tc>
          <w:tcPr>
            <w:tcW w:w="2268" w:type="dxa"/>
            <w:vAlign w:val="center"/>
          </w:tcPr>
          <w:p w14:paraId="32F1A5ED">
            <w:pPr>
              <w:widowControl/>
              <w:spacing w:line="440" w:lineRule="exact"/>
              <w:jc w:val="left"/>
              <w:rPr>
                <w:rFonts w:hint="eastAsia" w:ascii="仿宋" w:hAnsi="仿宋" w:eastAsia="仿宋" w:cs="仿宋"/>
                <w:color w:val="auto"/>
                <w:szCs w:val="21"/>
                <w:highlight w:val="none"/>
              </w:rPr>
            </w:pPr>
          </w:p>
        </w:tc>
        <w:tc>
          <w:tcPr>
            <w:tcW w:w="1760" w:type="dxa"/>
          </w:tcPr>
          <w:p w14:paraId="49124983">
            <w:pPr>
              <w:widowControl/>
              <w:spacing w:line="440" w:lineRule="exact"/>
              <w:jc w:val="left"/>
              <w:rPr>
                <w:rFonts w:hint="eastAsia" w:ascii="仿宋" w:hAnsi="仿宋" w:eastAsia="仿宋" w:cs="仿宋"/>
                <w:color w:val="auto"/>
                <w:szCs w:val="21"/>
                <w:highlight w:val="none"/>
              </w:rPr>
            </w:pPr>
          </w:p>
        </w:tc>
        <w:tc>
          <w:tcPr>
            <w:tcW w:w="1393" w:type="dxa"/>
            <w:vAlign w:val="center"/>
          </w:tcPr>
          <w:p w14:paraId="3016F1BE">
            <w:pPr>
              <w:widowControl/>
              <w:spacing w:line="440" w:lineRule="exact"/>
              <w:jc w:val="left"/>
              <w:rPr>
                <w:rFonts w:hint="eastAsia" w:ascii="仿宋" w:hAnsi="仿宋" w:eastAsia="仿宋" w:cs="仿宋"/>
                <w:color w:val="auto"/>
                <w:szCs w:val="21"/>
                <w:highlight w:val="none"/>
              </w:rPr>
            </w:pPr>
          </w:p>
        </w:tc>
        <w:tc>
          <w:tcPr>
            <w:tcW w:w="3120" w:type="dxa"/>
            <w:vAlign w:val="center"/>
          </w:tcPr>
          <w:p w14:paraId="6BECCC75">
            <w:pPr>
              <w:widowControl/>
              <w:spacing w:line="440" w:lineRule="exact"/>
              <w:jc w:val="left"/>
              <w:rPr>
                <w:rFonts w:hint="eastAsia" w:ascii="仿宋" w:hAnsi="仿宋" w:eastAsia="仿宋" w:cs="仿宋"/>
                <w:color w:val="auto"/>
                <w:szCs w:val="21"/>
                <w:highlight w:val="none"/>
              </w:rPr>
            </w:pPr>
          </w:p>
        </w:tc>
      </w:tr>
      <w:tr w14:paraId="5E16F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9" w:type="dxa"/>
            <w:vAlign w:val="center"/>
          </w:tcPr>
          <w:p w14:paraId="44A14D28">
            <w:pPr>
              <w:widowControl/>
              <w:spacing w:line="440" w:lineRule="exact"/>
              <w:jc w:val="left"/>
              <w:rPr>
                <w:rFonts w:hint="eastAsia" w:ascii="仿宋" w:hAnsi="仿宋" w:eastAsia="仿宋" w:cs="仿宋"/>
                <w:b/>
                <w:color w:val="auto"/>
                <w:szCs w:val="21"/>
                <w:highlight w:val="none"/>
              </w:rPr>
            </w:pPr>
          </w:p>
        </w:tc>
        <w:tc>
          <w:tcPr>
            <w:tcW w:w="2268" w:type="dxa"/>
            <w:vAlign w:val="center"/>
          </w:tcPr>
          <w:p w14:paraId="15F72518">
            <w:pPr>
              <w:widowControl/>
              <w:spacing w:line="440" w:lineRule="exact"/>
              <w:jc w:val="left"/>
              <w:rPr>
                <w:rFonts w:hint="eastAsia" w:ascii="仿宋" w:hAnsi="仿宋" w:eastAsia="仿宋" w:cs="仿宋"/>
                <w:b/>
                <w:color w:val="auto"/>
                <w:szCs w:val="21"/>
                <w:highlight w:val="none"/>
              </w:rPr>
            </w:pPr>
          </w:p>
        </w:tc>
        <w:tc>
          <w:tcPr>
            <w:tcW w:w="1760" w:type="dxa"/>
          </w:tcPr>
          <w:p w14:paraId="2F00AE6D">
            <w:pPr>
              <w:widowControl/>
              <w:spacing w:line="440" w:lineRule="exact"/>
              <w:jc w:val="left"/>
              <w:rPr>
                <w:rFonts w:hint="eastAsia" w:ascii="仿宋" w:hAnsi="仿宋" w:eastAsia="仿宋" w:cs="仿宋"/>
                <w:b/>
                <w:color w:val="auto"/>
                <w:szCs w:val="21"/>
                <w:highlight w:val="none"/>
              </w:rPr>
            </w:pPr>
          </w:p>
        </w:tc>
        <w:tc>
          <w:tcPr>
            <w:tcW w:w="1393" w:type="dxa"/>
            <w:vAlign w:val="center"/>
          </w:tcPr>
          <w:p w14:paraId="52C8ECBB">
            <w:pPr>
              <w:widowControl/>
              <w:spacing w:line="440" w:lineRule="exact"/>
              <w:jc w:val="left"/>
              <w:rPr>
                <w:rFonts w:hint="eastAsia" w:ascii="仿宋" w:hAnsi="仿宋" w:eastAsia="仿宋" w:cs="仿宋"/>
                <w:b/>
                <w:color w:val="auto"/>
                <w:szCs w:val="21"/>
                <w:highlight w:val="none"/>
              </w:rPr>
            </w:pPr>
          </w:p>
        </w:tc>
        <w:tc>
          <w:tcPr>
            <w:tcW w:w="3120" w:type="dxa"/>
            <w:vAlign w:val="center"/>
          </w:tcPr>
          <w:p w14:paraId="470BDE96">
            <w:pPr>
              <w:widowControl/>
              <w:spacing w:line="440" w:lineRule="exact"/>
              <w:jc w:val="left"/>
              <w:rPr>
                <w:rFonts w:hint="eastAsia" w:ascii="仿宋" w:hAnsi="仿宋" w:eastAsia="仿宋" w:cs="仿宋"/>
                <w:b/>
                <w:color w:val="auto"/>
                <w:szCs w:val="21"/>
                <w:highlight w:val="none"/>
              </w:rPr>
            </w:pPr>
          </w:p>
        </w:tc>
      </w:tr>
    </w:tbl>
    <w:p w14:paraId="5C5150F7">
      <w:pPr>
        <w:shd w:val="clear" w:color="auto" w:fill="FFFFFF"/>
        <w:spacing w:line="420" w:lineRule="exact"/>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注：</w:t>
      </w:r>
      <w:r>
        <w:rPr>
          <w:rFonts w:hint="eastAsia" w:ascii="仿宋" w:hAnsi="仿宋" w:eastAsia="仿宋" w:cs="仿宋"/>
          <w:b/>
          <w:color w:val="auto"/>
          <w:sz w:val="24"/>
          <w:highlight w:val="none"/>
          <w:lang w:eastAsia="zh-CN"/>
        </w:rPr>
        <w:t>按招标文件要求</w:t>
      </w:r>
      <w:r>
        <w:rPr>
          <w:rFonts w:hint="eastAsia" w:ascii="仿宋" w:hAnsi="仿宋" w:eastAsia="仿宋" w:cs="仿宋"/>
          <w:b/>
          <w:color w:val="auto"/>
          <w:sz w:val="24"/>
          <w:highlight w:val="none"/>
        </w:rPr>
        <w:t>提供业绩证明资料</w:t>
      </w:r>
      <w:r>
        <w:rPr>
          <w:rFonts w:hint="eastAsia" w:ascii="仿宋" w:hAnsi="仿宋" w:eastAsia="仿宋" w:cs="仿宋"/>
          <w:color w:val="auto"/>
          <w:kern w:val="0"/>
          <w:sz w:val="24"/>
          <w:highlight w:val="none"/>
        </w:rPr>
        <w:t>。</w:t>
      </w:r>
    </w:p>
    <w:p w14:paraId="55F8FFC6">
      <w:pPr>
        <w:shd w:val="clear" w:color="auto" w:fill="FFFFFF"/>
        <w:spacing w:line="440" w:lineRule="exact"/>
        <w:rPr>
          <w:rFonts w:hint="eastAsia" w:ascii="仿宋" w:hAnsi="仿宋" w:eastAsia="仿宋" w:cs="仿宋"/>
          <w:b/>
          <w:color w:val="auto"/>
          <w:szCs w:val="21"/>
          <w:highlight w:val="none"/>
        </w:rPr>
      </w:pPr>
    </w:p>
    <w:p w14:paraId="3DF43F4D">
      <w:pPr>
        <w:pStyle w:val="305"/>
        <w:shd w:val="clear" w:color="auto" w:fill="FFFFFF"/>
        <w:snapToGrid w:val="0"/>
        <w:spacing w:line="400" w:lineRule="exact"/>
        <w:rPr>
          <w:rFonts w:hint="eastAsia" w:ascii="仿宋" w:hAnsi="仿宋" w:eastAsia="仿宋" w:cs="仿宋"/>
          <w:color w:val="auto"/>
          <w:sz w:val="24"/>
          <w:highlight w:val="none"/>
        </w:rPr>
      </w:pPr>
    </w:p>
    <w:p w14:paraId="42FD6232">
      <w:pPr>
        <w:pStyle w:val="305"/>
        <w:shd w:val="clear" w:color="auto" w:fill="FFFFFF"/>
        <w:snapToGrid w:val="0"/>
        <w:spacing w:line="400" w:lineRule="exact"/>
        <w:rPr>
          <w:rFonts w:hint="eastAsia" w:ascii="仿宋" w:hAnsi="仿宋" w:eastAsia="仿宋" w:cs="仿宋"/>
          <w:color w:val="auto"/>
          <w:sz w:val="24"/>
          <w:highlight w:val="none"/>
        </w:rPr>
      </w:pPr>
    </w:p>
    <w:p w14:paraId="40C28D42">
      <w:pPr>
        <w:pStyle w:val="305"/>
        <w:shd w:val="clear" w:color="auto" w:fill="FFFFFF"/>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供应商（公章）：</w:t>
      </w:r>
    </w:p>
    <w:p w14:paraId="36FE1C12">
      <w:pPr>
        <w:pStyle w:val="305"/>
        <w:shd w:val="clear" w:color="auto" w:fill="FFFFFF"/>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法定代表人（签字或签章）：</w:t>
      </w:r>
    </w:p>
    <w:p w14:paraId="2C8BE693">
      <w:pPr>
        <w:pStyle w:val="305"/>
        <w:shd w:val="clear" w:color="auto" w:fill="FFFFFF"/>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授权代理人（签字或签章）：</w:t>
      </w:r>
    </w:p>
    <w:p w14:paraId="44AFF0E2">
      <w:pPr>
        <w:pStyle w:val="305"/>
        <w:shd w:val="clear" w:color="auto" w:fill="FFFFFF"/>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 w:val="24"/>
          <w:highlight w:val="none"/>
        </w:rPr>
        <w:t>日期：  年  月  日</w:t>
      </w:r>
    </w:p>
    <w:p w14:paraId="19CB849E">
      <w:pPr>
        <w:widowControl/>
        <w:jc w:val="left"/>
        <w:rPr>
          <w:rFonts w:hint="eastAsia" w:ascii="仿宋" w:hAnsi="仿宋" w:eastAsia="仿宋" w:cs="仿宋"/>
          <w:b/>
          <w:bCs/>
          <w:color w:val="auto"/>
          <w:kern w:val="0"/>
          <w:sz w:val="24"/>
          <w:highlight w:val="none"/>
        </w:rPr>
      </w:pPr>
    </w:p>
    <w:p w14:paraId="6989AE9F">
      <w:pPr>
        <w:widowControl/>
        <w:jc w:val="left"/>
        <w:rPr>
          <w:rFonts w:hint="eastAsia" w:ascii="仿宋" w:hAnsi="仿宋" w:eastAsia="仿宋" w:cs="仿宋"/>
          <w:b/>
          <w:bCs/>
          <w:color w:val="auto"/>
          <w:kern w:val="0"/>
          <w:sz w:val="24"/>
          <w:highlight w:val="none"/>
        </w:rPr>
      </w:pPr>
    </w:p>
    <w:p w14:paraId="3F29DD26">
      <w:pPr>
        <w:widowControl/>
        <w:jc w:val="left"/>
        <w:rPr>
          <w:rFonts w:hint="eastAsia" w:ascii="仿宋" w:hAnsi="仿宋" w:eastAsia="仿宋" w:cs="仿宋"/>
          <w:b/>
          <w:bCs/>
          <w:color w:val="auto"/>
          <w:kern w:val="0"/>
          <w:sz w:val="24"/>
          <w:highlight w:val="none"/>
        </w:rPr>
      </w:pPr>
    </w:p>
    <w:p w14:paraId="0BB0630E">
      <w:pPr>
        <w:widowControl/>
        <w:jc w:val="left"/>
        <w:rPr>
          <w:rFonts w:hint="eastAsia" w:ascii="仿宋" w:hAnsi="仿宋" w:eastAsia="仿宋" w:cs="仿宋"/>
          <w:b/>
          <w:bCs/>
          <w:color w:val="auto"/>
          <w:kern w:val="0"/>
          <w:sz w:val="24"/>
          <w:highlight w:val="none"/>
        </w:rPr>
      </w:pPr>
    </w:p>
    <w:p w14:paraId="77ADCAE2">
      <w:pPr>
        <w:widowControl/>
        <w:jc w:val="left"/>
        <w:rPr>
          <w:rFonts w:hint="eastAsia" w:ascii="仿宋" w:hAnsi="仿宋" w:eastAsia="仿宋" w:cs="仿宋"/>
          <w:b/>
          <w:bCs/>
          <w:color w:val="auto"/>
          <w:kern w:val="0"/>
          <w:sz w:val="24"/>
          <w:highlight w:val="none"/>
        </w:rPr>
      </w:pPr>
    </w:p>
    <w:p w14:paraId="61F4EB5A">
      <w:pPr>
        <w:widowControl/>
        <w:jc w:val="left"/>
        <w:rPr>
          <w:rFonts w:hint="eastAsia" w:ascii="仿宋" w:hAnsi="仿宋" w:eastAsia="仿宋" w:cs="仿宋"/>
          <w:b/>
          <w:bCs/>
          <w:color w:val="auto"/>
          <w:kern w:val="0"/>
          <w:sz w:val="24"/>
          <w:highlight w:val="none"/>
        </w:rPr>
      </w:pPr>
    </w:p>
    <w:p w14:paraId="21F11C1B">
      <w:pPr>
        <w:widowControl/>
        <w:jc w:val="left"/>
        <w:rPr>
          <w:rFonts w:hint="eastAsia" w:ascii="仿宋" w:hAnsi="仿宋" w:eastAsia="仿宋" w:cs="仿宋"/>
          <w:b/>
          <w:bCs/>
          <w:color w:val="auto"/>
          <w:kern w:val="0"/>
          <w:sz w:val="24"/>
          <w:highlight w:val="none"/>
        </w:rPr>
      </w:pPr>
    </w:p>
    <w:p w14:paraId="1222419D">
      <w:pPr>
        <w:widowControl/>
        <w:jc w:val="left"/>
        <w:rPr>
          <w:rFonts w:hint="eastAsia" w:ascii="仿宋" w:hAnsi="仿宋" w:eastAsia="仿宋" w:cs="仿宋"/>
          <w:b/>
          <w:bCs/>
          <w:color w:val="auto"/>
          <w:kern w:val="0"/>
          <w:sz w:val="24"/>
          <w:highlight w:val="none"/>
        </w:rPr>
      </w:pPr>
    </w:p>
    <w:p w14:paraId="6E7EB769">
      <w:pPr>
        <w:widowControl/>
        <w:jc w:val="left"/>
        <w:rPr>
          <w:rFonts w:hint="eastAsia" w:ascii="仿宋" w:hAnsi="仿宋" w:eastAsia="仿宋" w:cs="仿宋"/>
          <w:b/>
          <w:bCs/>
          <w:color w:val="auto"/>
          <w:kern w:val="0"/>
          <w:sz w:val="24"/>
          <w:highlight w:val="none"/>
        </w:rPr>
      </w:pPr>
    </w:p>
    <w:p w14:paraId="247C5FE6">
      <w:pPr>
        <w:widowControl/>
        <w:jc w:val="lef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br w:type="page"/>
      </w:r>
    </w:p>
    <w:p w14:paraId="345A9509">
      <w:pPr>
        <w:widowControl/>
        <w:jc w:val="left"/>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eastAsia="zh-CN"/>
        </w:rPr>
        <w:t>附件十</w:t>
      </w:r>
      <w:r>
        <w:rPr>
          <w:rFonts w:hint="eastAsia" w:ascii="仿宋" w:hAnsi="仿宋" w:eastAsia="仿宋" w:cs="仿宋"/>
          <w:b/>
          <w:bCs/>
          <w:color w:val="auto"/>
          <w:kern w:val="0"/>
          <w:sz w:val="24"/>
          <w:highlight w:val="none"/>
          <w:lang w:val="en-US" w:eastAsia="zh-CN"/>
        </w:rPr>
        <w:t xml:space="preserve">  售后服务承诺</w:t>
      </w:r>
    </w:p>
    <w:p w14:paraId="4115A61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kern w:val="0"/>
          <w:sz w:val="24"/>
          <w:highlight w:val="none"/>
          <w:lang w:val="en-US" w:eastAsia="zh-CN"/>
        </w:rPr>
      </w:pPr>
    </w:p>
    <w:p w14:paraId="77838E6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包括但不限于以下内容：</w:t>
      </w:r>
    </w:p>
    <w:p w14:paraId="6CA6D7A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①维保期承诺</w:t>
      </w:r>
    </w:p>
    <w:p w14:paraId="3CFFEC5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②本地化服务（如有）</w:t>
      </w:r>
    </w:p>
    <w:p w14:paraId="475FAB5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③售后服务内容、故障响应时间、售后服务人员安排、服务保障计划及措施、培训方案等</w:t>
      </w:r>
    </w:p>
    <w:p w14:paraId="07F0D2CE">
      <w:pPr>
        <w:widowControl/>
        <w:jc w:val="left"/>
        <w:rPr>
          <w:rFonts w:hint="eastAsia" w:ascii="仿宋" w:hAnsi="仿宋" w:eastAsia="仿宋" w:cs="仿宋"/>
          <w:b/>
          <w:bCs/>
          <w:color w:val="auto"/>
          <w:kern w:val="0"/>
          <w:sz w:val="24"/>
          <w:highlight w:val="none"/>
          <w:lang w:eastAsia="zh-CN"/>
        </w:rPr>
      </w:pPr>
    </w:p>
    <w:p w14:paraId="087F8DF3">
      <w:pP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br w:type="page"/>
      </w:r>
    </w:p>
    <w:p w14:paraId="0451FD76">
      <w:pPr>
        <w:widowControl/>
        <w:jc w:val="lef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附件十</w:t>
      </w:r>
      <w:r>
        <w:rPr>
          <w:rFonts w:hint="eastAsia" w:ascii="仿宋" w:hAnsi="仿宋" w:eastAsia="仿宋" w:cs="仿宋"/>
          <w:b/>
          <w:bCs/>
          <w:color w:val="auto"/>
          <w:kern w:val="0"/>
          <w:sz w:val="24"/>
          <w:highlight w:val="none"/>
          <w:lang w:eastAsia="zh-CN"/>
        </w:rPr>
        <w:t>一</w:t>
      </w:r>
      <w:r>
        <w:rPr>
          <w:rFonts w:hint="eastAsia" w:ascii="仿宋" w:hAnsi="仿宋" w:eastAsia="仿宋" w:cs="仿宋"/>
          <w:b/>
          <w:bCs/>
          <w:color w:val="auto"/>
          <w:kern w:val="0"/>
          <w:sz w:val="24"/>
          <w:highlight w:val="none"/>
        </w:rPr>
        <w:t xml:space="preserve">  供应商认为有必要提供的其他资料</w:t>
      </w:r>
    </w:p>
    <w:p w14:paraId="4826DDA8">
      <w:pPr>
        <w:widowControl/>
        <w:rPr>
          <w:rFonts w:hint="eastAsia" w:ascii="仿宋" w:hAnsi="仿宋" w:eastAsia="仿宋" w:cs="仿宋"/>
          <w:color w:val="auto"/>
          <w:sz w:val="24"/>
          <w:highlight w:val="none"/>
        </w:rPr>
      </w:pPr>
    </w:p>
    <w:p w14:paraId="4D481040">
      <w:pPr>
        <w:widowControl/>
        <w:jc w:val="lef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eastAsia="zh-CN"/>
        </w:rPr>
        <w:t>附：</w:t>
      </w:r>
      <w:r>
        <w:rPr>
          <w:rFonts w:hint="eastAsia" w:ascii="仿宋" w:hAnsi="仿宋" w:eastAsia="仿宋" w:cs="仿宋"/>
          <w:b/>
          <w:bCs/>
          <w:color w:val="auto"/>
          <w:kern w:val="0"/>
          <w:sz w:val="24"/>
          <w:highlight w:val="none"/>
        </w:rPr>
        <w:t>中小企业声明函格式</w:t>
      </w:r>
    </w:p>
    <w:p w14:paraId="295F6DD0">
      <w:pPr>
        <w:widowControl/>
        <w:rPr>
          <w:rFonts w:hint="eastAsia" w:ascii="仿宋" w:hAnsi="仿宋" w:eastAsia="仿宋" w:cs="仿宋"/>
          <w:color w:val="auto"/>
          <w:sz w:val="24"/>
          <w:highlight w:val="none"/>
        </w:rPr>
      </w:pPr>
    </w:p>
    <w:p w14:paraId="3775B738">
      <w:pPr>
        <w:shd w:val="clear" w:color="auto" w:fill="FFFFFF"/>
        <w:spacing w:line="440" w:lineRule="exact"/>
        <w:jc w:val="center"/>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中小企业声明函</w:t>
      </w:r>
    </w:p>
    <w:p w14:paraId="1ED7B751">
      <w:pPr>
        <w:widowControl/>
        <w:jc w:val="left"/>
        <w:rPr>
          <w:rFonts w:hint="eastAsia" w:ascii="仿宋" w:hAnsi="仿宋" w:eastAsia="仿宋" w:cs="仿宋"/>
          <w:color w:val="auto"/>
          <w:sz w:val="24"/>
          <w:highlight w:val="none"/>
        </w:rPr>
      </w:pPr>
    </w:p>
    <w:p w14:paraId="0B13C662">
      <w:pPr>
        <w:pStyle w:val="740"/>
        <w:spacing w:line="44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本公司郑重声明，根据《政府采购促进中小企业发展管理办法》（财库[2020]46号）的规定，本公司参加</w:t>
      </w:r>
      <w:r>
        <w:rPr>
          <w:rFonts w:hint="eastAsia" w:ascii="仿宋" w:hAnsi="仿宋" w:eastAsia="仿宋" w:cs="仿宋"/>
          <w:color w:val="auto"/>
          <w:spacing w:val="6"/>
          <w:sz w:val="24"/>
          <w:szCs w:val="24"/>
          <w:highlight w:val="none"/>
          <w:u w:val="single"/>
        </w:rPr>
        <w:t xml:space="preserve">（单位名称）  </w:t>
      </w:r>
      <w:r>
        <w:rPr>
          <w:rFonts w:hint="eastAsia" w:ascii="仿宋" w:hAnsi="仿宋" w:eastAsia="仿宋" w:cs="仿宋"/>
          <w:color w:val="auto"/>
          <w:spacing w:val="6"/>
          <w:sz w:val="24"/>
          <w:szCs w:val="24"/>
          <w:highlight w:val="none"/>
        </w:rPr>
        <w:t>的</w:t>
      </w:r>
      <w:r>
        <w:rPr>
          <w:rFonts w:hint="eastAsia" w:ascii="仿宋" w:hAnsi="仿宋" w:eastAsia="仿宋" w:cs="仿宋"/>
          <w:color w:val="auto"/>
          <w:spacing w:val="6"/>
          <w:sz w:val="24"/>
          <w:szCs w:val="24"/>
          <w:highlight w:val="none"/>
          <w:u w:val="single"/>
        </w:rPr>
        <w:t xml:space="preserve"> （项目名称）</w:t>
      </w:r>
      <w:r>
        <w:rPr>
          <w:rFonts w:hint="eastAsia" w:ascii="仿宋" w:hAnsi="仿宋" w:eastAsia="仿宋" w:cs="仿宋"/>
          <w:color w:val="auto"/>
          <w:spacing w:val="6"/>
          <w:sz w:val="24"/>
          <w:szCs w:val="24"/>
          <w:highlight w:val="none"/>
        </w:rPr>
        <w:t>采购活动，服务全部由符合政策要求的中小企业承接。相关企业的具体情况如下：</w:t>
      </w:r>
    </w:p>
    <w:p w14:paraId="7049A0DE">
      <w:pPr>
        <w:pStyle w:val="740"/>
        <w:spacing w:line="44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1.</w:t>
      </w:r>
      <w:r>
        <w:rPr>
          <w:rFonts w:hint="eastAsia" w:ascii="仿宋" w:hAnsi="仿宋" w:eastAsia="仿宋" w:cs="仿宋"/>
          <w:color w:val="auto"/>
          <w:spacing w:val="6"/>
          <w:sz w:val="24"/>
          <w:szCs w:val="24"/>
          <w:highlight w:val="none"/>
          <w:u w:val="single"/>
        </w:rPr>
        <w:t>（标的名称）</w:t>
      </w:r>
      <w:r>
        <w:rPr>
          <w:rFonts w:hint="eastAsia" w:ascii="仿宋" w:hAnsi="仿宋" w:eastAsia="仿宋" w:cs="仿宋"/>
          <w:color w:val="auto"/>
          <w:spacing w:val="6"/>
          <w:sz w:val="24"/>
          <w:szCs w:val="24"/>
          <w:highlight w:val="none"/>
        </w:rPr>
        <w:t xml:space="preserve"> ，属于</w:t>
      </w:r>
      <w:r>
        <w:rPr>
          <w:rFonts w:hint="eastAsia" w:ascii="仿宋" w:hAnsi="仿宋" w:eastAsia="仿宋" w:cs="仿宋"/>
          <w:color w:val="auto"/>
          <w:spacing w:val="6"/>
          <w:sz w:val="24"/>
          <w:szCs w:val="24"/>
          <w:highlight w:val="none"/>
          <w:u w:val="single"/>
        </w:rPr>
        <w:t xml:space="preserve">  （按照《前附表》明确的所属行业填写）  </w:t>
      </w:r>
      <w:r>
        <w:rPr>
          <w:rFonts w:hint="eastAsia" w:ascii="仿宋" w:hAnsi="仿宋" w:eastAsia="仿宋" w:cs="仿宋"/>
          <w:color w:val="auto"/>
          <w:spacing w:val="6"/>
          <w:sz w:val="24"/>
          <w:szCs w:val="24"/>
          <w:highlight w:val="none"/>
        </w:rPr>
        <w:t xml:space="preserve">；承建（服务承接）企业为 </w:t>
      </w:r>
      <w:r>
        <w:rPr>
          <w:rFonts w:hint="eastAsia" w:ascii="仿宋" w:hAnsi="仿宋" w:eastAsia="仿宋" w:cs="仿宋"/>
          <w:color w:val="auto"/>
          <w:spacing w:val="6"/>
          <w:sz w:val="24"/>
          <w:szCs w:val="24"/>
          <w:highlight w:val="none"/>
          <w:u w:val="single"/>
        </w:rPr>
        <w:t xml:space="preserve">  （企业名称）  </w:t>
      </w:r>
      <w:r>
        <w:rPr>
          <w:rFonts w:hint="eastAsia" w:ascii="仿宋" w:hAnsi="仿宋" w:eastAsia="仿宋" w:cs="仿宋"/>
          <w:color w:val="auto"/>
          <w:spacing w:val="6"/>
          <w:sz w:val="24"/>
          <w:szCs w:val="24"/>
          <w:highlight w:val="none"/>
        </w:rPr>
        <w:t>，从业人员</w:t>
      </w:r>
      <w:r>
        <w:rPr>
          <w:rFonts w:hint="eastAsia" w:ascii="仿宋" w:hAnsi="仿宋" w:eastAsia="仿宋" w:cs="仿宋"/>
          <w:color w:val="auto"/>
          <w:spacing w:val="6"/>
          <w:sz w:val="24"/>
          <w:szCs w:val="24"/>
          <w:highlight w:val="none"/>
          <w:u w:val="single"/>
        </w:rPr>
        <w:t xml:space="preserve">    （填写人数）  </w:t>
      </w:r>
      <w:r>
        <w:rPr>
          <w:rFonts w:hint="eastAsia" w:ascii="仿宋" w:hAnsi="仿宋" w:eastAsia="仿宋" w:cs="仿宋"/>
          <w:color w:val="auto"/>
          <w:spacing w:val="6"/>
          <w:sz w:val="24"/>
          <w:szCs w:val="24"/>
          <w:highlight w:val="none"/>
        </w:rPr>
        <w:t>人，营业收入为</w:t>
      </w:r>
      <w:r>
        <w:rPr>
          <w:rFonts w:hint="eastAsia" w:ascii="仿宋" w:hAnsi="仿宋" w:eastAsia="仿宋" w:cs="仿宋"/>
          <w:color w:val="auto"/>
          <w:spacing w:val="6"/>
          <w:sz w:val="24"/>
          <w:szCs w:val="24"/>
          <w:highlight w:val="none"/>
          <w:u w:val="single"/>
        </w:rPr>
        <w:t xml:space="preserve"> （填写金额）  </w:t>
      </w:r>
      <w:r>
        <w:rPr>
          <w:rFonts w:hint="eastAsia" w:ascii="仿宋" w:hAnsi="仿宋" w:eastAsia="仿宋" w:cs="仿宋"/>
          <w:color w:val="auto"/>
          <w:spacing w:val="6"/>
          <w:sz w:val="24"/>
          <w:szCs w:val="24"/>
          <w:highlight w:val="none"/>
        </w:rPr>
        <w:t>万元</w:t>
      </w:r>
      <w:r>
        <w:rPr>
          <w:rFonts w:hint="eastAsia" w:ascii="仿宋" w:hAnsi="仿宋" w:eastAsia="仿宋" w:cs="仿宋"/>
          <w:color w:val="auto"/>
          <w:spacing w:val="6"/>
          <w:sz w:val="24"/>
          <w:szCs w:val="24"/>
          <w:highlight w:val="none"/>
          <w:vertAlign w:val="superscript"/>
        </w:rPr>
        <w:t>1</w:t>
      </w:r>
      <w:r>
        <w:rPr>
          <w:rFonts w:hint="eastAsia" w:ascii="仿宋" w:hAnsi="仿宋" w:eastAsia="仿宋" w:cs="仿宋"/>
          <w:color w:val="auto"/>
          <w:spacing w:val="6"/>
          <w:sz w:val="24"/>
          <w:szCs w:val="24"/>
          <w:highlight w:val="none"/>
        </w:rPr>
        <w:t>，资产总额为</w:t>
      </w:r>
      <w:r>
        <w:rPr>
          <w:rFonts w:hint="eastAsia" w:ascii="仿宋" w:hAnsi="仿宋" w:eastAsia="仿宋" w:cs="仿宋"/>
          <w:color w:val="auto"/>
          <w:spacing w:val="6"/>
          <w:sz w:val="24"/>
          <w:szCs w:val="24"/>
          <w:highlight w:val="none"/>
          <w:u w:val="single"/>
        </w:rPr>
        <w:t xml:space="preserve">   （填写金额）  </w:t>
      </w:r>
      <w:r>
        <w:rPr>
          <w:rFonts w:hint="eastAsia" w:ascii="仿宋" w:hAnsi="仿宋" w:eastAsia="仿宋" w:cs="仿宋"/>
          <w:color w:val="auto"/>
          <w:spacing w:val="6"/>
          <w:sz w:val="24"/>
          <w:szCs w:val="24"/>
          <w:highlight w:val="none"/>
        </w:rPr>
        <w:t>万元，属于</w:t>
      </w:r>
      <w:r>
        <w:rPr>
          <w:rFonts w:hint="eastAsia" w:ascii="仿宋" w:hAnsi="仿宋" w:eastAsia="仿宋" w:cs="仿宋"/>
          <w:color w:val="auto"/>
          <w:spacing w:val="6"/>
          <w:sz w:val="24"/>
          <w:szCs w:val="24"/>
          <w:highlight w:val="none"/>
          <w:u w:val="single"/>
        </w:rPr>
        <w:t>（中型企业、小型企业、微型企业）</w:t>
      </w:r>
      <w:r>
        <w:rPr>
          <w:rFonts w:hint="eastAsia" w:ascii="仿宋" w:hAnsi="仿宋" w:eastAsia="仿宋" w:cs="仿宋"/>
          <w:color w:val="auto"/>
          <w:spacing w:val="6"/>
          <w:sz w:val="24"/>
          <w:szCs w:val="24"/>
          <w:highlight w:val="none"/>
          <w:vertAlign w:val="superscript"/>
        </w:rPr>
        <w:t>2</w:t>
      </w:r>
      <w:r>
        <w:rPr>
          <w:rFonts w:hint="eastAsia" w:ascii="仿宋" w:hAnsi="仿宋" w:eastAsia="仿宋" w:cs="仿宋"/>
          <w:color w:val="auto"/>
          <w:spacing w:val="6"/>
          <w:sz w:val="24"/>
          <w:szCs w:val="24"/>
          <w:highlight w:val="none"/>
        </w:rPr>
        <w:t>；</w:t>
      </w:r>
    </w:p>
    <w:p w14:paraId="487B0337">
      <w:pPr>
        <w:pStyle w:val="740"/>
        <w:spacing w:line="44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2.</w:t>
      </w:r>
      <w:r>
        <w:rPr>
          <w:rFonts w:hint="eastAsia" w:ascii="仿宋" w:hAnsi="仿宋" w:eastAsia="仿宋" w:cs="仿宋"/>
          <w:color w:val="auto"/>
          <w:spacing w:val="6"/>
          <w:sz w:val="24"/>
          <w:szCs w:val="24"/>
          <w:highlight w:val="none"/>
          <w:u w:val="single"/>
        </w:rPr>
        <w:t>（标的名称）</w:t>
      </w:r>
      <w:r>
        <w:rPr>
          <w:rFonts w:hint="eastAsia" w:ascii="仿宋" w:hAnsi="仿宋" w:eastAsia="仿宋" w:cs="仿宋"/>
          <w:color w:val="auto"/>
          <w:spacing w:val="6"/>
          <w:sz w:val="24"/>
          <w:szCs w:val="24"/>
          <w:highlight w:val="none"/>
        </w:rPr>
        <w:t xml:space="preserve"> ，属于</w:t>
      </w:r>
      <w:r>
        <w:rPr>
          <w:rFonts w:hint="eastAsia" w:ascii="仿宋" w:hAnsi="仿宋" w:eastAsia="仿宋" w:cs="仿宋"/>
          <w:color w:val="auto"/>
          <w:spacing w:val="6"/>
          <w:sz w:val="24"/>
          <w:szCs w:val="24"/>
          <w:highlight w:val="none"/>
          <w:u w:val="single"/>
        </w:rPr>
        <w:t xml:space="preserve">  （按照《前附表》明确的所属行业填写）  </w:t>
      </w:r>
      <w:r>
        <w:rPr>
          <w:rFonts w:hint="eastAsia" w:ascii="仿宋" w:hAnsi="仿宋" w:eastAsia="仿宋" w:cs="仿宋"/>
          <w:color w:val="auto"/>
          <w:spacing w:val="6"/>
          <w:sz w:val="24"/>
          <w:szCs w:val="24"/>
          <w:highlight w:val="none"/>
        </w:rPr>
        <w:t xml:space="preserve">；承建（服务承接）企业为 </w:t>
      </w:r>
      <w:r>
        <w:rPr>
          <w:rFonts w:hint="eastAsia" w:ascii="仿宋" w:hAnsi="仿宋" w:eastAsia="仿宋" w:cs="仿宋"/>
          <w:color w:val="auto"/>
          <w:spacing w:val="6"/>
          <w:sz w:val="24"/>
          <w:szCs w:val="24"/>
          <w:highlight w:val="none"/>
          <w:u w:val="single"/>
        </w:rPr>
        <w:t xml:space="preserve">  （企业名称）  </w:t>
      </w:r>
      <w:r>
        <w:rPr>
          <w:rFonts w:hint="eastAsia" w:ascii="仿宋" w:hAnsi="仿宋" w:eastAsia="仿宋" w:cs="仿宋"/>
          <w:color w:val="auto"/>
          <w:spacing w:val="6"/>
          <w:sz w:val="24"/>
          <w:szCs w:val="24"/>
          <w:highlight w:val="none"/>
        </w:rPr>
        <w:t>，从业人员</w:t>
      </w:r>
      <w:r>
        <w:rPr>
          <w:rFonts w:hint="eastAsia" w:ascii="仿宋" w:hAnsi="仿宋" w:eastAsia="仿宋" w:cs="仿宋"/>
          <w:color w:val="auto"/>
          <w:spacing w:val="6"/>
          <w:sz w:val="24"/>
          <w:szCs w:val="24"/>
          <w:highlight w:val="none"/>
          <w:u w:val="single"/>
        </w:rPr>
        <w:t xml:space="preserve">    （填写人数）  </w:t>
      </w:r>
      <w:r>
        <w:rPr>
          <w:rFonts w:hint="eastAsia" w:ascii="仿宋" w:hAnsi="仿宋" w:eastAsia="仿宋" w:cs="仿宋"/>
          <w:color w:val="auto"/>
          <w:spacing w:val="6"/>
          <w:sz w:val="24"/>
          <w:szCs w:val="24"/>
          <w:highlight w:val="none"/>
        </w:rPr>
        <w:t>人，营业收入为</w:t>
      </w:r>
      <w:r>
        <w:rPr>
          <w:rFonts w:hint="eastAsia" w:ascii="仿宋" w:hAnsi="仿宋" w:eastAsia="仿宋" w:cs="仿宋"/>
          <w:color w:val="auto"/>
          <w:spacing w:val="6"/>
          <w:sz w:val="24"/>
          <w:szCs w:val="24"/>
          <w:highlight w:val="none"/>
          <w:u w:val="single"/>
        </w:rPr>
        <w:t xml:space="preserve"> （填写金额）  </w:t>
      </w:r>
      <w:r>
        <w:rPr>
          <w:rFonts w:hint="eastAsia" w:ascii="仿宋" w:hAnsi="仿宋" w:eastAsia="仿宋" w:cs="仿宋"/>
          <w:color w:val="auto"/>
          <w:spacing w:val="6"/>
          <w:sz w:val="24"/>
          <w:szCs w:val="24"/>
          <w:highlight w:val="none"/>
        </w:rPr>
        <w:t>万元</w:t>
      </w:r>
      <w:r>
        <w:rPr>
          <w:rFonts w:hint="eastAsia" w:ascii="仿宋" w:hAnsi="仿宋" w:eastAsia="仿宋" w:cs="仿宋"/>
          <w:color w:val="auto"/>
          <w:spacing w:val="6"/>
          <w:sz w:val="24"/>
          <w:szCs w:val="24"/>
          <w:highlight w:val="none"/>
          <w:vertAlign w:val="superscript"/>
        </w:rPr>
        <w:t>1</w:t>
      </w:r>
      <w:r>
        <w:rPr>
          <w:rFonts w:hint="eastAsia" w:ascii="仿宋" w:hAnsi="仿宋" w:eastAsia="仿宋" w:cs="仿宋"/>
          <w:color w:val="auto"/>
          <w:spacing w:val="6"/>
          <w:sz w:val="24"/>
          <w:szCs w:val="24"/>
          <w:highlight w:val="none"/>
        </w:rPr>
        <w:t>，资产总额为</w:t>
      </w:r>
      <w:r>
        <w:rPr>
          <w:rFonts w:hint="eastAsia" w:ascii="仿宋" w:hAnsi="仿宋" w:eastAsia="仿宋" w:cs="仿宋"/>
          <w:color w:val="auto"/>
          <w:spacing w:val="6"/>
          <w:sz w:val="24"/>
          <w:szCs w:val="24"/>
          <w:highlight w:val="none"/>
          <w:u w:val="single"/>
        </w:rPr>
        <w:t xml:space="preserve">   （填写金额）  </w:t>
      </w:r>
      <w:r>
        <w:rPr>
          <w:rFonts w:hint="eastAsia" w:ascii="仿宋" w:hAnsi="仿宋" w:eastAsia="仿宋" w:cs="仿宋"/>
          <w:color w:val="auto"/>
          <w:spacing w:val="6"/>
          <w:sz w:val="24"/>
          <w:szCs w:val="24"/>
          <w:highlight w:val="none"/>
        </w:rPr>
        <w:t>万元，属于</w:t>
      </w:r>
      <w:r>
        <w:rPr>
          <w:rFonts w:hint="eastAsia" w:ascii="仿宋" w:hAnsi="仿宋" w:eastAsia="仿宋" w:cs="仿宋"/>
          <w:color w:val="auto"/>
          <w:spacing w:val="6"/>
          <w:sz w:val="24"/>
          <w:szCs w:val="24"/>
          <w:highlight w:val="none"/>
          <w:u w:val="single"/>
        </w:rPr>
        <w:t>（中型企业、小型企业、微型企业）</w:t>
      </w:r>
      <w:r>
        <w:rPr>
          <w:rFonts w:hint="eastAsia" w:ascii="仿宋" w:hAnsi="仿宋" w:eastAsia="仿宋" w:cs="仿宋"/>
          <w:color w:val="auto"/>
          <w:spacing w:val="6"/>
          <w:sz w:val="24"/>
          <w:szCs w:val="24"/>
          <w:highlight w:val="none"/>
          <w:vertAlign w:val="superscript"/>
        </w:rPr>
        <w:t>2</w:t>
      </w:r>
      <w:r>
        <w:rPr>
          <w:rFonts w:hint="eastAsia" w:ascii="仿宋" w:hAnsi="仿宋" w:eastAsia="仿宋" w:cs="仿宋"/>
          <w:color w:val="auto"/>
          <w:spacing w:val="6"/>
          <w:sz w:val="24"/>
          <w:szCs w:val="24"/>
          <w:highlight w:val="none"/>
        </w:rPr>
        <w:t>；</w:t>
      </w:r>
    </w:p>
    <w:p w14:paraId="1F8210AD">
      <w:pPr>
        <w:pStyle w:val="740"/>
        <w:spacing w:line="440" w:lineRule="exact"/>
        <w:ind w:firstLine="504" w:firstLineChars="200"/>
        <w:rPr>
          <w:rFonts w:hint="eastAsia" w:ascii="仿宋" w:hAnsi="仿宋" w:eastAsia="仿宋" w:cs="仿宋"/>
          <w:color w:val="auto"/>
          <w:sz w:val="24"/>
          <w:highlight w:val="none"/>
        </w:rPr>
      </w:pPr>
      <w:r>
        <w:rPr>
          <w:rFonts w:hint="eastAsia" w:ascii="仿宋" w:hAnsi="仿宋" w:eastAsia="仿宋" w:cs="仿宋"/>
          <w:color w:val="auto"/>
          <w:spacing w:val="6"/>
          <w:sz w:val="24"/>
          <w:szCs w:val="24"/>
          <w:highlight w:val="none"/>
        </w:rPr>
        <w:t>……</w:t>
      </w:r>
    </w:p>
    <w:p w14:paraId="7B4FC178">
      <w:pPr>
        <w:widowControl/>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4F5C9CFB">
      <w:pPr>
        <w:widowControl/>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275B566C">
      <w:pPr>
        <w:widowControl/>
        <w:spacing w:line="3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4D7FBB27">
      <w:pPr>
        <w:widowControl/>
        <w:spacing w:line="360" w:lineRule="exact"/>
        <w:jc w:val="left"/>
        <w:rPr>
          <w:rFonts w:hint="eastAsia" w:ascii="仿宋" w:hAnsi="仿宋" w:eastAsia="仿宋" w:cs="仿宋"/>
          <w:color w:val="auto"/>
          <w:sz w:val="24"/>
          <w:highlight w:val="none"/>
        </w:rPr>
      </w:pPr>
    </w:p>
    <w:p w14:paraId="5EA7C081">
      <w:pPr>
        <w:widowControl/>
        <w:spacing w:line="440" w:lineRule="exact"/>
        <w:ind w:right="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1"/>
          <w:sz w:val="24"/>
          <w:highlight w:val="none"/>
        </w:rPr>
        <w:t>投标供应商</w:t>
      </w:r>
      <w:r>
        <w:rPr>
          <w:rFonts w:hint="eastAsia" w:ascii="仿宋" w:hAnsi="仿宋" w:eastAsia="仿宋" w:cs="仿宋"/>
          <w:color w:val="auto"/>
          <w:sz w:val="24"/>
          <w:highlight w:val="none"/>
        </w:rPr>
        <w:t xml:space="preserve">（盖公章）：  </w:t>
      </w:r>
    </w:p>
    <w:p w14:paraId="6AA83609">
      <w:pPr>
        <w:widowControl/>
        <w:spacing w:line="440" w:lineRule="exact"/>
        <w:ind w:right="36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C37F9A6">
      <w:pPr>
        <w:widowControl/>
        <w:spacing w:line="3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6FD77448">
      <w:pPr>
        <w:widowControl/>
        <w:spacing w:line="360" w:lineRule="exact"/>
        <w:jc w:val="left"/>
        <w:rPr>
          <w:rFonts w:hint="eastAsia" w:ascii="仿宋" w:hAnsi="仿宋" w:eastAsia="仿宋" w:cs="仿宋"/>
          <w:color w:val="auto"/>
          <w:sz w:val="24"/>
          <w:highlight w:val="none"/>
        </w:rPr>
      </w:pPr>
    </w:p>
    <w:p w14:paraId="4DE7494A">
      <w:pPr>
        <w:widowControl/>
        <w:spacing w:line="360" w:lineRule="exact"/>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注：</w:t>
      </w:r>
    </w:p>
    <w:p w14:paraId="4B08F822">
      <w:pPr>
        <w:widowControl/>
        <w:spacing w:line="340" w:lineRule="exact"/>
        <w:ind w:firstLine="422" w:firstLineChars="200"/>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1.上述“标的名称”、“标的所属行业”须</w:t>
      </w:r>
      <w:r>
        <w:rPr>
          <w:rFonts w:hint="eastAsia" w:ascii="仿宋" w:hAnsi="仿宋" w:eastAsia="仿宋" w:cs="仿宋"/>
          <w:b/>
          <w:color w:val="auto"/>
          <w:szCs w:val="21"/>
          <w:highlight w:val="none"/>
        </w:rPr>
        <w:t>严格按照</w:t>
      </w:r>
      <w:r>
        <w:rPr>
          <w:rFonts w:hint="eastAsia" w:ascii="仿宋" w:hAnsi="仿宋" w:eastAsia="仿宋" w:cs="仿宋"/>
          <w:b/>
          <w:color w:val="auto"/>
          <w:szCs w:val="21"/>
          <w:highlight w:val="none"/>
          <w:lang w:eastAsia="zh-CN"/>
        </w:rPr>
        <w:t>招标文件规定内容</w:t>
      </w:r>
      <w:r>
        <w:rPr>
          <w:rFonts w:hint="eastAsia" w:ascii="仿宋" w:hAnsi="仿宋" w:eastAsia="仿宋" w:cs="仿宋"/>
          <w:b/>
          <w:color w:val="auto"/>
          <w:szCs w:val="21"/>
          <w:highlight w:val="none"/>
        </w:rPr>
        <w:t>填写，</w:t>
      </w:r>
      <w:r>
        <w:rPr>
          <w:rFonts w:hint="eastAsia" w:ascii="仿宋" w:hAnsi="仿宋" w:eastAsia="仿宋" w:cs="仿宋"/>
          <w:b/>
          <w:color w:val="auto"/>
          <w:szCs w:val="21"/>
          <w:highlight w:val="none"/>
          <w:lang w:eastAsia="zh-CN"/>
        </w:rPr>
        <w:t>否则不予认定</w:t>
      </w:r>
      <w:r>
        <w:rPr>
          <w:rFonts w:hint="eastAsia" w:ascii="仿宋" w:hAnsi="仿宋" w:eastAsia="仿宋" w:cs="仿宋"/>
          <w:b/>
          <w:color w:val="auto"/>
          <w:szCs w:val="21"/>
          <w:highlight w:val="none"/>
        </w:rPr>
        <w:t>。</w:t>
      </w:r>
    </w:p>
    <w:p w14:paraId="31FF9CCF">
      <w:pPr>
        <w:widowControl/>
        <w:spacing w:line="360" w:lineRule="exact"/>
        <w:ind w:firstLine="422" w:firstLineChars="200"/>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2</w:t>
      </w:r>
      <w:r>
        <w:rPr>
          <w:rFonts w:hint="eastAsia" w:ascii="仿宋" w:hAnsi="仿宋" w:eastAsia="仿宋" w:cs="仿宋"/>
          <w:b/>
          <w:color w:val="auto"/>
          <w:szCs w:val="21"/>
          <w:highlight w:val="none"/>
        </w:rPr>
        <w:t>.从业人员、营业收入、资产总额填报上一年度数据，无上一年度数据的新成立企业可不填报。</w:t>
      </w:r>
    </w:p>
    <w:p w14:paraId="448839C3">
      <w:pPr>
        <w:widowControl/>
        <w:spacing w:line="360" w:lineRule="exact"/>
        <w:ind w:firstLine="422" w:firstLineChars="200"/>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3</w:t>
      </w:r>
      <w:r>
        <w:rPr>
          <w:rFonts w:hint="eastAsia" w:ascii="仿宋" w:hAnsi="仿宋" w:eastAsia="仿宋" w:cs="仿宋"/>
          <w:b/>
          <w:color w:val="auto"/>
          <w:szCs w:val="21"/>
          <w:highlight w:val="none"/>
        </w:rPr>
        <w:t>.供应商提供由省级以上监狱管理局、戒毒管理局（含新疆生产建设兵团）出具的属于监狱企业证明文件的，视同为小型和微型企业。</w:t>
      </w:r>
    </w:p>
    <w:p w14:paraId="47D53CC1">
      <w:pPr>
        <w:widowControl/>
        <w:spacing w:line="360" w:lineRule="exact"/>
        <w:ind w:firstLine="422" w:firstLineChars="200"/>
        <w:jc w:val="left"/>
        <w:rPr>
          <w:rFonts w:hint="eastAsia"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4.</w:t>
      </w:r>
    </w:p>
    <w:p w14:paraId="472EF8FD">
      <w:pPr>
        <w:widowControl/>
        <w:spacing w:line="360" w:lineRule="exact"/>
        <w:ind w:firstLine="480" w:firstLineChars="200"/>
        <w:jc w:val="left"/>
        <w:rPr>
          <w:rFonts w:hint="eastAsia" w:ascii="仿宋" w:hAnsi="仿宋" w:eastAsia="仿宋" w:cs="仿宋"/>
          <w:color w:val="auto"/>
          <w:sz w:val="24"/>
          <w:highlight w:val="none"/>
        </w:rPr>
      </w:pPr>
    </w:p>
    <w:p w14:paraId="14B28973">
      <w:pPr>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br w:type="page"/>
      </w:r>
    </w:p>
    <w:p w14:paraId="3E3C9411">
      <w:pPr>
        <w:keepNext w:val="0"/>
        <w:keepLines w:val="0"/>
        <w:widowControl/>
        <w:suppressLineNumbers w:val="0"/>
        <w:jc w:val="left"/>
        <w:rPr>
          <w:rStyle w:val="63"/>
          <w:rFonts w:hint="eastAsia" w:ascii="仿宋" w:hAnsi="仿宋" w:eastAsia="仿宋" w:cs="仿宋"/>
          <w:color w:val="auto"/>
          <w:kern w:val="0"/>
          <w:sz w:val="28"/>
          <w:szCs w:val="28"/>
          <w:highlight w:val="none"/>
          <w:lang w:val="en-US" w:eastAsia="zh-CN" w:bidi="ar"/>
        </w:rPr>
      </w:pPr>
      <w:r>
        <w:rPr>
          <w:rFonts w:hint="eastAsia" w:ascii="仿宋" w:hAnsi="仿宋" w:eastAsia="仿宋" w:cs="仿宋"/>
          <w:b/>
          <w:bCs/>
          <w:color w:val="auto"/>
          <w:kern w:val="0"/>
          <w:sz w:val="24"/>
          <w:highlight w:val="none"/>
          <w:lang w:val="en-US" w:eastAsia="zh-CN"/>
        </w:rPr>
        <w:t>附：关于“中小企业声明函”的填写要求</w:t>
      </w:r>
    </w:p>
    <w:p w14:paraId="6FC3C843">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0"/>
          <w:sz w:val="24"/>
          <w:szCs w:val="28"/>
          <w:highlight w:val="none"/>
          <w:lang w:val="en-US" w:eastAsia="zh-CN" w:bidi="ar"/>
        </w:rPr>
      </w:pPr>
      <w:r>
        <w:rPr>
          <w:rFonts w:hint="eastAsia" w:ascii="仿宋" w:hAnsi="仿宋" w:eastAsia="仿宋" w:cs="仿宋"/>
          <w:color w:val="auto"/>
          <w:kern w:val="0"/>
          <w:sz w:val="24"/>
          <w:szCs w:val="28"/>
          <w:highlight w:val="none"/>
          <w:lang w:val="en-US" w:eastAsia="zh-CN" w:bidi="ar"/>
        </w:rPr>
        <w:t>“中小企业声明函”具体填写要求如下：</w:t>
      </w:r>
    </w:p>
    <w:p w14:paraId="054A0E56">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0"/>
          <w:sz w:val="24"/>
          <w:szCs w:val="28"/>
          <w:highlight w:val="none"/>
          <w:lang w:val="en-US" w:eastAsia="zh-CN" w:bidi="ar"/>
        </w:rPr>
      </w:pPr>
      <w:r>
        <w:rPr>
          <w:rFonts w:hint="eastAsia" w:ascii="仿宋" w:hAnsi="仿宋" w:eastAsia="仿宋" w:cs="仿宋"/>
          <w:color w:val="auto"/>
          <w:kern w:val="0"/>
          <w:sz w:val="24"/>
          <w:szCs w:val="28"/>
          <w:highlight w:val="none"/>
          <w:lang w:val="en-US" w:eastAsia="zh-CN" w:bidi="ar"/>
        </w:rPr>
        <w:t>1.“单位名称”应填写采购人名称。</w:t>
      </w:r>
    </w:p>
    <w:p w14:paraId="078ED8DD">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0"/>
          <w:sz w:val="24"/>
          <w:szCs w:val="28"/>
          <w:highlight w:val="none"/>
          <w:lang w:val="en-US" w:eastAsia="zh-CN" w:bidi="ar"/>
        </w:rPr>
      </w:pPr>
      <w:r>
        <w:rPr>
          <w:rFonts w:hint="eastAsia" w:ascii="仿宋" w:hAnsi="仿宋" w:eastAsia="仿宋" w:cs="仿宋"/>
          <w:color w:val="auto"/>
          <w:kern w:val="0"/>
          <w:sz w:val="24"/>
          <w:szCs w:val="28"/>
          <w:highlight w:val="none"/>
          <w:lang w:val="en-US" w:eastAsia="zh-CN" w:bidi="ar"/>
        </w:rPr>
        <w:t>2.“项目名称”应按照采购文件中确定的项目名称填写。对于分包方式面向中小企业采购的项目，应标明中小企业的具体分包内容；对于以联合体方式面向中小企业采购的项目，应标明联合体中中小企业所承担的具体内容。</w:t>
      </w:r>
    </w:p>
    <w:p w14:paraId="48A99633">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0"/>
          <w:sz w:val="24"/>
          <w:szCs w:val="28"/>
          <w:highlight w:val="none"/>
          <w:lang w:val="en-US" w:eastAsia="zh-CN" w:bidi="ar"/>
        </w:rPr>
      </w:pPr>
      <w:r>
        <w:rPr>
          <w:rFonts w:hint="eastAsia" w:ascii="仿宋" w:hAnsi="仿宋" w:eastAsia="仿宋" w:cs="仿宋"/>
          <w:color w:val="auto"/>
          <w:kern w:val="0"/>
          <w:sz w:val="24"/>
          <w:szCs w:val="28"/>
          <w:highlight w:val="none"/>
          <w:lang w:val="en-US" w:eastAsia="zh-CN" w:bidi="ar"/>
        </w:rPr>
        <w:t>3.“标的名称”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2B977879">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0"/>
          <w:sz w:val="24"/>
          <w:szCs w:val="28"/>
          <w:highlight w:val="none"/>
          <w:lang w:val="en-US" w:eastAsia="zh-CN" w:bidi="ar"/>
        </w:rPr>
      </w:pPr>
      <w:r>
        <w:rPr>
          <w:rFonts w:hint="eastAsia" w:ascii="仿宋" w:hAnsi="仿宋" w:eastAsia="仿宋" w:cs="仿宋"/>
          <w:color w:val="auto"/>
          <w:kern w:val="0"/>
          <w:sz w:val="24"/>
          <w:szCs w:val="28"/>
          <w:highlight w:val="none"/>
          <w:lang w:val="en-US" w:eastAsia="zh-CN" w:bidi="ar"/>
        </w:rPr>
        <w:t>4.“采购文件中明确的所属行业”应填写采购文件中明确的采购标的所属行业，并应确保与采购标的涉及的货物制造商/服务承接商/工程承建商（根据项目属性确定）本身的所属行业保持一致。</w:t>
      </w:r>
    </w:p>
    <w:p w14:paraId="1BC31299">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0"/>
          <w:sz w:val="24"/>
          <w:szCs w:val="28"/>
          <w:highlight w:val="none"/>
          <w:lang w:val="en-US" w:eastAsia="zh-CN" w:bidi="ar"/>
        </w:rPr>
      </w:pPr>
      <w:r>
        <w:rPr>
          <w:rFonts w:hint="eastAsia" w:ascii="仿宋" w:hAnsi="仿宋" w:eastAsia="仿宋" w:cs="仿宋"/>
          <w:color w:val="auto"/>
          <w:kern w:val="0"/>
          <w:sz w:val="24"/>
          <w:szCs w:val="28"/>
          <w:highlight w:val="none"/>
          <w:lang w:val="en-US" w:eastAsia="zh-CN" w:bidi="ar"/>
        </w:rPr>
        <w:t>对于分包方式面向中小企业采购的项目，“采购文件中明确的所属行业”应按照采购文件中注明的分包给中小企业的采购标的所属行业填写，并应确保与该分包部分采购标的涉及的货物制造商/服务承接商/工程承建商（根据项目属性确定）本身的所属行业保持一致。</w:t>
      </w:r>
    </w:p>
    <w:p w14:paraId="27A55BD7">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0"/>
          <w:sz w:val="24"/>
          <w:szCs w:val="28"/>
          <w:highlight w:val="none"/>
          <w:lang w:val="en-US" w:eastAsia="zh-CN" w:bidi="ar"/>
        </w:rPr>
      </w:pPr>
      <w:r>
        <w:rPr>
          <w:rFonts w:hint="eastAsia" w:ascii="仿宋" w:hAnsi="仿宋" w:eastAsia="仿宋" w:cs="仿宋"/>
          <w:color w:val="auto"/>
          <w:kern w:val="0"/>
          <w:sz w:val="24"/>
          <w:szCs w:val="28"/>
          <w:highlight w:val="none"/>
          <w:lang w:val="en-US" w:eastAsia="zh-CN" w:bidi="ar"/>
        </w:rPr>
        <w:t>对于以联合体方式面向中小企业采购的项目，“采购文件中明确的所属行业”应按照采购文件中注明的联合体中中小企业承担的采购标的所属行业填写，并应确保与该承担部分采购标的涉及的货物制造商/服务承接商/工程承建商（根据项目属性确定）本身的所属行业保持一致。</w:t>
      </w:r>
    </w:p>
    <w:p w14:paraId="2270E5A7">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0"/>
          <w:sz w:val="24"/>
          <w:szCs w:val="28"/>
          <w:highlight w:val="none"/>
          <w:lang w:val="en-US" w:eastAsia="zh-CN" w:bidi="ar"/>
        </w:rPr>
      </w:pPr>
      <w:r>
        <w:rPr>
          <w:rFonts w:hint="eastAsia" w:ascii="仿宋" w:hAnsi="仿宋" w:eastAsia="仿宋" w:cs="仿宋"/>
          <w:color w:val="auto"/>
          <w:kern w:val="0"/>
          <w:sz w:val="24"/>
          <w:szCs w:val="28"/>
          <w:highlight w:val="none"/>
          <w:lang w:val="en-US" w:eastAsia="zh-CN" w:bidi="ar"/>
        </w:rPr>
        <w:t>5.“企业名称”应填写投标（响应）的货物制造商/服务承接商/工程承建商（根据项目属性确定）。</w:t>
      </w:r>
    </w:p>
    <w:p w14:paraId="7B5F383A">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0"/>
          <w:sz w:val="24"/>
          <w:szCs w:val="28"/>
          <w:highlight w:val="none"/>
          <w:lang w:val="en-US" w:eastAsia="zh-CN" w:bidi="ar"/>
        </w:rPr>
      </w:pPr>
      <w:r>
        <w:rPr>
          <w:rFonts w:hint="eastAsia" w:ascii="仿宋" w:hAnsi="仿宋" w:eastAsia="仿宋" w:cs="仿宋"/>
          <w:color w:val="auto"/>
          <w:kern w:val="0"/>
          <w:sz w:val="24"/>
          <w:szCs w:val="28"/>
          <w:highlight w:val="none"/>
          <w:lang w:val="en-US" w:eastAsia="zh-CN" w:bidi="ar"/>
        </w:rPr>
        <w:t>对于分包方式面向中小企业采购的项目，“企业名称”应填写分包部分采购标的对应的货物制造商/服务承接商/工程承建商（根据项目属性确定）。</w:t>
      </w:r>
    </w:p>
    <w:p w14:paraId="46764A76">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0"/>
          <w:sz w:val="24"/>
          <w:szCs w:val="28"/>
          <w:highlight w:val="none"/>
          <w:lang w:val="en-US" w:eastAsia="zh-CN" w:bidi="ar"/>
        </w:rPr>
      </w:pPr>
      <w:r>
        <w:rPr>
          <w:rFonts w:hint="eastAsia" w:ascii="仿宋" w:hAnsi="仿宋" w:eastAsia="仿宋" w:cs="仿宋"/>
          <w:color w:val="auto"/>
          <w:kern w:val="0"/>
          <w:sz w:val="24"/>
          <w:szCs w:val="28"/>
          <w:highlight w:val="none"/>
          <w:lang w:val="en-US" w:eastAsia="zh-CN" w:bidi="ar"/>
        </w:rPr>
        <w:t>对于以联合体方式面向中小企业采购的项目，“企业名称”应填写联合体中中小企业承担采购标的对应的货物制造商/服务承接商/工程承建商（根据项目属性确定）。</w:t>
      </w:r>
    </w:p>
    <w:p w14:paraId="6FFB3053">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0"/>
          <w:sz w:val="24"/>
          <w:szCs w:val="28"/>
          <w:highlight w:val="none"/>
          <w:lang w:val="en-US" w:eastAsia="zh-CN" w:bidi="ar"/>
        </w:rPr>
      </w:pPr>
      <w:r>
        <w:rPr>
          <w:rFonts w:hint="eastAsia" w:ascii="仿宋" w:hAnsi="仿宋" w:eastAsia="仿宋" w:cs="仿宋"/>
          <w:color w:val="auto"/>
          <w:kern w:val="0"/>
          <w:sz w:val="24"/>
          <w:szCs w:val="28"/>
          <w:highlight w:val="none"/>
          <w:lang w:val="en-US" w:eastAsia="zh-CN" w:bidi="ar"/>
        </w:rPr>
        <w:t>6.从业人员、资产总额指标以上年度末数据为依据，营业收入指标以上年度累计数据为依据。无上年度数据的新成立企业可不填报。</w:t>
      </w:r>
    </w:p>
    <w:p w14:paraId="7FEB7C6C">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0"/>
          <w:sz w:val="24"/>
          <w:szCs w:val="28"/>
          <w:highlight w:val="none"/>
          <w:lang w:val="en-US" w:eastAsia="zh-CN" w:bidi="ar"/>
        </w:rPr>
      </w:pPr>
      <w:r>
        <w:rPr>
          <w:rFonts w:hint="eastAsia" w:ascii="仿宋" w:hAnsi="仿宋" w:eastAsia="仿宋" w:cs="仿宋"/>
          <w:color w:val="auto"/>
          <w:kern w:val="0"/>
          <w:sz w:val="24"/>
          <w:szCs w:val="28"/>
          <w:highlight w:val="none"/>
          <w:lang w:val="en-US" w:eastAsia="zh-CN" w:bidi="ar"/>
        </w:rPr>
        <w:t>7.“中型企业/小型企业/微型企业”部分，供应商应依据企业上年度从业人员、营业收入、资产总额等指标，按照《中小企业划型标准规定》（工信部联企业〔2011〕300号）、《金融业企业划型标准规定》（银发〔2015〕309号），判断“中小企业声明函”载明的货物制造商/服务承接商/工程承建商（根据项目属性确定）是否属于采购文件所属行业的中型企业/小型企业/微型企业。</w:t>
      </w:r>
    </w:p>
    <w:p w14:paraId="1DAE5F34">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0"/>
          <w:sz w:val="24"/>
          <w:szCs w:val="28"/>
          <w:highlight w:val="none"/>
          <w:lang w:val="en-US" w:eastAsia="zh-CN" w:bidi="ar"/>
        </w:rPr>
      </w:pPr>
      <w:r>
        <w:rPr>
          <w:rFonts w:hint="eastAsia" w:ascii="仿宋" w:hAnsi="仿宋" w:eastAsia="仿宋" w:cs="仿宋"/>
          <w:color w:val="auto"/>
          <w:kern w:val="0"/>
          <w:sz w:val="24"/>
          <w:szCs w:val="28"/>
          <w:highlight w:val="none"/>
          <w:lang w:val="en-US" w:eastAsia="zh-CN" w:bidi="ar"/>
        </w:rPr>
        <w:t>8.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63BAEA2E">
      <w:pPr>
        <w:keepNext w:val="0"/>
        <w:keepLines w:val="0"/>
        <w:pageBreakBefore w:val="0"/>
        <w:widowControl/>
        <w:suppressLineNumbers w:val="0"/>
        <w:kinsoku/>
        <w:wordWrap/>
        <w:overflowPunct/>
        <w:topLinePunct w:val="0"/>
        <w:autoSpaceDE/>
        <w:autoSpaceDN/>
        <w:bidi w:val="0"/>
        <w:adjustRightInd/>
        <w:snapToGrid/>
        <w:spacing w:line="400" w:lineRule="exact"/>
        <w:ind w:firstLine="482" w:firstLineChars="200"/>
        <w:jc w:val="left"/>
        <w:textAlignment w:val="auto"/>
        <w:rPr>
          <w:rStyle w:val="63"/>
          <w:rFonts w:hint="eastAsia" w:ascii="仿宋" w:hAnsi="仿宋" w:eastAsia="仿宋" w:cs="仿宋"/>
          <w:color w:val="auto"/>
          <w:kern w:val="0"/>
          <w:sz w:val="24"/>
          <w:szCs w:val="24"/>
          <w:highlight w:val="none"/>
          <w:lang w:val="en-US" w:eastAsia="zh-CN" w:bidi="ar"/>
        </w:rPr>
      </w:pPr>
      <w:r>
        <w:rPr>
          <w:rStyle w:val="63"/>
          <w:rFonts w:hint="eastAsia" w:ascii="仿宋" w:hAnsi="仿宋" w:eastAsia="仿宋" w:cs="仿宋"/>
          <w:color w:val="auto"/>
          <w:kern w:val="0"/>
          <w:sz w:val="24"/>
          <w:szCs w:val="24"/>
          <w:highlight w:val="none"/>
          <w:lang w:val="en-US" w:eastAsia="zh-CN" w:bidi="ar"/>
        </w:rPr>
        <w:t>（二）关于“中小企业声明函”的提交要求</w:t>
      </w:r>
    </w:p>
    <w:p w14:paraId="670D167C">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0"/>
          <w:sz w:val="24"/>
          <w:szCs w:val="28"/>
          <w:highlight w:val="none"/>
          <w:lang w:val="en-US" w:eastAsia="zh-CN" w:bidi="ar"/>
        </w:rPr>
      </w:pPr>
      <w:r>
        <w:rPr>
          <w:rFonts w:hint="eastAsia" w:ascii="仿宋" w:hAnsi="仿宋" w:eastAsia="仿宋" w:cs="仿宋"/>
          <w:color w:val="auto"/>
          <w:kern w:val="0"/>
          <w:sz w:val="24"/>
          <w:szCs w:val="28"/>
          <w:highlight w:val="none"/>
          <w:lang w:val="en-US" w:eastAsia="zh-CN" w:bidi="ar"/>
        </w:rPr>
        <w:t>1.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7604CC3C">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0"/>
          <w:sz w:val="24"/>
          <w:szCs w:val="28"/>
          <w:highlight w:val="none"/>
          <w:lang w:val="en-US" w:eastAsia="zh-CN" w:bidi="ar"/>
        </w:rPr>
      </w:pPr>
      <w:r>
        <w:rPr>
          <w:rFonts w:hint="eastAsia" w:ascii="仿宋" w:hAnsi="仿宋" w:eastAsia="仿宋" w:cs="仿宋"/>
          <w:color w:val="auto"/>
          <w:kern w:val="0"/>
          <w:sz w:val="24"/>
          <w:szCs w:val="28"/>
          <w:highlight w:val="none"/>
          <w:lang w:val="en-US" w:eastAsia="zh-CN" w:bidi="ar"/>
        </w:rPr>
        <w:t>2.鼓励供应商在投标（响应）时一并提供对货物制造商、服务承接商、工程承建商相关信息的核实核验情况以及其他佐证材料。</w:t>
      </w:r>
    </w:p>
    <w:p w14:paraId="37D99ECF">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0"/>
          <w:sz w:val="24"/>
          <w:szCs w:val="28"/>
          <w:highlight w:val="none"/>
          <w:lang w:val="en-US" w:eastAsia="zh-CN" w:bidi="ar"/>
        </w:rPr>
      </w:pPr>
      <w:r>
        <w:rPr>
          <w:rFonts w:hint="eastAsia" w:ascii="仿宋" w:hAnsi="仿宋" w:eastAsia="仿宋" w:cs="仿宋"/>
          <w:color w:val="auto"/>
          <w:kern w:val="0"/>
          <w:sz w:val="24"/>
          <w:szCs w:val="28"/>
          <w:highlight w:val="none"/>
          <w:lang w:val="en-US" w:eastAsia="zh-CN" w:bidi="ar"/>
        </w:rPr>
        <w:t>3.如供应商提供的“中小企业声明函”存在按采购文件所属行业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FF17F6F">
      <w:pPr>
        <w:rPr>
          <w:rFonts w:hint="eastAsia" w:ascii="仿宋" w:hAnsi="仿宋" w:eastAsia="仿宋" w:cs="仿宋"/>
          <w:color w:val="auto"/>
          <w:spacing w:val="6"/>
          <w:sz w:val="21"/>
          <w:szCs w:val="21"/>
          <w:highlight w:val="none"/>
        </w:rPr>
      </w:pPr>
    </w:p>
    <w:p w14:paraId="34A3140B">
      <w:pPr>
        <w:rPr>
          <w:rFonts w:hint="eastAsia" w:ascii="仿宋" w:hAnsi="仿宋" w:eastAsia="仿宋" w:cs="仿宋"/>
          <w:color w:val="auto"/>
          <w:spacing w:val="6"/>
          <w:sz w:val="21"/>
          <w:szCs w:val="21"/>
          <w:highlight w:val="none"/>
        </w:rPr>
      </w:pPr>
    </w:p>
    <w:p w14:paraId="7D2F62E9">
      <w:pPr>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br w:type="page"/>
      </w:r>
    </w:p>
    <w:p w14:paraId="3B1777D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kern w:val="0"/>
          <w:sz w:val="24"/>
          <w:highlight w:val="none"/>
          <w:lang w:val="en-US" w:eastAsia="zh-CN"/>
        </w:rPr>
        <w:t>附：关于印发中小企业划型标准规定的通知（工信部联企业〔2011〕300号）</w:t>
      </w:r>
    </w:p>
    <w:p w14:paraId="26A6544E">
      <w:pPr>
        <w:pStyle w:val="3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val="0"/>
          <w:color w:val="auto"/>
          <w:sz w:val="24"/>
          <w:szCs w:val="24"/>
          <w:highlight w:val="none"/>
        </w:rPr>
      </w:pPr>
    </w:p>
    <w:p w14:paraId="0514AFD3">
      <w:pPr>
        <w:pStyle w:val="3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关于印发中小企业划型标准规定的通知</w:t>
      </w:r>
    </w:p>
    <w:p w14:paraId="7E9615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63"/>
          <w:rFonts w:hint="eastAsia" w:ascii="仿宋" w:hAnsi="仿宋" w:eastAsia="仿宋" w:cs="仿宋"/>
          <w:b w:val="0"/>
          <w:color w:val="auto"/>
          <w:sz w:val="24"/>
          <w:szCs w:val="24"/>
          <w:highlight w:val="none"/>
        </w:rPr>
      </w:pPr>
      <w:r>
        <w:rPr>
          <w:rStyle w:val="63"/>
          <w:rFonts w:hint="eastAsia" w:ascii="仿宋" w:hAnsi="仿宋" w:eastAsia="仿宋" w:cs="仿宋"/>
          <w:b w:val="0"/>
          <w:color w:val="auto"/>
          <w:sz w:val="24"/>
          <w:szCs w:val="24"/>
          <w:highlight w:val="none"/>
        </w:rPr>
        <w:t>工信部联企业〔2011〕300号</w:t>
      </w:r>
    </w:p>
    <w:p w14:paraId="101D40D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63"/>
          <w:rFonts w:hint="eastAsia" w:ascii="仿宋" w:hAnsi="仿宋" w:eastAsia="仿宋" w:cs="仿宋"/>
          <w:b w:val="0"/>
          <w:color w:val="auto"/>
          <w:sz w:val="24"/>
          <w:szCs w:val="24"/>
          <w:highlight w:val="none"/>
        </w:rPr>
      </w:pPr>
    </w:p>
    <w:p w14:paraId="18EEA944">
      <w:pPr>
        <w:keepNext w:val="0"/>
        <w:keepLines w:val="0"/>
        <w:pageBreakBefore w:val="0"/>
        <w:widowControl w:val="0"/>
        <w:kinsoku/>
        <w:wordWrap/>
        <w:overflowPunct/>
        <w:topLinePunct w:val="0"/>
        <w:autoSpaceDE/>
        <w:autoSpaceDN/>
        <w:bidi w:val="0"/>
        <w:adjustRightInd/>
        <w:snapToGrid/>
        <w:spacing w:line="400" w:lineRule="exact"/>
        <w:textAlignment w:val="auto"/>
        <w:rPr>
          <w:rStyle w:val="63"/>
          <w:rFonts w:hint="eastAsia" w:ascii="仿宋" w:hAnsi="仿宋" w:eastAsia="仿宋" w:cs="仿宋"/>
          <w:b w:val="0"/>
          <w:color w:val="auto"/>
          <w:sz w:val="24"/>
          <w:szCs w:val="24"/>
          <w:highlight w:val="none"/>
        </w:rPr>
      </w:pPr>
      <w:r>
        <w:rPr>
          <w:rStyle w:val="63"/>
          <w:rFonts w:hint="eastAsia" w:ascii="仿宋" w:hAnsi="仿宋" w:eastAsia="仿宋" w:cs="仿宋"/>
          <w:b w:val="0"/>
          <w:color w:val="auto"/>
          <w:sz w:val="24"/>
          <w:szCs w:val="24"/>
          <w:highlight w:val="none"/>
        </w:rPr>
        <w:t>各省、自治区、直辖市人民政府，国务院各部委、各直属机构及有关单位：</w:t>
      </w:r>
    </w:p>
    <w:p w14:paraId="519326BF">
      <w:pPr>
        <w:keepNext w:val="0"/>
        <w:keepLines w:val="0"/>
        <w:pageBreakBefore w:val="0"/>
        <w:widowControl w:val="0"/>
        <w:kinsoku/>
        <w:wordWrap/>
        <w:overflowPunct/>
        <w:topLinePunct w:val="0"/>
        <w:autoSpaceDE/>
        <w:autoSpaceDN/>
        <w:bidi w:val="0"/>
        <w:adjustRightInd/>
        <w:snapToGrid/>
        <w:spacing w:line="400" w:lineRule="exact"/>
        <w:textAlignment w:val="auto"/>
        <w:rPr>
          <w:rStyle w:val="63"/>
          <w:rFonts w:hint="eastAsia" w:ascii="仿宋" w:hAnsi="仿宋" w:eastAsia="仿宋" w:cs="仿宋"/>
          <w:b w:val="0"/>
          <w:bCs w:val="0"/>
          <w:color w:val="auto"/>
          <w:sz w:val="24"/>
          <w:szCs w:val="24"/>
          <w:highlight w:val="none"/>
        </w:rPr>
      </w:pPr>
      <w:r>
        <w:rPr>
          <w:rStyle w:val="63"/>
          <w:rFonts w:hint="eastAsia" w:ascii="仿宋" w:hAnsi="仿宋" w:eastAsia="仿宋" w:cs="仿宋"/>
          <w:b w:val="0"/>
          <w:bCs w:val="0"/>
          <w:color w:val="auto"/>
          <w:sz w:val="24"/>
          <w:szCs w:val="24"/>
          <w:highlight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17EE7C7D">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Style w:val="63"/>
          <w:rFonts w:hint="eastAsia" w:ascii="仿宋" w:hAnsi="仿宋" w:eastAsia="仿宋" w:cs="仿宋"/>
          <w:b w:val="0"/>
          <w:bCs w:val="0"/>
          <w:color w:val="auto"/>
          <w:sz w:val="24"/>
          <w:szCs w:val="24"/>
          <w:highlight w:val="none"/>
        </w:rPr>
      </w:pPr>
      <w:r>
        <w:rPr>
          <w:rStyle w:val="63"/>
          <w:rFonts w:hint="eastAsia" w:ascii="仿宋" w:hAnsi="仿宋" w:eastAsia="仿宋" w:cs="仿宋"/>
          <w:b w:val="0"/>
          <w:bCs w:val="0"/>
          <w:color w:val="auto"/>
          <w:sz w:val="24"/>
          <w:szCs w:val="24"/>
          <w:highlight w:val="none"/>
        </w:rPr>
        <w:t>工业和信息化部　国家统计局</w:t>
      </w:r>
    </w:p>
    <w:p w14:paraId="3C62A2B0">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Style w:val="63"/>
          <w:rFonts w:hint="eastAsia" w:ascii="仿宋" w:hAnsi="仿宋" w:eastAsia="仿宋" w:cs="仿宋"/>
          <w:b w:val="0"/>
          <w:bCs w:val="0"/>
          <w:color w:val="auto"/>
          <w:sz w:val="24"/>
          <w:szCs w:val="24"/>
          <w:highlight w:val="none"/>
        </w:rPr>
      </w:pPr>
      <w:r>
        <w:rPr>
          <w:rStyle w:val="63"/>
          <w:rFonts w:hint="eastAsia" w:ascii="仿宋" w:hAnsi="仿宋" w:eastAsia="仿宋" w:cs="仿宋"/>
          <w:b w:val="0"/>
          <w:bCs w:val="0"/>
          <w:color w:val="auto"/>
          <w:sz w:val="24"/>
          <w:szCs w:val="24"/>
          <w:highlight w:val="none"/>
        </w:rPr>
        <w:t>国家发展和改革委员会　财政部</w:t>
      </w:r>
    </w:p>
    <w:p w14:paraId="3858EDEE">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Style w:val="63"/>
          <w:rFonts w:hint="eastAsia" w:ascii="仿宋" w:hAnsi="仿宋" w:eastAsia="仿宋" w:cs="仿宋"/>
          <w:b w:val="0"/>
          <w:bCs w:val="0"/>
          <w:color w:val="auto"/>
          <w:sz w:val="24"/>
          <w:szCs w:val="24"/>
          <w:highlight w:val="none"/>
        </w:rPr>
      </w:pPr>
      <w:r>
        <w:rPr>
          <w:rStyle w:val="63"/>
          <w:rFonts w:hint="eastAsia" w:ascii="仿宋" w:hAnsi="仿宋" w:eastAsia="仿宋" w:cs="仿宋"/>
          <w:b w:val="0"/>
          <w:bCs w:val="0"/>
          <w:color w:val="auto"/>
          <w:sz w:val="24"/>
          <w:szCs w:val="24"/>
          <w:highlight w:val="none"/>
        </w:rPr>
        <w:t>二○一一年六月十八日</w:t>
      </w:r>
    </w:p>
    <w:p w14:paraId="35A7F768">
      <w:pPr>
        <w:keepNext w:val="0"/>
        <w:keepLines w:val="0"/>
        <w:pageBreakBefore w:val="0"/>
        <w:widowControl w:val="0"/>
        <w:kinsoku/>
        <w:wordWrap/>
        <w:overflowPunct/>
        <w:topLinePunct w:val="0"/>
        <w:autoSpaceDE/>
        <w:autoSpaceDN/>
        <w:bidi w:val="0"/>
        <w:adjustRightInd/>
        <w:snapToGrid/>
        <w:spacing w:line="400" w:lineRule="exact"/>
        <w:textAlignment w:val="auto"/>
        <w:rPr>
          <w:rStyle w:val="63"/>
          <w:rFonts w:hint="eastAsia" w:ascii="仿宋" w:hAnsi="仿宋" w:eastAsia="仿宋" w:cs="仿宋"/>
          <w:b w:val="0"/>
          <w:bCs w:val="0"/>
          <w:color w:val="auto"/>
          <w:sz w:val="24"/>
          <w:szCs w:val="24"/>
          <w:highlight w:val="none"/>
        </w:rPr>
      </w:pPr>
      <w:r>
        <w:rPr>
          <w:rStyle w:val="63"/>
          <w:rFonts w:hint="eastAsia" w:ascii="仿宋" w:hAnsi="仿宋" w:eastAsia="仿宋" w:cs="仿宋"/>
          <w:b w:val="0"/>
          <w:bCs w:val="0"/>
          <w:color w:val="auto"/>
          <w:sz w:val="24"/>
          <w:szCs w:val="24"/>
          <w:highlight w:val="none"/>
        </w:rPr>
        <w:t xml:space="preserve"> </w:t>
      </w:r>
    </w:p>
    <w:p w14:paraId="380D3E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63"/>
          <w:rFonts w:hint="eastAsia" w:ascii="仿宋" w:hAnsi="仿宋" w:eastAsia="仿宋" w:cs="仿宋"/>
          <w:b/>
          <w:bCs w:val="0"/>
          <w:color w:val="auto"/>
          <w:sz w:val="24"/>
          <w:szCs w:val="24"/>
          <w:highlight w:val="none"/>
        </w:rPr>
      </w:pPr>
      <w:r>
        <w:rPr>
          <w:rStyle w:val="63"/>
          <w:rFonts w:hint="eastAsia" w:ascii="仿宋" w:hAnsi="仿宋" w:eastAsia="仿宋" w:cs="仿宋"/>
          <w:b/>
          <w:bCs w:val="0"/>
          <w:color w:val="auto"/>
          <w:sz w:val="24"/>
          <w:szCs w:val="24"/>
          <w:highlight w:val="none"/>
        </w:rPr>
        <w:t>中小企业划型标准规定</w:t>
      </w:r>
    </w:p>
    <w:p w14:paraId="4D38F0A3">
      <w:pPr>
        <w:keepNext w:val="0"/>
        <w:keepLines w:val="0"/>
        <w:pageBreakBefore w:val="0"/>
        <w:widowControl w:val="0"/>
        <w:kinsoku/>
        <w:wordWrap/>
        <w:overflowPunct/>
        <w:topLinePunct w:val="0"/>
        <w:autoSpaceDE/>
        <w:autoSpaceDN/>
        <w:bidi w:val="0"/>
        <w:adjustRightInd/>
        <w:snapToGrid/>
        <w:spacing w:line="400" w:lineRule="exact"/>
        <w:textAlignment w:val="auto"/>
        <w:rPr>
          <w:rStyle w:val="63"/>
          <w:rFonts w:hint="eastAsia" w:ascii="仿宋" w:hAnsi="仿宋" w:eastAsia="仿宋" w:cs="仿宋"/>
          <w:b w:val="0"/>
          <w:bCs w:val="0"/>
          <w:color w:val="auto"/>
          <w:sz w:val="24"/>
          <w:szCs w:val="24"/>
          <w:highlight w:val="none"/>
        </w:rPr>
      </w:pPr>
      <w:r>
        <w:rPr>
          <w:rStyle w:val="63"/>
          <w:rFonts w:hint="eastAsia" w:ascii="仿宋" w:hAnsi="仿宋" w:eastAsia="仿宋" w:cs="仿宋"/>
          <w:b w:val="0"/>
          <w:bCs w:val="0"/>
          <w:color w:val="auto"/>
          <w:sz w:val="24"/>
          <w:szCs w:val="24"/>
          <w:highlight w:val="none"/>
        </w:rPr>
        <w:t>　　一、根据《中华人民共和国中小企业促进法》和《国务院关于进一步促进中小企业发展的若干意见》(国发〔2009〕36号)，制定本规定。</w:t>
      </w:r>
    </w:p>
    <w:p w14:paraId="3C9EF016">
      <w:pPr>
        <w:keepNext w:val="0"/>
        <w:keepLines w:val="0"/>
        <w:pageBreakBefore w:val="0"/>
        <w:widowControl w:val="0"/>
        <w:kinsoku/>
        <w:wordWrap/>
        <w:overflowPunct/>
        <w:topLinePunct w:val="0"/>
        <w:autoSpaceDE/>
        <w:autoSpaceDN/>
        <w:bidi w:val="0"/>
        <w:adjustRightInd/>
        <w:snapToGrid/>
        <w:spacing w:line="400" w:lineRule="exact"/>
        <w:textAlignment w:val="auto"/>
        <w:rPr>
          <w:rStyle w:val="63"/>
          <w:rFonts w:hint="eastAsia" w:ascii="仿宋" w:hAnsi="仿宋" w:eastAsia="仿宋" w:cs="仿宋"/>
          <w:b w:val="0"/>
          <w:bCs w:val="0"/>
          <w:color w:val="auto"/>
          <w:sz w:val="24"/>
          <w:szCs w:val="24"/>
          <w:highlight w:val="none"/>
        </w:rPr>
      </w:pPr>
      <w:r>
        <w:rPr>
          <w:rStyle w:val="63"/>
          <w:rFonts w:hint="eastAsia" w:ascii="仿宋" w:hAnsi="仿宋" w:eastAsia="仿宋" w:cs="仿宋"/>
          <w:b w:val="0"/>
          <w:bCs w:val="0"/>
          <w:color w:val="auto"/>
          <w:sz w:val="24"/>
          <w:szCs w:val="24"/>
          <w:highlight w:val="none"/>
        </w:rPr>
        <w:t>　　二、中小企业划分为中型、小型、微型三种类型，具体标准根据企业从业人员、营业收入、资产总额等指标，结合行业特点制定。</w:t>
      </w:r>
    </w:p>
    <w:p w14:paraId="0D06BCF0">
      <w:pPr>
        <w:keepNext w:val="0"/>
        <w:keepLines w:val="0"/>
        <w:pageBreakBefore w:val="0"/>
        <w:widowControl w:val="0"/>
        <w:kinsoku/>
        <w:wordWrap/>
        <w:overflowPunct/>
        <w:topLinePunct w:val="0"/>
        <w:autoSpaceDE/>
        <w:autoSpaceDN/>
        <w:bidi w:val="0"/>
        <w:adjustRightInd/>
        <w:snapToGrid/>
        <w:spacing w:line="400" w:lineRule="exact"/>
        <w:textAlignment w:val="auto"/>
        <w:rPr>
          <w:rStyle w:val="63"/>
          <w:rFonts w:hint="eastAsia" w:ascii="仿宋" w:hAnsi="仿宋" w:eastAsia="仿宋" w:cs="仿宋"/>
          <w:b w:val="0"/>
          <w:bCs w:val="0"/>
          <w:color w:val="auto"/>
          <w:sz w:val="24"/>
          <w:szCs w:val="24"/>
          <w:highlight w:val="none"/>
        </w:rPr>
      </w:pPr>
      <w:r>
        <w:rPr>
          <w:rStyle w:val="63"/>
          <w:rFonts w:hint="eastAsia" w:ascii="仿宋" w:hAnsi="仿宋" w:eastAsia="仿宋" w:cs="仿宋"/>
          <w:b w:val="0"/>
          <w:bCs w:val="0"/>
          <w:color w:val="auto"/>
          <w:sz w:val="24"/>
          <w:szCs w:val="24"/>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DC645F0">
      <w:pPr>
        <w:keepNext w:val="0"/>
        <w:keepLines w:val="0"/>
        <w:pageBreakBefore w:val="0"/>
        <w:widowControl w:val="0"/>
        <w:kinsoku/>
        <w:wordWrap/>
        <w:overflowPunct/>
        <w:topLinePunct w:val="0"/>
        <w:autoSpaceDE/>
        <w:autoSpaceDN/>
        <w:bidi w:val="0"/>
        <w:adjustRightInd/>
        <w:snapToGrid/>
        <w:spacing w:line="400" w:lineRule="exact"/>
        <w:textAlignment w:val="auto"/>
        <w:rPr>
          <w:rStyle w:val="63"/>
          <w:rFonts w:hint="eastAsia" w:ascii="仿宋" w:hAnsi="仿宋" w:eastAsia="仿宋" w:cs="仿宋"/>
          <w:b w:val="0"/>
          <w:bCs w:val="0"/>
          <w:color w:val="auto"/>
          <w:sz w:val="24"/>
          <w:szCs w:val="24"/>
          <w:highlight w:val="none"/>
        </w:rPr>
      </w:pPr>
      <w:r>
        <w:rPr>
          <w:rStyle w:val="63"/>
          <w:rFonts w:hint="eastAsia" w:ascii="仿宋" w:hAnsi="仿宋" w:eastAsia="仿宋" w:cs="仿宋"/>
          <w:b w:val="0"/>
          <w:bCs w:val="0"/>
          <w:color w:val="auto"/>
          <w:sz w:val="24"/>
          <w:szCs w:val="24"/>
          <w:highlight w:val="none"/>
        </w:rPr>
        <w:t>　　四、各行业划型标准为：</w:t>
      </w:r>
    </w:p>
    <w:p w14:paraId="14A74905">
      <w:pPr>
        <w:keepNext w:val="0"/>
        <w:keepLines w:val="0"/>
        <w:pageBreakBefore w:val="0"/>
        <w:widowControl w:val="0"/>
        <w:kinsoku/>
        <w:wordWrap/>
        <w:overflowPunct/>
        <w:topLinePunct w:val="0"/>
        <w:autoSpaceDE/>
        <w:autoSpaceDN/>
        <w:bidi w:val="0"/>
        <w:adjustRightInd/>
        <w:snapToGrid/>
        <w:spacing w:line="400" w:lineRule="exact"/>
        <w:textAlignment w:val="auto"/>
        <w:rPr>
          <w:rStyle w:val="63"/>
          <w:rFonts w:hint="eastAsia" w:ascii="仿宋" w:hAnsi="仿宋" w:eastAsia="仿宋" w:cs="仿宋"/>
          <w:b w:val="0"/>
          <w:bCs w:val="0"/>
          <w:color w:val="auto"/>
          <w:sz w:val="24"/>
          <w:szCs w:val="24"/>
          <w:highlight w:val="none"/>
        </w:rPr>
      </w:pPr>
      <w:r>
        <w:rPr>
          <w:rStyle w:val="63"/>
          <w:rFonts w:hint="eastAsia" w:ascii="仿宋" w:hAnsi="仿宋" w:eastAsia="仿宋" w:cs="仿宋"/>
          <w:b w:val="0"/>
          <w:bCs w:val="0"/>
          <w:color w:val="auto"/>
          <w:sz w:val="24"/>
          <w:szCs w:val="24"/>
          <w:highlight w:val="none"/>
        </w:rPr>
        <w:t>　　（一）农、林、牧、渔业。营业收入20000万元以下的为中小微型企业。其中，营业收入500万元及以上的为中型企业，营业收入50万元及以上的为小型企业，营业收入50万元以下的为微型企业。</w:t>
      </w:r>
    </w:p>
    <w:p w14:paraId="316B750F">
      <w:pPr>
        <w:keepNext w:val="0"/>
        <w:keepLines w:val="0"/>
        <w:pageBreakBefore w:val="0"/>
        <w:widowControl w:val="0"/>
        <w:kinsoku/>
        <w:wordWrap/>
        <w:overflowPunct/>
        <w:topLinePunct w:val="0"/>
        <w:autoSpaceDE/>
        <w:autoSpaceDN/>
        <w:bidi w:val="0"/>
        <w:adjustRightInd/>
        <w:snapToGrid/>
        <w:spacing w:line="400" w:lineRule="exact"/>
        <w:textAlignment w:val="auto"/>
        <w:rPr>
          <w:rStyle w:val="63"/>
          <w:rFonts w:hint="eastAsia" w:ascii="仿宋" w:hAnsi="仿宋" w:eastAsia="仿宋" w:cs="仿宋"/>
          <w:b w:val="0"/>
          <w:bCs w:val="0"/>
          <w:color w:val="auto"/>
          <w:sz w:val="24"/>
          <w:szCs w:val="24"/>
          <w:highlight w:val="none"/>
        </w:rPr>
      </w:pPr>
      <w:r>
        <w:rPr>
          <w:rStyle w:val="63"/>
          <w:rFonts w:hint="eastAsia" w:ascii="仿宋" w:hAnsi="仿宋" w:eastAsia="仿宋" w:cs="仿宋"/>
          <w:b w:val="0"/>
          <w:bCs w:val="0"/>
          <w:color w:val="auto"/>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B51C46A">
      <w:pPr>
        <w:keepNext w:val="0"/>
        <w:keepLines w:val="0"/>
        <w:pageBreakBefore w:val="0"/>
        <w:widowControl w:val="0"/>
        <w:kinsoku/>
        <w:wordWrap/>
        <w:overflowPunct/>
        <w:topLinePunct w:val="0"/>
        <w:autoSpaceDE/>
        <w:autoSpaceDN/>
        <w:bidi w:val="0"/>
        <w:adjustRightInd/>
        <w:snapToGrid/>
        <w:spacing w:line="400" w:lineRule="exact"/>
        <w:textAlignment w:val="auto"/>
        <w:rPr>
          <w:rStyle w:val="63"/>
          <w:rFonts w:hint="eastAsia" w:ascii="仿宋" w:hAnsi="仿宋" w:eastAsia="仿宋" w:cs="仿宋"/>
          <w:b w:val="0"/>
          <w:bCs w:val="0"/>
          <w:color w:val="auto"/>
          <w:sz w:val="24"/>
          <w:szCs w:val="24"/>
          <w:highlight w:val="none"/>
        </w:rPr>
      </w:pPr>
      <w:r>
        <w:rPr>
          <w:rStyle w:val="63"/>
          <w:rFonts w:hint="eastAsia" w:ascii="仿宋" w:hAnsi="仿宋" w:eastAsia="仿宋" w:cs="仿宋"/>
          <w:b w:val="0"/>
          <w:bCs w:val="0"/>
          <w:color w:val="auto"/>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6C71FD1">
      <w:pPr>
        <w:keepNext w:val="0"/>
        <w:keepLines w:val="0"/>
        <w:pageBreakBefore w:val="0"/>
        <w:widowControl w:val="0"/>
        <w:kinsoku/>
        <w:wordWrap/>
        <w:overflowPunct/>
        <w:topLinePunct w:val="0"/>
        <w:autoSpaceDE/>
        <w:autoSpaceDN/>
        <w:bidi w:val="0"/>
        <w:adjustRightInd/>
        <w:snapToGrid/>
        <w:spacing w:line="400" w:lineRule="exact"/>
        <w:textAlignment w:val="auto"/>
        <w:rPr>
          <w:rStyle w:val="63"/>
          <w:rFonts w:hint="eastAsia" w:ascii="仿宋" w:hAnsi="仿宋" w:eastAsia="仿宋" w:cs="仿宋"/>
          <w:b w:val="0"/>
          <w:bCs w:val="0"/>
          <w:color w:val="auto"/>
          <w:sz w:val="24"/>
          <w:szCs w:val="24"/>
          <w:highlight w:val="none"/>
        </w:rPr>
      </w:pPr>
      <w:r>
        <w:rPr>
          <w:rStyle w:val="63"/>
          <w:rFonts w:hint="eastAsia" w:ascii="仿宋" w:hAnsi="仿宋" w:eastAsia="仿宋" w:cs="仿宋"/>
          <w:b w:val="0"/>
          <w:bCs w:val="0"/>
          <w:color w:val="auto"/>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B3A8B28">
      <w:pPr>
        <w:keepNext w:val="0"/>
        <w:keepLines w:val="0"/>
        <w:pageBreakBefore w:val="0"/>
        <w:widowControl w:val="0"/>
        <w:kinsoku/>
        <w:wordWrap/>
        <w:overflowPunct/>
        <w:topLinePunct w:val="0"/>
        <w:autoSpaceDE/>
        <w:autoSpaceDN/>
        <w:bidi w:val="0"/>
        <w:adjustRightInd/>
        <w:snapToGrid/>
        <w:spacing w:line="400" w:lineRule="exact"/>
        <w:textAlignment w:val="auto"/>
        <w:rPr>
          <w:rStyle w:val="63"/>
          <w:rFonts w:hint="eastAsia" w:ascii="仿宋" w:hAnsi="仿宋" w:eastAsia="仿宋" w:cs="仿宋"/>
          <w:b w:val="0"/>
          <w:bCs w:val="0"/>
          <w:color w:val="auto"/>
          <w:sz w:val="24"/>
          <w:szCs w:val="24"/>
          <w:highlight w:val="none"/>
        </w:rPr>
      </w:pPr>
      <w:r>
        <w:rPr>
          <w:rStyle w:val="63"/>
          <w:rFonts w:hint="eastAsia" w:ascii="仿宋" w:hAnsi="仿宋" w:eastAsia="仿宋" w:cs="仿宋"/>
          <w:b w:val="0"/>
          <w:bCs w:val="0"/>
          <w:color w:val="auto"/>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92C6C1E">
      <w:pPr>
        <w:keepNext w:val="0"/>
        <w:keepLines w:val="0"/>
        <w:pageBreakBefore w:val="0"/>
        <w:widowControl w:val="0"/>
        <w:kinsoku/>
        <w:wordWrap/>
        <w:overflowPunct/>
        <w:topLinePunct w:val="0"/>
        <w:autoSpaceDE/>
        <w:autoSpaceDN/>
        <w:bidi w:val="0"/>
        <w:adjustRightInd/>
        <w:snapToGrid/>
        <w:spacing w:line="400" w:lineRule="exact"/>
        <w:textAlignment w:val="auto"/>
        <w:rPr>
          <w:rStyle w:val="63"/>
          <w:rFonts w:hint="eastAsia" w:ascii="仿宋" w:hAnsi="仿宋" w:eastAsia="仿宋" w:cs="仿宋"/>
          <w:b w:val="0"/>
          <w:bCs w:val="0"/>
          <w:color w:val="auto"/>
          <w:sz w:val="24"/>
          <w:szCs w:val="24"/>
          <w:highlight w:val="none"/>
        </w:rPr>
      </w:pPr>
      <w:r>
        <w:rPr>
          <w:rStyle w:val="63"/>
          <w:rFonts w:hint="eastAsia" w:ascii="仿宋" w:hAnsi="仿宋" w:eastAsia="仿宋" w:cs="仿宋"/>
          <w:b w:val="0"/>
          <w:bCs w:val="0"/>
          <w:color w:val="auto"/>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BA04873">
      <w:pPr>
        <w:keepNext w:val="0"/>
        <w:keepLines w:val="0"/>
        <w:pageBreakBefore w:val="0"/>
        <w:widowControl w:val="0"/>
        <w:kinsoku/>
        <w:wordWrap/>
        <w:overflowPunct/>
        <w:topLinePunct w:val="0"/>
        <w:autoSpaceDE/>
        <w:autoSpaceDN/>
        <w:bidi w:val="0"/>
        <w:adjustRightInd/>
        <w:snapToGrid/>
        <w:spacing w:line="400" w:lineRule="exact"/>
        <w:textAlignment w:val="auto"/>
        <w:rPr>
          <w:rStyle w:val="63"/>
          <w:rFonts w:hint="eastAsia" w:ascii="仿宋" w:hAnsi="仿宋" w:eastAsia="仿宋" w:cs="仿宋"/>
          <w:b w:val="0"/>
          <w:bCs w:val="0"/>
          <w:color w:val="auto"/>
          <w:sz w:val="24"/>
          <w:szCs w:val="24"/>
          <w:highlight w:val="none"/>
        </w:rPr>
      </w:pPr>
      <w:r>
        <w:rPr>
          <w:rStyle w:val="63"/>
          <w:rFonts w:hint="eastAsia" w:ascii="仿宋" w:hAnsi="仿宋" w:eastAsia="仿宋" w:cs="仿宋"/>
          <w:b w:val="0"/>
          <w:bCs w:val="0"/>
          <w:color w:val="auto"/>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44E0BD7">
      <w:pPr>
        <w:keepNext w:val="0"/>
        <w:keepLines w:val="0"/>
        <w:pageBreakBefore w:val="0"/>
        <w:widowControl w:val="0"/>
        <w:kinsoku/>
        <w:wordWrap/>
        <w:overflowPunct/>
        <w:topLinePunct w:val="0"/>
        <w:autoSpaceDE/>
        <w:autoSpaceDN/>
        <w:bidi w:val="0"/>
        <w:adjustRightInd/>
        <w:snapToGrid/>
        <w:spacing w:line="400" w:lineRule="exact"/>
        <w:textAlignment w:val="auto"/>
        <w:rPr>
          <w:rStyle w:val="63"/>
          <w:rFonts w:hint="eastAsia" w:ascii="仿宋" w:hAnsi="仿宋" w:eastAsia="仿宋" w:cs="仿宋"/>
          <w:b w:val="0"/>
          <w:bCs w:val="0"/>
          <w:color w:val="auto"/>
          <w:sz w:val="24"/>
          <w:szCs w:val="24"/>
          <w:highlight w:val="none"/>
        </w:rPr>
      </w:pPr>
      <w:r>
        <w:rPr>
          <w:rStyle w:val="63"/>
          <w:rFonts w:hint="eastAsia" w:ascii="仿宋" w:hAnsi="仿宋" w:eastAsia="仿宋" w:cs="仿宋"/>
          <w:b w:val="0"/>
          <w:bCs w:val="0"/>
          <w:color w:val="auto"/>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5958C3E">
      <w:pPr>
        <w:keepNext w:val="0"/>
        <w:keepLines w:val="0"/>
        <w:pageBreakBefore w:val="0"/>
        <w:widowControl w:val="0"/>
        <w:kinsoku/>
        <w:wordWrap/>
        <w:overflowPunct/>
        <w:topLinePunct w:val="0"/>
        <w:autoSpaceDE/>
        <w:autoSpaceDN/>
        <w:bidi w:val="0"/>
        <w:adjustRightInd/>
        <w:snapToGrid/>
        <w:spacing w:line="400" w:lineRule="exact"/>
        <w:textAlignment w:val="auto"/>
        <w:rPr>
          <w:rStyle w:val="63"/>
          <w:rFonts w:hint="eastAsia" w:ascii="仿宋" w:hAnsi="仿宋" w:eastAsia="仿宋" w:cs="仿宋"/>
          <w:b w:val="0"/>
          <w:bCs w:val="0"/>
          <w:color w:val="auto"/>
          <w:sz w:val="24"/>
          <w:szCs w:val="24"/>
          <w:highlight w:val="none"/>
        </w:rPr>
      </w:pPr>
      <w:r>
        <w:rPr>
          <w:rStyle w:val="63"/>
          <w:rFonts w:hint="eastAsia" w:ascii="仿宋" w:hAnsi="仿宋" w:eastAsia="仿宋" w:cs="仿宋"/>
          <w:b w:val="0"/>
          <w:bCs w:val="0"/>
          <w:color w:val="auto"/>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F31CEFC">
      <w:pPr>
        <w:keepNext w:val="0"/>
        <w:keepLines w:val="0"/>
        <w:pageBreakBefore w:val="0"/>
        <w:widowControl w:val="0"/>
        <w:kinsoku/>
        <w:wordWrap/>
        <w:overflowPunct/>
        <w:topLinePunct w:val="0"/>
        <w:autoSpaceDE/>
        <w:autoSpaceDN/>
        <w:bidi w:val="0"/>
        <w:adjustRightInd/>
        <w:snapToGrid/>
        <w:spacing w:line="400" w:lineRule="exact"/>
        <w:textAlignment w:val="auto"/>
        <w:rPr>
          <w:rStyle w:val="63"/>
          <w:rFonts w:hint="eastAsia" w:ascii="仿宋" w:hAnsi="仿宋" w:eastAsia="仿宋" w:cs="仿宋"/>
          <w:b w:val="0"/>
          <w:bCs w:val="0"/>
          <w:color w:val="auto"/>
          <w:sz w:val="24"/>
          <w:szCs w:val="24"/>
          <w:highlight w:val="none"/>
        </w:rPr>
      </w:pPr>
      <w:r>
        <w:rPr>
          <w:rStyle w:val="63"/>
          <w:rFonts w:hint="eastAsia" w:ascii="仿宋" w:hAnsi="仿宋" w:eastAsia="仿宋" w:cs="仿宋"/>
          <w:b w:val="0"/>
          <w:bCs w:val="0"/>
          <w:color w:val="auto"/>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BA35AFD">
      <w:pPr>
        <w:keepNext w:val="0"/>
        <w:keepLines w:val="0"/>
        <w:pageBreakBefore w:val="0"/>
        <w:widowControl w:val="0"/>
        <w:kinsoku/>
        <w:wordWrap/>
        <w:overflowPunct/>
        <w:topLinePunct w:val="0"/>
        <w:autoSpaceDE/>
        <w:autoSpaceDN/>
        <w:bidi w:val="0"/>
        <w:adjustRightInd/>
        <w:snapToGrid/>
        <w:spacing w:line="400" w:lineRule="exact"/>
        <w:textAlignment w:val="auto"/>
        <w:rPr>
          <w:rStyle w:val="63"/>
          <w:rFonts w:hint="eastAsia" w:ascii="仿宋" w:hAnsi="仿宋" w:eastAsia="仿宋" w:cs="仿宋"/>
          <w:b w:val="0"/>
          <w:bCs w:val="0"/>
          <w:color w:val="auto"/>
          <w:sz w:val="24"/>
          <w:szCs w:val="24"/>
          <w:highlight w:val="none"/>
        </w:rPr>
      </w:pPr>
      <w:r>
        <w:rPr>
          <w:rStyle w:val="63"/>
          <w:rFonts w:hint="eastAsia" w:ascii="仿宋" w:hAnsi="仿宋" w:eastAsia="仿宋" w:cs="仿宋"/>
          <w:b w:val="0"/>
          <w:bCs w:val="0"/>
          <w:color w:val="auto"/>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54E54D3">
      <w:pPr>
        <w:keepNext w:val="0"/>
        <w:keepLines w:val="0"/>
        <w:pageBreakBefore w:val="0"/>
        <w:widowControl w:val="0"/>
        <w:kinsoku/>
        <w:wordWrap/>
        <w:overflowPunct/>
        <w:topLinePunct w:val="0"/>
        <w:autoSpaceDE/>
        <w:autoSpaceDN/>
        <w:bidi w:val="0"/>
        <w:adjustRightInd/>
        <w:snapToGrid/>
        <w:spacing w:line="400" w:lineRule="exact"/>
        <w:textAlignment w:val="auto"/>
        <w:rPr>
          <w:rStyle w:val="63"/>
          <w:rFonts w:hint="eastAsia" w:ascii="仿宋" w:hAnsi="仿宋" w:eastAsia="仿宋" w:cs="仿宋"/>
          <w:b w:val="0"/>
          <w:bCs w:val="0"/>
          <w:color w:val="auto"/>
          <w:sz w:val="24"/>
          <w:szCs w:val="24"/>
          <w:highlight w:val="none"/>
        </w:rPr>
      </w:pPr>
      <w:r>
        <w:rPr>
          <w:rStyle w:val="63"/>
          <w:rFonts w:hint="eastAsia" w:ascii="仿宋" w:hAnsi="仿宋" w:eastAsia="仿宋" w:cs="仿宋"/>
          <w:b w:val="0"/>
          <w:bCs w:val="0"/>
          <w:color w:val="auto"/>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8027C80">
      <w:pPr>
        <w:keepNext w:val="0"/>
        <w:keepLines w:val="0"/>
        <w:pageBreakBefore w:val="0"/>
        <w:widowControl w:val="0"/>
        <w:kinsoku/>
        <w:wordWrap/>
        <w:overflowPunct/>
        <w:topLinePunct w:val="0"/>
        <w:autoSpaceDE/>
        <w:autoSpaceDN/>
        <w:bidi w:val="0"/>
        <w:adjustRightInd/>
        <w:snapToGrid/>
        <w:spacing w:line="400" w:lineRule="exact"/>
        <w:textAlignment w:val="auto"/>
        <w:rPr>
          <w:rStyle w:val="63"/>
          <w:rFonts w:hint="eastAsia" w:ascii="仿宋" w:hAnsi="仿宋" w:eastAsia="仿宋" w:cs="仿宋"/>
          <w:b w:val="0"/>
          <w:bCs w:val="0"/>
          <w:color w:val="auto"/>
          <w:sz w:val="24"/>
          <w:szCs w:val="24"/>
          <w:highlight w:val="none"/>
        </w:rPr>
      </w:pPr>
      <w:r>
        <w:rPr>
          <w:rStyle w:val="63"/>
          <w:rFonts w:hint="eastAsia" w:ascii="仿宋" w:hAnsi="仿宋" w:eastAsia="仿宋" w:cs="仿宋"/>
          <w:b w:val="0"/>
          <w:bCs w:val="0"/>
          <w:color w:val="auto"/>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BF9B151">
      <w:pPr>
        <w:keepNext w:val="0"/>
        <w:keepLines w:val="0"/>
        <w:pageBreakBefore w:val="0"/>
        <w:widowControl w:val="0"/>
        <w:kinsoku/>
        <w:wordWrap/>
        <w:overflowPunct/>
        <w:topLinePunct w:val="0"/>
        <w:autoSpaceDE/>
        <w:autoSpaceDN/>
        <w:bidi w:val="0"/>
        <w:adjustRightInd/>
        <w:snapToGrid/>
        <w:spacing w:line="400" w:lineRule="exact"/>
        <w:textAlignment w:val="auto"/>
        <w:rPr>
          <w:rStyle w:val="63"/>
          <w:rFonts w:hint="eastAsia" w:ascii="仿宋" w:hAnsi="仿宋" w:eastAsia="仿宋" w:cs="仿宋"/>
          <w:b w:val="0"/>
          <w:bCs w:val="0"/>
          <w:color w:val="auto"/>
          <w:sz w:val="24"/>
          <w:szCs w:val="24"/>
          <w:highlight w:val="none"/>
        </w:rPr>
      </w:pPr>
      <w:r>
        <w:rPr>
          <w:rStyle w:val="63"/>
          <w:rFonts w:hint="eastAsia" w:ascii="仿宋" w:hAnsi="仿宋" w:eastAsia="仿宋" w:cs="仿宋"/>
          <w:b w:val="0"/>
          <w:bCs w:val="0"/>
          <w:color w:val="auto"/>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65D538C">
      <w:pPr>
        <w:keepNext w:val="0"/>
        <w:keepLines w:val="0"/>
        <w:pageBreakBefore w:val="0"/>
        <w:widowControl w:val="0"/>
        <w:kinsoku/>
        <w:wordWrap/>
        <w:overflowPunct/>
        <w:topLinePunct w:val="0"/>
        <w:autoSpaceDE/>
        <w:autoSpaceDN/>
        <w:bidi w:val="0"/>
        <w:adjustRightInd/>
        <w:snapToGrid/>
        <w:spacing w:line="400" w:lineRule="exact"/>
        <w:textAlignment w:val="auto"/>
        <w:rPr>
          <w:rStyle w:val="63"/>
          <w:rFonts w:hint="eastAsia" w:ascii="仿宋" w:hAnsi="仿宋" w:eastAsia="仿宋" w:cs="仿宋"/>
          <w:b w:val="0"/>
          <w:bCs w:val="0"/>
          <w:color w:val="auto"/>
          <w:sz w:val="24"/>
          <w:szCs w:val="24"/>
          <w:highlight w:val="none"/>
        </w:rPr>
      </w:pPr>
      <w:r>
        <w:rPr>
          <w:rStyle w:val="63"/>
          <w:rFonts w:hint="eastAsia" w:ascii="仿宋" w:hAnsi="仿宋" w:eastAsia="仿宋" w:cs="仿宋"/>
          <w:b w:val="0"/>
          <w:bCs w:val="0"/>
          <w:color w:val="auto"/>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0D37EFC">
      <w:pPr>
        <w:keepNext w:val="0"/>
        <w:keepLines w:val="0"/>
        <w:pageBreakBefore w:val="0"/>
        <w:widowControl w:val="0"/>
        <w:kinsoku/>
        <w:wordWrap/>
        <w:overflowPunct/>
        <w:topLinePunct w:val="0"/>
        <w:autoSpaceDE/>
        <w:autoSpaceDN/>
        <w:bidi w:val="0"/>
        <w:adjustRightInd/>
        <w:snapToGrid/>
        <w:spacing w:line="400" w:lineRule="exact"/>
        <w:textAlignment w:val="auto"/>
        <w:rPr>
          <w:rStyle w:val="63"/>
          <w:rFonts w:hint="eastAsia" w:ascii="仿宋" w:hAnsi="仿宋" w:eastAsia="仿宋" w:cs="仿宋"/>
          <w:b w:val="0"/>
          <w:bCs w:val="0"/>
          <w:color w:val="auto"/>
          <w:sz w:val="24"/>
          <w:szCs w:val="24"/>
          <w:highlight w:val="none"/>
        </w:rPr>
      </w:pPr>
      <w:r>
        <w:rPr>
          <w:rStyle w:val="63"/>
          <w:rFonts w:hint="eastAsia" w:ascii="仿宋" w:hAnsi="仿宋" w:eastAsia="仿宋" w:cs="仿宋"/>
          <w:b w:val="0"/>
          <w:bCs w:val="0"/>
          <w:color w:val="auto"/>
          <w:sz w:val="24"/>
          <w:szCs w:val="24"/>
          <w:highlight w:val="none"/>
        </w:rPr>
        <w:t>（十六）其他未列明行业。从业人员300人以下的为中小微型企业。其中，从业人员100人及以上的为中型企业；从业人员10人及以上的为小型企业；从业人员10人以下的为微型企业。　　</w:t>
      </w:r>
    </w:p>
    <w:p w14:paraId="0AE0CBB4">
      <w:pPr>
        <w:keepNext w:val="0"/>
        <w:keepLines w:val="0"/>
        <w:pageBreakBefore w:val="0"/>
        <w:widowControl w:val="0"/>
        <w:kinsoku/>
        <w:wordWrap/>
        <w:overflowPunct/>
        <w:topLinePunct w:val="0"/>
        <w:autoSpaceDE/>
        <w:autoSpaceDN/>
        <w:bidi w:val="0"/>
        <w:adjustRightInd/>
        <w:snapToGrid/>
        <w:spacing w:line="400" w:lineRule="exact"/>
        <w:textAlignment w:val="auto"/>
        <w:rPr>
          <w:rStyle w:val="63"/>
          <w:rFonts w:hint="eastAsia" w:ascii="仿宋" w:hAnsi="仿宋" w:eastAsia="仿宋" w:cs="仿宋"/>
          <w:b w:val="0"/>
          <w:bCs w:val="0"/>
          <w:color w:val="auto"/>
          <w:sz w:val="24"/>
          <w:szCs w:val="24"/>
          <w:highlight w:val="none"/>
        </w:rPr>
      </w:pPr>
      <w:r>
        <w:rPr>
          <w:rStyle w:val="63"/>
          <w:rFonts w:hint="eastAsia" w:ascii="仿宋" w:hAnsi="仿宋" w:eastAsia="仿宋" w:cs="仿宋"/>
          <w:b w:val="0"/>
          <w:bCs w:val="0"/>
          <w:color w:val="auto"/>
          <w:sz w:val="24"/>
          <w:szCs w:val="24"/>
          <w:highlight w:val="none"/>
        </w:rPr>
        <w:t>五、企业类型的划分以统计部门的统计数据为依据。</w:t>
      </w:r>
    </w:p>
    <w:p w14:paraId="2DC3852D">
      <w:pPr>
        <w:keepNext w:val="0"/>
        <w:keepLines w:val="0"/>
        <w:pageBreakBefore w:val="0"/>
        <w:widowControl w:val="0"/>
        <w:kinsoku/>
        <w:wordWrap/>
        <w:overflowPunct/>
        <w:topLinePunct w:val="0"/>
        <w:autoSpaceDE/>
        <w:autoSpaceDN/>
        <w:bidi w:val="0"/>
        <w:adjustRightInd/>
        <w:snapToGrid/>
        <w:spacing w:line="400" w:lineRule="exact"/>
        <w:textAlignment w:val="auto"/>
        <w:rPr>
          <w:rStyle w:val="63"/>
          <w:rFonts w:hint="eastAsia" w:ascii="仿宋" w:hAnsi="仿宋" w:eastAsia="仿宋" w:cs="仿宋"/>
          <w:b w:val="0"/>
          <w:bCs w:val="0"/>
          <w:color w:val="auto"/>
          <w:sz w:val="24"/>
          <w:szCs w:val="24"/>
          <w:highlight w:val="none"/>
        </w:rPr>
      </w:pPr>
      <w:r>
        <w:rPr>
          <w:rStyle w:val="63"/>
          <w:rFonts w:hint="eastAsia" w:ascii="仿宋" w:hAnsi="仿宋" w:eastAsia="仿宋" w:cs="仿宋"/>
          <w:b w:val="0"/>
          <w:bCs w:val="0"/>
          <w:color w:val="auto"/>
          <w:sz w:val="24"/>
          <w:szCs w:val="24"/>
          <w:highlight w:val="none"/>
        </w:rPr>
        <w:t>　　六、本规定适用于在中华人民共和国境内依法设立的各类所有制和各种组织形式的企业。个体工商户和本规定以外的行业，参照本规定进行划型。</w:t>
      </w:r>
    </w:p>
    <w:p w14:paraId="4E08F49A">
      <w:pPr>
        <w:keepNext w:val="0"/>
        <w:keepLines w:val="0"/>
        <w:pageBreakBefore w:val="0"/>
        <w:widowControl w:val="0"/>
        <w:kinsoku/>
        <w:wordWrap/>
        <w:overflowPunct/>
        <w:topLinePunct w:val="0"/>
        <w:autoSpaceDE/>
        <w:autoSpaceDN/>
        <w:bidi w:val="0"/>
        <w:adjustRightInd/>
        <w:snapToGrid/>
        <w:spacing w:line="400" w:lineRule="exact"/>
        <w:textAlignment w:val="auto"/>
        <w:rPr>
          <w:rStyle w:val="63"/>
          <w:rFonts w:hint="eastAsia" w:ascii="仿宋" w:hAnsi="仿宋" w:eastAsia="仿宋" w:cs="仿宋"/>
          <w:b w:val="0"/>
          <w:bCs w:val="0"/>
          <w:color w:val="auto"/>
          <w:sz w:val="24"/>
          <w:szCs w:val="24"/>
          <w:highlight w:val="none"/>
        </w:rPr>
      </w:pPr>
      <w:r>
        <w:rPr>
          <w:rStyle w:val="63"/>
          <w:rFonts w:hint="eastAsia" w:ascii="仿宋" w:hAnsi="仿宋" w:eastAsia="仿宋" w:cs="仿宋"/>
          <w:b w:val="0"/>
          <w:bCs w:val="0"/>
          <w:color w:val="auto"/>
          <w:sz w:val="24"/>
          <w:szCs w:val="24"/>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1D0FC7AD">
      <w:pPr>
        <w:keepNext w:val="0"/>
        <w:keepLines w:val="0"/>
        <w:pageBreakBefore w:val="0"/>
        <w:widowControl w:val="0"/>
        <w:kinsoku/>
        <w:wordWrap/>
        <w:overflowPunct/>
        <w:topLinePunct w:val="0"/>
        <w:autoSpaceDE/>
        <w:autoSpaceDN/>
        <w:bidi w:val="0"/>
        <w:adjustRightInd/>
        <w:snapToGrid/>
        <w:spacing w:line="400" w:lineRule="exact"/>
        <w:textAlignment w:val="auto"/>
        <w:rPr>
          <w:rStyle w:val="63"/>
          <w:rFonts w:hint="eastAsia" w:ascii="仿宋" w:hAnsi="仿宋" w:eastAsia="仿宋" w:cs="仿宋"/>
          <w:b w:val="0"/>
          <w:bCs w:val="0"/>
          <w:color w:val="auto"/>
          <w:sz w:val="24"/>
          <w:szCs w:val="24"/>
          <w:highlight w:val="none"/>
        </w:rPr>
      </w:pPr>
      <w:r>
        <w:rPr>
          <w:rStyle w:val="63"/>
          <w:rFonts w:hint="eastAsia" w:ascii="仿宋" w:hAnsi="仿宋" w:eastAsia="仿宋" w:cs="仿宋"/>
          <w:b w:val="0"/>
          <w:bCs w:val="0"/>
          <w:color w:val="auto"/>
          <w:sz w:val="24"/>
          <w:szCs w:val="24"/>
          <w:highlight w:val="none"/>
        </w:rPr>
        <w:t>　　八、本规定由工业和信息化部、国家统计局会同有关部门根据《国民经济行业分类》修订情况和企业发展变化情况适时修订。</w:t>
      </w:r>
    </w:p>
    <w:p w14:paraId="422AC314">
      <w:pPr>
        <w:keepNext w:val="0"/>
        <w:keepLines w:val="0"/>
        <w:pageBreakBefore w:val="0"/>
        <w:widowControl w:val="0"/>
        <w:kinsoku/>
        <w:wordWrap/>
        <w:overflowPunct/>
        <w:topLinePunct w:val="0"/>
        <w:autoSpaceDE/>
        <w:autoSpaceDN/>
        <w:bidi w:val="0"/>
        <w:adjustRightInd/>
        <w:snapToGrid/>
        <w:spacing w:line="400" w:lineRule="exact"/>
        <w:textAlignment w:val="auto"/>
        <w:rPr>
          <w:rStyle w:val="63"/>
          <w:rFonts w:hint="eastAsia" w:ascii="仿宋" w:hAnsi="仿宋" w:eastAsia="仿宋" w:cs="仿宋"/>
          <w:b w:val="0"/>
          <w:bCs w:val="0"/>
          <w:color w:val="auto"/>
          <w:sz w:val="24"/>
          <w:szCs w:val="24"/>
          <w:highlight w:val="none"/>
        </w:rPr>
      </w:pPr>
      <w:r>
        <w:rPr>
          <w:rStyle w:val="63"/>
          <w:rFonts w:hint="eastAsia" w:ascii="仿宋" w:hAnsi="仿宋" w:eastAsia="仿宋" w:cs="仿宋"/>
          <w:b w:val="0"/>
          <w:bCs w:val="0"/>
          <w:color w:val="auto"/>
          <w:sz w:val="24"/>
          <w:szCs w:val="24"/>
          <w:highlight w:val="none"/>
        </w:rPr>
        <w:t>　　九、本规定由工业和信息化部、国家统计局会同有关部门负责解释。</w:t>
      </w:r>
    </w:p>
    <w:p w14:paraId="337F6E64">
      <w:pPr>
        <w:keepNext w:val="0"/>
        <w:keepLines w:val="0"/>
        <w:pageBreakBefore w:val="0"/>
        <w:widowControl w:val="0"/>
        <w:kinsoku/>
        <w:wordWrap/>
        <w:overflowPunct/>
        <w:topLinePunct w:val="0"/>
        <w:autoSpaceDE/>
        <w:autoSpaceDN/>
        <w:bidi w:val="0"/>
        <w:adjustRightInd/>
        <w:snapToGrid/>
        <w:spacing w:line="400" w:lineRule="exact"/>
        <w:textAlignment w:val="auto"/>
        <w:rPr>
          <w:rStyle w:val="63"/>
          <w:rFonts w:hint="eastAsia" w:ascii="仿宋" w:hAnsi="仿宋" w:eastAsia="仿宋" w:cs="仿宋"/>
          <w:b w:val="0"/>
          <w:bCs w:val="0"/>
          <w:color w:val="auto"/>
          <w:sz w:val="24"/>
          <w:szCs w:val="24"/>
          <w:highlight w:val="none"/>
        </w:rPr>
      </w:pPr>
      <w:r>
        <w:rPr>
          <w:rStyle w:val="63"/>
          <w:rFonts w:hint="eastAsia" w:ascii="仿宋" w:hAnsi="仿宋" w:eastAsia="仿宋" w:cs="仿宋"/>
          <w:b w:val="0"/>
          <w:bCs w:val="0"/>
          <w:color w:val="auto"/>
          <w:sz w:val="24"/>
          <w:szCs w:val="24"/>
          <w:highlight w:val="none"/>
        </w:rPr>
        <w:t>十、本规定自发布之日起执行，原国家经贸委、原国家计委、财政部和国家统计局2003年颁布的《中小企业标准暂行规定》同时废止。</w:t>
      </w:r>
    </w:p>
    <w:p w14:paraId="0589014E">
      <w:pPr>
        <w:widowControl/>
        <w:spacing w:line="360" w:lineRule="exact"/>
        <w:jc w:val="left"/>
        <w:rPr>
          <w:rFonts w:hint="eastAsia" w:ascii="仿宋" w:hAnsi="仿宋" w:eastAsia="仿宋" w:cs="仿宋"/>
          <w:color w:val="auto"/>
          <w:sz w:val="24"/>
          <w:highlight w:val="none"/>
        </w:rPr>
      </w:pPr>
    </w:p>
    <w:p w14:paraId="45DE6A88">
      <w:pPr>
        <w:widowControl/>
        <w:jc w:val="left"/>
        <w:rPr>
          <w:rFonts w:hint="eastAsia" w:ascii="仿宋" w:hAnsi="仿宋" w:eastAsia="仿宋" w:cs="仿宋"/>
          <w:b/>
          <w:bCs/>
          <w:color w:val="auto"/>
          <w:kern w:val="0"/>
          <w:sz w:val="24"/>
          <w:highlight w:val="none"/>
        </w:rPr>
      </w:pPr>
    </w:p>
    <w:p w14:paraId="238A9EA1">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376FE92D">
      <w:pPr>
        <w:shd w:val="clear" w:color="auto" w:fill="FFFFFF"/>
        <w:spacing w:line="440" w:lineRule="exact"/>
        <w:jc w:val="both"/>
        <w:rPr>
          <w:rFonts w:hint="eastAsia" w:ascii="仿宋" w:hAnsi="仿宋" w:eastAsia="仿宋" w:cs="仿宋"/>
          <w:b/>
          <w:bCs/>
          <w:color w:val="auto"/>
          <w:sz w:val="28"/>
          <w:szCs w:val="28"/>
          <w:highlight w:val="none"/>
        </w:rPr>
      </w:pPr>
      <w:r>
        <w:rPr>
          <w:rFonts w:hint="eastAsia" w:ascii="仿宋" w:hAnsi="仿宋" w:eastAsia="仿宋" w:cs="仿宋"/>
          <w:b/>
          <w:bCs/>
          <w:color w:val="auto"/>
          <w:kern w:val="0"/>
          <w:sz w:val="24"/>
          <w:highlight w:val="none"/>
          <w:lang w:eastAsia="zh-CN"/>
        </w:rPr>
        <w:t>附：残疾人福利性单位声明函</w:t>
      </w:r>
      <w:r>
        <w:rPr>
          <w:rFonts w:hint="eastAsia" w:ascii="仿宋" w:hAnsi="仿宋" w:eastAsia="仿宋" w:cs="仿宋"/>
          <w:b/>
          <w:bCs/>
          <w:color w:val="auto"/>
          <w:kern w:val="0"/>
          <w:sz w:val="24"/>
          <w:highlight w:val="none"/>
        </w:rPr>
        <w:t>格式</w:t>
      </w:r>
    </w:p>
    <w:p w14:paraId="08424685">
      <w:pPr>
        <w:shd w:val="clear" w:color="auto" w:fill="FFFFFF"/>
        <w:spacing w:line="440" w:lineRule="exact"/>
        <w:jc w:val="center"/>
        <w:rPr>
          <w:rFonts w:hint="eastAsia" w:ascii="仿宋" w:hAnsi="仿宋" w:eastAsia="仿宋" w:cs="仿宋"/>
          <w:b/>
          <w:bCs/>
          <w:color w:val="auto"/>
          <w:sz w:val="28"/>
          <w:szCs w:val="28"/>
          <w:highlight w:val="none"/>
        </w:rPr>
      </w:pPr>
    </w:p>
    <w:p w14:paraId="3BCE1A76">
      <w:pPr>
        <w:shd w:val="clear" w:color="auto" w:fill="FFFFFF"/>
        <w:spacing w:line="440" w:lineRule="exact"/>
        <w:jc w:val="center"/>
        <w:rPr>
          <w:rFonts w:hint="eastAsia" w:ascii="仿宋" w:hAnsi="仿宋" w:eastAsia="仿宋" w:cs="仿宋"/>
          <w:b/>
          <w:bCs/>
          <w:color w:val="auto"/>
          <w:sz w:val="28"/>
          <w:szCs w:val="28"/>
          <w:highlight w:val="none"/>
        </w:rPr>
      </w:pPr>
    </w:p>
    <w:p w14:paraId="628F4DFC">
      <w:pPr>
        <w:shd w:val="clear" w:color="auto" w:fill="FFFFFF"/>
        <w:spacing w:line="440" w:lineRule="exact"/>
        <w:jc w:val="center"/>
        <w:rPr>
          <w:rFonts w:hint="eastAsia" w:ascii="仿宋" w:hAnsi="仿宋" w:eastAsia="仿宋" w:cs="仿宋"/>
          <w:color w:val="auto"/>
          <w:sz w:val="28"/>
          <w:szCs w:val="28"/>
          <w:highlight w:val="none"/>
        </w:rPr>
      </w:pPr>
      <w:bookmarkStart w:id="45" w:name="OLE_LINK2"/>
      <w:r>
        <w:rPr>
          <w:rFonts w:hint="eastAsia" w:ascii="仿宋" w:hAnsi="仿宋" w:eastAsia="仿宋" w:cs="仿宋"/>
          <w:b/>
          <w:bCs/>
          <w:color w:val="auto"/>
          <w:sz w:val="28"/>
          <w:szCs w:val="28"/>
          <w:highlight w:val="none"/>
        </w:rPr>
        <w:t>残疾人福利性单位声明函</w:t>
      </w:r>
      <w:bookmarkEnd w:id="45"/>
    </w:p>
    <w:p w14:paraId="4CEBA9C8">
      <w:pPr>
        <w:widowControl/>
        <w:jc w:val="left"/>
        <w:rPr>
          <w:rFonts w:hint="eastAsia" w:ascii="仿宋" w:hAnsi="仿宋" w:eastAsia="仿宋" w:cs="仿宋"/>
          <w:color w:val="auto"/>
          <w:sz w:val="24"/>
          <w:highlight w:val="none"/>
        </w:rPr>
      </w:pPr>
    </w:p>
    <w:p w14:paraId="41A18FF9">
      <w:pPr>
        <w:widowControl/>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单位的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7433AF10">
      <w:pPr>
        <w:widowControl/>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191B324F">
      <w:pPr>
        <w:widowControl/>
        <w:spacing w:line="400" w:lineRule="exact"/>
        <w:jc w:val="left"/>
        <w:rPr>
          <w:rFonts w:hint="eastAsia" w:ascii="仿宋" w:hAnsi="仿宋" w:eastAsia="仿宋" w:cs="仿宋"/>
          <w:color w:val="auto"/>
          <w:sz w:val="24"/>
          <w:highlight w:val="none"/>
        </w:rPr>
      </w:pPr>
    </w:p>
    <w:p w14:paraId="1A22AA13">
      <w:pPr>
        <w:widowControl/>
        <w:spacing w:line="400" w:lineRule="exact"/>
        <w:jc w:val="left"/>
        <w:rPr>
          <w:rFonts w:hint="eastAsia" w:ascii="仿宋" w:hAnsi="仿宋" w:eastAsia="仿宋" w:cs="仿宋"/>
          <w:color w:val="auto"/>
          <w:sz w:val="24"/>
          <w:highlight w:val="none"/>
        </w:rPr>
      </w:pPr>
    </w:p>
    <w:p w14:paraId="584A3591">
      <w:pPr>
        <w:widowControl/>
        <w:spacing w:line="400" w:lineRule="exact"/>
        <w:jc w:val="left"/>
        <w:rPr>
          <w:rFonts w:hint="eastAsia" w:ascii="仿宋" w:hAnsi="仿宋" w:eastAsia="仿宋" w:cs="仿宋"/>
          <w:color w:val="auto"/>
          <w:sz w:val="24"/>
          <w:highlight w:val="none"/>
        </w:rPr>
      </w:pPr>
    </w:p>
    <w:p w14:paraId="3ED6F108">
      <w:pPr>
        <w:widowControl/>
        <w:spacing w:line="400" w:lineRule="exact"/>
        <w:jc w:val="left"/>
        <w:rPr>
          <w:rFonts w:hint="eastAsia" w:ascii="仿宋" w:hAnsi="仿宋" w:eastAsia="仿宋" w:cs="仿宋"/>
          <w:color w:val="auto"/>
          <w:sz w:val="24"/>
          <w:highlight w:val="none"/>
        </w:rPr>
      </w:pPr>
    </w:p>
    <w:p w14:paraId="12D41AE8">
      <w:pPr>
        <w:widowControl/>
        <w:spacing w:line="400" w:lineRule="exact"/>
        <w:jc w:val="left"/>
        <w:rPr>
          <w:rFonts w:hint="eastAsia" w:ascii="仿宋" w:hAnsi="仿宋" w:eastAsia="仿宋" w:cs="仿宋"/>
          <w:color w:val="auto"/>
          <w:sz w:val="24"/>
          <w:highlight w:val="none"/>
        </w:rPr>
      </w:pPr>
    </w:p>
    <w:p w14:paraId="1A6B503C">
      <w:pPr>
        <w:pStyle w:val="728"/>
        <w:spacing w:line="440" w:lineRule="exact"/>
        <w:ind w:firstLine="480"/>
        <w:rPr>
          <w:rFonts w:hint="eastAsia" w:ascii="仿宋" w:hAnsi="仿宋" w:eastAsia="仿宋" w:cs="仿宋"/>
          <w:snapToGrid/>
          <w:color w:val="auto"/>
          <w:spacing w:val="6"/>
          <w:sz w:val="24"/>
          <w:szCs w:val="24"/>
          <w:highlight w:val="none"/>
          <w:lang w:eastAsia="zh-CN"/>
        </w:rPr>
      </w:pPr>
      <w:r>
        <w:rPr>
          <w:rFonts w:hint="eastAsia" w:ascii="仿宋" w:hAnsi="仿宋" w:eastAsia="仿宋" w:cs="仿宋"/>
          <w:color w:val="auto"/>
          <w:sz w:val="24"/>
          <w:highlight w:val="none"/>
          <w:lang w:eastAsia="zh-CN"/>
        </w:rPr>
        <w:t xml:space="preserve">                                         </w:t>
      </w:r>
      <w:r>
        <w:rPr>
          <w:rFonts w:hint="eastAsia" w:ascii="仿宋" w:hAnsi="仿宋" w:eastAsia="仿宋" w:cs="仿宋"/>
          <w:snapToGrid/>
          <w:color w:val="auto"/>
          <w:spacing w:val="6"/>
          <w:sz w:val="24"/>
          <w:szCs w:val="24"/>
          <w:highlight w:val="none"/>
          <w:lang w:eastAsia="zh-CN"/>
        </w:rPr>
        <w:t>供应商（公章）：</w:t>
      </w:r>
    </w:p>
    <w:p w14:paraId="32C8320D">
      <w:pPr>
        <w:pStyle w:val="728"/>
        <w:spacing w:line="440" w:lineRule="exact"/>
        <w:ind w:firstLine="3528" w:firstLineChars="1400"/>
        <w:rPr>
          <w:rFonts w:hint="eastAsia" w:ascii="仿宋" w:hAnsi="仿宋" w:eastAsia="仿宋" w:cs="仿宋"/>
          <w:snapToGrid/>
          <w:color w:val="auto"/>
          <w:spacing w:val="6"/>
          <w:sz w:val="24"/>
          <w:szCs w:val="24"/>
          <w:highlight w:val="none"/>
          <w:lang w:eastAsia="zh-CN"/>
        </w:rPr>
      </w:pPr>
      <w:r>
        <w:rPr>
          <w:rFonts w:hint="eastAsia" w:ascii="仿宋" w:hAnsi="仿宋" w:eastAsia="仿宋" w:cs="仿宋"/>
          <w:snapToGrid/>
          <w:color w:val="auto"/>
          <w:spacing w:val="6"/>
          <w:sz w:val="24"/>
          <w:szCs w:val="24"/>
          <w:highlight w:val="none"/>
          <w:lang w:eastAsia="zh-CN"/>
        </w:rPr>
        <w:t xml:space="preserve">              授权代理人（签字或签章）：</w:t>
      </w:r>
    </w:p>
    <w:p w14:paraId="54CB24EE">
      <w:pPr>
        <w:widowControl/>
        <w:spacing w:line="440" w:lineRule="exact"/>
        <w:jc w:val="left"/>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 xml:space="preserve">                                         日期：   年  月   日</w:t>
      </w:r>
    </w:p>
    <w:p w14:paraId="0381B107">
      <w:pPr>
        <w:widowControl/>
        <w:jc w:val="left"/>
        <w:rPr>
          <w:rFonts w:hint="eastAsia" w:ascii="仿宋" w:hAnsi="仿宋" w:eastAsia="仿宋" w:cs="仿宋"/>
          <w:b/>
          <w:bCs/>
          <w:color w:val="auto"/>
          <w:sz w:val="24"/>
          <w:highlight w:val="none"/>
        </w:rPr>
      </w:pPr>
    </w:p>
    <w:p w14:paraId="0F36BA3F">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br w:type="page"/>
      </w:r>
    </w:p>
    <w:p w14:paraId="1752E8A5">
      <w:pPr>
        <w:widowControl/>
        <w:jc w:val="left"/>
        <w:rPr>
          <w:rFonts w:hint="eastAsia" w:ascii="仿宋" w:hAnsi="仿宋" w:eastAsia="仿宋" w:cs="仿宋"/>
          <w:b/>
          <w:bCs/>
          <w:color w:val="auto"/>
          <w:szCs w:val="21"/>
          <w:highlight w:val="none"/>
        </w:rPr>
      </w:pPr>
      <w:r>
        <w:rPr>
          <w:rFonts w:hint="eastAsia" w:ascii="仿宋" w:hAnsi="仿宋" w:eastAsia="仿宋" w:cs="仿宋"/>
          <w:b/>
          <w:bCs/>
          <w:color w:val="auto"/>
          <w:sz w:val="24"/>
          <w:highlight w:val="none"/>
        </w:rPr>
        <w:t>附件十</w:t>
      </w:r>
      <w:r>
        <w:rPr>
          <w:rFonts w:hint="eastAsia" w:ascii="仿宋" w:hAnsi="仿宋" w:eastAsia="仿宋" w:cs="仿宋"/>
          <w:b/>
          <w:bCs/>
          <w:color w:val="auto"/>
          <w:sz w:val="24"/>
          <w:highlight w:val="none"/>
          <w:lang w:eastAsia="zh-CN"/>
        </w:rPr>
        <w:t>二</w:t>
      </w:r>
      <w:r>
        <w:rPr>
          <w:rFonts w:hint="eastAsia" w:ascii="仿宋" w:hAnsi="仿宋" w:eastAsia="仿宋" w:cs="仿宋"/>
          <w:b/>
          <w:bCs/>
          <w:color w:val="auto"/>
          <w:sz w:val="24"/>
          <w:highlight w:val="none"/>
        </w:rPr>
        <w:t xml:space="preserve">  技术服务条款偏离表 </w:t>
      </w:r>
    </w:p>
    <w:p w14:paraId="73E9D25D">
      <w:pPr>
        <w:shd w:val="clear" w:color="auto" w:fill="FFFFFF"/>
        <w:spacing w:line="440" w:lineRule="exact"/>
        <w:jc w:val="center"/>
        <w:rPr>
          <w:rFonts w:hint="eastAsia" w:ascii="仿宋" w:hAnsi="仿宋" w:eastAsia="仿宋" w:cs="仿宋"/>
          <w:b/>
          <w:bCs/>
          <w:color w:val="auto"/>
          <w:sz w:val="28"/>
          <w:szCs w:val="28"/>
          <w:highlight w:val="none"/>
        </w:rPr>
      </w:pPr>
    </w:p>
    <w:p w14:paraId="0EA656F4">
      <w:pPr>
        <w:shd w:val="clear" w:color="auto" w:fill="FFFFFF"/>
        <w:spacing w:line="440" w:lineRule="exact"/>
        <w:jc w:val="center"/>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技术服务条款偏离表</w:t>
      </w:r>
    </w:p>
    <w:p w14:paraId="1AAD1D01">
      <w:pPr>
        <w:shd w:val="clear" w:color="auto" w:fill="FFFFFF"/>
        <w:spacing w:line="500" w:lineRule="exact"/>
        <w:ind w:firstLine="120" w:firstLineChars="50"/>
        <w:rPr>
          <w:rFonts w:hint="eastAsia" w:ascii="仿宋" w:hAnsi="仿宋" w:eastAsia="仿宋" w:cs="仿宋"/>
          <w:color w:val="auto"/>
          <w:szCs w:val="21"/>
          <w:highlight w:val="none"/>
        </w:rPr>
      </w:pPr>
      <w:r>
        <w:rPr>
          <w:rFonts w:hint="eastAsia" w:ascii="仿宋" w:hAnsi="仿宋" w:eastAsia="仿宋" w:cs="仿宋"/>
          <w:color w:val="auto"/>
          <w:sz w:val="24"/>
          <w:highlight w:val="none"/>
          <w:lang w:eastAsia="zh-CN"/>
        </w:rPr>
        <w:t>项目</w:t>
      </w:r>
      <w:r>
        <w:rPr>
          <w:rFonts w:hint="eastAsia" w:ascii="仿宋" w:hAnsi="仿宋" w:eastAsia="仿宋" w:cs="仿宋"/>
          <w:color w:val="auto"/>
          <w:sz w:val="24"/>
          <w:highlight w:val="none"/>
        </w:rPr>
        <w:t xml:space="preserve">名称：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项目编号：</w:t>
      </w:r>
    </w:p>
    <w:tbl>
      <w:tblPr>
        <w:tblStyle w:val="59"/>
        <w:tblW w:w="4997" w:type="pct"/>
        <w:tblInd w:w="0" w:type="dxa"/>
        <w:tblLayout w:type="autofit"/>
        <w:tblCellMar>
          <w:top w:w="0" w:type="dxa"/>
          <w:left w:w="108" w:type="dxa"/>
          <w:bottom w:w="0" w:type="dxa"/>
          <w:right w:w="108" w:type="dxa"/>
        </w:tblCellMar>
      </w:tblPr>
      <w:tblGrid>
        <w:gridCol w:w="1225"/>
        <w:gridCol w:w="2644"/>
        <w:gridCol w:w="2793"/>
        <w:gridCol w:w="2041"/>
        <w:gridCol w:w="1145"/>
      </w:tblGrid>
      <w:tr w14:paraId="17948B06">
        <w:tblPrEx>
          <w:tblCellMar>
            <w:top w:w="0" w:type="dxa"/>
            <w:left w:w="108" w:type="dxa"/>
            <w:bottom w:w="0" w:type="dxa"/>
            <w:right w:w="108" w:type="dxa"/>
          </w:tblCellMar>
        </w:tblPrEx>
        <w:trPr>
          <w:cantSplit/>
          <w:trHeight w:val="651" w:hRule="exact"/>
        </w:trPr>
        <w:tc>
          <w:tcPr>
            <w:tcW w:w="622" w:type="pct"/>
            <w:tcBorders>
              <w:top w:val="single" w:color="auto" w:sz="6" w:space="0"/>
              <w:left w:val="single" w:color="auto" w:sz="6" w:space="0"/>
              <w:bottom w:val="single" w:color="auto" w:sz="6" w:space="0"/>
              <w:right w:val="single" w:color="auto" w:sz="6" w:space="0"/>
            </w:tcBorders>
            <w:vAlign w:val="center"/>
          </w:tcPr>
          <w:p w14:paraId="1BEF10B5">
            <w:pPr>
              <w:shd w:val="clear" w:color="auto" w:fill="FFFFFF"/>
              <w:spacing w:line="4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342" w:type="pct"/>
            <w:tcBorders>
              <w:top w:val="single" w:color="auto" w:sz="6" w:space="0"/>
              <w:left w:val="single" w:color="auto" w:sz="6" w:space="0"/>
              <w:bottom w:val="single" w:color="auto" w:sz="6" w:space="0"/>
              <w:right w:val="single" w:color="auto" w:sz="6" w:space="0"/>
            </w:tcBorders>
            <w:vAlign w:val="center"/>
          </w:tcPr>
          <w:p w14:paraId="118C65D0">
            <w:pPr>
              <w:shd w:val="clear" w:color="auto" w:fill="FFFFFF"/>
              <w:spacing w:line="4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招标</w:t>
            </w:r>
            <w:r>
              <w:rPr>
                <w:rFonts w:hint="eastAsia" w:ascii="仿宋" w:hAnsi="仿宋" w:eastAsia="仿宋" w:cs="仿宋"/>
                <w:color w:val="auto"/>
                <w:szCs w:val="21"/>
                <w:highlight w:val="none"/>
                <w:lang w:eastAsia="zh-CN"/>
              </w:rPr>
              <w:t>文件</w:t>
            </w:r>
            <w:r>
              <w:rPr>
                <w:rFonts w:hint="eastAsia" w:ascii="仿宋" w:hAnsi="仿宋" w:eastAsia="仿宋" w:cs="仿宋"/>
                <w:color w:val="auto"/>
                <w:szCs w:val="21"/>
                <w:highlight w:val="none"/>
              </w:rPr>
              <w:t>条款</w:t>
            </w:r>
          </w:p>
        </w:tc>
        <w:tc>
          <w:tcPr>
            <w:tcW w:w="1418" w:type="pct"/>
            <w:tcBorders>
              <w:top w:val="single" w:color="auto" w:sz="6" w:space="0"/>
              <w:left w:val="single" w:color="auto" w:sz="6" w:space="0"/>
              <w:bottom w:val="single" w:color="auto" w:sz="6" w:space="0"/>
              <w:right w:val="single" w:color="auto" w:sz="6" w:space="0"/>
            </w:tcBorders>
            <w:vAlign w:val="center"/>
          </w:tcPr>
          <w:p w14:paraId="061C7808">
            <w:pPr>
              <w:shd w:val="clear" w:color="auto" w:fill="FFFFFF"/>
              <w:spacing w:line="44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投标</w:t>
            </w:r>
            <w:r>
              <w:rPr>
                <w:rFonts w:hint="eastAsia" w:ascii="仿宋" w:hAnsi="仿宋" w:eastAsia="仿宋" w:cs="仿宋"/>
                <w:color w:val="auto"/>
                <w:szCs w:val="21"/>
                <w:highlight w:val="none"/>
                <w:lang w:eastAsia="zh-CN"/>
              </w:rPr>
              <w:t>响应内容</w:t>
            </w:r>
          </w:p>
        </w:tc>
        <w:tc>
          <w:tcPr>
            <w:tcW w:w="1036" w:type="pct"/>
            <w:tcBorders>
              <w:top w:val="single" w:color="auto" w:sz="6" w:space="0"/>
              <w:left w:val="single" w:color="auto" w:sz="6" w:space="0"/>
              <w:bottom w:val="single" w:color="auto" w:sz="6" w:space="0"/>
              <w:right w:val="single" w:color="auto" w:sz="4" w:space="0"/>
            </w:tcBorders>
            <w:vAlign w:val="center"/>
          </w:tcPr>
          <w:p w14:paraId="1EC2BA1B">
            <w:pPr>
              <w:shd w:val="clear" w:color="auto" w:fill="FFFFFF"/>
              <w:spacing w:line="4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响应/偏离</w:t>
            </w:r>
          </w:p>
        </w:tc>
        <w:tc>
          <w:tcPr>
            <w:tcW w:w="581" w:type="pct"/>
            <w:tcBorders>
              <w:top w:val="single" w:color="auto" w:sz="6" w:space="0"/>
              <w:left w:val="single" w:color="auto" w:sz="4" w:space="0"/>
              <w:bottom w:val="single" w:color="auto" w:sz="6" w:space="0"/>
              <w:right w:val="single" w:color="auto" w:sz="6" w:space="0"/>
            </w:tcBorders>
            <w:vAlign w:val="center"/>
          </w:tcPr>
          <w:p w14:paraId="46C49C34">
            <w:pPr>
              <w:shd w:val="clear" w:color="auto" w:fill="FFFFFF"/>
              <w:spacing w:line="44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备注</w:t>
            </w:r>
          </w:p>
        </w:tc>
      </w:tr>
      <w:tr w14:paraId="48F12F49">
        <w:tblPrEx>
          <w:tblCellMar>
            <w:top w:w="0" w:type="dxa"/>
            <w:left w:w="108" w:type="dxa"/>
            <w:bottom w:w="0" w:type="dxa"/>
            <w:right w:w="108" w:type="dxa"/>
          </w:tblCellMar>
        </w:tblPrEx>
        <w:trPr>
          <w:cantSplit/>
          <w:trHeight w:val="651" w:hRule="exact"/>
        </w:trPr>
        <w:tc>
          <w:tcPr>
            <w:tcW w:w="622" w:type="pct"/>
            <w:tcBorders>
              <w:top w:val="single" w:color="auto" w:sz="6" w:space="0"/>
              <w:left w:val="single" w:color="auto" w:sz="6" w:space="0"/>
              <w:bottom w:val="single" w:color="auto" w:sz="6" w:space="0"/>
              <w:right w:val="single" w:color="auto" w:sz="6" w:space="0"/>
            </w:tcBorders>
          </w:tcPr>
          <w:p w14:paraId="348A11C8">
            <w:pPr>
              <w:shd w:val="clear" w:color="auto" w:fill="FFFFFF"/>
              <w:spacing w:line="440" w:lineRule="exact"/>
              <w:ind w:firstLine="99"/>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1342" w:type="pct"/>
            <w:tcBorders>
              <w:top w:val="single" w:color="auto" w:sz="6" w:space="0"/>
              <w:left w:val="single" w:color="auto" w:sz="6" w:space="0"/>
              <w:bottom w:val="single" w:color="auto" w:sz="6" w:space="0"/>
              <w:right w:val="single" w:color="auto" w:sz="6" w:space="0"/>
            </w:tcBorders>
          </w:tcPr>
          <w:p w14:paraId="1E1A3ADA">
            <w:pPr>
              <w:shd w:val="clear" w:color="auto" w:fill="FFFFFF"/>
              <w:spacing w:line="440" w:lineRule="exact"/>
              <w:ind w:firstLine="99"/>
              <w:rPr>
                <w:rFonts w:hint="eastAsia" w:ascii="仿宋" w:hAnsi="仿宋" w:eastAsia="仿宋" w:cs="仿宋"/>
                <w:color w:val="auto"/>
                <w:szCs w:val="21"/>
                <w:highlight w:val="none"/>
              </w:rPr>
            </w:pPr>
          </w:p>
        </w:tc>
        <w:tc>
          <w:tcPr>
            <w:tcW w:w="1418" w:type="pct"/>
            <w:tcBorders>
              <w:top w:val="single" w:color="auto" w:sz="6" w:space="0"/>
              <w:left w:val="single" w:color="auto" w:sz="6" w:space="0"/>
              <w:bottom w:val="single" w:color="auto" w:sz="6" w:space="0"/>
              <w:right w:val="single" w:color="auto" w:sz="6" w:space="0"/>
            </w:tcBorders>
          </w:tcPr>
          <w:p w14:paraId="13D86FAD">
            <w:pPr>
              <w:shd w:val="clear" w:color="auto" w:fill="FFFFFF"/>
              <w:spacing w:line="440" w:lineRule="exact"/>
              <w:ind w:firstLine="99"/>
              <w:rPr>
                <w:rFonts w:hint="eastAsia" w:ascii="仿宋" w:hAnsi="仿宋" w:eastAsia="仿宋" w:cs="仿宋"/>
                <w:color w:val="auto"/>
                <w:szCs w:val="21"/>
                <w:highlight w:val="none"/>
              </w:rPr>
            </w:pPr>
          </w:p>
        </w:tc>
        <w:tc>
          <w:tcPr>
            <w:tcW w:w="1036" w:type="pct"/>
            <w:tcBorders>
              <w:top w:val="single" w:color="auto" w:sz="6" w:space="0"/>
              <w:left w:val="single" w:color="auto" w:sz="6" w:space="0"/>
              <w:bottom w:val="single" w:color="auto" w:sz="6" w:space="0"/>
              <w:right w:val="single" w:color="auto" w:sz="4" w:space="0"/>
            </w:tcBorders>
          </w:tcPr>
          <w:p w14:paraId="6F3CF199">
            <w:pPr>
              <w:shd w:val="clear" w:color="auto" w:fill="FFFFFF"/>
              <w:spacing w:line="440" w:lineRule="exact"/>
              <w:ind w:firstLine="99"/>
              <w:rPr>
                <w:rFonts w:hint="eastAsia" w:ascii="仿宋" w:hAnsi="仿宋" w:eastAsia="仿宋" w:cs="仿宋"/>
                <w:color w:val="auto"/>
                <w:szCs w:val="21"/>
                <w:highlight w:val="none"/>
              </w:rPr>
            </w:pPr>
          </w:p>
        </w:tc>
        <w:tc>
          <w:tcPr>
            <w:tcW w:w="581" w:type="pct"/>
            <w:tcBorders>
              <w:top w:val="single" w:color="auto" w:sz="6" w:space="0"/>
              <w:left w:val="single" w:color="auto" w:sz="4" w:space="0"/>
              <w:bottom w:val="single" w:color="auto" w:sz="6" w:space="0"/>
              <w:right w:val="single" w:color="auto" w:sz="6" w:space="0"/>
            </w:tcBorders>
          </w:tcPr>
          <w:p w14:paraId="24FFFEC4">
            <w:pPr>
              <w:shd w:val="clear" w:color="auto" w:fill="FFFFFF"/>
              <w:spacing w:line="440" w:lineRule="exact"/>
              <w:ind w:firstLine="99"/>
              <w:rPr>
                <w:rFonts w:hint="eastAsia" w:ascii="仿宋" w:hAnsi="仿宋" w:eastAsia="仿宋" w:cs="仿宋"/>
                <w:color w:val="auto"/>
                <w:szCs w:val="21"/>
                <w:highlight w:val="none"/>
              </w:rPr>
            </w:pPr>
          </w:p>
        </w:tc>
      </w:tr>
      <w:tr w14:paraId="1C9949C6">
        <w:tblPrEx>
          <w:tblCellMar>
            <w:top w:w="0" w:type="dxa"/>
            <w:left w:w="108" w:type="dxa"/>
            <w:bottom w:w="0" w:type="dxa"/>
            <w:right w:w="108" w:type="dxa"/>
          </w:tblCellMar>
        </w:tblPrEx>
        <w:trPr>
          <w:cantSplit/>
          <w:trHeight w:val="651" w:hRule="exact"/>
        </w:trPr>
        <w:tc>
          <w:tcPr>
            <w:tcW w:w="622" w:type="pct"/>
            <w:tcBorders>
              <w:top w:val="single" w:color="auto" w:sz="6" w:space="0"/>
              <w:left w:val="single" w:color="auto" w:sz="6" w:space="0"/>
              <w:bottom w:val="single" w:color="auto" w:sz="6" w:space="0"/>
              <w:right w:val="single" w:color="auto" w:sz="6" w:space="0"/>
            </w:tcBorders>
          </w:tcPr>
          <w:p w14:paraId="151525B9">
            <w:pPr>
              <w:shd w:val="clear" w:color="auto" w:fill="FFFFFF"/>
              <w:spacing w:line="440" w:lineRule="exact"/>
              <w:ind w:firstLine="99"/>
              <w:rPr>
                <w:rFonts w:hint="eastAsia" w:ascii="仿宋" w:hAnsi="仿宋" w:eastAsia="仿宋" w:cs="仿宋"/>
                <w:color w:val="auto"/>
                <w:szCs w:val="21"/>
                <w:highlight w:val="none"/>
              </w:rPr>
            </w:pPr>
          </w:p>
        </w:tc>
        <w:tc>
          <w:tcPr>
            <w:tcW w:w="1342" w:type="pct"/>
            <w:tcBorders>
              <w:top w:val="single" w:color="auto" w:sz="6" w:space="0"/>
              <w:left w:val="single" w:color="auto" w:sz="6" w:space="0"/>
              <w:bottom w:val="single" w:color="auto" w:sz="6" w:space="0"/>
              <w:right w:val="single" w:color="auto" w:sz="6" w:space="0"/>
            </w:tcBorders>
          </w:tcPr>
          <w:p w14:paraId="480EC00B">
            <w:pPr>
              <w:shd w:val="clear" w:color="auto" w:fill="FFFFFF"/>
              <w:spacing w:line="440" w:lineRule="exact"/>
              <w:ind w:firstLine="99"/>
              <w:rPr>
                <w:rFonts w:hint="eastAsia" w:ascii="仿宋" w:hAnsi="仿宋" w:eastAsia="仿宋" w:cs="仿宋"/>
                <w:color w:val="auto"/>
                <w:szCs w:val="21"/>
                <w:highlight w:val="none"/>
              </w:rPr>
            </w:pPr>
          </w:p>
        </w:tc>
        <w:tc>
          <w:tcPr>
            <w:tcW w:w="1418" w:type="pct"/>
            <w:tcBorders>
              <w:top w:val="single" w:color="auto" w:sz="6" w:space="0"/>
              <w:left w:val="single" w:color="auto" w:sz="6" w:space="0"/>
              <w:bottom w:val="single" w:color="auto" w:sz="6" w:space="0"/>
              <w:right w:val="single" w:color="auto" w:sz="6" w:space="0"/>
            </w:tcBorders>
          </w:tcPr>
          <w:p w14:paraId="6FCC453E">
            <w:pPr>
              <w:shd w:val="clear" w:color="auto" w:fill="FFFFFF"/>
              <w:spacing w:line="440" w:lineRule="exact"/>
              <w:ind w:firstLine="99"/>
              <w:rPr>
                <w:rFonts w:hint="eastAsia" w:ascii="仿宋" w:hAnsi="仿宋" w:eastAsia="仿宋" w:cs="仿宋"/>
                <w:color w:val="auto"/>
                <w:szCs w:val="21"/>
                <w:highlight w:val="none"/>
              </w:rPr>
            </w:pPr>
          </w:p>
        </w:tc>
        <w:tc>
          <w:tcPr>
            <w:tcW w:w="1036" w:type="pct"/>
            <w:tcBorders>
              <w:top w:val="single" w:color="auto" w:sz="6" w:space="0"/>
              <w:left w:val="single" w:color="auto" w:sz="6" w:space="0"/>
              <w:bottom w:val="single" w:color="auto" w:sz="6" w:space="0"/>
              <w:right w:val="single" w:color="auto" w:sz="4" w:space="0"/>
            </w:tcBorders>
          </w:tcPr>
          <w:p w14:paraId="16644DE3">
            <w:pPr>
              <w:shd w:val="clear" w:color="auto" w:fill="FFFFFF"/>
              <w:spacing w:line="440" w:lineRule="exact"/>
              <w:ind w:firstLine="99"/>
              <w:rPr>
                <w:rFonts w:hint="eastAsia" w:ascii="仿宋" w:hAnsi="仿宋" w:eastAsia="仿宋" w:cs="仿宋"/>
                <w:color w:val="auto"/>
                <w:szCs w:val="21"/>
                <w:highlight w:val="none"/>
              </w:rPr>
            </w:pPr>
          </w:p>
        </w:tc>
        <w:tc>
          <w:tcPr>
            <w:tcW w:w="581" w:type="pct"/>
            <w:tcBorders>
              <w:top w:val="single" w:color="auto" w:sz="6" w:space="0"/>
              <w:left w:val="single" w:color="auto" w:sz="4" w:space="0"/>
              <w:bottom w:val="single" w:color="auto" w:sz="6" w:space="0"/>
              <w:right w:val="single" w:color="auto" w:sz="6" w:space="0"/>
            </w:tcBorders>
          </w:tcPr>
          <w:p w14:paraId="14A32511">
            <w:pPr>
              <w:shd w:val="clear" w:color="auto" w:fill="FFFFFF"/>
              <w:spacing w:line="440" w:lineRule="exact"/>
              <w:ind w:firstLine="99"/>
              <w:rPr>
                <w:rFonts w:hint="eastAsia" w:ascii="仿宋" w:hAnsi="仿宋" w:eastAsia="仿宋" w:cs="仿宋"/>
                <w:color w:val="auto"/>
                <w:szCs w:val="21"/>
                <w:highlight w:val="none"/>
              </w:rPr>
            </w:pPr>
          </w:p>
        </w:tc>
      </w:tr>
      <w:tr w14:paraId="524D8201">
        <w:tblPrEx>
          <w:tblCellMar>
            <w:top w:w="0" w:type="dxa"/>
            <w:left w:w="108" w:type="dxa"/>
            <w:bottom w:w="0" w:type="dxa"/>
            <w:right w:w="108" w:type="dxa"/>
          </w:tblCellMar>
        </w:tblPrEx>
        <w:trPr>
          <w:cantSplit/>
          <w:trHeight w:val="651" w:hRule="exact"/>
        </w:trPr>
        <w:tc>
          <w:tcPr>
            <w:tcW w:w="622" w:type="pct"/>
            <w:tcBorders>
              <w:top w:val="single" w:color="auto" w:sz="6" w:space="0"/>
              <w:left w:val="single" w:color="auto" w:sz="6" w:space="0"/>
              <w:bottom w:val="single" w:color="auto" w:sz="6" w:space="0"/>
              <w:right w:val="single" w:color="auto" w:sz="6" w:space="0"/>
            </w:tcBorders>
          </w:tcPr>
          <w:p w14:paraId="0350186C">
            <w:pPr>
              <w:shd w:val="clear" w:color="auto" w:fill="FFFFFF"/>
              <w:spacing w:line="440" w:lineRule="exact"/>
              <w:ind w:firstLine="99"/>
              <w:rPr>
                <w:rFonts w:hint="eastAsia" w:ascii="仿宋" w:hAnsi="仿宋" w:eastAsia="仿宋" w:cs="仿宋"/>
                <w:color w:val="auto"/>
                <w:szCs w:val="21"/>
                <w:highlight w:val="none"/>
              </w:rPr>
            </w:pPr>
          </w:p>
        </w:tc>
        <w:tc>
          <w:tcPr>
            <w:tcW w:w="1342" w:type="pct"/>
            <w:tcBorders>
              <w:top w:val="single" w:color="auto" w:sz="6" w:space="0"/>
              <w:left w:val="single" w:color="auto" w:sz="6" w:space="0"/>
              <w:bottom w:val="single" w:color="auto" w:sz="6" w:space="0"/>
              <w:right w:val="single" w:color="auto" w:sz="6" w:space="0"/>
            </w:tcBorders>
          </w:tcPr>
          <w:p w14:paraId="28F23E71">
            <w:pPr>
              <w:shd w:val="clear" w:color="auto" w:fill="FFFFFF"/>
              <w:spacing w:line="440" w:lineRule="exact"/>
              <w:ind w:firstLine="99"/>
              <w:rPr>
                <w:rFonts w:hint="eastAsia" w:ascii="仿宋" w:hAnsi="仿宋" w:eastAsia="仿宋" w:cs="仿宋"/>
                <w:color w:val="auto"/>
                <w:szCs w:val="21"/>
                <w:highlight w:val="none"/>
              </w:rPr>
            </w:pPr>
          </w:p>
        </w:tc>
        <w:tc>
          <w:tcPr>
            <w:tcW w:w="1418" w:type="pct"/>
            <w:tcBorders>
              <w:top w:val="single" w:color="auto" w:sz="6" w:space="0"/>
              <w:left w:val="single" w:color="auto" w:sz="6" w:space="0"/>
              <w:bottom w:val="single" w:color="auto" w:sz="6" w:space="0"/>
              <w:right w:val="single" w:color="auto" w:sz="6" w:space="0"/>
            </w:tcBorders>
          </w:tcPr>
          <w:p w14:paraId="287471DA">
            <w:pPr>
              <w:shd w:val="clear" w:color="auto" w:fill="FFFFFF"/>
              <w:spacing w:line="440" w:lineRule="exact"/>
              <w:ind w:firstLine="99"/>
              <w:rPr>
                <w:rFonts w:hint="eastAsia" w:ascii="仿宋" w:hAnsi="仿宋" w:eastAsia="仿宋" w:cs="仿宋"/>
                <w:color w:val="auto"/>
                <w:szCs w:val="21"/>
                <w:highlight w:val="none"/>
              </w:rPr>
            </w:pPr>
          </w:p>
        </w:tc>
        <w:tc>
          <w:tcPr>
            <w:tcW w:w="1036" w:type="pct"/>
            <w:tcBorders>
              <w:top w:val="single" w:color="auto" w:sz="6" w:space="0"/>
              <w:left w:val="single" w:color="auto" w:sz="6" w:space="0"/>
              <w:bottom w:val="single" w:color="auto" w:sz="6" w:space="0"/>
              <w:right w:val="single" w:color="auto" w:sz="4" w:space="0"/>
            </w:tcBorders>
          </w:tcPr>
          <w:p w14:paraId="25BF013C">
            <w:pPr>
              <w:shd w:val="clear" w:color="auto" w:fill="FFFFFF"/>
              <w:spacing w:line="440" w:lineRule="exact"/>
              <w:ind w:firstLine="99"/>
              <w:rPr>
                <w:rFonts w:hint="eastAsia" w:ascii="仿宋" w:hAnsi="仿宋" w:eastAsia="仿宋" w:cs="仿宋"/>
                <w:color w:val="auto"/>
                <w:szCs w:val="21"/>
                <w:highlight w:val="none"/>
              </w:rPr>
            </w:pPr>
          </w:p>
        </w:tc>
        <w:tc>
          <w:tcPr>
            <w:tcW w:w="581" w:type="pct"/>
            <w:tcBorders>
              <w:top w:val="single" w:color="auto" w:sz="6" w:space="0"/>
              <w:left w:val="single" w:color="auto" w:sz="4" w:space="0"/>
              <w:bottom w:val="single" w:color="auto" w:sz="6" w:space="0"/>
              <w:right w:val="single" w:color="auto" w:sz="6" w:space="0"/>
            </w:tcBorders>
          </w:tcPr>
          <w:p w14:paraId="27D86056">
            <w:pPr>
              <w:shd w:val="clear" w:color="auto" w:fill="FFFFFF"/>
              <w:spacing w:line="440" w:lineRule="exact"/>
              <w:ind w:firstLine="99"/>
              <w:rPr>
                <w:rFonts w:hint="eastAsia" w:ascii="仿宋" w:hAnsi="仿宋" w:eastAsia="仿宋" w:cs="仿宋"/>
                <w:color w:val="auto"/>
                <w:szCs w:val="21"/>
                <w:highlight w:val="none"/>
              </w:rPr>
            </w:pPr>
          </w:p>
        </w:tc>
      </w:tr>
      <w:tr w14:paraId="17E26FDE">
        <w:tblPrEx>
          <w:tblCellMar>
            <w:top w:w="0" w:type="dxa"/>
            <w:left w:w="108" w:type="dxa"/>
            <w:bottom w:w="0" w:type="dxa"/>
            <w:right w:w="108" w:type="dxa"/>
          </w:tblCellMar>
        </w:tblPrEx>
        <w:trPr>
          <w:cantSplit/>
          <w:trHeight w:val="651" w:hRule="exact"/>
        </w:trPr>
        <w:tc>
          <w:tcPr>
            <w:tcW w:w="622" w:type="pct"/>
            <w:tcBorders>
              <w:top w:val="single" w:color="auto" w:sz="6" w:space="0"/>
              <w:left w:val="single" w:color="auto" w:sz="6" w:space="0"/>
              <w:bottom w:val="single" w:color="auto" w:sz="6" w:space="0"/>
              <w:right w:val="single" w:color="auto" w:sz="6" w:space="0"/>
            </w:tcBorders>
          </w:tcPr>
          <w:p w14:paraId="2884B821">
            <w:pPr>
              <w:shd w:val="clear" w:color="auto" w:fill="FFFFFF"/>
              <w:spacing w:line="440" w:lineRule="exact"/>
              <w:ind w:firstLine="99"/>
              <w:rPr>
                <w:rFonts w:hint="eastAsia" w:ascii="仿宋" w:hAnsi="仿宋" w:eastAsia="仿宋" w:cs="仿宋"/>
                <w:color w:val="auto"/>
                <w:szCs w:val="21"/>
                <w:highlight w:val="none"/>
              </w:rPr>
            </w:pPr>
          </w:p>
        </w:tc>
        <w:tc>
          <w:tcPr>
            <w:tcW w:w="1342" w:type="pct"/>
            <w:tcBorders>
              <w:top w:val="single" w:color="auto" w:sz="6" w:space="0"/>
              <w:left w:val="single" w:color="auto" w:sz="6" w:space="0"/>
              <w:bottom w:val="single" w:color="auto" w:sz="6" w:space="0"/>
              <w:right w:val="single" w:color="auto" w:sz="6" w:space="0"/>
            </w:tcBorders>
          </w:tcPr>
          <w:p w14:paraId="6150C814">
            <w:pPr>
              <w:shd w:val="clear" w:color="auto" w:fill="FFFFFF"/>
              <w:spacing w:line="440" w:lineRule="exact"/>
              <w:ind w:firstLine="99"/>
              <w:rPr>
                <w:rFonts w:hint="eastAsia" w:ascii="仿宋" w:hAnsi="仿宋" w:eastAsia="仿宋" w:cs="仿宋"/>
                <w:color w:val="auto"/>
                <w:szCs w:val="21"/>
                <w:highlight w:val="none"/>
              </w:rPr>
            </w:pPr>
          </w:p>
        </w:tc>
        <w:tc>
          <w:tcPr>
            <w:tcW w:w="1418" w:type="pct"/>
            <w:tcBorders>
              <w:top w:val="single" w:color="auto" w:sz="6" w:space="0"/>
              <w:left w:val="single" w:color="auto" w:sz="6" w:space="0"/>
              <w:bottom w:val="single" w:color="auto" w:sz="6" w:space="0"/>
              <w:right w:val="single" w:color="auto" w:sz="6" w:space="0"/>
            </w:tcBorders>
          </w:tcPr>
          <w:p w14:paraId="4A634E27">
            <w:pPr>
              <w:shd w:val="clear" w:color="auto" w:fill="FFFFFF"/>
              <w:spacing w:line="440" w:lineRule="exact"/>
              <w:ind w:firstLine="99"/>
              <w:rPr>
                <w:rFonts w:hint="eastAsia" w:ascii="仿宋" w:hAnsi="仿宋" w:eastAsia="仿宋" w:cs="仿宋"/>
                <w:color w:val="auto"/>
                <w:szCs w:val="21"/>
                <w:highlight w:val="none"/>
              </w:rPr>
            </w:pPr>
          </w:p>
        </w:tc>
        <w:tc>
          <w:tcPr>
            <w:tcW w:w="1036" w:type="pct"/>
            <w:tcBorders>
              <w:top w:val="single" w:color="auto" w:sz="6" w:space="0"/>
              <w:left w:val="single" w:color="auto" w:sz="6" w:space="0"/>
              <w:bottom w:val="single" w:color="auto" w:sz="6" w:space="0"/>
              <w:right w:val="single" w:color="auto" w:sz="4" w:space="0"/>
            </w:tcBorders>
          </w:tcPr>
          <w:p w14:paraId="604887BE">
            <w:pPr>
              <w:shd w:val="clear" w:color="auto" w:fill="FFFFFF"/>
              <w:spacing w:line="440" w:lineRule="exact"/>
              <w:ind w:firstLine="99"/>
              <w:rPr>
                <w:rFonts w:hint="eastAsia" w:ascii="仿宋" w:hAnsi="仿宋" w:eastAsia="仿宋" w:cs="仿宋"/>
                <w:color w:val="auto"/>
                <w:szCs w:val="21"/>
                <w:highlight w:val="none"/>
              </w:rPr>
            </w:pPr>
          </w:p>
        </w:tc>
        <w:tc>
          <w:tcPr>
            <w:tcW w:w="581" w:type="pct"/>
            <w:tcBorders>
              <w:top w:val="single" w:color="auto" w:sz="6" w:space="0"/>
              <w:left w:val="single" w:color="auto" w:sz="4" w:space="0"/>
              <w:bottom w:val="single" w:color="auto" w:sz="6" w:space="0"/>
              <w:right w:val="single" w:color="auto" w:sz="6" w:space="0"/>
            </w:tcBorders>
          </w:tcPr>
          <w:p w14:paraId="5B6D2115">
            <w:pPr>
              <w:shd w:val="clear" w:color="auto" w:fill="FFFFFF"/>
              <w:spacing w:line="440" w:lineRule="exact"/>
              <w:ind w:firstLine="99"/>
              <w:rPr>
                <w:rFonts w:hint="eastAsia" w:ascii="仿宋" w:hAnsi="仿宋" w:eastAsia="仿宋" w:cs="仿宋"/>
                <w:color w:val="auto"/>
                <w:szCs w:val="21"/>
                <w:highlight w:val="none"/>
              </w:rPr>
            </w:pPr>
          </w:p>
        </w:tc>
      </w:tr>
      <w:tr w14:paraId="392D1FE1">
        <w:tblPrEx>
          <w:tblCellMar>
            <w:top w:w="0" w:type="dxa"/>
            <w:left w:w="108" w:type="dxa"/>
            <w:bottom w:w="0" w:type="dxa"/>
            <w:right w:w="108" w:type="dxa"/>
          </w:tblCellMar>
        </w:tblPrEx>
        <w:trPr>
          <w:cantSplit/>
          <w:trHeight w:val="651" w:hRule="exact"/>
        </w:trPr>
        <w:tc>
          <w:tcPr>
            <w:tcW w:w="622" w:type="pct"/>
            <w:tcBorders>
              <w:top w:val="single" w:color="auto" w:sz="6" w:space="0"/>
              <w:left w:val="single" w:color="auto" w:sz="6" w:space="0"/>
              <w:bottom w:val="single" w:color="auto" w:sz="6" w:space="0"/>
              <w:right w:val="single" w:color="auto" w:sz="6" w:space="0"/>
            </w:tcBorders>
          </w:tcPr>
          <w:p w14:paraId="6B3EE10E">
            <w:pPr>
              <w:shd w:val="clear" w:color="auto" w:fill="FFFFFF"/>
              <w:spacing w:line="440" w:lineRule="exact"/>
              <w:ind w:firstLine="99"/>
              <w:rPr>
                <w:rFonts w:hint="eastAsia" w:ascii="仿宋" w:hAnsi="仿宋" w:eastAsia="仿宋" w:cs="仿宋"/>
                <w:color w:val="auto"/>
                <w:szCs w:val="21"/>
                <w:highlight w:val="none"/>
              </w:rPr>
            </w:pPr>
          </w:p>
        </w:tc>
        <w:tc>
          <w:tcPr>
            <w:tcW w:w="1342" w:type="pct"/>
            <w:tcBorders>
              <w:top w:val="single" w:color="auto" w:sz="6" w:space="0"/>
              <w:left w:val="single" w:color="auto" w:sz="6" w:space="0"/>
              <w:bottom w:val="single" w:color="auto" w:sz="6" w:space="0"/>
              <w:right w:val="single" w:color="auto" w:sz="6" w:space="0"/>
            </w:tcBorders>
          </w:tcPr>
          <w:p w14:paraId="7DB75D96">
            <w:pPr>
              <w:shd w:val="clear" w:color="auto" w:fill="FFFFFF"/>
              <w:spacing w:line="440" w:lineRule="exact"/>
              <w:ind w:firstLine="99"/>
              <w:rPr>
                <w:rFonts w:hint="eastAsia" w:ascii="仿宋" w:hAnsi="仿宋" w:eastAsia="仿宋" w:cs="仿宋"/>
                <w:color w:val="auto"/>
                <w:szCs w:val="21"/>
                <w:highlight w:val="none"/>
              </w:rPr>
            </w:pPr>
          </w:p>
        </w:tc>
        <w:tc>
          <w:tcPr>
            <w:tcW w:w="1418" w:type="pct"/>
            <w:tcBorders>
              <w:top w:val="single" w:color="auto" w:sz="6" w:space="0"/>
              <w:left w:val="single" w:color="auto" w:sz="6" w:space="0"/>
              <w:bottom w:val="single" w:color="auto" w:sz="6" w:space="0"/>
              <w:right w:val="single" w:color="auto" w:sz="6" w:space="0"/>
            </w:tcBorders>
          </w:tcPr>
          <w:p w14:paraId="2850807D">
            <w:pPr>
              <w:shd w:val="clear" w:color="auto" w:fill="FFFFFF"/>
              <w:spacing w:line="440" w:lineRule="exact"/>
              <w:ind w:firstLine="99"/>
              <w:rPr>
                <w:rFonts w:hint="eastAsia" w:ascii="仿宋" w:hAnsi="仿宋" w:eastAsia="仿宋" w:cs="仿宋"/>
                <w:color w:val="auto"/>
                <w:szCs w:val="21"/>
                <w:highlight w:val="none"/>
              </w:rPr>
            </w:pPr>
          </w:p>
        </w:tc>
        <w:tc>
          <w:tcPr>
            <w:tcW w:w="1036" w:type="pct"/>
            <w:tcBorders>
              <w:top w:val="single" w:color="auto" w:sz="6" w:space="0"/>
              <w:left w:val="single" w:color="auto" w:sz="6" w:space="0"/>
              <w:bottom w:val="single" w:color="auto" w:sz="6" w:space="0"/>
              <w:right w:val="single" w:color="auto" w:sz="4" w:space="0"/>
            </w:tcBorders>
          </w:tcPr>
          <w:p w14:paraId="1367D8C5">
            <w:pPr>
              <w:shd w:val="clear" w:color="auto" w:fill="FFFFFF"/>
              <w:spacing w:line="440" w:lineRule="exact"/>
              <w:ind w:firstLine="99"/>
              <w:rPr>
                <w:rFonts w:hint="eastAsia" w:ascii="仿宋" w:hAnsi="仿宋" w:eastAsia="仿宋" w:cs="仿宋"/>
                <w:color w:val="auto"/>
                <w:szCs w:val="21"/>
                <w:highlight w:val="none"/>
              </w:rPr>
            </w:pPr>
          </w:p>
        </w:tc>
        <w:tc>
          <w:tcPr>
            <w:tcW w:w="581" w:type="pct"/>
            <w:tcBorders>
              <w:top w:val="single" w:color="auto" w:sz="6" w:space="0"/>
              <w:left w:val="single" w:color="auto" w:sz="4" w:space="0"/>
              <w:bottom w:val="single" w:color="auto" w:sz="6" w:space="0"/>
              <w:right w:val="single" w:color="auto" w:sz="6" w:space="0"/>
            </w:tcBorders>
          </w:tcPr>
          <w:p w14:paraId="4BF08176">
            <w:pPr>
              <w:shd w:val="clear" w:color="auto" w:fill="FFFFFF"/>
              <w:spacing w:line="440" w:lineRule="exact"/>
              <w:ind w:firstLine="99"/>
              <w:rPr>
                <w:rFonts w:hint="eastAsia" w:ascii="仿宋" w:hAnsi="仿宋" w:eastAsia="仿宋" w:cs="仿宋"/>
                <w:color w:val="auto"/>
                <w:szCs w:val="21"/>
                <w:highlight w:val="none"/>
              </w:rPr>
            </w:pPr>
          </w:p>
        </w:tc>
      </w:tr>
      <w:tr w14:paraId="0C18F1CF">
        <w:tblPrEx>
          <w:tblCellMar>
            <w:top w:w="0" w:type="dxa"/>
            <w:left w:w="108" w:type="dxa"/>
            <w:bottom w:w="0" w:type="dxa"/>
            <w:right w:w="108" w:type="dxa"/>
          </w:tblCellMar>
        </w:tblPrEx>
        <w:trPr>
          <w:cantSplit/>
          <w:trHeight w:val="651" w:hRule="exact"/>
        </w:trPr>
        <w:tc>
          <w:tcPr>
            <w:tcW w:w="622" w:type="pct"/>
            <w:tcBorders>
              <w:top w:val="single" w:color="auto" w:sz="6" w:space="0"/>
              <w:left w:val="single" w:color="auto" w:sz="6" w:space="0"/>
              <w:bottom w:val="single" w:color="auto" w:sz="6" w:space="0"/>
              <w:right w:val="single" w:color="auto" w:sz="6" w:space="0"/>
            </w:tcBorders>
          </w:tcPr>
          <w:p w14:paraId="21191072">
            <w:pPr>
              <w:shd w:val="clear" w:color="auto" w:fill="FFFFFF"/>
              <w:spacing w:line="440" w:lineRule="exact"/>
              <w:ind w:firstLine="99"/>
              <w:rPr>
                <w:rFonts w:hint="eastAsia" w:ascii="仿宋" w:hAnsi="仿宋" w:eastAsia="仿宋" w:cs="仿宋"/>
                <w:color w:val="auto"/>
                <w:szCs w:val="21"/>
                <w:highlight w:val="none"/>
              </w:rPr>
            </w:pPr>
          </w:p>
        </w:tc>
        <w:tc>
          <w:tcPr>
            <w:tcW w:w="1342" w:type="pct"/>
            <w:tcBorders>
              <w:top w:val="single" w:color="auto" w:sz="6" w:space="0"/>
              <w:left w:val="single" w:color="auto" w:sz="6" w:space="0"/>
              <w:bottom w:val="single" w:color="auto" w:sz="6" w:space="0"/>
              <w:right w:val="single" w:color="auto" w:sz="6" w:space="0"/>
            </w:tcBorders>
          </w:tcPr>
          <w:p w14:paraId="4C8A7856">
            <w:pPr>
              <w:shd w:val="clear" w:color="auto" w:fill="FFFFFF"/>
              <w:spacing w:line="440" w:lineRule="exact"/>
              <w:ind w:firstLine="99"/>
              <w:rPr>
                <w:rFonts w:hint="eastAsia" w:ascii="仿宋" w:hAnsi="仿宋" w:eastAsia="仿宋" w:cs="仿宋"/>
                <w:color w:val="auto"/>
                <w:szCs w:val="21"/>
                <w:highlight w:val="none"/>
              </w:rPr>
            </w:pPr>
          </w:p>
        </w:tc>
        <w:tc>
          <w:tcPr>
            <w:tcW w:w="1418" w:type="pct"/>
            <w:tcBorders>
              <w:top w:val="single" w:color="auto" w:sz="6" w:space="0"/>
              <w:left w:val="single" w:color="auto" w:sz="6" w:space="0"/>
              <w:bottom w:val="single" w:color="auto" w:sz="6" w:space="0"/>
              <w:right w:val="single" w:color="auto" w:sz="6" w:space="0"/>
            </w:tcBorders>
          </w:tcPr>
          <w:p w14:paraId="2B97A6EA">
            <w:pPr>
              <w:shd w:val="clear" w:color="auto" w:fill="FFFFFF"/>
              <w:spacing w:line="440" w:lineRule="exact"/>
              <w:ind w:firstLine="99"/>
              <w:rPr>
                <w:rFonts w:hint="eastAsia" w:ascii="仿宋" w:hAnsi="仿宋" w:eastAsia="仿宋" w:cs="仿宋"/>
                <w:color w:val="auto"/>
                <w:szCs w:val="21"/>
                <w:highlight w:val="none"/>
              </w:rPr>
            </w:pPr>
          </w:p>
        </w:tc>
        <w:tc>
          <w:tcPr>
            <w:tcW w:w="1036" w:type="pct"/>
            <w:tcBorders>
              <w:top w:val="single" w:color="auto" w:sz="6" w:space="0"/>
              <w:left w:val="single" w:color="auto" w:sz="6" w:space="0"/>
              <w:bottom w:val="single" w:color="auto" w:sz="6" w:space="0"/>
              <w:right w:val="single" w:color="auto" w:sz="4" w:space="0"/>
            </w:tcBorders>
          </w:tcPr>
          <w:p w14:paraId="4DBD1B30">
            <w:pPr>
              <w:shd w:val="clear" w:color="auto" w:fill="FFFFFF"/>
              <w:spacing w:line="440" w:lineRule="exact"/>
              <w:ind w:firstLine="99"/>
              <w:rPr>
                <w:rFonts w:hint="eastAsia" w:ascii="仿宋" w:hAnsi="仿宋" w:eastAsia="仿宋" w:cs="仿宋"/>
                <w:color w:val="auto"/>
                <w:szCs w:val="21"/>
                <w:highlight w:val="none"/>
              </w:rPr>
            </w:pPr>
          </w:p>
        </w:tc>
        <w:tc>
          <w:tcPr>
            <w:tcW w:w="581" w:type="pct"/>
            <w:tcBorders>
              <w:top w:val="single" w:color="auto" w:sz="6" w:space="0"/>
              <w:left w:val="single" w:color="auto" w:sz="4" w:space="0"/>
              <w:bottom w:val="single" w:color="auto" w:sz="6" w:space="0"/>
              <w:right w:val="single" w:color="auto" w:sz="6" w:space="0"/>
            </w:tcBorders>
          </w:tcPr>
          <w:p w14:paraId="54B3866A">
            <w:pPr>
              <w:shd w:val="clear" w:color="auto" w:fill="FFFFFF"/>
              <w:spacing w:line="440" w:lineRule="exact"/>
              <w:ind w:firstLine="99"/>
              <w:rPr>
                <w:rFonts w:hint="eastAsia" w:ascii="仿宋" w:hAnsi="仿宋" w:eastAsia="仿宋" w:cs="仿宋"/>
                <w:color w:val="auto"/>
                <w:szCs w:val="21"/>
                <w:highlight w:val="none"/>
              </w:rPr>
            </w:pPr>
          </w:p>
        </w:tc>
      </w:tr>
      <w:tr w14:paraId="60AF6C3B">
        <w:tblPrEx>
          <w:tblCellMar>
            <w:top w:w="0" w:type="dxa"/>
            <w:left w:w="108" w:type="dxa"/>
            <w:bottom w:w="0" w:type="dxa"/>
            <w:right w:w="108" w:type="dxa"/>
          </w:tblCellMar>
        </w:tblPrEx>
        <w:trPr>
          <w:cantSplit/>
          <w:trHeight w:val="651" w:hRule="exact"/>
        </w:trPr>
        <w:tc>
          <w:tcPr>
            <w:tcW w:w="622" w:type="pct"/>
            <w:tcBorders>
              <w:top w:val="single" w:color="auto" w:sz="6" w:space="0"/>
              <w:left w:val="single" w:color="auto" w:sz="6" w:space="0"/>
              <w:bottom w:val="single" w:color="auto" w:sz="6" w:space="0"/>
              <w:right w:val="single" w:color="auto" w:sz="6" w:space="0"/>
            </w:tcBorders>
          </w:tcPr>
          <w:p w14:paraId="2EE5149A">
            <w:pPr>
              <w:shd w:val="clear" w:color="auto" w:fill="FFFFFF"/>
              <w:spacing w:line="440" w:lineRule="exact"/>
              <w:ind w:firstLine="99"/>
              <w:rPr>
                <w:rFonts w:hint="eastAsia" w:ascii="仿宋" w:hAnsi="仿宋" w:eastAsia="仿宋" w:cs="仿宋"/>
                <w:color w:val="auto"/>
                <w:szCs w:val="21"/>
                <w:highlight w:val="none"/>
              </w:rPr>
            </w:pPr>
          </w:p>
        </w:tc>
        <w:tc>
          <w:tcPr>
            <w:tcW w:w="1342" w:type="pct"/>
            <w:tcBorders>
              <w:top w:val="single" w:color="auto" w:sz="6" w:space="0"/>
              <w:left w:val="single" w:color="auto" w:sz="6" w:space="0"/>
              <w:bottom w:val="single" w:color="auto" w:sz="6" w:space="0"/>
              <w:right w:val="single" w:color="auto" w:sz="6" w:space="0"/>
            </w:tcBorders>
          </w:tcPr>
          <w:p w14:paraId="155A76FB">
            <w:pPr>
              <w:shd w:val="clear" w:color="auto" w:fill="FFFFFF"/>
              <w:spacing w:line="440" w:lineRule="exact"/>
              <w:ind w:firstLine="99"/>
              <w:rPr>
                <w:rFonts w:hint="eastAsia" w:ascii="仿宋" w:hAnsi="仿宋" w:eastAsia="仿宋" w:cs="仿宋"/>
                <w:color w:val="auto"/>
                <w:szCs w:val="21"/>
                <w:highlight w:val="none"/>
              </w:rPr>
            </w:pPr>
          </w:p>
        </w:tc>
        <w:tc>
          <w:tcPr>
            <w:tcW w:w="1418" w:type="pct"/>
            <w:tcBorders>
              <w:top w:val="single" w:color="auto" w:sz="6" w:space="0"/>
              <w:left w:val="single" w:color="auto" w:sz="6" w:space="0"/>
              <w:bottom w:val="single" w:color="auto" w:sz="6" w:space="0"/>
              <w:right w:val="single" w:color="auto" w:sz="6" w:space="0"/>
            </w:tcBorders>
          </w:tcPr>
          <w:p w14:paraId="3E2E56FB">
            <w:pPr>
              <w:shd w:val="clear" w:color="auto" w:fill="FFFFFF"/>
              <w:spacing w:line="440" w:lineRule="exact"/>
              <w:ind w:firstLine="99"/>
              <w:rPr>
                <w:rFonts w:hint="eastAsia" w:ascii="仿宋" w:hAnsi="仿宋" w:eastAsia="仿宋" w:cs="仿宋"/>
                <w:color w:val="auto"/>
                <w:szCs w:val="21"/>
                <w:highlight w:val="none"/>
              </w:rPr>
            </w:pPr>
          </w:p>
        </w:tc>
        <w:tc>
          <w:tcPr>
            <w:tcW w:w="1036" w:type="pct"/>
            <w:tcBorders>
              <w:top w:val="single" w:color="auto" w:sz="6" w:space="0"/>
              <w:left w:val="single" w:color="auto" w:sz="6" w:space="0"/>
              <w:bottom w:val="single" w:color="auto" w:sz="6" w:space="0"/>
              <w:right w:val="single" w:color="auto" w:sz="4" w:space="0"/>
            </w:tcBorders>
          </w:tcPr>
          <w:p w14:paraId="50B22F40">
            <w:pPr>
              <w:shd w:val="clear" w:color="auto" w:fill="FFFFFF"/>
              <w:spacing w:line="440" w:lineRule="exact"/>
              <w:ind w:firstLine="99"/>
              <w:rPr>
                <w:rFonts w:hint="eastAsia" w:ascii="仿宋" w:hAnsi="仿宋" w:eastAsia="仿宋" w:cs="仿宋"/>
                <w:color w:val="auto"/>
                <w:szCs w:val="21"/>
                <w:highlight w:val="none"/>
              </w:rPr>
            </w:pPr>
          </w:p>
        </w:tc>
        <w:tc>
          <w:tcPr>
            <w:tcW w:w="581" w:type="pct"/>
            <w:tcBorders>
              <w:top w:val="single" w:color="auto" w:sz="6" w:space="0"/>
              <w:left w:val="single" w:color="auto" w:sz="4" w:space="0"/>
              <w:bottom w:val="single" w:color="auto" w:sz="6" w:space="0"/>
              <w:right w:val="single" w:color="auto" w:sz="6" w:space="0"/>
            </w:tcBorders>
          </w:tcPr>
          <w:p w14:paraId="6931A633">
            <w:pPr>
              <w:shd w:val="clear" w:color="auto" w:fill="FFFFFF"/>
              <w:spacing w:line="440" w:lineRule="exact"/>
              <w:ind w:firstLine="99"/>
              <w:rPr>
                <w:rFonts w:hint="eastAsia" w:ascii="仿宋" w:hAnsi="仿宋" w:eastAsia="仿宋" w:cs="仿宋"/>
                <w:color w:val="auto"/>
                <w:szCs w:val="21"/>
                <w:highlight w:val="none"/>
              </w:rPr>
            </w:pPr>
          </w:p>
        </w:tc>
      </w:tr>
      <w:tr w14:paraId="18FD65AA">
        <w:tblPrEx>
          <w:tblCellMar>
            <w:top w:w="0" w:type="dxa"/>
            <w:left w:w="108" w:type="dxa"/>
            <w:bottom w:w="0" w:type="dxa"/>
            <w:right w:w="108" w:type="dxa"/>
          </w:tblCellMar>
        </w:tblPrEx>
        <w:trPr>
          <w:cantSplit/>
          <w:trHeight w:val="628" w:hRule="exact"/>
        </w:trPr>
        <w:tc>
          <w:tcPr>
            <w:tcW w:w="622" w:type="pct"/>
            <w:tcBorders>
              <w:top w:val="single" w:color="auto" w:sz="6" w:space="0"/>
              <w:left w:val="single" w:color="auto" w:sz="6" w:space="0"/>
              <w:bottom w:val="single" w:color="auto" w:sz="6" w:space="0"/>
              <w:right w:val="single" w:color="auto" w:sz="6" w:space="0"/>
            </w:tcBorders>
          </w:tcPr>
          <w:p w14:paraId="450D67BA">
            <w:pPr>
              <w:shd w:val="clear" w:color="auto" w:fill="FFFFFF"/>
              <w:spacing w:line="440" w:lineRule="exact"/>
              <w:ind w:firstLine="99"/>
              <w:rPr>
                <w:rFonts w:hint="eastAsia" w:ascii="仿宋" w:hAnsi="仿宋" w:eastAsia="仿宋" w:cs="仿宋"/>
                <w:color w:val="auto"/>
                <w:szCs w:val="21"/>
                <w:highlight w:val="none"/>
              </w:rPr>
            </w:pPr>
          </w:p>
        </w:tc>
        <w:tc>
          <w:tcPr>
            <w:tcW w:w="1342" w:type="pct"/>
            <w:tcBorders>
              <w:top w:val="single" w:color="auto" w:sz="6" w:space="0"/>
              <w:left w:val="single" w:color="auto" w:sz="6" w:space="0"/>
              <w:bottom w:val="single" w:color="auto" w:sz="6" w:space="0"/>
              <w:right w:val="single" w:color="auto" w:sz="6" w:space="0"/>
            </w:tcBorders>
          </w:tcPr>
          <w:p w14:paraId="1C12488F">
            <w:pPr>
              <w:shd w:val="clear" w:color="auto" w:fill="FFFFFF"/>
              <w:spacing w:line="440" w:lineRule="exact"/>
              <w:ind w:firstLine="99"/>
              <w:rPr>
                <w:rFonts w:hint="eastAsia" w:ascii="仿宋" w:hAnsi="仿宋" w:eastAsia="仿宋" w:cs="仿宋"/>
                <w:color w:val="auto"/>
                <w:szCs w:val="21"/>
                <w:highlight w:val="none"/>
              </w:rPr>
            </w:pPr>
          </w:p>
        </w:tc>
        <w:tc>
          <w:tcPr>
            <w:tcW w:w="1418" w:type="pct"/>
            <w:tcBorders>
              <w:top w:val="single" w:color="auto" w:sz="6" w:space="0"/>
              <w:left w:val="single" w:color="auto" w:sz="6" w:space="0"/>
              <w:bottom w:val="single" w:color="auto" w:sz="6" w:space="0"/>
              <w:right w:val="single" w:color="auto" w:sz="6" w:space="0"/>
            </w:tcBorders>
          </w:tcPr>
          <w:p w14:paraId="2E2C7D32">
            <w:pPr>
              <w:shd w:val="clear" w:color="auto" w:fill="FFFFFF"/>
              <w:spacing w:line="440" w:lineRule="exact"/>
              <w:ind w:firstLine="99"/>
              <w:rPr>
                <w:rFonts w:hint="eastAsia" w:ascii="仿宋" w:hAnsi="仿宋" w:eastAsia="仿宋" w:cs="仿宋"/>
                <w:color w:val="auto"/>
                <w:szCs w:val="21"/>
                <w:highlight w:val="none"/>
              </w:rPr>
            </w:pPr>
          </w:p>
        </w:tc>
        <w:tc>
          <w:tcPr>
            <w:tcW w:w="1036" w:type="pct"/>
            <w:tcBorders>
              <w:top w:val="single" w:color="auto" w:sz="6" w:space="0"/>
              <w:left w:val="single" w:color="auto" w:sz="6" w:space="0"/>
              <w:bottom w:val="single" w:color="auto" w:sz="6" w:space="0"/>
              <w:right w:val="single" w:color="auto" w:sz="4" w:space="0"/>
            </w:tcBorders>
          </w:tcPr>
          <w:p w14:paraId="45755A4C">
            <w:pPr>
              <w:shd w:val="clear" w:color="auto" w:fill="FFFFFF"/>
              <w:spacing w:line="440" w:lineRule="exact"/>
              <w:ind w:firstLine="99"/>
              <w:rPr>
                <w:rFonts w:hint="eastAsia" w:ascii="仿宋" w:hAnsi="仿宋" w:eastAsia="仿宋" w:cs="仿宋"/>
                <w:color w:val="auto"/>
                <w:szCs w:val="21"/>
                <w:highlight w:val="none"/>
              </w:rPr>
            </w:pPr>
          </w:p>
        </w:tc>
        <w:tc>
          <w:tcPr>
            <w:tcW w:w="581" w:type="pct"/>
            <w:tcBorders>
              <w:top w:val="single" w:color="auto" w:sz="6" w:space="0"/>
              <w:left w:val="single" w:color="auto" w:sz="4" w:space="0"/>
              <w:bottom w:val="single" w:color="auto" w:sz="6" w:space="0"/>
              <w:right w:val="single" w:color="auto" w:sz="6" w:space="0"/>
            </w:tcBorders>
          </w:tcPr>
          <w:p w14:paraId="6F6E36AF">
            <w:pPr>
              <w:shd w:val="clear" w:color="auto" w:fill="FFFFFF"/>
              <w:spacing w:line="440" w:lineRule="exact"/>
              <w:ind w:firstLine="99"/>
              <w:rPr>
                <w:rFonts w:hint="eastAsia" w:ascii="仿宋" w:hAnsi="仿宋" w:eastAsia="仿宋" w:cs="仿宋"/>
                <w:color w:val="auto"/>
                <w:szCs w:val="21"/>
                <w:highlight w:val="none"/>
              </w:rPr>
            </w:pPr>
          </w:p>
        </w:tc>
      </w:tr>
    </w:tbl>
    <w:p w14:paraId="1B2D9591">
      <w:pPr>
        <w:shd w:val="clear" w:color="auto" w:fill="FFFFFF"/>
        <w:spacing w:line="500" w:lineRule="exact"/>
        <w:rPr>
          <w:rFonts w:hint="eastAsia" w:ascii="仿宋" w:hAnsi="仿宋" w:eastAsia="仿宋" w:cs="仿宋"/>
          <w:color w:val="auto"/>
          <w:sz w:val="24"/>
          <w:highlight w:val="none"/>
        </w:rPr>
      </w:pPr>
    </w:p>
    <w:p w14:paraId="0DF05EB5">
      <w:pPr>
        <w:shd w:val="clear" w:color="auto" w:fill="FFFFFF"/>
        <w:spacing w:line="500" w:lineRule="exact"/>
        <w:rPr>
          <w:rFonts w:hint="eastAsia" w:ascii="仿宋" w:hAnsi="仿宋" w:eastAsia="仿宋" w:cs="仿宋"/>
          <w:color w:val="auto"/>
          <w:sz w:val="24"/>
          <w:highlight w:val="none"/>
        </w:rPr>
      </w:pPr>
    </w:p>
    <w:p w14:paraId="794BDAAB">
      <w:pPr>
        <w:pStyle w:val="305"/>
        <w:shd w:val="clear" w:color="auto" w:fill="FFFFFF"/>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供应商（公章）：</w:t>
      </w:r>
    </w:p>
    <w:p w14:paraId="768F9533">
      <w:pPr>
        <w:shd w:val="clear" w:color="auto" w:fill="FFFFFF"/>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法定代表人（签字或签章）：</w:t>
      </w:r>
    </w:p>
    <w:p w14:paraId="557033E7">
      <w:pPr>
        <w:shd w:val="clear" w:color="auto" w:fill="FFFFFF"/>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授权代理人（签字或签章）：</w:t>
      </w:r>
    </w:p>
    <w:p w14:paraId="58E4F1A7">
      <w:pPr>
        <w:shd w:val="clear" w:color="auto" w:fill="FFFFFF"/>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5B3E118F">
      <w:pPr>
        <w:shd w:val="clear" w:color="auto" w:fill="FFFFFF"/>
        <w:spacing w:line="500" w:lineRule="exact"/>
        <w:rPr>
          <w:rFonts w:hint="eastAsia" w:ascii="仿宋" w:hAnsi="仿宋" w:eastAsia="仿宋" w:cs="仿宋"/>
          <w:color w:val="auto"/>
          <w:sz w:val="24"/>
          <w:highlight w:val="none"/>
        </w:rPr>
      </w:pPr>
    </w:p>
    <w:p w14:paraId="2980E797">
      <w:pPr>
        <w:widowControl/>
        <w:jc w:val="lef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br w:type="page"/>
      </w:r>
    </w:p>
    <w:p w14:paraId="32998464">
      <w:pPr>
        <w:shd w:val="clear" w:color="auto" w:fill="FFFFFF"/>
        <w:spacing w:line="440" w:lineRule="exac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eastAsia="zh-CN"/>
        </w:rPr>
        <w:t>附件十三</w:t>
      </w:r>
      <w:r>
        <w:rPr>
          <w:rFonts w:hint="eastAsia" w:ascii="仿宋" w:hAnsi="仿宋" w:eastAsia="仿宋" w:cs="仿宋"/>
          <w:b/>
          <w:bCs/>
          <w:color w:val="auto"/>
          <w:sz w:val="24"/>
          <w:highlight w:val="none"/>
          <w:lang w:val="en-US" w:eastAsia="zh-CN"/>
        </w:rPr>
        <w:t xml:space="preserve">  供应商自行编写的技术文件，包含针对本项目编制的各项方案等</w:t>
      </w:r>
    </w:p>
    <w:p w14:paraId="4976C956">
      <w:pPr>
        <w:shd w:val="clear" w:color="auto" w:fill="FFFFFF"/>
        <w:spacing w:line="440" w:lineRule="exact"/>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lang w:val="en-US" w:eastAsia="zh-CN"/>
        </w:rPr>
        <w:t>实施方案、技术支持方案、团队人员配置等</w:t>
      </w:r>
    </w:p>
    <w:p w14:paraId="58CCB75E">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br w:type="page"/>
      </w:r>
    </w:p>
    <w:p w14:paraId="1CB1C034">
      <w:pPr>
        <w:shd w:val="clear" w:color="auto" w:fill="FFFFFF"/>
        <w:spacing w:line="44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附件十</w:t>
      </w:r>
      <w:r>
        <w:rPr>
          <w:rFonts w:hint="eastAsia" w:ascii="仿宋" w:hAnsi="仿宋" w:eastAsia="仿宋" w:cs="仿宋"/>
          <w:b/>
          <w:bCs/>
          <w:color w:val="auto"/>
          <w:sz w:val="24"/>
          <w:highlight w:val="none"/>
          <w:lang w:eastAsia="zh-CN"/>
        </w:rPr>
        <w:t>四</w:t>
      </w:r>
      <w:r>
        <w:rPr>
          <w:rFonts w:hint="eastAsia" w:ascii="仿宋" w:hAnsi="仿宋" w:eastAsia="仿宋" w:cs="仿宋"/>
          <w:b/>
          <w:bCs/>
          <w:color w:val="auto"/>
          <w:sz w:val="24"/>
          <w:highlight w:val="none"/>
        </w:rPr>
        <w:t xml:space="preserve">  产品详细配置清单（含软/硬件）</w:t>
      </w:r>
    </w:p>
    <w:p w14:paraId="6211E50A">
      <w:pPr>
        <w:rPr>
          <w:rFonts w:hint="eastAsia" w:ascii="仿宋" w:hAnsi="仿宋" w:eastAsia="仿宋" w:cs="仿宋"/>
          <w:b/>
          <w:bCs/>
          <w:color w:val="auto"/>
          <w:sz w:val="24"/>
          <w:highlight w:val="none"/>
        </w:rPr>
      </w:pPr>
    </w:p>
    <w:tbl>
      <w:tblPr>
        <w:tblStyle w:val="59"/>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216"/>
        <w:gridCol w:w="2352"/>
        <w:gridCol w:w="2028"/>
        <w:gridCol w:w="2077"/>
      </w:tblGrid>
      <w:tr w14:paraId="778B4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jc w:val="center"/>
        </w:trPr>
        <w:tc>
          <w:tcPr>
            <w:tcW w:w="965" w:type="dxa"/>
            <w:tcBorders>
              <w:top w:val="single" w:color="auto" w:sz="4" w:space="0"/>
              <w:left w:val="single" w:color="auto" w:sz="12" w:space="0"/>
              <w:bottom w:val="single" w:color="auto" w:sz="4" w:space="0"/>
              <w:right w:val="single" w:color="auto" w:sz="4" w:space="0"/>
            </w:tcBorders>
            <w:vAlign w:val="center"/>
          </w:tcPr>
          <w:p w14:paraId="3EC24CC7">
            <w:pPr>
              <w:pStyle w:val="731"/>
              <w:tabs>
                <w:tab w:val="left" w:pos="1337"/>
              </w:tabs>
              <w:spacing w:line="360" w:lineRule="auto"/>
              <w:ind w:left="-42" w:right="-4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216" w:type="dxa"/>
            <w:tcBorders>
              <w:top w:val="single" w:color="auto" w:sz="4" w:space="0"/>
              <w:left w:val="single" w:color="auto" w:sz="4" w:space="0"/>
              <w:bottom w:val="single" w:color="auto" w:sz="4" w:space="0"/>
              <w:right w:val="single" w:color="auto" w:sz="4" w:space="0"/>
            </w:tcBorders>
            <w:vAlign w:val="center"/>
          </w:tcPr>
          <w:p w14:paraId="0DFF5915">
            <w:pPr>
              <w:pStyle w:val="731"/>
              <w:tabs>
                <w:tab w:val="left" w:pos="1337"/>
              </w:tabs>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产品名称</w:t>
            </w:r>
          </w:p>
        </w:tc>
        <w:tc>
          <w:tcPr>
            <w:tcW w:w="2352" w:type="dxa"/>
            <w:tcBorders>
              <w:top w:val="single" w:color="auto" w:sz="4" w:space="0"/>
              <w:left w:val="single" w:color="auto" w:sz="4" w:space="0"/>
              <w:bottom w:val="single" w:color="auto" w:sz="4" w:space="0"/>
              <w:right w:val="single" w:color="auto" w:sz="4" w:space="0"/>
            </w:tcBorders>
            <w:vAlign w:val="center"/>
          </w:tcPr>
          <w:p w14:paraId="4AAEEBCE">
            <w:pPr>
              <w:pStyle w:val="731"/>
              <w:tabs>
                <w:tab w:val="left" w:pos="1337"/>
              </w:tabs>
              <w:spacing w:line="360" w:lineRule="auto"/>
              <w:ind w:left="-42" w:right="-42"/>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规格型号</w:t>
            </w:r>
            <w:r>
              <w:rPr>
                <w:rFonts w:hint="eastAsia" w:ascii="仿宋" w:hAnsi="仿宋" w:eastAsia="仿宋" w:cs="仿宋"/>
                <w:color w:val="auto"/>
                <w:sz w:val="24"/>
                <w:highlight w:val="none"/>
                <w:lang w:val="en-US" w:eastAsia="zh-CN"/>
              </w:rPr>
              <w:t>/版本号</w:t>
            </w:r>
          </w:p>
        </w:tc>
        <w:tc>
          <w:tcPr>
            <w:tcW w:w="2028" w:type="dxa"/>
            <w:tcBorders>
              <w:top w:val="single" w:color="auto" w:sz="4" w:space="0"/>
              <w:left w:val="single" w:color="auto" w:sz="4" w:space="0"/>
              <w:bottom w:val="single" w:color="auto" w:sz="4" w:space="0"/>
              <w:right w:val="single" w:color="auto" w:sz="4" w:space="0"/>
            </w:tcBorders>
            <w:vAlign w:val="center"/>
          </w:tcPr>
          <w:p w14:paraId="615354FC">
            <w:pPr>
              <w:pStyle w:val="731"/>
              <w:tabs>
                <w:tab w:val="left" w:pos="1337"/>
              </w:tabs>
              <w:spacing w:line="360" w:lineRule="auto"/>
              <w:ind w:left="-42" w:right="-42"/>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品牌</w:t>
            </w:r>
            <w:r>
              <w:rPr>
                <w:rFonts w:hint="eastAsia" w:ascii="仿宋" w:hAnsi="仿宋" w:eastAsia="仿宋" w:cs="仿宋"/>
                <w:color w:val="auto"/>
                <w:sz w:val="24"/>
                <w:highlight w:val="none"/>
                <w:lang w:val="en-US" w:eastAsia="zh-CN"/>
              </w:rPr>
              <w:t>/软件开发商</w:t>
            </w:r>
          </w:p>
        </w:tc>
        <w:tc>
          <w:tcPr>
            <w:tcW w:w="2077" w:type="dxa"/>
            <w:tcBorders>
              <w:top w:val="single" w:color="auto" w:sz="4" w:space="0"/>
              <w:left w:val="single" w:color="auto" w:sz="4" w:space="0"/>
              <w:bottom w:val="single" w:color="auto" w:sz="4" w:space="0"/>
              <w:right w:val="single" w:color="auto" w:sz="12" w:space="0"/>
            </w:tcBorders>
            <w:vAlign w:val="center"/>
          </w:tcPr>
          <w:p w14:paraId="07A90C89">
            <w:pPr>
              <w:pStyle w:val="731"/>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详细配置内容</w:t>
            </w:r>
          </w:p>
        </w:tc>
      </w:tr>
      <w:tr w14:paraId="7C755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jc w:val="center"/>
        </w:trPr>
        <w:tc>
          <w:tcPr>
            <w:tcW w:w="965" w:type="dxa"/>
            <w:tcBorders>
              <w:top w:val="single" w:color="auto" w:sz="4" w:space="0"/>
              <w:left w:val="single" w:color="auto" w:sz="12" w:space="0"/>
              <w:bottom w:val="single" w:color="auto" w:sz="4" w:space="0"/>
              <w:right w:val="single" w:color="auto" w:sz="4" w:space="0"/>
            </w:tcBorders>
            <w:vAlign w:val="center"/>
          </w:tcPr>
          <w:p w14:paraId="60873E95">
            <w:pPr>
              <w:pStyle w:val="731"/>
              <w:tabs>
                <w:tab w:val="left" w:pos="1337"/>
              </w:tabs>
              <w:spacing w:line="360" w:lineRule="auto"/>
              <w:ind w:left="-42" w:right="-42"/>
              <w:jc w:val="center"/>
              <w:rPr>
                <w:rFonts w:hint="eastAsia" w:ascii="仿宋" w:hAnsi="仿宋" w:eastAsia="仿宋" w:cs="仿宋"/>
                <w:color w:val="auto"/>
                <w:sz w:val="24"/>
                <w:highlight w:val="none"/>
              </w:rPr>
            </w:pPr>
          </w:p>
        </w:tc>
        <w:tc>
          <w:tcPr>
            <w:tcW w:w="2216" w:type="dxa"/>
            <w:tcBorders>
              <w:top w:val="single" w:color="auto" w:sz="4" w:space="0"/>
              <w:left w:val="single" w:color="auto" w:sz="4" w:space="0"/>
              <w:bottom w:val="single" w:color="auto" w:sz="4" w:space="0"/>
              <w:right w:val="single" w:color="auto" w:sz="4" w:space="0"/>
            </w:tcBorders>
            <w:vAlign w:val="center"/>
          </w:tcPr>
          <w:p w14:paraId="093826DD">
            <w:pPr>
              <w:pStyle w:val="731"/>
              <w:tabs>
                <w:tab w:val="left" w:pos="1337"/>
              </w:tabs>
              <w:spacing w:line="360" w:lineRule="auto"/>
              <w:jc w:val="center"/>
              <w:rPr>
                <w:rFonts w:hint="eastAsia" w:ascii="仿宋" w:hAnsi="仿宋" w:eastAsia="仿宋" w:cs="仿宋"/>
                <w:color w:val="auto"/>
                <w:sz w:val="24"/>
                <w:highlight w:val="none"/>
              </w:rPr>
            </w:pPr>
          </w:p>
        </w:tc>
        <w:tc>
          <w:tcPr>
            <w:tcW w:w="2352" w:type="dxa"/>
            <w:tcBorders>
              <w:top w:val="single" w:color="auto" w:sz="4" w:space="0"/>
              <w:left w:val="single" w:color="auto" w:sz="4" w:space="0"/>
              <w:bottom w:val="single" w:color="auto" w:sz="4" w:space="0"/>
              <w:right w:val="single" w:color="auto" w:sz="4" w:space="0"/>
            </w:tcBorders>
            <w:vAlign w:val="center"/>
          </w:tcPr>
          <w:p w14:paraId="19049F8F">
            <w:pPr>
              <w:pStyle w:val="731"/>
              <w:tabs>
                <w:tab w:val="left" w:pos="1337"/>
              </w:tabs>
              <w:spacing w:line="360" w:lineRule="auto"/>
              <w:ind w:left="-42" w:right="-42"/>
              <w:jc w:val="center"/>
              <w:rPr>
                <w:rFonts w:hint="eastAsia" w:ascii="仿宋" w:hAnsi="仿宋" w:eastAsia="仿宋" w:cs="仿宋"/>
                <w:color w:val="auto"/>
                <w:sz w:val="24"/>
                <w:highlight w:val="none"/>
              </w:rPr>
            </w:pPr>
          </w:p>
        </w:tc>
        <w:tc>
          <w:tcPr>
            <w:tcW w:w="2028" w:type="dxa"/>
            <w:tcBorders>
              <w:top w:val="single" w:color="auto" w:sz="4" w:space="0"/>
              <w:left w:val="single" w:color="auto" w:sz="4" w:space="0"/>
              <w:bottom w:val="single" w:color="auto" w:sz="4" w:space="0"/>
              <w:right w:val="single" w:color="auto" w:sz="4" w:space="0"/>
            </w:tcBorders>
            <w:vAlign w:val="center"/>
          </w:tcPr>
          <w:p w14:paraId="555483C9">
            <w:pPr>
              <w:pStyle w:val="731"/>
              <w:tabs>
                <w:tab w:val="left" w:pos="1337"/>
              </w:tabs>
              <w:spacing w:line="360" w:lineRule="auto"/>
              <w:ind w:left="-42" w:right="-42"/>
              <w:jc w:val="center"/>
              <w:rPr>
                <w:rFonts w:hint="eastAsia" w:ascii="仿宋" w:hAnsi="仿宋" w:eastAsia="仿宋" w:cs="仿宋"/>
                <w:color w:val="auto"/>
                <w:sz w:val="24"/>
                <w:highlight w:val="none"/>
              </w:rPr>
            </w:pPr>
          </w:p>
        </w:tc>
        <w:tc>
          <w:tcPr>
            <w:tcW w:w="2077" w:type="dxa"/>
            <w:tcBorders>
              <w:top w:val="single" w:color="auto" w:sz="4" w:space="0"/>
              <w:left w:val="single" w:color="auto" w:sz="4" w:space="0"/>
              <w:bottom w:val="single" w:color="auto" w:sz="4" w:space="0"/>
              <w:right w:val="single" w:color="auto" w:sz="12" w:space="0"/>
            </w:tcBorders>
            <w:vAlign w:val="center"/>
          </w:tcPr>
          <w:p w14:paraId="58193BB6">
            <w:pPr>
              <w:pStyle w:val="731"/>
              <w:spacing w:line="360" w:lineRule="auto"/>
              <w:jc w:val="center"/>
              <w:rPr>
                <w:rFonts w:hint="eastAsia" w:ascii="仿宋" w:hAnsi="仿宋" w:eastAsia="仿宋" w:cs="仿宋"/>
                <w:color w:val="auto"/>
                <w:sz w:val="24"/>
                <w:highlight w:val="none"/>
                <w:lang w:eastAsia="zh-CN"/>
              </w:rPr>
            </w:pPr>
          </w:p>
        </w:tc>
      </w:tr>
      <w:tr w14:paraId="6FC57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jc w:val="center"/>
        </w:trPr>
        <w:tc>
          <w:tcPr>
            <w:tcW w:w="965" w:type="dxa"/>
            <w:tcBorders>
              <w:top w:val="single" w:color="auto" w:sz="4" w:space="0"/>
              <w:left w:val="single" w:color="auto" w:sz="12" w:space="0"/>
              <w:bottom w:val="single" w:color="auto" w:sz="4" w:space="0"/>
              <w:right w:val="single" w:color="auto" w:sz="4" w:space="0"/>
            </w:tcBorders>
            <w:vAlign w:val="center"/>
          </w:tcPr>
          <w:p w14:paraId="24C3AF3A">
            <w:pPr>
              <w:pStyle w:val="731"/>
              <w:tabs>
                <w:tab w:val="left" w:pos="1337"/>
              </w:tabs>
              <w:spacing w:line="360" w:lineRule="auto"/>
              <w:ind w:left="-42" w:right="-42"/>
              <w:jc w:val="center"/>
              <w:rPr>
                <w:rFonts w:hint="eastAsia" w:ascii="仿宋" w:hAnsi="仿宋" w:eastAsia="仿宋" w:cs="仿宋"/>
                <w:color w:val="auto"/>
                <w:sz w:val="24"/>
                <w:highlight w:val="none"/>
              </w:rPr>
            </w:pPr>
          </w:p>
        </w:tc>
        <w:tc>
          <w:tcPr>
            <w:tcW w:w="2216" w:type="dxa"/>
            <w:tcBorders>
              <w:top w:val="single" w:color="auto" w:sz="4" w:space="0"/>
              <w:left w:val="single" w:color="auto" w:sz="4" w:space="0"/>
              <w:bottom w:val="single" w:color="auto" w:sz="4" w:space="0"/>
              <w:right w:val="single" w:color="auto" w:sz="4" w:space="0"/>
            </w:tcBorders>
            <w:vAlign w:val="center"/>
          </w:tcPr>
          <w:p w14:paraId="4542A544">
            <w:pPr>
              <w:pStyle w:val="731"/>
              <w:tabs>
                <w:tab w:val="left" w:pos="1337"/>
              </w:tabs>
              <w:spacing w:line="360" w:lineRule="auto"/>
              <w:jc w:val="center"/>
              <w:rPr>
                <w:rFonts w:hint="eastAsia" w:ascii="仿宋" w:hAnsi="仿宋" w:eastAsia="仿宋" w:cs="仿宋"/>
                <w:color w:val="auto"/>
                <w:sz w:val="24"/>
                <w:highlight w:val="none"/>
              </w:rPr>
            </w:pPr>
          </w:p>
        </w:tc>
        <w:tc>
          <w:tcPr>
            <w:tcW w:w="2352" w:type="dxa"/>
            <w:tcBorders>
              <w:top w:val="single" w:color="auto" w:sz="4" w:space="0"/>
              <w:left w:val="single" w:color="auto" w:sz="4" w:space="0"/>
              <w:bottom w:val="single" w:color="auto" w:sz="4" w:space="0"/>
              <w:right w:val="single" w:color="auto" w:sz="4" w:space="0"/>
            </w:tcBorders>
            <w:vAlign w:val="center"/>
          </w:tcPr>
          <w:p w14:paraId="6E372E8F">
            <w:pPr>
              <w:pStyle w:val="731"/>
              <w:tabs>
                <w:tab w:val="left" w:pos="1337"/>
              </w:tabs>
              <w:spacing w:line="360" w:lineRule="auto"/>
              <w:ind w:left="-42" w:right="-42"/>
              <w:jc w:val="center"/>
              <w:rPr>
                <w:rFonts w:hint="eastAsia" w:ascii="仿宋" w:hAnsi="仿宋" w:eastAsia="仿宋" w:cs="仿宋"/>
                <w:color w:val="auto"/>
                <w:sz w:val="24"/>
                <w:highlight w:val="none"/>
              </w:rPr>
            </w:pPr>
          </w:p>
        </w:tc>
        <w:tc>
          <w:tcPr>
            <w:tcW w:w="2028" w:type="dxa"/>
            <w:tcBorders>
              <w:top w:val="single" w:color="auto" w:sz="4" w:space="0"/>
              <w:left w:val="single" w:color="auto" w:sz="4" w:space="0"/>
              <w:bottom w:val="single" w:color="auto" w:sz="4" w:space="0"/>
              <w:right w:val="single" w:color="auto" w:sz="4" w:space="0"/>
            </w:tcBorders>
            <w:vAlign w:val="center"/>
          </w:tcPr>
          <w:p w14:paraId="6DCAAC7C">
            <w:pPr>
              <w:pStyle w:val="731"/>
              <w:tabs>
                <w:tab w:val="left" w:pos="1337"/>
              </w:tabs>
              <w:spacing w:line="360" w:lineRule="auto"/>
              <w:ind w:left="-42" w:right="-42"/>
              <w:jc w:val="center"/>
              <w:rPr>
                <w:rFonts w:hint="eastAsia" w:ascii="仿宋" w:hAnsi="仿宋" w:eastAsia="仿宋" w:cs="仿宋"/>
                <w:color w:val="auto"/>
                <w:sz w:val="24"/>
                <w:highlight w:val="none"/>
              </w:rPr>
            </w:pPr>
          </w:p>
        </w:tc>
        <w:tc>
          <w:tcPr>
            <w:tcW w:w="2077" w:type="dxa"/>
            <w:tcBorders>
              <w:top w:val="single" w:color="auto" w:sz="4" w:space="0"/>
              <w:left w:val="single" w:color="auto" w:sz="4" w:space="0"/>
              <w:bottom w:val="single" w:color="auto" w:sz="4" w:space="0"/>
              <w:right w:val="single" w:color="auto" w:sz="12" w:space="0"/>
            </w:tcBorders>
            <w:vAlign w:val="center"/>
          </w:tcPr>
          <w:p w14:paraId="4C302274">
            <w:pPr>
              <w:pStyle w:val="731"/>
              <w:spacing w:line="360" w:lineRule="auto"/>
              <w:jc w:val="center"/>
              <w:rPr>
                <w:rFonts w:hint="eastAsia" w:ascii="仿宋" w:hAnsi="仿宋" w:eastAsia="仿宋" w:cs="仿宋"/>
                <w:color w:val="auto"/>
                <w:sz w:val="24"/>
                <w:highlight w:val="none"/>
                <w:lang w:eastAsia="zh-CN"/>
              </w:rPr>
            </w:pPr>
          </w:p>
        </w:tc>
      </w:tr>
      <w:tr w14:paraId="34A86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jc w:val="center"/>
        </w:trPr>
        <w:tc>
          <w:tcPr>
            <w:tcW w:w="965" w:type="dxa"/>
            <w:tcBorders>
              <w:top w:val="single" w:color="auto" w:sz="4" w:space="0"/>
              <w:left w:val="single" w:color="auto" w:sz="12" w:space="0"/>
              <w:bottom w:val="single" w:color="auto" w:sz="4" w:space="0"/>
              <w:right w:val="single" w:color="auto" w:sz="4" w:space="0"/>
            </w:tcBorders>
            <w:vAlign w:val="center"/>
          </w:tcPr>
          <w:p w14:paraId="7174AA3F">
            <w:pPr>
              <w:pStyle w:val="731"/>
              <w:tabs>
                <w:tab w:val="left" w:pos="1337"/>
              </w:tabs>
              <w:spacing w:line="360" w:lineRule="auto"/>
              <w:ind w:left="-42" w:right="-42"/>
              <w:jc w:val="center"/>
              <w:rPr>
                <w:rFonts w:hint="eastAsia" w:ascii="仿宋" w:hAnsi="仿宋" w:eastAsia="仿宋" w:cs="仿宋"/>
                <w:color w:val="auto"/>
                <w:sz w:val="24"/>
                <w:highlight w:val="none"/>
              </w:rPr>
            </w:pPr>
          </w:p>
          <w:p w14:paraId="5FA993A7">
            <w:pPr>
              <w:pStyle w:val="731"/>
              <w:tabs>
                <w:tab w:val="left" w:pos="1337"/>
              </w:tabs>
              <w:spacing w:line="360" w:lineRule="auto"/>
              <w:ind w:left="-42" w:right="-42"/>
              <w:jc w:val="center"/>
              <w:rPr>
                <w:rFonts w:hint="eastAsia" w:ascii="仿宋" w:hAnsi="仿宋" w:eastAsia="仿宋" w:cs="仿宋"/>
                <w:color w:val="auto"/>
                <w:sz w:val="24"/>
                <w:highlight w:val="none"/>
              </w:rPr>
            </w:pPr>
          </w:p>
        </w:tc>
        <w:tc>
          <w:tcPr>
            <w:tcW w:w="2216" w:type="dxa"/>
            <w:tcBorders>
              <w:top w:val="single" w:color="auto" w:sz="4" w:space="0"/>
              <w:left w:val="single" w:color="auto" w:sz="4" w:space="0"/>
              <w:bottom w:val="single" w:color="auto" w:sz="4" w:space="0"/>
              <w:right w:val="single" w:color="auto" w:sz="4" w:space="0"/>
            </w:tcBorders>
            <w:vAlign w:val="center"/>
          </w:tcPr>
          <w:p w14:paraId="67E33AEB">
            <w:pPr>
              <w:pStyle w:val="731"/>
              <w:tabs>
                <w:tab w:val="left" w:pos="1337"/>
              </w:tabs>
              <w:spacing w:line="360" w:lineRule="auto"/>
              <w:jc w:val="center"/>
              <w:rPr>
                <w:rFonts w:hint="eastAsia" w:ascii="仿宋" w:hAnsi="仿宋" w:eastAsia="仿宋" w:cs="仿宋"/>
                <w:color w:val="auto"/>
                <w:sz w:val="24"/>
                <w:highlight w:val="none"/>
              </w:rPr>
            </w:pPr>
          </w:p>
        </w:tc>
        <w:tc>
          <w:tcPr>
            <w:tcW w:w="2352" w:type="dxa"/>
            <w:tcBorders>
              <w:top w:val="single" w:color="auto" w:sz="4" w:space="0"/>
              <w:left w:val="single" w:color="auto" w:sz="4" w:space="0"/>
              <w:bottom w:val="single" w:color="auto" w:sz="4" w:space="0"/>
              <w:right w:val="single" w:color="auto" w:sz="4" w:space="0"/>
            </w:tcBorders>
            <w:vAlign w:val="center"/>
          </w:tcPr>
          <w:p w14:paraId="51F26F44">
            <w:pPr>
              <w:pStyle w:val="731"/>
              <w:tabs>
                <w:tab w:val="left" w:pos="1337"/>
              </w:tabs>
              <w:spacing w:line="360" w:lineRule="auto"/>
              <w:ind w:left="-42" w:right="-42"/>
              <w:jc w:val="center"/>
              <w:rPr>
                <w:rFonts w:hint="eastAsia" w:ascii="仿宋" w:hAnsi="仿宋" w:eastAsia="仿宋" w:cs="仿宋"/>
                <w:color w:val="auto"/>
                <w:sz w:val="24"/>
                <w:highlight w:val="none"/>
              </w:rPr>
            </w:pPr>
          </w:p>
        </w:tc>
        <w:tc>
          <w:tcPr>
            <w:tcW w:w="2028" w:type="dxa"/>
            <w:tcBorders>
              <w:top w:val="single" w:color="auto" w:sz="4" w:space="0"/>
              <w:left w:val="single" w:color="auto" w:sz="4" w:space="0"/>
              <w:bottom w:val="single" w:color="auto" w:sz="4" w:space="0"/>
              <w:right w:val="single" w:color="auto" w:sz="4" w:space="0"/>
            </w:tcBorders>
            <w:vAlign w:val="center"/>
          </w:tcPr>
          <w:p w14:paraId="39154B56">
            <w:pPr>
              <w:pStyle w:val="731"/>
              <w:tabs>
                <w:tab w:val="left" w:pos="1337"/>
              </w:tabs>
              <w:spacing w:line="360" w:lineRule="auto"/>
              <w:ind w:left="-42" w:right="-42"/>
              <w:jc w:val="center"/>
              <w:rPr>
                <w:rFonts w:hint="eastAsia" w:ascii="仿宋" w:hAnsi="仿宋" w:eastAsia="仿宋" w:cs="仿宋"/>
                <w:color w:val="auto"/>
                <w:sz w:val="24"/>
                <w:highlight w:val="none"/>
              </w:rPr>
            </w:pPr>
          </w:p>
        </w:tc>
        <w:tc>
          <w:tcPr>
            <w:tcW w:w="2077" w:type="dxa"/>
            <w:tcBorders>
              <w:top w:val="single" w:color="auto" w:sz="4" w:space="0"/>
              <w:left w:val="single" w:color="auto" w:sz="4" w:space="0"/>
              <w:bottom w:val="single" w:color="auto" w:sz="4" w:space="0"/>
              <w:right w:val="single" w:color="auto" w:sz="12" w:space="0"/>
            </w:tcBorders>
            <w:vAlign w:val="center"/>
          </w:tcPr>
          <w:p w14:paraId="249D5697">
            <w:pPr>
              <w:pStyle w:val="731"/>
              <w:spacing w:line="360" w:lineRule="auto"/>
              <w:jc w:val="center"/>
              <w:rPr>
                <w:rFonts w:hint="eastAsia" w:ascii="仿宋" w:hAnsi="仿宋" w:eastAsia="仿宋" w:cs="仿宋"/>
                <w:color w:val="auto"/>
                <w:sz w:val="24"/>
                <w:highlight w:val="none"/>
                <w:lang w:eastAsia="zh-CN"/>
              </w:rPr>
            </w:pPr>
          </w:p>
        </w:tc>
      </w:tr>
      <w:tr w14:paraId="0607D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jc w:val="center"/>
        </w:trPr>
        <w:tc>
          <w:tcPr>
            <w:tcW w:w="965" w:type="dxa"/>
            <w:tcBorders>
              <w:top w:val="single" w:color="auto" w:sz="4" w:space="0"/>
              <w:left w:val="single" w:color="auto" w:sz="12" w:space="0"/>
              <w:bottom w:val="single" w:color="auto" w:sz="4" w:space="0"/>
              <w:right w:val="single" w:color="auto" w:sz="4" w:space="0"/>
            </w:tcBorders>
            <w:vAlign w:val="center"/>
          </w:tcPr>
          <w:p w14:paraId="10CB9679">
            <w:pPr>
              <w:pStyle w:val="731"/>
              <w:tabs>
                <w:tab w:val="left" w:pos="1337"/>
              </w:tabs>
              <w:spacing w:line="360" w:lineRule="auto"/>
              <w:ind w:left="-42" w:right="-42"/>
              <w:jc w:val="center"/>
              <w:rPr>
                <w:rFonts w:hint="eastAsia" w:ascii="仿宋" w:hAnsi="仿宋" w:eastAsia="仿宋" w:cs="仿宋"/>
                <w:color w:val="auto"/>
                <w:sz w:val="24"/>
                <w:highlight w:val="none"/>
              </w:rPr>
            </w:pPr>
          </w:p>
        </w:tc>
        <w:tc>
          <w:tcPr>
            <w:tcW w:w="2216" w:type="dxa"/>
            <w:tcBorders>
              <w:top w:val="single" w:color="auto" w:sz="4" w:space="0"/>
              <w:left w:val="single" w:color="auto" w:sz="4" w:space="0"/>
              <w:bottom w:val="single" w:color="auto" w:sz="4" w:space="0"/>
              <w:right w:val="single" w:color="auto" w:sz="4" w:space="0"/>
            </w:tcBorders>
            <w:vAlign w:val="center"/>
          </w:tcPr>
          <w:p w14:paraId="546A8A96">
            <w:pPr>
              <w:pStyle w:val="731"/>
              <w:tabs>
                <w:tab w:val="left" w:pos="1337"/>
              </w:tabs>
              <w:spacing w:line="360" w:lineRule="auto"/>
              <w:jc w:val="center"/>
              <w:rPr>
                <w:rFonts w:hint="eastAsia" w:ascii="仿宋" w:hAnsi="仿宋" w:eastAsia="仿宋" w:cs="仿宋"/>
                <w:color w:val="auto"/>
                <w:sz w:val="24"/>
                <w:highlight w:val="none"/>
              </w:rPr>
            </w:pPr>
          </w:p>
        </w:tc>
        <w:tc>
          <w:tcPr>
            <w:tcW w:w="2352" w:type="dxa"/>
            <w:tcBorders>
              <w:top w:val="single" w:color="auto" w:sz="4" w:space="0"/>
              <w:left w:val="single" w:color="auto" w:sz="4" w:space="0"/>
              <w:bottom w:val="single" w:color="auto" w:sz="4" w:space="0"/>
              <w:right w:val="single" w:color="auto" w:sz="4" w:space="0"/>
            </w:tcBorders>
            <w:vAlign w:val="center"/>
          </w:tcPr>
          <w:p w14:paraId="083DB342">
            <w:pPr>
              <w:pStyle w:val="731"/>
              <w:tabs>
                <w:tab w:val="left" w:pos="1337"/>
              </w:tabs>
              <w:spacing w:line="360" w:lineRule="auto"/>
              <w:ind w:left="-42" w:right="-42"/>
              <w:jc w:val="center"/>
              <w:rPr>
                <w:rFonts w:hint="eastAsia" w:ascii="仿宋" w:hAnsi="仿宋" w:eastAsia="仿宋" w:cs="仿宋"/>
                <w:color w:val="auto"/>
                <w:sz w:val="24"/>
                <w:highlight w:val="none"/>
              </w:rPr>
            </w:pPr>
          </w:p>
        </w:tc>
        <w:tc>
          <w:tcPr>
            <w:tcW w:w="2028" w:type="dxa"/>
            <w:tcBorders>
              <w:top w:val="single" w:color="auto" w:sz="4" w:space="0"/>
              <w:left w:val="single" w:color="auto" w:sz="4" w:space="0"/>
              <w:bottom w:val="single" w:color="auto" w:sz="4" w:space="0"/>
              <w:right w:val="single" w:color="auto" w:sz="4" w:space="0"/>
            </w:tcBorders>
            <w:vAlign w:val="center"/>
          </w:tcPr>
          <w:p w14:paraId="0D72744B">
            <w:pPr>
              <w:pStyle w:val="731"/>
              <w:tabs>
                <w:tab w:val="left" w:pos="1337"/>
              </w:tabs>
              <w:spacing w:line="360" w:lineRule="auto"/>
              <w:ind w:left="-42" w:right="-42"/>
              <w:jc w:val="center"/>
              <w:rPr>
                <w:rFonts w:hint="eastAsia" w:ascii="仿宋" w:hAnsi="仿宋" w:eastAsia="仿宋" w:cs="仿宋"/>
                <w:color w:val="auto"/>
                <w:sz w:val="24"/>
                <w:highlight w:val="none"/>
              </w:rPr>
            </w:pPr>
          </w:p>
        </w:tc>
        <w:tc>
          <w:tcPr>
            <w:tcW w:w="2077" w:type="dxa"/>
            <w:tcBorders>
              <w:top w:val="single" w:color="auto" w:sz="4" w:space="0"/>
              <w:left w:val="single" w:color="auto" w:sz="4" w:space="0"/>
              <w:bottom w:val="single" w:color="auto" w:sz="4" w:space="0"/>
              <w:right w:val="single" w:color="auto" w:sz="12" w:space="0"/>
            </w:tcBorders>
            <w:vAlign w:val="center"/>
          </w:tcPr>
          <w:p w14:paraId="0EBD9800">
            <w:pPr>
              <w:pStyle w:val="731"/>
              <w:spacing w:line="360" w:lineRule="auto"/>
              <w:jc w:val="center"/>
              <w:rPr>
                <w:rFonts w:hint="eastAsia" w:ascii="仿宋" w:hAnsi="仿宋" w:eastAsia="仿宋" w:cs="仿宋"/>
                <w:color w:val="auto"/>
                <w:sz w:val="24"/>
                <w:highlight w:val="none"/>
                <w:lang w:eastAsia="zh-CN"/>
              </w:rPr>
            </w:pPr>
          </w:p>
        </w:tc>
      </w:tr>
      <w:tr w14:paraId="6613C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jc w:val="center"/>
        </w:trPr>
        <w:tc>
          <w:tcPr>
            <w:tcW w:w="965" w:type="dxa"/>
            <w:tcBorders>
              <w:top w:val="single" w:color="auto" w:sz="4" w:space="0"/>
              <w:left w:val="single" w:color="auto" w:sz="12" w:space="0"/>
              <w:bottom w:val="single" w:color="auto" w:sz="4" w:space="0"/>
              <w:right w:val="single" w:color="auto" w:sz="4" w:space="0"/>
            </w:tcBorders>
            <w:vAlign w:val="center"/>
          </w:tcPr>
          <w:p w14:paraId="1DEDD078">
            <w:pPr>
              <w:pStyle w:val="731"/>
              <w:tabs>
                <w:tab w:val="left" w:pos="1337"/>
              </w:tabs>
              <w:spacing w:line="360" w:lineRule="auto"/>
              <w:ind w:left="-42" w:right="-42"/>
              <w:jc w:val="center"/>
              <w:rPr>
                <w:rFonts w:hint="eastAsia" w:ascii="仿宋" w:hAnsi="仿宋" w:eastAsia="仿宋" w:cs="仿宋"/>
                <w:color w:val="auto"/>
                <w:sz w:val="24"/>
                <w:highlight w:val="none"/>
              </w:rPr>
            </w:pPr>
          </w:p>
        </w:tc>
        <w:tc>
          <w:tcPr>
            <w:tcW w:w="2216" w:type="dxa"/>
            <w:tcBorders>
              <w:top w:val="single" w:color="auto" w:sz="4" w:space="0"/>
              <w:left w:val="single" w:color="auto" w:sz="4" w:space="0"/>
              <w:bottom w:val="single" w:color="auto" w:sz="4" w:space="0"/>
              <w:right w:val="single" w:color="auto" w:sz="4" w:space="0"/>
            </w:tcBorders>
            <w:vAlign w:val="center"/>
          </w:tcPr>
          <w:p w14:paraId="1489588C">
            <w:pPr>
              <w:pStyle w:val="731"/>
              <w:tabs>
                <w:tab w:val="left" w:pos="1337"/>
              </w:tabs>
              <w:spacing w:line="360" w:lineRule="auto"/>
              <w:jc w:val="center"/>
              <w:rPr>
                <w:rFonts w:hint="eastAsia" w:ascii="仿宋" w:hAnsi="仿宋" w:eastAsia="仿宋" w:cs="仿宋"/>
                <w:color w:val="auto"/>
                <w:sz w:val="24"/>
                <w:highlight w:val="none"/>
              </w:rPr>
            </w:pPr>
          </w:p>
        </w:tc>
        <w:tc>
          <w:tcPr>
            <w:tcW w:w="2352" w:type="dxa"/>
            <w:tcBorders>
              <w:top w:val="single" w:color="auto" w:sz="4" w:space="0"/>
              <w:left w:val="single" w:color="auto" w:sz="4" w:space="0"/>
              <w:bottom w:val="single" w:color="auto" w:sz="4" w:space="0"/>
              <w:right w:val="single" w:color="auto" w:sz="4" w:space="0"/>
            </w:tcBorders>
            <w:vAlign w:val="center"/>
          </w:tcPr>
          <w:p w14:paraId="1B87529C">
            <w:pPr>
              <w:pStyle w:val="731"/>
              <w:tabs>
                <w:tab w:val="left" w:pos="1337"/>
              </w:tabs>
              <w:spacing w:line="360" w:lineRule="auto"/>
              <w:ind w:left="-42" w:right="-42"/>
              <w:jc w:val="center"/>
              <w:rPr>
                <w:rFonts w:hint="eastAsia" w:ascii="仿宋" w:hAnsi="仿宋" w:eastAsia="仿宋" w:cs="仿宋"/>
                <w:color w:val="auto"/>
                <w:sz w:val="24"/>
                <w:highlight w:val="none"/>
              </w:rPr>
            </w:pPr>
          </w:p>
        </w:tc>
        <w:tc>
          <w:tcPr>
            <w:tcW w:w="2028" w:type="dxa"/>
            <w:tcBorders>
              <w:top w:val="single" w:color="auto" w:sz="4" w:space="0"/>
              <w:left w:val="single" w:color="auto" w:sz="4" w:space="0"/>
              <w:bottom w:val="single" w:color="auto" w:sz="4" w:space="0"/>
              <w:right w:val="single" w:color="auto" w:sz="4" w:space="0"/>
            </w:tcBorders>
            <w:vAlign w:val="center"/>
          </w:tcPr>
          <w:p w14:paraId="6DAF2CEB">
            <w:pPr>
              <w:pStyle w:val="731"/>
              <w:tabs>
                <w:tab w:val="left" w:pos="1337"/>
              </w:tabs>
              <w:spacing w:line="360" w:lineRule="auto"/>
              <w:ind w:left="-42" w:right="-42"/>
              <w:jc w:val="center"/>
              <w:rPr>
                <w:rFonts w:hint="eastAsia" w:ascii="仿宋" w:hAnsi="仿宋" w:eastAsia="仿宋" w:cs="仿宋"/>
                <w:color w:val="auto"/>
                <w:sz w:val="24"/>
                <w:highlight w:val="none"/>
              </w:rPr>
            </w:pPr>
          </w:p>
        </w:tc>
        <w:tc>
          <w:tcPr>
            <w:tcW w:w="2077" w:type="dxa"/>
            <w:tcBorders>
              <w:top w:val="single" w:color="auto" w:sz="4" w:space="0"/>
              <w:left w:val="single" w:color="auto" w:sz="4" w:space="0"/>
              <w:bottom w:val="single" w:color="auto" w:sz="4" w:space="0"/>
              <w:right w:val="single" w:color="auto" w:sz="12" w:space="0"/>
            </w:tcBorders>
            <w:vAlign w:val="center"/>
          </w:tcPr>
          <w:p w14:paraId="0C64AFE8">
            <w:pPr>
              <w:pStyle w:val="731"/>
              <w:spacing w:line="360" w:lineRule="auto"/>
              <w:jc w:val="center"/>
              <w:rPr>
                <w:rFonts w:hint="eastAsia" w:ascii="仿宋" w:hAnsi="仿宋" w:eastAsia="仿宋" w:cs="仿宋"/>
                <w:color w:val="auto"/>
                <w:sz w:val="24"/>
                <w:highlight w:val="none"/>
                <w:lang w:eastAsia="zh-CN"/>
              </w:rPr>
            </w:pPr>
          </w:p>
        </w:tc>
      </w:tr>
      <w:tr w14:paraId="79E8E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jc w:val="center"/>
        </w:trPr>
        <w:tc>
          <w:tcPr>
            <w:tcW w:w="965" w:type="dxa"/>
            <w:tcBorders>
              <w:top w:val="single" w:color="auto" w:sz="4" w:space="0"/>
              <w:left w:val="single" w:color="auto" w:sz="12" w:space="0"/>
              <w:bottom w:val="single" w:color="auto" w:sz="4" w:space="0"/>
              <w:right w:val="single" w:color="auto" w:sz="4" w:space="0"/>
            </w:tcBorders>
            <w:vAlign w:val="center"/>
          </w:tcPr>
          <w:p w14:paraId="08B8F020">
            <w:pPr>
              <w:pStyle w:val="731"/>
              <w:tabs>
                <w:tab w:val="left" w:pos="1337"/>
              </w:tabs>
              <w:spacing w:line="360" w:lineRule="auto"/>
              <w:ind w:left="-42" w:right="-42"/>
              <w:jc w:val="center"/>
              <w:rPr>
                <w:rFonts w:hint="eastAsia" w:ascii="仿宋" w:hAnsi="仿宋" w:eastAsia="仿宋" w:cs="仿宋"/>
                <w:color w:val="auto"/>
                <w:sz w:val="24"/>
                <w:highlight w:val="none"/>
              </w:rPr>
            </w:pPr>
          </w:p>
        </w:tc>
        <w:tc>
          <w:tcPr>
            <w:tcW w:w="2216" w:type="dxa"/>
            <w:tcBorders>
              <w:top w:val="single" w:color="auto" w:sz="4" w:space="0"/>
              <w:left w:val="single" w:color="auto" w:sz="4" w:space="0"/>
              <w:bottom w:val="single" w:color="auto" w:sz="4" w:space="0"/>
              <w:right w:val="single" w:color="auto" w:sz="4" w:space="0"/>
            </w:tcBorders>
            <w:vAlign w:val="center"/>
          </w:tcPr>
          <w:p w14:paraId="38D88525">
            <w:pPr>
              <w:pStyle w:val="731"/>
              <w:tabs>
                <w:tab w:val="left" w:pos="1337"/>
              </w:tabs>
              <w:spacing w:line="360" w:lineRule="auto"/>
              <w:jc w:val="center"/>
              <w:rPr>
                <w:rFonts w:hint="eastAsia" w:ascii="仿宋" w:hAnsi="仿宋" w:eastAsia="仿宋" w:cs="仿宋"/>
                <w:color w:val="auto"/>
                <w:sz w:val="24"/>
                <w:highlight w:val="none"/>
              </w:rPr>
            </w:pPr>
          </w:p>
        </w:tc>
        <w:tc>
          <w:tcPr>
            <w:tcW w:w="2352" w:type="dxa"/>
            <w:tcBorders>
              <w:top w:val="single" w:color="auto" w:sz="4" w:space="0"/>
              <w:left w:val="single" w:color="auto" w:sz="4" w:space="0"/>
              <w:bottom w:val="single" w:color="auto" w:sz="4" w:space="0"/>
              <w:right w:val="single" w:color="auto" w:sz="4" w:space="0"/>
            </w:tcBorders>
            <w:vAlign w:val="center"/>
          </w:tcPr>
          <w:p w14:paraId="759C0FEE">
            <w:pPr>
              <w:pStyle w:val="731"/>
              <w:tabs>
                <w:tab w:val="left" w:pos="1337"/>
              </w:tabs>
              <w:spacing w:line="360" w:lineRule="auto"/>
              <w:ind w:left="-42" w:right="-42"/>
              <w:jc w:val="center"/>
              <w:rPr>
                <w:rFonts w:hint="eastAsia" w:ascii="仿宋" w:hAnsi="仿宋" w:eastAsia="仿宋" w:cs="仿宋"/>
                <w:color w:val="auto"/>
                <w:sz w:val="24"/>
                <w:highlight w:val="none"/>
              </w:rPr>
            </w:pPr>
          </w:p>
        </w:tc>
        <w:tc>
          <w:tcPr>
            <w:tcW w:w="2028" w:type="dxa"/>
            <w:tcBorders>
              <w:top w:val="single" w:color="auto" w:sz="4" w:space="0"/>
              <w:left w:val="single" w:color="auto" w:sz="4" w:space="0"/>
              <w:bottom w:val="single" w:color="auto" w:sz="4" w:space="0"/>
              <w:right w:val="single" w:color="auto" w:sz="4" w:space="0"/>
            </w:tcBorders>
            <w:vAlign w:val="center"/>
          </w:tcPr>
          <w:p w14:paraId="0294F478">
            <w:pPr>
              <w:pStyle w:val="731"/>
              <w:tabs>
                <w:tab w:val="left" w:pos="1337"/>
              </w:tabs>
              <w:spacing w:line="360" w:lineRule="auto"/>
              <w:ind w:left="-42" w:right="-42"/>
              <w:jc w:val="center"/>
              <w:rPr>
                <w:rFonts w:hint="eastAsia" w:ascii="仿宋" w:hAnsi="仿宋" w:eastAsia="仿宋" w:cs="仿宋"/>
                <w:color w:val="auto"/>
                <w:sz w:val="24"/>
                <w:highlight w:val="none"/>
              </w:rPr>
            </w:pPr>
          </w:p>
        </w:tc>
        <w:tc>
          <w:tcPr>
            <w:tcW w:w="2077" w:type="dxa"/>
            <w:tcBorders>
              <w:top w:val="single" w:color="auto" w:sz="4" w:space="0"/>
              <w:left w:val="single" w:color="auto" w:sz="4" w:space="0"/>
              <w:bottom w:val="single" w:color="auto" w:sz="4" w:space="0"/>
              <w:right w:val="single" w:color="auto" w:sz="12" w:space="0"/>
            </w:tcBorders>
            <w:vAlign w:val="center"/>
          </w:tcPr>
          <w:p w14:paraId="7006FAAA">
            <w:pPr>
              <w:pStyle w:val="731"/>
              <w:spacing w:line="360" w:lineRule="auto"/>
              <w:jc w:val="center"/>
              <w:rPr>
                <w:rFonts w:hint="eastAsia" w:ascii="仿宋" w:hAnsi="仿宋" w:eastAsia="仿宋" w:cs="仿宋"/>
                <w:color w:val="auto"/>
                <w:sz w:val="24"/>
                <w:highlight w:val="none"/>
                <w:lang w:eastAsia="zh-CN"/>
              </w:rPr>
            </w:pPr>
          </w:p>
        </w:tc>
      </w:tr>
      <w:tr w14:paraId="23A97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jc w:val="center"/>
        </w:trPr>
        <w:tc>
          <w:tcPr>
            <w:tcW w:w="965" w:type="dxa"/>
            <w:tcBorders>
              <w:top w:val="single" w:color="auto" w:sz="4" w:space="0"/>
              <w:left w:val="single" w:color="auto" w:sz="12" w:space="0"/>
              <w:bottom w:val="single" w:color="auto" w:sz="4" w:space="0"/>
              <w:right w:val="single" w:color="auto" w:sz="4" w:space="0"/>
            </w:tcBorders>
            <w:vAlign w:val="center"/>
          </w:tcPr>
          <w:p w14:paraId="2029EF7C">
            <w:pPr>
              <w:pStyle w:val="731"/>
              <w:tabs>
                <w:tab w:val="left" w:pos="1337"/>
              </w:tabs>
              <w:spacing w:line="360" w:lineRule="auto"/>
              <w:ind w:left="-42" w:right="-42"/>
              <w:jc w:val="center"/>
              <w:rPr>
                <w:rFonts w:hint="eastAsia" w:ascii="仿宋" w:hAnsi="仿宋" w:eastAsia="仿宋" w:cs="仿宋"/>
                <w:color w:val="auto"/>
                <w:sz w:val="24"/>
                <w:highlight w:val="none"/>
              </w:rPr>
            </w:pPr>
          </w:p>
        </w:tc>
        <w:tc>
          <w:tcPr>
            <w:tcW w:w="2216" w:type="dxa"/>
            <w:tcBorders>
              <w:top w:val="single" w:color="auto" w:sz="4" w:space="0"/>
              <w:left w:val="single" w:color="auto" w:sz="4" w:space="0"/>
              <w:bottom w:val="single" w:color="auto" w:sz="4" w:space="0"/>
              <w:right w:val="single" w:color="auto" w:sz="4" w:space="0"/>
            </w:tcBorders>
            <w:vAlign w:val="center"/>
          </w:tcPr>
          <w:p w14:paraId="40714640">
            <w:pPr>
              <w:pStyle w:val="731"/>
              <w:tabs>
                <w:tab w:val="left" w:pos="1337"/>
              </w:tabs>
              <w:spacing w:line="360" w:lineRule="auto"/>
              <w:jc w:val="center"/>
              <w:rPr>
                <w:rFonts w:hint="eastAsia" w:ascii="仿宋" w:hAnsi="仿宋" w:eastAsia="仿宋" w:cs="仿宋"/>
                <w:color w:val="auto"/>
                <w:sz w:val="24"/>
                <w:highlight w:val="none"/>
              </w:rPr>
            </w:pPr>
          </w:p>
        </w:tc>
        <w:tc>
          <w:tcPr>
            <w:tcW w:w="2352" w:type="dxa"/>
            <w:tcBorders>
              <w:top w:val="single" w:color="auto" w:sz="4" w:space="0"/>
              <w:left w:val="single" w:color="auto" w:sz="4" w:space="0"/>
              <w:bottom w:val="single" w:color="auto" w:sz="4" w:space="0"/>
              <w:right w:val="single" w:color="auto" w:sz="4" w:space="0"/>
            </w:tcBorders>
            <w:vAlign w:val="center"/>
          </w:tcPr>
          <w:p w14:paraId="1B3AD4A5">
            <w:pPr>
              <w:pStyle w:val="731"/>
              <w:tabs>
                <w:tab w:val="left" w:pos="1337"/>
              </w:tabs>
              <w:spacing w:line="360" w:lineRule="auto"/>
              <w:ind w:left="-42" w:right="-42"/>
              <w:jc w:val="center"/>
              <w:rPr>
                <w:rFonts w:hint="eastAsia" w:ascii="仿宋" w:hAnsi="仿宋" w:eastAsia="仿宋" w:cs="仿宋"/>
                <w:color w:val="auto"/>
                <w:sz w:val="24"/>
                <w:highlight w:val="none"/>
              </w:rPr>
            </w:pPr>
          </w:p>
        </w:tc>
        <w:tc>
          <w:tcPr>
            <w:tcW w:w="2028" w:type="dxa"/>
            <w:tcBorders>
              <w:top w:val="single" w:color="auto" w:sz="4" w:space="0"/>
              <w:left w:val="single" w:color="auto" w:sz="4" w:space="0"/>
              <w:bottom w:val="single" w:color="auto" w:sz="4" w:space="0"/>
              <w:right w:val="single" w:color="auto" w:sz="4" w:space="0"/>
            </w:tcBorders>
            <w:vAlign w:val="center"/>
          </w:tcPr>
          <w:p w14:paraId="3D7082EF">
            <w:pPr>
              <w:pStyle w:val="731"/>
              <w:tabs>
                <w:tab w:val="left" w:pos="1337"/>
              </w:tabs>
              <w:spacing w:line="360" w:lineRule="auto"/>
              <w:ind w:left="-42" w:right="-42"/>
              <w:jc w:val="center"/>
              <w:rPr>
                <w:rFonts w:hint="eastAsia" w:ascii="仿宋" w:hAnsi="仿宋" w:eastAsia="仿宋" w:cs="仿宋"/>
                <w:color w:val="auto"/>
                <w:sz w:val="24"/>
                <w:highlight w:val="none"/>
              </w:rPr>
            </w:pPr>
          </w:p>
        </w:tc>
        <w:tc>
          <w:tcPr>
            <w:tcW w:w="2077" w:type="dxa"/>
            <w:tcBorders>
              <w:top w:val="single" w:color="auto" w:sz="4" w:space="0"/>
              <w:left w:val="single" w:color="auto" w:sz="4" w:space="0"/>
              <w:bottom w:val="single" w:color="auto" w:sz="4" w:space="0"/>
              <w:right w:val="single" w:color="auto" w:sz="12" w:space="0"/>
            </w:tcBorders>
            <w:vAlign w:val="center"/>
          </w:tcPr>
          <w:p w14:paraId="497D7372">
            <w:pPr>
              <w:pStyle w:val="731"/>
              <w:spacing w:line="360" w:lineRule="auto"/>
              <w:jc w:val="center"/>
              <w:rPr>
                <w:rFonts w:hint="eastAsia" w:ascii="仿宋" w:hAnsi="仿宋" w:eastAsia="仿宋" w:cs="仿宋"/>
                <w:color w:val="auto"/>
                <w:sz w:val="24"/>
                <w:highlight w:val="none"/>
                <w:lang w:eastAsia="zh-CN"/>
              </w:rPr>
            </w:pPr>
          </w:p>
        </w:tc>
      </w:tr>
      <w:tr w14:paraId="5A95F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jc w:val="center"/>
        </w:trPr>
        <w:tc>
          <w:tcPr>
            <w:tcW w:w="965" w:type="dxa"/>
            <w:tcBorders>
              <w:top w:val="single" w:color="auto" w:sz="4" w:space="0"/>
              <w:left w:val="single" w:color="auto" w:sz="12" w:space="0"/>
              <w:bottom w:val="single" w:color="auto" w:sz="4" w:space="0"/>
              <w:right w:val="single" w:color="auto" w:sz="4" w:space="0"/>
            </w:tcBorders>
            <w:vAlign w:val="center"/>
          </w:tcPr>
          <w:p w14:paraId="4BCC3A67">
            <w:pPr>
              <w:pStyle w:val="731"/>
              <w:tabs>
                <w:tab w:val="left" w:pos="1337"/>
              </w:tabs>
              <w:spacing w:line="360" w:lineRule="auto"/>
              <w:ind w:left="-42" w:right="-42"/>
              <w:jc w:val="center"/>
              <w:rPr>
                <w:rFonts w:hint="eastAsia" w:ascii="仿宋" w:hAnsi="仿宋" w:eastAsia="仿宋" w:cs="仿宋"/>
                <w:color w:val="auto"/>
                <w:sz w:val="24"/>
                <w:highlight w:val="none"/>
              </w:rPr>
            </w:pPr>
          </w:p>
        </w:tc>
        <w:tc>
          <w:tcPr>
            <w:tcW w:w="2216" w:type="dxa"/>
            <w:tcBorders>
              <w:top w:val="single" w:color="auto" w:sz="4" w:space="0"/>
              <w:left w:val="single" w:color="auto" w:sz="4" w:space="0"/>
              <w:bottom w:val="single" w:color="auto" w:sz="4" w:space="0"/>
              <w:right w:val="single" w:color="auto" w:sz="4" w:space="0"/>
            </w:tcBorders>
            <w:vAlign w:val="center"/>
          </w:tcPr>
          <w:p w14:paraId="6D46A8C7">
            <w:pPr>
              <w:pStyle w:val="731"/>
              <w:tabs>
                <w:tab w:val="left" w:pos="1337"/>
              </w:tabs>
              <w:spacing w:line="360" w:lineRule="auto"/>
              <w:jc w:val="center"/>
              <w:rPr>
                <w:rFonts w:hint="eastAsia" w:ascii="仿宋" w:hAnsi="仿宋" w:eastAsia="仿宋" w:cs="仿宋"/>
                <w:color w:val="auto"/>
                <w:sz w:val="24"/>
                <w:highlight w:val="none"/>
              </w:rPr>
            </w:pPr>
          </w:p>
        </w:tc>
        <w:tc>
          <w:tcPr>
            <w:tcW w:w="2352" w:type="dxa"/>
            <w:tcBorders>
              <w:top w:val="single" w:color="auto" w:sz="4" w:space="0"/>
              <w:left w:val="single" w:color="auto" w:sz="4" w:space="0"/>
              <w:bottom w:val="single" w:color="auto" w:sz="4" w:space="0"/>
              <w:right w:val="single" w:color="auto" w:sz="4" w:space="0"/>
            </w:tcBorders>
            <w:vAlign w:val="center"/>
          </w:tcPr>
          <w:p w14:paraId="0811404D">
            <w:pPr>
              <w:pStyle w:val="731"/>
              <w:tabs>
                <w:tab w:val="left" w:pos="1337"/>
              </w:tabs>
              <w:spacing w:line="360" w:lineRule="auto"/>
              <w:ind w:left="-42" w:right="-42"/>
              <w:jc w:val="center"/>
              <w:rPr>
                <w:rFonts w:hint="eastAsia" w:ascii="仿宋" w:hAnsi="仿宋" w:eastAsia="仿宋" w:cs="仿宋"/>
                <w:color w:val="auto"/>
                <w:sz w:val="24"/>
                <w:highlight w:val="none"/>
              </w:rPr>
            </w:pPr>
          </w:p>
        </w:tc>
        <w:tc>
          <w:tcPr>
            <w:tcW w:w="2028" w:type="dxa"/>
            <w:tcBorders>
              <w:top w:val="single" w:color="auto" w:sz="4" w:space="0"/>
              <w:left w:val="single" w:color="auto" w:sz="4" w:space="0"/>
              <w:bottom w:val="single" w:color="auto" w:sz="4" w:space="0"/>
              <w:right w:val="single" w:color="auto" w:sz="4" w:space="0"/>
            </w:tcBorders>
            <w:vAlign w:val="center"/>
          </w:tcPr>
          <w:p w14:paraId="0FFA8785">
            <w:pPr>
              <w:pStyle w:val="731"/>
              <w:tabs>
                <w:tab w:val="left" w:pos="1337"/>
              </w:tabs>
              <w:spacing w:line="360" w:lineRule="auto"/>
              <w:ind w:left="-42" w:right="-42"/>
              <w:jc w:val="center"/>
              <w:rPr>
                <w:rFonts w:hint="eastAsia" w:ascii="仿宋" w:hAnsi="仿宋" w:eastAsia="仿宋" w:cs="仿宋"/>
                <w:color w:val="auto"/>
                <w:sz w:val="24"/>
                <w:highlight w:val="none"/>
              </w:rPr>
            </w:pPr>
          </w:p>
        </w:tc>
        <w:tc>
          <w:tcPr>
            <w:tcW w:w="2077" w:type="dxa"/>
            <w:tcBorders>
              <w:top w:val="single" w:color="auto" w:sz="4" w:space="0"/>
              <w:left w:val="single" w:color="auto" w:sz="4" w:space="0"/>
              <w:bottom w:val="single" w:color="auto" w:sz="4" w:space="0"/>
              <w:right w:val="single" w:color="auto" w:sz="12" w:space="0"/>
            </w:tcBorders>
            <w:vAlign w:val="center"/>
          </w:tcPr>
          <w:p w14:paraId="5E704673">
            <w:pPr>
              <w:pStyle w:val="731"/>
              <w:spacing w:line="360" w:lineRule="auto"/>
              <w:jc w:val="center"/>
              <w:rPr>
                <w:rFonts w:hint="eastAsia" w:ascii="仿宋" w:hAnsi="仿宋" w:eastAsia="仿宋" w:cs="仿宋"/>
                <w:color w:val="auto"/>
                <w:sz w:val="24"/>
                <w:highlight w:val="none"/>
                <w:lang w:eastAsia="zh-CN"/>
              </w:rPr>
            </w:pPr>
          </w:p>
        </w:tc>
      </w:tr>
    </w:tbl>
    <w:p w14:paraId="22DAD543">
      <w:pPr>
        <w:rPr>
          <w:rFonts w:hint="eastAsia" w:ascii="仿宋" w:hAnsi="仿宋" w:eastAsia="仿宋" w:cs="仿宋"/>
          <w:b/>
          <w:bCs/>
          <w:color w:val="auto"/>
          <w:sz w:val="28"/>
          <w:szCs w:val="28"/>
          <w:highlight w:val="none"/>
        </w:rPr>
      </w:pPr>
      <w:r>
        <w:rPr>
          <w:rFonts w:hint="eastAsia" w:ascii="仿宋" w:hAnsi="仿宋" w:eastAsia="仿宋" w:cs="仿宋"/>
          <w:b/>
          <w:bCs/>
          <w:color w:val="auto"/>
          <w:kern w:val="0"/>
          <w:sz w:val="24"/>
          <w:highlight w:val="none"/>
        </w:rPr>
        <w:br w:type="page"/>
      </w:r>
    </w:p>
    <w:p w14:paraId="71EA1F70">
      <w:pPr>
        <w:tabs>
          <w:tab w:val="center" w:pos="7115"/>
          <w:tab w:val="right" w:pos="14230"/>
        </w:tabs>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eastAsia="zh-CN"/>
        </w:rPr>
        <w:t>附件十五</w:t>
      </w:r>
      <w:r>
        <w:rPr>
          <w:rFonts w:hint="eastAsia" w:ascii="仿宋" w:hAnsi="仿宋" w:eastAsia="仿宋" w:cs="仿宋"/>
          <w:b/>
          <w:bCs/>
          <w:color w:val="auto"/>
          <w:sz w:val="24"/>
          <w:highlight w:val="none"/>
          <w:lang w:val="en-US" w:eastAsia="zh-CN"/>
        </w:rPr>
        <w:t xml:space="preserve">  供应商认为有必要提供的其他技术资料</w:t>
      </w:r>
    </w:p>
    <w:p w14:paraId="0518EFCB">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br w:type="page"/>
      </w:r>
    </w:p>
    <w:p w14:paraId="07668C1D">
      <w:pPr>
        <w:tabs>
          <w:tab w:val="center" w:pos="7115"/>
          <w:tab w:val="right" w:pos="14230"/>
        </w:tabs>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rPr>
        <w:t>附件十</w:t>
      </w:r>
      <w:r>
        <w:rPr>
          <w:rFonts w:hint="eastAsia" w:ascii="仿宋" w:hAnsi="仿宋" w:eastAsia="仿宋" w:cs="仿宋"/>
          <w:b/>
          <w:bCs/>
          <w:color w:val="auto"/>
          <w:sz w:val="24"/>
          <w:highlight w:val="none"/>
          <w:lang w:eastAsia="zh-CN"/>
        </w:rPr>
        <w:t>六</w:t>
      </w:r>
    </w:p>
    <w:p w14:paraId="6BD718AA">
      <w:pPr>
        <w:shd w:val="clear" w:color="auto" w:fill="FFFFFF"/>
        <w:spacing w:line="440" w:lineRule="exact"/>
        <w:jc w:val="center"/>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开标一览表</w:t>
      </w:r>
    </w:p>
    <w:p w14:paraId="6F71E5B2">
      <w:pPr>
        <w:tabs>
          <w:tab w:val="center" w:pos="7115"/>
          <w:tab w:val="right" w:pos="14230"/>
        </w:tabs>
        <w:ind w:firstLine="723"/>
        <w:jc w:val="center"/>
        <w:rPr>
          <w:rFonts w:hint="eastAsia" w:ascii="仿宋" w:hAnsi="仿宋" w:eastAsia="仿宋" w:cs="仿宋"/>
          <w:color w:val="auto"/>
          <w:sz w:val="24"/>
          <w:highlight w:val="none"/>
        </w:rPr>
      </w:pPr>
    </w:p>
    <w:p w14:paraId="6671F5CC">
      <w:pPr>
        <w:tabs>
          <w:tab w:val="center" w:pos="7115"/>
          <w:tab w:val="right" w:pos="14230"/>
        </w:tabs>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                                                       单位：元</w:t>
      </w:r>
    </w:p>
    <w:tbl>
      <w:tblPr>
        <w:tblStyle w:val="59"/>
        <w:tblW w:w="50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788"/>
        <w:gridCol w:w="6991"/>
      </w:tblGrid>
      <w:tr w14:paraId="699D3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52" w:hRule="exact"/>
          <w:jc w:val="center"/>
        </w:trPr>
        <w:tc>
          <w:tcPr>
            <w:tcW w:w="1425" w:type="pct"/>
            <w:tcBorders>
              <w:bottom w:val="single" w:color="auto" w:sz="4" w:space="0"/>
            </w:tcBorders>
            <w:vAlign w:val="center"/>
          </w:tcPr>
          <w:p w14:paraId="16117300">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项目名称</w:t>
            </w:r>
          </w:p>
        </w:tc>
        <w:tc>
          <w:tcPr>
            <w:tcW w:w="3574" w:type="pct"/>
            <w:tcBorders>
              <w:bottom w:val="single" w:color="auto" w:sz="4" w:space="0"/>
            </w:tcBorders>
            <w:vAlign w:val="center"/>
          </w:tcPr>
          <w:p w14:paraId="60B791D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库尔勒市妇幼保健计划生育服务中心（库尔勒市妇幼保健院）</w:t>
            </w:r>
          </w:p>
          <w:p w14:paraId="109050C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智慧超声系统服务采购</w:t>
            </w:r>
          </w:p>
        </w:tc>
      </w:tr>
      <w:tr w14:paraId="12209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52" w:hRule="exact"/>
          <w:jc w:val="center"/>
        </w:trPr>
        <w:tc>
          <w:tcPr>
            <w:tcW w:w="1425" w:type="pct"/>
            <w:tcBorders>
              <w:bottom w:val="single" w:color="auto" w:sz="4" w:space="0"/>
            </w:tcBorders>
            <w:vAlign w:val="center"/>
          </w:tcPr>
          <w:p w14:paraId="7735B98A">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项目编号</w:t>
            </w:r>
          </w:p>
        </w:tc>
        <w:tc>
          <w:tcPr>
            <w:tcW w:w="3574" w:type="pct"/>
            <w:tcBorders>
              <w:bottom w:val="single" w:color="auto" w:sz="4" w:space="0"/>
            </w:tcBorders>
            <w:vAlign w:val="center"/>
          </w:tcPr>
          <w:p w14:paraId="223E377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2025PCGK100</w:t>
            </w:r>
          </w:p>
        </w:tc>
      </w:tr>
      <w:tr w14:paraId="72EC9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52" w:hRule="exact"/>
          <w:jc w:val="center"/>
        </w:trPr>
        <w:tc>
          <w:tcPr>
            <w:tcW w:w="1425" w:type="pct"/>
            <w:tcBorders>
              <w:bottom w:val="single" w:color="auto" w:sz="4" w:space="0"/>
            </w:tcBorders>
            <w:vAlign w:val="center"/>
          </w:tcPr>
          <w:p w14:paraId="12918173">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投标总报价</w:t>
            </w:r>
          </w:p>
        </w:tc>
        <w:tc>
          <w:tcPr>
            <w:tcW w:w="3574" w:type="pct"/>
            <w:tcBorders>
              <w:bottom w:val="single" w:color="auto" w:sz="4" w:space="0"/>
            </w:tcBorders>
            <w:vAlign w:val="center"/>
          </w:tcPr>
          <w:p w14:paraId="4F3A7417">
            <w:pPr>
              <w:jc w:val="center"/>
              <w:rPr>
                <w:rFonts w:hint="eastAsia" w:ascii="仿宋" w:hAnsi="仿宋" w:eastAsia="仿宋" w:cs="仿宋"/>
                <w:color w:val="auto"/>
                <w:sz w:val="24"/>
                <w:highlight w:val="none"/>
              </w:rPr>
            </w:pPr>
          </w:p>
        </w:tc>
      </w:tr>
      <w:tr w14:paraId="0C9BF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52" w:hRule="exact"/>
          <w:jc w:val="center"/>
        </w:trPr>
        <w:tc>
          <w:tcPr>
            <w:tcW w:w="1425" w:type="pct"/>
            <w:tcBorders>
              <w:bottom w:val="single" w:color="auto" w:sz="4" w:space="0"/>
            </w:tcBorders>
            <w:vAlign w:val="center"/>
          </w:tcPr>
          <w:p w14:paraId="4E78564F">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备注</w:t>
            </w:r>
          </w:p>
        </w:tc>
        <w:tc>
          <w:tcPr>
            <w:tcW w:w="3574" w:type="pct"/>
            <w:tcBorders>
              <w:bottom w:val="single" w:color="auto" w:sz="4" w:space="0"/>
            </w:tcBorders>
            <w:vAlign w:val="center"/>
          </w:tcPr>
          <w:p w14:paraId="7DE93ACE">
            <w:pPr>
              <w:jc w:val="center"/>
              <w:rPr>
                <w:rFonts w:hint="eastAsia" w:ascii="仿宋" w:hAnsi="仿宋" w:eastAsia="仿宋" w:cs="仿宋"/>
                <w:color w:val="auto"/>
                <w:sz w:val="24"/>
                <w:highlight w:val="none"/>
              </w:rPr>
            </w:pPr>
          </w:p>
        </w:tc>
      </w:tr>
    </w:tbl>
    <w:p w14:paraId="40430B09">
      <w:pPr>
        <w:rPr>
          <w:rFonts w:hint="eastAsia" w:ascii="仿宋" w:hAnsi="仿宋" w:eastAsia="仿宋" w:cs="仿宋"/>
          <w:color w:val="auto"/>
          <w:sz w:val="24"/>
          <w:highlight w:val="none"/>
        </w:rPr>
      </w:pPr>
    </w:p>
    <w:p w14:paraId="6A978E65">
      <w:pPr>
        <w:widowControl/>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供应商（公章）：</w:t>
      </w:r>
    </w:p>
    <w:p w14:paraId="5329E7D8">
      <w:pPr>
        <w:shd w:val="clear" w:color="auto" w:fill="FFFFFF"/>
        <w:tabs>
          <w:tab w:val="left" w:pos="3780"/>
        </w:tabs>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法定代表人（签字或签章）：</w:t>
      </w:r>
    </w:p>
    <w:p w14:paraId="4E18FD43">
      <w:pPr>
        <w:shd w:val="clear" w:color="auto" w:fill="FFFFFF"/>
        <w:tabs>
          <w:tab w:val="left" w:pos="3780"/>
        </w:tabs>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授权代理人（签字或签章）：</w:t>
      </w:r>
    </w:p>
    <w:p w14:paraId="676B5B04">
      <w:pPr>
        <w:widowControl/>
        <w:spacing w:line="400" w:lineRule="exact"/>
        <w:jc w:val="lef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日期： 年  月  日</w:t>
      </w:r>
    </w:p>
    <w:p w14:paraId="6D28E5BE">
      <w:pPr>
        <w:widowControl/>
        <w:jc w:val="left"/>
        <w:rPr>
          <w:rFonts w:hint="eastAsia" w:ascii="仿宋" w:hAnsi="仿宋" w:eastAsia="仿宋" w:cs="仿宋"/>
          <w:b/>
          <w:bCs/>
          <w:color w:val="auto"/>
          <w:sz w:val="24"/>
          <w:highlight w:val="none"/>
        </w:rPr>
      </w:pPr>
    </w:p>
    <w:p w14:paraId="00715499">
      <w:pPr>
        <w:widowControl/>
        <w:ind w:firstLine="482" w:firstLineChars="200"/>
        <w:jc w:val="left"/>
        <w:rPr>
          <w:rFonts w:hint="eastAsia" w:ascii="仿宋" w:hAnsi="仿宋" w:eastAsia="仿宋" w:cs="仿宋"/>
          <w:b/>
          <w:bCs/>
          <w:color w:val="auto"/>
          <w:sz w:val="18"/>
          <w:szCs w:val="18"/>
          <w:highlight w:val="none"/>
        </w:rPr>
      </w:pPr>
      <w:r>
        <w:rPr>
          <w:rFonts w:hint="eastAsia" w:ascii="仿宋" w:hAnsi="仿宋" w:eastAsia="仿宋" w:cs="仿宋"/>
          <w:b/>
          <w:bCs/>
          <w:color w:val="auto"/>
          <w:sz w:val="24"/>
          <w:highlight w:val="none"/>
        </w:rPr>
        <w:br w:type="page"/>
      </w:r>
    </w:p>
    <w:p w14:paraId="5F51E422">
      <w:pPr>
        <w:widowControl/>
        <w:jc w:val="left"/>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sz w:val="24"/>
          <w:highlight w:val="none"/>
        </w:rPr>
        <w:t>附件十</w:t>
      </w:r>
      <w:r>
        <w:rPr>
          <w:rFonts w:hint="eastAsia" w:ascii="仿宋" w:hAnsi="仿宋" w:eastAsia="仿宋" w:cs="仿宋"/>
          <w:b/>
          <w:bCs/>
          <w:color w:val="auto"/>
          <w:sz w:val="24"/>
          <w:highlight w:val="none"/>
          <w:lang w:eastAsia="zh-CN"/>
        </w:rPr>
        <w:t>七</w:t>
      </w:r>
      <w:r>
        <w:rPr>
          <w:rFonts w:hint="eastAsia" w:ascii="仿宋" w:hAnsi="仿宋" w:eastAsia="仿宋" w:cs="仿宋"/>
          <w:b/>
          <w:bCs/>
          <w:color w:val="auto"/>
          <w:sz w:val="24"/>
          <w:highlight w:val="none"/>
        </w:rPr>
        <w:t xml:space="preserve">  </w:t>
      </w:r>
      <w:r>
        <w:rPr>
          <w:rFonts w:hint="eastAsia" w:ascii="仿宋" w:hAnsi="仿宋" w:eastAsia="仿宋" w:cs="仿宋"/>
          <w:b/>
          <w:bCs/>
          <w:color w:val="auto"/>
          <w:kern w:val="0"/>
          <w:sz w:val="24"/>
          <w:highlight w:val="none"/>
        </w:rPr>
        <w:t xml:space="preserve">分项报价明细表 </w:t>
      </w:r>
    </w:p>
    <w:p w14:paraId="008EBC1B">
      <w:pPr>
        <w:shd w:val="clear" w:color="auto" w:fill="FFFFFF"/>
        <w:spacing w:line="440" w:lineRule="exact"/>
        <w:rPr>
          <w:rFonts w:hint="eastAsia" w:ascii="仿宋" w:hAnsi="仿宋" w:eastAsia="仿宋" w:cs="仿宋"/>
          <w:b/>
          <w:color w:val="auto"/>
          <w:sz w:val="24"/>
          <w:highlight w:val="none"/>
        </w:rPr>
      </w:pPr>
    </w:p>
    <w:tbl>
      <w:tblPr>
        <w:tblStyle w:val="59"/>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2821"/>
        <w:gridCol w:w="1319"/>
        <w:gridCol w:w="1719"/>
        <w:gridCol w:w="955"/>
        <w:gridCol w:w="955"/>
        <w:gridCol w:w="1146"/>
      </w:tblGrid>
      <w:tr w14:paraId="16428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3" w:type="dxa"/>
            <w:tcBorders>
              <w:top w:val="single" w:color="auto" w:sz="12" w:space="0"/>
              <w:left w:val="single" w:color="auto" w:sz="12" w:space="0"/>
              <w:bottom w:val="single" w:color="auto" w:sz="4" w:space="0"/>
              <w:right w:val="single" w:color="auto" w:sz="4" w:space="0"/>
            </w:tcBorders>
            <w:vAlign w:val="center"/>
          </w:tcPr>
          <w:p w14:paraId="2DCCA3D1">
            <w:pPr>
              <w:pStyle w:val="731"/>
              <w:tabs>
                <w:tab w:val="left" w:pos="1337"/>
              </w:tabs>
              <w:spacing w:line="360" w:lineRule="auto"/>
              <w:ind w:left="-42" w:right="-4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w:t>
            </w:r>
          </w:p>
        </w:tc>
        <w:tc>
          <w:tcPr>
            <w:tcW w:w="2821" w:type="dxa"/>
            <w:tcBorders>
              <w:top w:val="single" w:color="auto" w:sz="12" w:space="0"/>
              <w:left w:val="single" w:color="auto" w:sz="4" w:space="0"/>
              <w:bottom w:val="single" w:color="auto" w:sz="4" w:space="0"/>
              <w:right w:val="single" w:color="auto" w:sz="4" w:space="0"/>
            </w:tcBorders>
            <w:vAlign w:val="center"/>
          </w:tcPr>
          <w:p w14:paraId="2EC27499">
            <w:pPr>
              <w:pStyle w:val="731"/>
              <w:tabs>
                <w:tab w:val="left" w:pos="1337"/>
              </w:tabs>
              <w:spacing w:line="360" w:lineRule="auto"/>
              <w:ind w:left="-42" w:right="-4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19" w:type="dxa"/>
            <w:tcBorders>
              <w:top w:val="single" w:color="auto" w:sz="12" w:space="0"/>
              <w:left w:val="single" w:color="auto" w:sz="4" w:space="0"/>
              <w:bottom w:val="single" w:color="auto" w:sz="4" w:space="0"/>
              <w:right w:val="single" w:color="auto" w:sz="4" w:space="0"/>
            </w:tcBorders>
            <w:vAlign w:val="center"/>
          </w:tcPr>
          <w:p w14:paraId="784A93D2">
            <w:pPr>
              <w:pStyle w:val="731"/>
              <w:tabs>
                <w:tab w:val="left" w:pos="1337"/>
              </w:tabs>
              <w:spacing w:line="360" w:lineRule="auto"/>
              <w:ind w:right="-4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719" w:type="dxa"/>
            <w:tcBorders>
              <w:top w:val="single" w:color="auto" w:sz="12" w:space="0"/>
              <w:left w:val="single" w:color="auto" w:sz="4" w:space="0"/>
              <w:bottom w:val="single" w:color="auto" w:sz="4" w:space="0"/>
              <w:right w:val="single" w:color="auto" w:sz="4" w:space="0"/>
            </w:tcBorders>
            <w:vAlign w:val="center"/>
          </w:tcPr>
          <w:p w14:paraId="0D475099">
            <w:pPr>
              <w:pStyle w:val="731"/>
              <w:tabs>
                <w:tab w:val="left" w:pos="1337"/>
              </w:tabs>
              <w:spacing w:line="360" w:lineRule="auto"/>
              <w:ind w:right="-4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3056" w:type="dxa"/>
            <w:gridSpan w:val="3"/>
            <w:tcBorders>
              <w:top w:val="single" w:color="auto" w:sz="12" w:space="0"/>
              <w:left w:val="single" w:color="auto" w:sz="4" w:space="0"/>
              <w:bottom w:val="single" w:color="auto" w:sz="4" w:space="0"/>
              <w:right w:val="single" w:color="auto" w:sz="12" w:space="0"/>
            </w:tcBorders>
            <w:vAlign w:val="center"/>
          </w:tcPr>
          <w:p w14:paraId="5C69D732">
            <w:pPr>
              <w:pStyle w:val="731"/>
              <w:tabs>
                <w:tab w:val="left" w:pos="1337"/>
              </w:tabs>
              <w:spacing w:line="360" w:lineRule="auto"/>
              <w:ind w:left="-42" w:right="-4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r>
      <w:tr w14:paraId="5EFAC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3" w:type="dxa"/>
            <w:vMerge w:val="restart"/>
            <w:tcBorders>
              <w:top w:val="single" w:color="auto" w:sz="4" w:space="0"/>
              <w:left w:val="single" w:color="auto" w:sz="12" w:space="0"/>
              <w:bottom w:val="single" w:color="auto" w:sz="4" w:space="0"/>
              <w:right w:val="single" w:color="auto" w:sz="4" w:space="0"/>
            </w:tcBorders>
            <w:vAlign w:val="center"/>
          </w:tcPr>
          <w:p w14:paraId="31015FA2">
            <w:pPr>
              <w:pStyle w:val="731"/>
              <w:tabs>
                <w:tab w:val="left" w:pos="1337"/>
              </w:tabs>
              <w:spacing w:line="360" w:lineRule="auto"/>
              <w:ind w:left="-42" w:right="-4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w:t>
            </w:r>
          </w:p>
          <w:p w14:paraId="52254948">
            <w:pPr>
              <w:pStyle w:val="731"/>
              <w:tabs>
                <w:tab w:val="left" w:pos="1337"/>
              </w:tabs>
              <w:spacing w:line="360" w:lineRule="auto"/>
              <w:ind w:left="-42" w:right="-4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号</w:t>
            </w:r>
          </w:p>
        </w:tc>
        <w:tc>
          <w:tcPr>
            <w:tcW w:w="2821" w:type="dxa"/>
            <w:vMerge w:val="restart"/>
            <w:tcBorders>
              <w:top w:val="single" w:color="auto" w:sz="4" w:space="0"/>
              <w:left w:val="single" w:color="auto" w:sz="4" w:space="0"/>
              <w:bottom w:val="single" w:color="auto" w:sz="4" w:space="0"/>
              <w:right w:val="single" w:color="auto" w:sz="4" w:space="0"/>
            </w:tcBorders>
            <w:vAlign w:val="center"/>
          </w:tcPr>
          <w:p w14:paraId="6DC176A5">
            <w:pPr>
              <w:pStyle w:val="731"/>
              <w:tabs>
                <w:tab w:val="left" w:pos="1337"/>
              </w:tabs>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产品名称</w:t>
            </w:r>
            <w:r>
              <w:rPr>
                <w:rFonts w:hint="eastAsia" w:ascii="仿宋" w:hAnsi="仿宋" w:eastAsia="仿宋" w:cs="仿宋"/>
                <w:color w:val="auto"/>
                <w:sz w:val="24"/>
                <w:highlight w:val="none"/>
                <w:lang w:eastAsia="zh-CN"/>
              </w:rPr>
              <w:t>（服务内容）</w:t>
            </w:r>
          </w:p>
        </w:tc>
        <w:tc>
          <w:tcPr>
            <w:tcW w:w="1319" w:type="dxa"/>
            <w:vMerge w:val="restart"/>
            <w:tcBorders>
              <w:top w:val="single" w:color="auto" w:sz="4" w:space="0"/>
              <w:left w:val="single" w:color="auto" w:sz="4" w:space="0"/>
              <w:bottom w:val="single" w:color="auto" w:sz="4" w:space="0"/>
              <w:right w:val="single" w:color="auto" w:sz="4" w:space="0"/>
            </w:tcBorders>
            <w:vAlign w:val="center"/>
          </w:tcPr>
          <w:p w14:paraId="04568A29">
            <w:pPr>
              <w:pStyle w:val="731"/>
              <w:tabs>
                <w:tab w:val="left" w:pos="1337"/>
              </w:tabs>
              <w:spacing w:line="360" w:lineRule="auto"/>
              <w:ind w:left="-42" w:right="-4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规格型号</w:t>
            </w:r>
          </w:p>
        </w:tc>
        <w:tc>
          <w:tcPr>
            <w:tcW w:w="1719" w:type="dxa"/>
            <w:vMerge w:val="restart"/>
            <w:tcBorders>
              <w:top w:val="single" w:color="auto" w:sz="4" w:space="0"/>
              <w:left w:val="single" w:color="auto" w:sz="4" w:space="0"/>
              <w:bottom w:val="single" w:color="auto" w:sz="4" w:space="0"/>
              <w:right w:val="single" w:color="auto" w:sz="4" w:space="0"/>
            </w:tcBorders>
            <w:vAlign w:val="center"/>
          </w:tcPr>
          <w:p w14:paraId="04FD88F5">
            <w:pPr>
              <w:pStyle w:val="731"/>
              <w:tabs>
                <w:tab w:val="left" w:pos="1337"/>
              </w:tabs>
              <w:spacing w:line="360" w:lineRule="auto"/>
              <w:ind w:left="-42" w:right="-42"/>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品牌和生产厂商名称</w:t>
            </w:r>
            <w:r>
              <w:rPr>
                <w:rFonts w:hint="eastAsia" w:ascii="仿宋" w:hAnsi="仿宋" w:eastAsia="仿宋" w:cs="仿宋"/>
                <w:color w:val="auto"/>
                <w:sz w:val="24"/>
                <w:highlight w:val="none"/>
                <w:lang w:eastAsia="zh-CN"/>
              </w:rPr>
              <w:t>（或软件开发商名称）</w:t>
            </w:r>
          </w:p>
        </w:tc>
        <w:tc>
          <w:tcPr>
            <w:tcW w:w="3056" w:type="dxa"/>
            <w:gridSpan w:val="3"/>
            <w:tcBorders>
              <w:top w:val="single" w:color="auto" w:sz="4" w:space="0"/>
              <w:left w:val="single" w:color="auto" w:sz="4" w:space="0"/>
              <w:bottom w:val="single" w:color="auto" w:sz="4" w:space="0"/>
              <w:right w:val="single" w:color="auto" w:sz="12" w:space="0"/>
            </w:tcBorders>
            <w:vAlign w:val="center"/>
          </w:tcPr>
          <w:p w14:paraId="713E3DD4">
            <w:pPr>
              <w:pStyle w:val="731"/>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价格</w:t>
            </w:r>
          </w:p>
        </w:tc>
      </w:tr>
      <w:tr w14:paraId="22C31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3" w:type="dxa"/>
            <w:vMerge w:val="continue"/>
            <w:tcBorders>
              <w:top w:val="single" w:color="auto" w:sz="4" w:space="0"/>
              <w:left w:val="single" w:color="auto" w:sz="12" w:space="0"/>
              <w:bottom w:val="single" w:color="auto" w:sz="4" w:space="0"/>
              <w:right w:val="single" w:color="auto" w:sz="4" w:space="0"/>
            </w:tcBorders>
            <w:vAlign w:val="center"/>
          </w:tcPr>
          <w:p w14:paraId="04DEA31C">
            <w:pPr>
              <w:pStyle w:val="732"/>
              <w:widowControl/>
              <w:jc w:val="left"/>
              <w:rPr>
                <w:rFonts w:hint="eastAsia" w:ascii="仿宋" w:hAnsi="仿宋" w:eastAsia="仿宋" w:cs="仿宋"/>
                <w:color w:val="auto"/>
                <w:sz w:val="24"/>
                <w:highlight w:val="none"/>
              </w:rPr>
            </w:pPr>
          </w:p>
        </w:tc>
        <w:tc>
          <w:tcPr>
            <w:tcW w:w="2821" w:type="dxa"/>
            <w:vMerge w:val="continue"/>
            <w:tcBorders>
              <w:top w:val="single" w:color="auto" w:sz="4" w:space="0"/>
              <w:left w:val="single" w:color="auto" w:sz="4" w:space="0"/>
              <w:bottom w:val="single" w:color="auto" w:sz="4" w:space="0"/>
              <w:right w:val="single" w:color="auto" w:sz="4" w:space="0"/>
            </w:tcBorders>
            <w:vAlign w:val="center"/>
          </w:tcPr>
          <w:p w14:paraId="245D5DE2">
            <w:pPr>
              <w:pStyle w:val="732"/>
              <w:widowControl/>
              <w:jc w:val="left"/>
              <w:rPr>
                <w:rFonts w:hint="eastAsia" w:ascii="仿宋" w:hAnsi="仿宋" w:eastAsia="仿宋" w:cs="仿宋"/>
                <w:color w:val="auto"/>
                <w:sz w:val="24"/>
                <w:highlight w:val="none"/>
              </w:rPr>
            </w:pPr>
          </w:p>
        </w:tc>
        <w:tc>
          <w:tcPr>
            <w:tcW w:w="1319" w:type="dxa"/>
            <w:vMerge w:val="continue"/>
            <w:tcBorders>
              <w:top w:val="single" w:color="auto" w:sz="4" w:space="0"/>
              <w:left w:val="single" w:color="auto" w:sz="4" w:space="0"/>
              <w:bottom w:val="single" w:color="auto" w:sz="4" w:space="0"/>
              <w:right w:val="single" w:color="auto" w:sz="4" w:space="0"/>
            </w:tcBorders>
            <w:vAlign w:val="center"/>
          </w:tcPr>
          <w:p w14:paraId="7AA7E7CE">
            <w:pPr>
              <w:pStyle w:val="732"/>
              <w:widowControl/>
              <w:jc w:val="left"/>
              <w:rPr>
                <w:rFonts w:hint="eastAsia" w:ascii="仿宋" w:hAnsi="仿宋" w:eastAsia="仿宋" w:cs="仿宋"/>
                <w:color w:val="auto"/>
                <w:sz w:val="24"/>
                <w:highlight w:val="none"/>
              </w:rPr>
            </w:pPr>
          </w:p>
        </w:tc>
        <w:tc>
          <w:tcPr>
            <w:tcW w:w="1719" w:type="dxa"/>
            <w:vMerge w:val="continue"/>
            <w:tcBorders>
              <w:top w:val="single" w:color="auto" w:sz="4" w:space="0"/>
              <w:left w:val="single" w:color="auto" w:sz="4" w:space="0"/>
              <w:bottom w:val="single" w:color="auto" w:sz="4" w:space="0"/>
              <w:right w:val="single" w:color="auto" w:sz="4" w:space="0"/>
            </w:tcBorders>
            <w:vAlign w:val="center"/>
          </w:tcPr>
          <w:p w14:paraId="27B19B21">
            <w:pPr>
              <w:pStyle w:val="732"/>
              <w:widowControl/>
              <w:jc w:val="left"/>
              <w:rPr>
                <w:rFonts w:hint="eastAsia" w:ascii="仿宋" w:hAnsi="仿宋" w:eastAsia="仿宋" w:cs="仿宋"/>
                <w:color w:val="auto"/>
                <w:sz w:val="24"/>
                <w:highlight w:val="none"/>
              </w:rPr>
            </w:pPr>
          </w:p>
        </w:tc>
        <w:tc>
          <w:tcPr>
            <w:tcW w:w="955" w:type="dxa"/>
            <w:tcBorders>
              <w:top w:val="single" w:color="auto" w:sz="4" w:space="0"/>
              <w:left w:val="single" w:color="auto" w:sz="4" w:space="0"/>
              <w:bottom w:val="single" w:color="auto" w:sz="4" w:space="0"/>
              <w:right w:val="single" w:color="auto" w:sz="4" w:space="0"/>
            </w:tcBorders>
            <w:vAlign w:val="center"/>
          </w:tcPr>
          <w:p w14:paraId="726BFE16">
            <w:pPr>
              <w:pStyle w:val="731"/>
              <w:tabs>
                <w:tab w:val="left" w:pos="1337"/>
              </w:tabs>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单价（元）</w:t>
            </w:r>
          </w:p>
        </w:tc>
        <w:tc>
          <w:tcPr>
            <w:tcW w:w="955" w:type="dxa"/>
            <w:tcBorders>
              <w:top w:val="single" w:color="auto" w:sz="4" w:space="0"/>
              <w:left w:val="single" w:color="auto" w:sz="4" w:space="0"/>
              <w:bottom w:val="single" w:color="auto" w:sz="4" w:space="0"/>
              <w:right w:val="single" w:color="auto" w:sz="4" w:space="0"/>
            </w:tcBorders>
            <w:vAlign w:val="center"/>
          </w:tcPr>
          <w:p w14:paraId="2595828F">
            <w:pPr>
              <w:pStyle w:val="731"/>
              <w:widowControl/>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1146" w:type="dxa"/>
            <w:tcBorders>
              <w:top w:val="single" w:color="auto" w:sz="4" w:space="0"/>
              <w:left w:val="single" w:color="auto" w:sz="4" w:space="0"/>
              <w:bottom w:val="single" w:color="auto" w:sz="4" w:space="0"/>
              <w:right w:val="single" w:color="auto" w:sz="12" w:space="0"/>
            </w:tcBorders>
            <w:vAlign w:val="center"/>
          </w:tcPr>
          <w:p w14:paraId="5EE1A34C">
            <w:pPr>
              <w:pStyle w:val="731"/>
              <w:widowControl/>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小计（元）</w:t>
            </w:r>
          </w:p>
        </w:tc>
      </w:tr>
      <w:tr w14:paraId="3C91F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3" w:type="dxa"/>
            <w:tcBorders>
              <w:top w:val="single" w:color="auto" w:sz="4" w:space="0"/>
              <w:left w:val="single" w:color="auto" w:sz="12" w:space="0"/>
              <w:bottom w:val="single" w:color="auto" w:sz="4" w:space="0"/>
              <w:right w:val="single" w:color="auto" w:sz="4" w:space="0"/>
            </w:tcBorders>
            <w:vAlign w:val="center"/>
          </w:tcPr>
          <w:p w14:paraId="3DF878D1">
            <w:pPr>
              <w:pStyle w:val="731"/>
              <w:tabs>
                <w:tab w:val="left" w:pos="1337"/>
              </w:tabs>
              <w:spacing w:line="360" w:lineRule="auto"/>
              <w:jc w:val="center"/>
              <w:rPr>
                <w:rFonts w:hint="eastAsia" w:ascii="仿宋" w:hAnsi="仿宋" w:eastAsia="仿宋" w:cs="仿宋"/>
                <w:color w:val="auto"/>
                <w:sz w:val="24"/>
                <w:highlight w:val="none"/>
              </w:rPr>
            </w:pPr>
          </w:p>
        </w:tc>
        <w:tc>
          <w:tcPr>
            <w:tcW w:w="2821" w:type="dxa"/>
            <w:tcBorders>
              <w:top w:val="single" w:color="auto" w:sz="4" w:space="0"/>
              <w:left w:val="single" w:color="auto" w:sz="4" w:space="0"/>
              <w:bottom w:val="single" w:color="auto" w:sz="4" w:space="0"/>
              <w:right w:val="single" w:color="auto" w:sz="4" w:space="0"/>
            </w:tcBorders>
            <w:vAlign w:val="center"/>
          </w:tcPr>
          <w:p w14:paraId="3A924D47">
            <w:pPr>
              <w:widowControl/>
              <w:shd w:val="clear" w:color="auto" w:fill="FFFFFF"/>
              <w:spacing w:line="360" w:lineRule="exact"/>
              <w:jc w:val="center"/>
              <w:rPr>
                <w:rFonts w:hint="eastAsia" w:ascii="仿宋" w:hAnsi="仿宋" w:eastAsia="仿宋" w:cs="仿宋"/>
                <w:color w:val="auto"/>
                <w:sz w:val="24"/>
                <w:highlight w:val="none"/>
              </w:rPr>
            </w:pPr>
          </w:p>
        </w:tc>
        <w:tc>
          <w:tcPr>
            <w:tcW w:w="1319" w:type="dxa"/>
            <w:tcBorders>
              <w:top w:val="single" w:color="auto" w:sz="4" w:space="0"/>
              <w:left w:val="single" w:color="auto" w:sz="4" w:space="0"/>
              <w:bottom w:val="single" w:color="auto" w:sz="4" w:space="0"/>
              <w:right w:val="single" w:color="auto" w:sz="4" w:space="0"/>
            </w:tcBorders>
            <w:vAlign w:val="center"/>
          </w:tcPr>
          <w:p w14:paraId="3D390B38">
            <w:pPr>
              <w:pStyle w:val="731"/>
              <w:tabs>
                <w:tab w:val="left" w:pos="1337"/>
              </w:tabs>
              <w:spacing w:line="360" w:lineRule="auto"/>
              <w:jc w:val="center"/>
              <w:rPr>
                <w:rFonts w:hint="eastAsia" w:ascii="仿宋" w:hAnsi="仿宋" w:eastAsia="仿宋" w:cs="仿宋"/>
                <w:color w:val="auto"/>
                <w:sz w:val="24"/>
                <w:highlight w:val="none"/>
              </w:rPr>
            </w:pPr>
          </w:p>
        </w:tc>
        <w:tc>
          <w:tcPr>
            <w:tcW w:w="1719" w:type="dxa"/>
            <w:tcBorders>
              <w:top w:val="single" w:color="auto" w:sz="4" w:space="0"/>
              <w:left w:val="single" w:color="auto" w:sz="4" w:space="0"/>
              <w:bottom w:val="single" w:color="auto" w:sz="4" w:space="0"/>
              <w:right w:val="single" w:color="auto" w:sz="4" w:space="0"/>
            </w:tcBorders>
            <w:vAlign w:val="center"/>
          </w:tcPr>
          <w:p w14:paraId="6077DD1B">
            <w:pPr>
              <w:pStyle w:val="731"/>
              <w:tabs>
                <w:tab w:val="left" w:pos="1337"/>
              </w:tabs>
              <w:spacing w:line="360" w:lineRule="auto"/>
              <w:jc w:val="center"/>
              <w:rPr>
                <w:rFonts w:hint="eastAsia" w:ascii="仿宋" w:hAnsi="仿宋" w:eastAsia="仿宋" w:cs="仿宋"/>
                <w:color w:val="auto"/>
                <w:sz w:val="24"/>
                <w:highlight w:val="none"/>
              </w:rPr>
            </w:pPr>
          </w:p>
        </w:tc>
        <w:tc>
          <w:tcPr>
            <w:tcW w:w="955" w:type="dxa"/>
            <w:tcBorders>
              <w:top w:val="single" w:color="auto" w:sz="4" w:space="0"/>
              <w:left w:val="single" w:color="auto" w:sz="4" w:space="0"/>
              <w:bottom w:val="single" w:color="auto" w:sz="4" w:space="0"/>
              <w:right w:val="single" w:color="auto" w:sz="4" w:space="0"/>
            </w:tcBorders>
            <w:vAlign w:val="center"/>
          </w:tcPr>
          <w:p w14:paraId="5BAF2340">
            <w:pPr>
              <w:pStyle w:val="731"/>
              <w:tabs>
                <w:tab w:val="left" w:pos="1337"/>
              </w:tabs>
              <w:spacing w:line="360" w:lineRule="auto"/>
              <w:jc w:val="center"/>
              <w:rPr>
                <w:rFonts w:hint="eastAsia" w:ascii="仿宋" w:hAnsi="仿宋" w:eastAsia="仿宋" w:cs="仿宋"/>
                <w:color w:val="auto"/>
                <w:sz w:val="24"/>
                <w:highlight w:val="none"/>
              </w:rPr>
            </w:pPr>
          </w:p>
        </w:tc>
        <w:tc>
          <w:tcPr>
            <w:tcW w:w="955" w:type="dxa"/>
            <w:tcBorders>
              <w:top w:val="single" w:color="auto" w:sz="4" w:space="0"/>
              <w:left w:val="single" w:color="auto" w:sz="4" w:space="0"/>
              <w:bottom w:val="single" w:color="auto" w:sz="4" w:space="0"/>
              <w:right w:val="single" w:color="auto" w:sz="4" w:space="0"/>
            </w:tcBorders>
            <w:vAlign w:val="center"/>
          </w:tcPr>
          <w:p w14:paraId="5D12384D">
            <w:pPr>
              <w:pStyle w:val="731"/>
              <w:tabs>
                <w:tab w:val="left" w:pos="1337"/>
              </w:tabs>
              <w:spacing w:line="360" w:lineRule="auto"/>
              <w:jc w:val="center"/>
              <w:rPr>
                <w:rFonts w:hint="eastAsia" w:ascii="仿宋" w:hAnsi="仿宋" w:eastAsia="仿宋" w:cs="仿宋"/>
                <w:color w:val="auto"/>
                <w:sz w:val="24"/>
                <w:highlight w:val="none"/>
              </w:rPr>
            </w:pPr>
          </w:p>
        </w:tc>
        <w:tc>
          <w:tcPr>
            <w:tcW w:w="1146" w:type="dxa"/>
            <w:tcBorders>
              <w:top w:val="single" w:color="auto" w:sz="4" w:space="0"/>
              <w:left w:val="single" w:color="auto" w:sz="4" w:space="0"/>
              <w:bottom w:val="single" w:color="auto" w:sz="4" w:space="0"/>
              <w:right w:val="single" w:color="auto" w:sz="12" w:space="0"/>
            </w:tcBorders>
            <w:vAlign w:val="center"/>
          </w:tcPr>
          <w:p w14:paraId="00D05CC8">
            <w:pPr>
              <w:pStyle w:val="731"/>
              <w:tabs>
                <w:tab w:val="left" w:pos="1337"/>
              </w:tabs>
              <w:spacing w:line="360" w:lineRule="auto"/>
              <w:jc w:val="center"/>
              <w:rPr>
                <w:rFonts w:hint="eastAsia" w:ascii="仿宋" w:hAnsi="仿宋" w:eastAsia="仿宋" w:cs="仿宋"/>
                <w:color w:val="auto"/>
                <w:sz w:val="24"/>
                <w:highlight w:val="none"/>
              </w:rPr>
            </w:pPr>
          </w:p>
        </w:tc>
      </w:tr>
      <w:tr w14:paraId="077F4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3" w:type="dxa"/>
            <w:tcBorders>
              <w:top w:val="single" w:color="auto" w:sz="4" w:space="0"/>
              <w:left w:val="single" w:color="auto" w:sz="12" w:space="0"/>
              <w:bottom w:val="single" w:color="auto" w:sz="4" w:space="0"/>
              <w:right w:val="single" w:color="auto" w:sz="4" w:space="0"/>
            </w:tcBorders>
            <w:vAlign w:val="center"/>
          </w:tcPr>
          <w:p w14:paraId="4A6F0571">
            <w:pPr>
              <w:pStyle w:val="731"/>
              <w:tabs>
                <w:tab w:val="left" w:pos="1337"/>
              </w:tabs>
              <w:spacing w:line="360" w:lineRule="auto"/>
              <w:jc w:val="center"/>
              <w:rPr>
                <w:rFonts w:hint="eastAsia" w:ascii="仿宋" w:hAnsi="仿宋" w:eastAsia="仿宋" w:cs="仿宋"/>
                <w:color w:val="auto"/>
                <w:sz w:val="24"/>
                <w:highlight w:val="none"/>
              </w:rPr>
            </w:pPr>
          </w:p>
        </w:tc>
        <w:tc>
          <w:tcPr>
            <w:tcW w:w="2821" w:type="dxa"/>
            <w:tcBorders>
              <w:top w:val="single" w:color="auto" w:sz="4" w:space="0"/>
              <w:left w:val="single" w:color="auto" w:sz="4" w:space="0"/>
              <w:bottom w:val="single" w:color="auto" w:sz="4" w:space="0"/>
              <w:right w:val="single" w:color="auto" w:sz="4" w:space="0"/>
            </w:tcBorders>
            <w:vAlign w:val="center"/>
          </w:tcPr>
          <w:p w14:paraId="7C9999CB">
            <w:pPr>
              <w:pStyle w:val="731"/>
              <w:tabs>
                <w:tab w:val="left" w:pos="1337"/>
              </w:tabs>
              <w:spacing w:line="360" w:lineRule="auto"/>
              <w:jc w:val="center"/>
              <w:rPr>
                <w:rFonts w:hint="eastAsia" w:ascii="仿宋" w:hAnsi="仿宋" w:eastAsia="仿宋" w:cs="仿宋"/>
                <w:color w:val="auto"/>
                <w:spacing w:val="-10"/>
                <w:sz w:val="24"/>
                <w:highlight w:val="none"/>
              </w:rPr>
            </w:pPr>
          </w:p>
        </w:tc>
        <w:tc>
          <w:tcPr>
            <w:tcW w:w="1319" w:type="dxa"/>
            <w:tcBorders>
              <w:top w:val="single" w:color="auto" w:sz="4" w:space="0"/>
              <w:left w:val="single" w:color="auto" w:sz="4" w:space="0"/>
              <w:bottom w:val="single" w:color="auto" w:sz="4" w:space="0"/>
              <w:right w:val="single" w:color="auto" w:sz="4" w:space="0"/>
            </w:tcBorders>
            <w:vAlign w:val="center"/>
          </w:tcPr>
          <w:p w14:paraId="2FD5EA8E">
            <w:pPr>
              <w:pStyle w:val="731"/>
              <w:tabs>
                <w:tab w:val="left" w:pos="1337"/>
              </w:tabs>
              <w:spacing w:line="360" w:lineRule="auto"/>
              <w:jc w:val="center"/>
              <w:rPr>
                <w:rFonts w:hint="eastAsia" w:ascii="仿宋" w:hAnsi="仿宋" w:eastAsia="仿宋" w:cs="仿宋"/>
                <w:color w:val="auto"/>
                <w:sz w:val="24"/>
                <w:highlight w:val="none"/>
              </w:rPr>
            </w:pPr>
          </w:p>
        </w:tc>
        <w:tc>
          <w:tcPr>
            <w:tcW w:w="1719" w:type="dxa"/>
            <w:tcBorders>
              <w:top w:val="single" w:color="auto" w:sz="4" w:space="0"/>
              <w:left w:val="single" w:color="auto" w:sz="4" w:space="0"/>
              <w:bottom w:val="single" w:color="auto" w:sz="4" w:space="0"/>
              <w:right w:val="single" w:color="auto" w:sz="4" w:space="0"/>
            </w:tcBorders>
            <w:vAlign w:val="center"/>
          </w:tcPr>
          <w:p w14:paraId="1E414B18">
            <w:pPr>
              <w:pStyle w:val="731"/>
              <w:tabs>
                <w:tab w:val="left" w:pos="1337"/>
              </w:tabs>
              <w:spacing w:line="360" w:lineRule="auto"/>
              <w:jc w:val="center"/>
              <w:rPr>
                <w:rFonts w:hint="eastAsia" w:ascii="仿宋" w:hAnsi="仿宋" w:eastAsia="仿宋" w:cs="仿宋"/>
                <w:color w:val="auto"/>
                <w:sz w:val="24"/>
                <w:highlight w:val="none"/>
              </w:rPr>
            </w:pPr>
          </w:p>
        </w:tc>
        <w:tc>
          <w:tcPr>
            <w:tcW w:w="955" w:type="dxa"/>
            <w:tcBorders>
              <w:top w:val="single" w:color="auto" w:sz="4" w:space="0"/>
              <w:left w:val="single" w:color="auto" w:sz="4" w:space="0"/>
              <w:bottom w:val="single" w:color="auto" w:sz="4" w:space="0"/>
              <w:right w:val="single" w:color="auto" w:sz="4" w:space="0"/>
            </w:tcBorders>
            <w:vAlign w:val="center"/>
          </w:tcPr>
          <w:p w14:paraId="12121277">
            <w:pPr>
              <w:pStyle w:val="731"/>
              <w:tabs>
                <w:tab w:val="left" w:pos="1337"/>
              </w:tabs>
              <w:spacing w:line="360" w:lineRule="auto"/>
              <w:jc w:val="center"/>
              <w:rPr>
                <w:rFonts w:hint="eastAsia" w:ascii="仿宋" w:hAnsi="仿宋" w:eastAsia="仿宋" w:cs="仿宋"/>
                <w:color w:val="auto"/>
                <w:sz w:val="24"/>
                <w:highlight w:val="none"/>
              </w:rPr>
            </w:pPr>
          </w:p>
        </w:tc>
        <w:tc>
          <w:tcPr>
            <w:tcW w:w="955" w:type="dxa"/>
            <w:tcBorders>
              <w:top w:val="single" w:color="auto" w:sz="4" w:space="0"/>
              <w:left w:val="single" w:color="auto" w:sz="4" w:space="0"/>
              <w:bottom w:val="single" w:color="auto" w:sz="4" w:space="0"/>
              <w:right w:val="single" w:color="auto" w:sz="4" w:space="0"/>
            </w:tcBorders>
            <w:vAlign w:val="center"/>
          </w:tcPr>
          <w:p w14:paraId="393441E9">
            <w:pPr>
              <w:pStyle w:val="731"/>
              <w:tabs>
                <w:tab w:val="left" w:pos="1337"/>
              </w:tabs>
              <w:spacing w:line="360" w:lineRule="auto"/>
              <w:jc w:val="center"/>
              <w:rPr>
                <w:rFonts w:hint="eastAsia" w:ascii="仿宋" w:hAnsi="仿宋" w:eastAsia="仿宋" w:cs="仿宋"/>
                <w:color w:val="auto"/>
                <w:sz w:val="24"/>
                <w:highlight w:val="none"/>
              </w:rPr>
            </w:pPr>
          </w:p>
        </w:tc>
        <w:tc>
          <w:tcPr>
            <w:tcW w:w="1146" w:type="dxa"/>
            <w:tcBorders>
              <w:top w:val="single" w:color="auto" w:sz="4" w:space="0"/>
              <w:left w:val="single" w:color="auto" w:sz="4" w:space="0"/>
              <w:bottom w:val="single" w:color="auto" w:sz="4" w:space="0"/>
              <w:right w:val="single" w:color="auto" w:sz="12" w:space="0"/>
            </w:tcBorders>
            <w:vAlign w:val="center"/>
          </w:tcPr>
          <w:p w14:paraId="5DF1C97C">
            <w:pPr>
              <w:pStyle w:val="731"/>
              <w:tabs>
                <w:tab w:val="left" w:pos="1337"/>
              </w:tabs>
              <w:spacing w:line="360" w:lineRule="auto"/>
              <w:jc w:val="center"/>
              <w:rPr>
                <w:rFonts w:hint="eastAsia" w:ascii="仿宋" w:hAnsi="仿宋" w:eastAsia="仿宋" w:cs="仿宋"/>
                <w:color w:val="auto"/>
                <w:sz w:val="24"/>
                <w:highlight w:val="none"/>
              </w:rPr>
            </w:pPr>
          </w:p>
        </w:tc>
      </w:tr>
      <w:tr w14:paraId="769C2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3" w:type="dxa"/>
            <w:tcBorders>
              <w:top w:val="single" w:color="auto" w:sz="4" w:space="0"/>
              <w:left w:val="single" w:color="auto" w:sz="12" w:space="0"/>
              <w:bottom w:val="single" w:color="auto" w:sz="4" w:space="0"/>
              <w:right w:val="single" w:color="auto" w:sz="4" w:space="0"/>
            </w:tcBorders>
            <w:vAlign w:val="center"/>
          </w:tcPr>
          <w:p w14:paraId="063ADA66">
            <w:pPr>
              <w:pStyle w:val="731"/>
              <w:tabs>
                <w:tab w:val="left" w:pos="1337"/>
              </w:tabs>
              <w:spacing w:line="360" w:lineRule="auto"/>
              <w:jc w:val="center"/>
              <w:rPr>
                <w:rFonts w:hint="eastAsia" w:ascii="仿宋" w:hAnsi="仿宋" w:eastAsia="仿宋" w:cs="仿宋"/>
                <w:color w:val="auto"/>
                <w:sz w:val="24"/>
                <w:highlight w:val="none"/>
              </w:rPr>
            </w:pPr>
          </w:p>
        </w:tc>
        <w:tc>
          <w:tcPr>
            <w:tcW w:w="2821" w:type="dxa"/>
            <w:tcBorders>
              <w:top w:val="single" w:color="auto" w:sz="4" w:space="0"/>
              <w:left w:val="single" w:color="auto" w:sz="4" w:space="0"/>
              <w:bottom w:val="single" w:color="auto" w:sz="4" w:space="0"/>
              <w:right w:val="single" w:color="auto" w:sz="4" w:space="0"/>
            </w:tcBorders>
            <w:vAlign w:val="center"/>
          </w:tcPr>
          <w:p w14:paraId="2CC460EE">
            <w:pPr>
              <w:pStyle w:val="731"/>
              <w:tabs>
                <w:tab w:val="left" w:pos="1337"/>
              </w:tabs>
              <w:spacing w:line="360" w:lineRule="auto"/>
              <w:jc w:val="center"/>
              <w:rPr>
                <w:rFonts w:hint="eastAsia" w:ascii="仿宋" w:hAnsi="仿宋" w:eastAsia="仿宋" w:cs="仿宋"/>
                <w:color w:val="auto"/>
                <w:sz w:val="24"/>
                <w:highlight w:val="none"/>
              </w:rPr>
            </w:pPr>
          </w:p>
        </w:tc>
        <w:tc>
          <w:tcPr>
            <w:tcW w:w="1319" w:type="dxa"/>
            <w:tcBorders>
              <w:top w:val="single" w:color="auto" w:sz="4" w:space="0"/>
              <w:left w:val="single" w:color="auto" w:sz="4" w:space="0"/>
              <w:bottom w:val="single" w:color="auto" w:sz="4" w:space="0"/>
              <w:right w:val="single" w:color="auto" w:sz="4" w:space="0"/>
            </w:tcBorders>
          </w:tcPr>
          <w:p w14:paraId="5D00F399">
            <w:pPr>
              <w:pStyle w:val="731"/>
              <w:tabs>
                <w:tab w:val="left" w:pos="1337"/>
              </w:tabs>
              <w:spacing w:line="360" w:lineRule="auto"/>
              <w:jc w:val="center"/>
              <w:rPr>
                <w:rFonts w:hint="eastAsia" w:ascii="仿宋" w:hAnsi="仿宋" w:eastAsia="仿宋" w:cs="仿宋"/>
                <w:color w:val="auto"/>
                <w:sz w:val="24"/>
                <w:highlight w:val="none"/>
              </w:rPr>
            </w:pPr>
          </w:p>
        </w:tc>
        <w:tc>
          <w:tcPr>
            <w:tcW w:w="1719" w:type="dxa"/>
            <w:tcBorders>
              <w:top w:val="single" w:color="auto" w:sz="4" w:space="0"/>
              <w:left w:val="single" w:color="auto" w:sz="4" w:space="0"/>
              <w:bottom w:val="single" w:color="auto" w:sz="4" w:space="0"/>
              <w:right w:val="single" w:color="auto" w:sz="4" w:space="0"/>
            </w:tcBorders>
          </w:tcPr>
          <w:p w14:paraId="2A524652">
            <w:pPr>
              <w:pStyle w:val="731"/>
              <w:tabs>
                <w:tab w:val="left" w:pos="1337"/>
              </w:tabs>
              <w:spacing w:line="360" w:lineRule="auto"/>
              <w:jc w:val="center"/>
              <w:rPr>
                <w:rFonts w:hint="eastAsia" w:ascii="仿宋" w:hAnsi="仿宋" w:eastAsia="仿宋" w:cs="仿宋"/>
                <w:color w:val="auto"/>
                <w:sz w:val="24"/>
                <w:highlight w:val="none"/>
              </w:rPr>
            </w:pPr>
          </w:p>
        </w:tc>
        <w:tc>
          <w:tcPr>
            <w:tcW w:w="955" w:type="dxa"/>
            <w:tcBorders>
              <w:top w:val="single" w:color="auto" w:sz="4" w:space="0"/>
              <w:left w:val="single" w:color="auto" w:sz="4" w:space="0"/>
              <w:bottom w:val="single" w:color="auto" w:sz="4" w:space="0"/>
              <w:right w:val="single" w:color="auto" w:sz="4" w:space="0"/>
            </w:tcBorders>
          </w:tcPr>
          <w:p w14:paraId="41E4BC46">
            <w:pPr>
              <w:pStyle w:val="731"/>
              <w:tabs>
                <w:tab w:val="left" w:pos="1337"/>
              </w:tabs>
              <w:spacing w:line="360" w:lineRule="auto"/>
              <w:jc w:val="center"/>
              <w:rPr>
                <w:rFonts w:hint="eastAsia" w:ascii="仿宋" w:hAnsi="仿宋" w:eastAsia="仿宋" w:cs="仿宋"/>
                <w:color w:val="auto"/>
                <w:sz w:val="24"/>
                <w:highlight w:val="none"/>
              </w:rPr>
            </w:pPr>
          </w:p>
        </w:tc>
        <w:tc>
          <w:tcPr>
            <w:tcW w:w="955" w:type="dxa"/>
            <w:tcBorders>
              <w:top w:val="single" w:color="auto" w:sz="4" w:space="0"/>
              <w:left w:val="single" w:color="auto" w:sz="4" w:space="0"/>
              <w:bottom w:val="single" w:color="auto" w:sz="4" w:space="0"/>
              <w:right w:val="single" w:color="auto" w:sz="4" w:space="0"/>
            </w:tcBorders>
          </w:tcPr>
          <w:p w14:paraId="69200EAC">
            <w:pPr>
              <w:pStyle w:val="731"/>
              <w:tabs>
                <w:tab w:val="left" w:pos="1337"/>
              </w:tabs>
              <w:spacing w:line="360" w:lineRule="auto"/>
              <w:jc w:val="center"/>
              <w:rPr>
                <w:rFonts w:hint="eastAsia" w:ascii="仿宋" w:hAnsi="仿宋" w:eastAsia="仿宋" w:cs="仿宋"/>
                <w:color w:val="auto"/>
                <w:sz w:val="24"/>
                <w:highlight w:val="none"/>
              </w:rPr>
            </w:pPr>
          </w:p>
        </w:tc>
        <w:tc>
          <w:tcPr>
            <w:tcW w:w="1146" w:type="dxa"/>
            <w:tcBorders>
              <w:top w:val="single" w:color="auto" w:sz="4" w:space="0"/>
              <w:left w:val="single" w:color="auto" w:sz="4" w:space="0"/>
              <w:bottom w:val="single" w:color="auto" w:sz="4" w:space="0"/>
              <w:right w:val="single" w:color="auto" w:sz="12" w:space="0"/>
            </w:tcBorders>
            <w:vAlign w:val="center"/>
          </w:tcPr>
          <w:p w14:paraId="1F3EAAC2">
            <w:pPr>
              <w:pStyle w:val="731"/>
              <w:tabs>
                <w:tab w:val="left" w:pos="1337"/>
              </w:tabs>
              <w:spacing w:line="360" w:lineRule="auto"/>
              <w:jc w:val="center"/>
              <w:rPr>
                <w:rFonts w:hint="eastAsia" w:ascii="仿宋" w:hAnsi="仿宋" w:eastAsia="仿宋" w:cs="仿宋"/>
                <w:color w:val="auto"/>
                <w:sz w:val="24"/>
                <w:highlight w:val="none"/>
              </w:rPr>
            </w:pPr>
          </w:p>
        </w:tc>
      </w:tr>
      <w:tr w14:paraId="27D2B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3" w:type="dxa"/>
            <w:tcBorders>
              <w:top w:val="single" w:color="auto" w:sz="4" w:space="0"/>
              <w:left w:val="single" w:color="auto" w:sz="12" w:space="0"/>
              <w:bottom w:val="single" w:color="auto" w:sz="4" w:space="0"/>
              <w:right w:val="single" w:color="auto" w:sz="4" w:space="0"/>
            </w:tcBorders>
            <w:vAlign w:val="center"/>
          </w:tcPr>
          <w:p w14:paraId="2FB75299">
            <w:pPr>
              <w:pStyle w:val="731"/>
              <w:tabs>
                <w:tab w:val="left" w:pos="1337"/>
              </w:tabs>
              <w:spacing w:line="360" w:lineRule="auto"/>
              <w:jc w:val="center"/>
              <w:rPr>
                <w:rFonts w:hint="eastAsia" w:ascii="仿宋" w:hAnsi="仿宋" w:eastAsia="仿宋" w:cs="仿宋"/>
                <w:color w:val="auto"/>
                <w:sz w:val="24"/>
                <w:highlight w:val="none"/>
              </w:rPr>
            </w:pPr>
          </w:p>
        </w:tc>
        <w:tc>
          <w:tcPr>
            <w:tcW w:w="2821" w:type="dxa"/>
            <w:tcBorders>
              <w:top w:val="single" w:color="auto" w:sz="4" w:space="0"/>
              <w:left w:val="single" w:color="auto" w:sz="4" w:space="0"/>
              <w:bottom w:val="single" w:color="auto" w:sz="4" w:space="0"/>
              <w:right w:val="single" w:color="auto" w:sz="4" w:space="0"/>
            </w:tcBorders>
            <w:vAlign w:val="center"/>
          </w:tcPr>
          <w:p w14:paraId="3C70E4F3">
            <w:pPr>
              <w:pStyle w:val="731"/>
              <w:tabs>
                <w:tab w:val="left" w:pos="1337"/>
              </w:tabs>
              <w:spacing w:line="360" w:lineRule="auto"/>
              <w:jc w:val="center"/>
              <w:rPr>
                <w:rFonts w:hint="eastAsia" w:ascii="仿宋" w:hAnsi="仿宋" w:eastAsia="仿宋" w:cs="仿宋"/>
                <w:color w:val="auto"/>
                <w:sz w:val="24"/>
                <w:highlight w:val="none"/>
              </w:rPr>
            </w:pPr>
          </w:p>
        </w:tc>
        <w:tc>
          <w:tcPr>
            <w:tcW w:w="1319" w:type="dxa"/>
            <w:tcBorders>
              <w:top w:val="single" w:color="auto" w:sz="4" w:space="0"/>
              <w:left w:val="single" w:color="auto" w:sz="4" w:space="0"/>
              <w:bottom w:val="single" w:color="auto" w:sz="4" w:space="0"/>
              <w:right w:val="single" w:color="auto" w:sz="4" w:space="0"/>
            </w:tcBorders>
          </w:tcPr>
          <w:p w14:paraId="3DC2CF9D">
            <w:pPr>
              <w:pStyle w:val="731"/>
              <w:tabs>
                <w:tab w:val="left" w:pos="1337"/>
              </w:tabs>
              <w:spacing w:line="360" w:lineRule="auto"/>
              <w:jc w:val="center"/>
              <w:rPr>
                <w:rFonts w:hint="eastAsia" w:ascii="仿宋" w:hAnsi="仿宋" w:eastAsia="仿宋" w:cs="仿宋"/>
                <w:color w:val="auto"/>
                <w:sz w:val="24"/>
                <w:highlight w:val="none"/>
              </w:rPr>
            </w:pPr>
          </w:p>
        </w:tc>
        <w:tc>
          <w:tcPr>
            <w:tcW w:w="1719" w:type="dxa"/>
            <w:tcBorders>
              <w:top w:val="single" w:color="auto" w:sz="4" w:space="0"/>
              <w:left w:val="single" w:color="auto" w:sz="4" w:space="0"/>
              <w:bottom w:val="single" w:color="auto" w:sz="4" w:space="0"/>
              <w:right w:val="single" w:color="auto" w:sz="4" w:space="0"/>
            </w:tcBorders>
          </w:tcPr>
          <w:p w14:paraId="7FBEB4F3">
            <w:pPr>
              <w:pStyle w:val="731"/>
              <w:tabs>
                <w:tab w:val="left" w:pos="1337"/>
              </w:tabs>
              <w:spacing w:line="360" w:lineRule="auto"/>
              <w:jc w:val="center"/>
              <w:rPr>
                <w:rFonts w:hint="eastAsia" w:ascii="仿宋" w:hAnsi="仿宋" w:eastAsia="仿宋" w:cs="仿宋"/>
                <w:color w:val="auto"/>
                <w:sz w:val="24"/>
                <w:highlight w:val="none"/>
              </w:rPr>
            </w:pPr>
          </w:p>
        </w:tc>
        <w:tc>
          <w:tcPr>
            <w:tcW w:w="955" w:type="dxa"/>
            <w:tcBorders>
              <w:top w:val="single" w:color="auto" w:sz="4" w:space="0"/>
              <w:left w:val="single" w:color="auto" w:sz="4" w:space="0"/>
              <w:bottom w:val="single" w:color="auto" w:sz="4" w:space="0"/>
              <w:right w:val="single" w:color="auto" w:sz="4" w:space="0"/>
            </w:tcBorders>
          </w:tcPr>
          <w:p w14:paraId="40FA6E1E">
            <w:pPr>
              <w:pStyle w:val="731"/>
              <w:tabs>
                <w:tab w:val="left" w:pos="1337"/>
              </w:tabs>
              <w:spacing w:line="360" w:lineRule="auto"/>
              <w:jc w:val="center"/>
              <w:rPr>
                <w:rFonts w:hint="eastAsia" w:ascii="仿宋" w:hAnsi="仿宋" w:eastAsia="仿宋" w:cs="仿宋"/>
                <w:color w:val="auto"/>
                <w:sz w:val="24"/>
                <w:highlight w:val="none"/>
              </w:rPr>
            </w:pPr>
          </w:p>
        </w:tc>
        <w:tc>
          <w:tcPr>
            <w:tcW w:w="955" w:type="dxa"/>
            <w:tcBorders>
              <w:top w:val="single" w:color="auto" w:sz="4" w:space="0"/>
              <w:left w:val="single" w:color="auto" w:sz="4" w:space="0"/>
              <w:bottom w:val="single" w:color="auto" w:sz="4" w:space="0"/>
              <w:right w:val="single" w:color="auto" w:sz="4" w:space="0"/>
            </w:tcBorders>
          </w:tcPr>
          <w:p w14:paraId="01468106">
            <w:pPr>
              <w:pStyle w:val="731"/>
              <w:tabs>
                <w:tab w:val="left" w:pos="1337"/>
              </w:tabs>
              <w:spacing w:line="360" w:lineRule="auto"/>
              <w:jc w:val="center"/>
              <w:rPr>
                <w:rFonts w:hint="eastAsia" w:ascii="仿宋" w:hAnsi="仿宋" w:eastAsia="仿宋" w:cs="仿宋"/>
                <w:color w:val="auto"/>
                <w:sz w:val="24"/>
                <w:highlight w:val="none"/>
              </w:rPr>
            </w:pPr>
          </w:p>
        </w:tc>
        <w:tc>
          <w:tcPr>
            <w:tcW w:w="1146" w:type="dxa"/>
            <w:tcBorders>
              <w:top w:val="single" w:color="auto" w:sz="4" w:space="0"/>
              <w:left w:val="single" w:color="auto" w:sz="4" w:space="0"/>
              <w:bottom w:val="single" w:color="auto" w:sz="4" w:space="0"/>
              <w:right w:val="single" w:color="auto" w:sz="12" w:space="0"/>
            </w:tcBorders>
            <w:vAlign w:val="center"/>
          </w:tcPr>
          <w:p w14:paraId="10DD618A">
            <w:pPr>
              <w:pStyle w:val="731"/>
              <w:tabs>
                <w:tab w:val="left" w:pos="1337"/>
              </w:tabs>
              <w:spacing w:line="360" w:lineRule="auto"/>
              <w:jc w:val="center"/>
              <w:rPr>
                <w:rFonts w:hint="eastAsia" w:ascii="仿宋" w:hAnsi="仿宋" w:eastAsia="仿宋" w:cs="仿宋"/>
                <w:color w:val="auto"/>
                <w:sz w:val="24"/>
                <w:highlight w:val="none"/>
              </w:rPr>
            </w:pPr>
          </w:p>
        </w:tc>
      </w:tr>
      <w:tr w14:paraId="3C956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3" w:type="dxa"/>
            <w:tcBorders>
              <w:top w:val="single" w:color="auto" w:sz="4" w:space="0"/>
              <w:left w:val="single" w:color="auto" w:sz="12" w:space="0"/>
              <w:bottom w:val="single" w:color="auto" w:sz="4" w:space="0"/>
              <w:right w:val="single" w:color="auto" w:sz="4" w:space="0"/>
            </w:tcBorders>
            <w:vAlign w:val="center"/>
          </w:tcPr>
          <w:p w14:paraId="662C5B9D">
            <w:pPr>
              <w:pStyle w:val="731"/>
              <w:tabs>
                <w:tab w:val="left" w:pos="1337"/>
              </w:tabs>
              <w:spacing w:line="360" w:lineRule="auto"/>
              <w:jc w:val="center"/>
              <w:rPr>
                <w:rFonts w:hint="eastAsia" w:ascii="仿宋" w:hAnsi="仿宋" w:eastAsia="仿宋" w:cs="仿宋"/>
                <w:color w:val="auto"/>
                <w:sz w:val="24"/>
                <w:highlight w:val="none"/>
              </w:rPr>
            </w:pPr>
          </w:p>
        </w:tc>
        <w:tc>
          <w:tcPr>
            <w:tcW w:w="2821" w:type="dxa"/>
            <w:tcBorders>
              <w:top w:val="single" w:color="auto" w:sz="4" w:space="0"/>
              <w:left w:val="single" w:color="auto" w:sz="4" w:space="0"/>
              <w:bottom w:val="single" w:color="auto" w:sz="4" w:space="0"/>
              <w:right w:val="single" w:color="auto" w:sz="4" w:space="0"/>
            </w:tcBorders>
            <w:vAlign w:val="center"/>
          </w:tcPr>
          <w:p w14:paraId="205B9437">
            <w:pPr>
              <w:pStyle w:val="731"/>
              <w:tabs>
                <w:tab w:val="left" w:pos="1337"/>
              </w:tabs>
              <w:spacing w:line="360" w:lineRule="auto"/>
              <w:jc w:val="center"/>
              <w:rPr>
                <w:rFonts w:hint="eastAsia" w:ascii="仿宋" w:hAnsi="仿宋" w:eastAsia="仿宋" w:cs="仿宋"/>
                <w:color w:val="auto"/>
                <w:sz w:val="24"/>
                <w:highlight w:val="none"/>
              </w:rPr>
            </w:pPr>
          </w:p>
        </w:tc>
        <w:tc>
          <w:tcPr>
            <w:tcW w:w="1319" w:type="dxa"/>
            <w:tcBorders>
              <w:top w:val="single" w:color="auto" w:sz="4" w:space="0"/>
              <w:left w:val="single" w:color="auto" w:sz="4" w:space="0"/>
              <w:bottom w:val="single" w:color="auto" w:sz="4" w:space="0"/>
              <w:right w:val="single" w:color="auto" w:sz="4" w:space="0"/>
            </w:tcBorders>
          </w:tcPr>
          <w:p w14:paraId="422B0786">
            <w:pPr>
              <w:pStyle w:val="731"/>
              <w:tabs>
                <w:tab w:val="left" w:pos="1337"/>
              </w:tabs>
              <w:spacing w:line="360" w:lineRule="auto"/>
              <w:jc w:val="center"/>
              <w:rPr>
                <w:rFonts w:hint="eastAsia" w:ascii="仿宋" w:hAnsi="仿宋" w:eastAsia="仿宋" w:cs="仿宋"/>
                <w:color w:val="auto"/>
                <w:sz w:val="24"/>
                <w:highlight w:val="none"/>
              </w:rPr>
            </w:pPr>
          </w:p>
        </w:tc>
        <w:tc>
          <w:tcPr>
            <w:tcW w:w="1719" w:type="dxa"/>
            <w:tcBorders>
              <w:top w:val="single" w:color="auto" w:sz="4" w:space="0"/>
              <w:left w:val="single" w:color="auto" w:sz="4" w:space="0"/>
              <w:bottom w:val="single" w:color="auto" w:sz="4" w:space="0"/>
              <w:right w:val="single" w:color="auto" w:sz="4" w:space="0"/>
            </w:tcBorders>
          </w:tcPr>
          <w:p w14:paraId="5315E28B">
            <w:pPr>
              <w:pStyle w:val="731"/>
              <w:tabs>
                <w:tab w:val="left" w:pos="1337"/>
              </w:tabs>
              <w:spacing w:line="360" w:lineRule="auto"/>
              <w:jc w:val="center"/>
              <w:rPr>
                <w:rFonts w:hint="eastAsia" w:ascii="仿宋" w:hAnsi="仿宋" w:eastAsia="仿宋" w:cs="仿宋"/>
                <w:color w:val="auto"/>
                <w:sz w:val="24"/>
                <w:highlight w:val="none"/>
              </w:rPr>
            </w:pPr>
          </w:p>
        </w:tc>
        <w:tc>
          <w:tcPr>
            <w:tcW w:w="955" w:type="dxa"/>
            <w:tcBorders>
              <w:top w:val="single" w:color="auto" w:sz="4" w:space="0"/>
              <w:left w:val="single" w:color="auto" w:sz="4" w:space="0"/>
              <w:bottom w:val="single" w:color="auto" w:sz="4" w:space="0"/>
              <w:right w:val="single" w:color="auto" w:sz="4" w:space="0"/>
            </w:tcBorders>
          </w:tcPr>
          <w:p w14:paraId="54A196C4">
            <w:pPr>
              <w:pStyle w:val="731"/>
              <w:tabs>
                <w:tab w:val="left" w:pos="1337"/>
              </w:tabs>
              <w:spacing w:line="360" w:lineRule="auto"/>
              <w:jc w:val="center"/>
              <w:rPr>
                <w:rFonts w:hint="eastAsia" w:ascii="仿宋" w:hAnsi="仿宋" w:eastAsia="仿宋" w:cs="仿宋"/>
                <w:color w:val="auto"/>
                <w:sz w:val="24"/>
                <w:highlight w:val="none"/>
              </w:rPr>
            </w:pPr>
          </w:p>
        </w:tc>
        <w:tc>
          <w:tcPr>
            <w:tcW w:w="955" w:type="dxa"/>
            <w:tcBorders>
              <w:top w:val="single" w:color="auto" w:sz="4" w:space="0"/>
              <w:left w:val="single" w:color="auto" w:sz="4" w:space="0"/>
              <w:bottom w:val="single" w:color="auto" w:sz="4" w:space="0"/>
              <w:right w:val="single" w:color="auto" w:sz="4" w:space="0"/>
            </w:tcBorders>
          </w:tcPr>
          <w:p w14:paraId="4C730004">
            <w:pPr>
              <w:pStyle w:val="731"/>
              <w:tabs>
                <w:tab w:val="left" w:pos="1337"/>
              </w:tabs>
              <w:spacing w:line="360" w:lineRule="auto"/>
              <w:jc w:val="center"/>
              <w:rPr>
                <w:rFonts w:hint="eastAsia" w:ascii="仿宋" w:hAnsi="仿宋" w:eastAsia="仿宋" w:cs="仿宋"/>
                <w:color w:val="auto"/>
                <w:sz w:val="24"/>
                <w:highlight w:val="none"/>
              </w:rPr>
            </w:pPr>
          </w:p>
        </w:tc>
        <w:tc>
          <w:tcPr>
            <w:tcW w:w="1146" w:type="dxa"/>
            <w:tcBorders>
              <w:top w:val="single" w:color="auto" w:sz="4" w:space="0"/>
              <w:left w:val="single" w:color="auto" w:sz="4" w:space="0"/>
              <w:bottom w:val="single" w:color="auto" w:sz="4" w:space="0"/>
              <w:right w:val="single" w:color="auto" w:sz="12" w:space="0"/>
            </w:tcBorders>
            <w:vAlign w:val="center"/>
          </w:tcPr>
          <w:p w14:paraId="5BD39C12">
            <w:pPr>
              <w:pStyle w:val="731"/>
              <w:tabs>
                <w:tab w:val="left" w:pos="1337"/>
              </w:tabs>
              <w:spacing w:line="360" w:lineRule="auto"/>
              <w:jc w:val="center"/>
              <w:rPr>
                <w:rFonts w:hint="eastAsia" w:ascii="仿宋" w:hAnsi="仿宋" w:eastAsia="仿宋" w:cs="仿宋"/>
                <w:color w:val="auto"/>
                <w:sz w:val="24"/>
                <w:highlight w:val="none"/>
              </w:rPr>
            </w:pPr>
          </w:p>
        </w:tc>
      </w:tr>
      <w:tr w14:paraId="38F2A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3" w:type="dxa"/>
            <w:tcBorders>
              <w:top w:val="single" w:color="auto" w:sz="4" w:space="0"/>
              <w:left w:val="single" w:color="auto" w:sz="12" w:space="0"/>
              <w:bottom w:val="single" w:color="auto" w:sz="4" w:space="0"/>
              <w:right w:val="single" w:color="auto" w:sz="4" w:space="0"/>
            </w:tcBorders>
            <w:vAlign w:val="center"/>
          </w:tcPr>
          <w:p w14:paraId="0F7B5315">
            <w:pPr>
              <w:pStyle w:val="731"/>
              <w:tabs>
                <w:tab w:val="left" w:pos="1337"/>
              </w:tabs>
              <w:spacing w:line="360" w:lineRule="auto"/>
              <w:jc w:val="center"/>
              <w:rPr>
                <w:rFonts w:hint="eastAsia" w:ascii="仿宋" w:hAnsi="仿宋" w:eastAsia="仿宋" w:cs="仿宋"/>
                <w:color w:val="auto"/>
                <w:sz w:val="24"/>
                <w:highlight w:val="none"/>
              </w:rPr>
            </w:pPr>
          </w:p>
        </w:tc>
        <w:tc>
          <w:tcPr>
            <w:tcW w:w="2821" w:type="dxa"/>
            <w:tcBorders>
              <w:top w:val="single" w:color="auto" w:sz="4" w:space="0"/>
              <w:left w:val="single" w:color="auto" w:sz="4" w:space="0"/>
              <w:bottom w:val="single" w:color="auto" w:sz="4" w:space="0"/>
              <w:right w:val="single" w:color="auto" w:sz="4" w:space="0"/>
            </w:tcBorders>
            <w:vAlign w:val="center"/>
          </w:tcPr>
          <w:p w14:paraId="435AE15A">
            <w:pPr>
              <w:pStyle w:val="731"/>
              <w:tabs>
                <w:tab w:val="left" w:pos="1337"/>
              </w:tabs>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19" w:type="dxa"/>
            <w:tcBorders>
              <w:top w:val="single" w:color="auto" w:sz="4" w:space="0"/>
              <w:left w:val="single" w:color="auto" w:sz="4" w:space="0"/>
              <w:bottom w:val="single" w:color="auto" w:sz="4" w:space="0"/>
              <w:right w:val="single" w:color="auto" w:sz="4" w:space="0"/>
            </w:tcBorders>
          </w:tcPr>
          <w:p w14:paraId="58EC8FBB">
            <w:pPr>
              <w:pStyle w:val="731"/>
              <w:tabs>
                <w:tab w:val="left" w:pos="1337"/>
              </w:tabs>
              <w:spacing w:line="360" w:lineRule="auto"/>
              <w:jc w:val="center"/>
              <w:rPr>
                <w:rFonts w:hint="eastAsia" w:ascii="仿宋" w:hAnsi="仿宋" w:eastAsia="仿宋" w:cs="仿宋"/>
                <w:color w:val="auto"/>
                <w:sz w:val="24"/>
                <w:highlight w:val="none"/>
              </w:rPr>
            </w:pPr>
          </w:p>
        </w:tc>
        <w:tc>
          <w:tcPr>
            <w:tcW w:w="1719" w:type="dxa"/>
            <w:tcBorders>
              <w:top w:val="single" w:color="auto" w:sz="4" w:space="0"/>
              <w:left w:val="single" w:color="auto" w:sz="4" w:space="0"/>
              <w:bottom w:val="single" w:color="auto" w:sz="4" w:space="0"/>
              <w:right w:val="single" w:color="auto" w:sz="4" w:space="0"/>
            </w:tcBorders>
          </w:tcPr>
          <w:p w14:paraId="297197E9">
            <w:pPr>
              <w:pStyle w:val="731"/>
              <w:tabs>
                <w:tab w:val="left" w:pos="1337"/>
              </w:tabs>
              <w:spacing w:line="360" w:lineRule="auto"/>
              <w:jc w:val="center"/>
              <w:rPr>
                <w:rFonts w:hint="eastAsia" w:ascii="仿宋" w:hAnsi="仿宋" w:eastAsia="仿宋" w:cs="仿宋"/>
                <w:color w:val="auto"/>
                <w:sz w:val="24"/>
                <w:highlight w:val="none"/>
              </w:rPr>
            </w:pPr>
          </w:p>
        </w:tc>
        <w:tc>
          <w:tcPr>
            <w:tcW w:w="955" w:type="dxa"/>
            <w:tcBorders>
              <w:top w:val="single" w:color="auto" w:sz="4" w:space="0"/>
              <w:left w:val="single" w:color="auto" w:sz="4" w:space="0"/>
              <w:bottom w:val="single" w:color="auto" w:sz="4" w:space="0"/>
              <w:right w:val="single" w:color="auto" w:sz="4" w:space="0"/>
            </w:tcBorders>
          </w:tcPr>
          <w:p w14:paraId="0DA45827">
            <w:pPr>
              <w:pStyle w:val="731"/>
              <w:tabs>
                <w:tab w:val="left" w:pos="1337"/>
              </w:tabs>
              <w:spacing w:line="360" w:lineRule="auto"/>
              <w:jc w:val="center"/>
              <w:rPr>
                <w:rFonts w:hint="eastAsia" w:ascii="仿宋" w:hAnsi="仿宋" w:eastAsia="仿宋" w:cs="仿宋"/>
                <w:color w:val="auto"/>
                <w:sz w:val="24"/>
                <w:highlight w:val="none"/>
              </w:rPr>
            </w:pPr>
          </w:p>
        </w:tc>
        <w:tc>
          <w:tcPr>
            <w:tcW w:w="955" w:type="dxa"/>
            <w:tcBorders>
              <w:top w:val="single" w:color="auto" w:sz="4" w:space="0"/>
              <w:left w:val="single" w:color="auto" w:sz="4" w:space="0"/>
              <w:bottom w:val="single" w:color="auto" w:sz="4" w:space="0"/>
              <w:right w:val="single" w:color="auto" w:sz="4" w:space="0"/>
            </w:tcBorders>
          </w:tcPr>
          <w:p w14:paraId="7AB8B367">
            <w:pPr>
              <w:pStyle w:val="731"/>
              <w:tabs>
                <w:tab w:val="left" w:pos="1337"/>
              </w:tabs>
              <w:spacing w:line="360" w:lineRule="auto"/>
              <w:jc w:val="center"/>
              <w:rPr>
                <w:rFonts w:hint="eastAsia" w:ascii="仿宋" w:hAnsi="仿宋" w:eastAsia="仿宋" w:cs="仿宋"/>
                <w:color w:val="auto"/>
                <w:sz w:val="24"/>
                <w:highlight w:val="none"/>
              </w:rPr>
            </w:pPr>
          </w:p>
        </w:tc>
        <w:tc>
          <w:tcPr>
            <w:tcW w:w="1146" w:type="dxa"/>
            <w:tcBorders>
              <w:top w:val="single" w:color="auto" w:sz="4" w:space="0"/>
              <w:left w:val="single" w:color="auto" w:sz="4" w:space="0"/>
              <w:bottom w:val="single" w:color="auto" w:sz="4" w:space="0"/>
              <w:right w:val="single" w:color="auto" w:sz="12" w:space="0"/>
            </w:tcBorders>
            <w:vAlign w:val="center"/>
          </w:tcPr>
          <w:p w14:paraId="7B35BAC6">
            <w:pPr>
              <w:pStyle w:val="731"/>
              <w:tabs>
                <w:tab w:val="left" w:pos="1337"/>
              </w:tabs>
              <w:spacing w:line="360" w:lineRule="auto"/>
              <w:jc w:val="center"/>
              <w:rPr>
                <w:rFonts w:hint="eastAsia" w:ascii="仿宋" w:hAnsi="仿宋" w:eastAsia="仿宋" w:cs="仿宋"/>
                <w:color w:val="auto"/>
                <w:sz w:val="24"/>
                <w:highlight w:val="none"/>
              </w:rPr>
            </w:pPr>
          </w:p>
        </w:tc>
      </w:tr>
      <w:tr w14:paraId="7CF1A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3" w:type="dxa"/>
            <w:tcBorders>
              <w:top w:val="single" w:color="auto" w:sz="4" w:space="0"/>
              <w:left w:val="single" w:color="auto" w:sz="12" w:space="0"/>
              <w:bottom w:val="single" w:color="auto" w:sz="4" w:space="0"/>
              <w:right w:val="single" w:color="auto" w:sz="4" w:space="0"/>
            </w:tcBorders>
            <w:vAlign w:val="center"/>
          </w:tcPr>
          <w:p w14:paraId="0C640A01">
            <w:pPr>
              <w:pStyle w:val="731"/>
              <w:tabs>
                <w:tab w:val="left" w:pos="1337"/>
              </w:tabs>
              <w:spacing w:line="360" w:lineRule="auto"/>
              <w:jc w:val="center"/>
              <w:rPr>
                <w:rFonts w:hint="eastAsia" w:ascii="仿宋" w:hAnsi="仿宋" w:eastAsia="仿宋" w:cs="仿宋"/>
                <w:color w:val="auto"/>
                <w:sz w:val="24"/>
                <w:highlight w:val="none"/>
              </w:rPr>
            </w:pPr>
          </w:p>
        </w:tc>
        <w:tc>
          <w:tcPr>
            <w:tcW w:w="2821" w:type="dxa"/>
            <w:tcBorders>
              <w:top w:val="single" w:color="auto" w:sz="4" w:space="0"/>
              <w:left w:val="single" w:color="auto" w:sz="4" w:space="0"/>
              <w:bottom w:val="single" w:color="auto" w:sz="4" w:space="0"/>
              <w:right w:val="single" w:color="auto" w:sz="4" w:space="0"/>
            </w:tcBorders>
            <w:vAlign w:val="center"/>
          </w:tcPr>
          <w:p w14:paraId="3A07E9E0">
            <w:pPr>
              <w:pStyle w:val="731"/>
              <w:tabs>
                <w:tab w:val="left" w:pos="1337"/>
              </w:tabs>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19" w:type="dxa"/>
            <w:tcBorders>
              <w:top w:val="single" w:color="auto" w:sz="4" w:space="0"/>
              <w:left w:val="single" w:color="auto" w:sz="4" w:space="0"/>
              <w:bottom w:val="single" w:color="auto" w:sz="4" w:space="0"/>
              <w:right w:val="single" w:color="auto" w:sz="4" w:space="0"/>
            </w:tcBorders>
          </w:tcPr>
          <w:p w14:paraId="5AFB161A">
            <w:pPr>
              <w:pStyle w:val="731"/>
              <w:tabs>
                <w:tab w:val="left" w:pos="1337"/>
              </w:tabs>
              <w:spacing w:line="360" w:lineRule="auto"/>
              <w:jc w:val="center"/>
              <w:rPr>
                <w:rFonts w:hint="eastAsia" w:ascii="仿宋" w:hAnsi="仿宋" w:eastAsia="仿宋" w:cs="仿宋"/>
                <w:color w:val="auto"/>
                <w:sz w:val="24"/>
                <w:highlight w:val="none"/>
              </w:rPr>
            </w:pPr>
          </w:p>
        </w:tc>
        <w:tc>
          <w:tcPr>
            <w:tcW w:w="1719" w:type="dxa"/>
            <w:tcBorders>
              <w:top w:val="single" w:color="auto" w:sz="4" w:space="0"/>
              <w:left w:val="single" w:color="auto" w:sz="4" w:space="0"/>
              <w:bottom w:val="single" w:color="auto" w:sz="4" w:space="0"/>
              <w:right w:val="single" w:color="auto" w:sz="4" w:space="0"/>
            </w:tcBorders>
          </w:tcPr>
          <w:p w14:paraId="513F236D">
            <w:pPr>
              <w:pStyle w:val="731"/>
              <w:tabs>
                <w:tab w:val="left" w:pos="1337"/>
              </w:tabs>
              <w:spacing w:line="360" w:lineRule="auto"/>
              <w:jc w:val="center"/>
              <w:rPr>
                <w:rFonts w:hint="eastAsia" w:ascii="仿宋" w:hAnsi="仿宋" w:eastAsia="仿宋" w:cs="仿宋"/>
                <w:color w:val="auto"/>
                <w:sz w:val="24"/>
                <w:highlight w:val="none"/>
              </w:rPr>
            </w:pPr>
          </w:p>
        </w:tc>
        <w:tc>
          <w:tcPr>
            <w:tcW w:w="955" w:type="dxa"/>
            <w:tcBorders>
              <w:top w:val="single" w:color="auto" w:sz="4" w:space="0"/>
              <w:left w:val="single" w:color="auto" w:sz="4" w:space="0"/>
              <w:bottom w:val="single" w:color="auto" w:sz="4" w:space="0"/>
              <w:right w:val="single" w:color="auto" w:sz="4" w:space="0"/>
            </w:tcBorders>
          </w:tcPr>
          <w:p w14:paraId="6A505DB0">
            <w:pPr>
              <w:pStyle w:val="731"/>
              <w:tabs>
                <w:tab w:val="left" w:pos="1337"/>
              </w:tabs>
              <w:spacing w:line="360" w:lineRule="auto"/>
              <w:jc w:val="center"/>
              <w:rPr>
                <w:rFonts w:hint="eastAsia" w:ascii="仿宋" w:hAnsi="仿宋" w:eastAsia="仿宋" w:cs="仿宋"/>
                <w:color w:val="auto"/>
                <w:sz w:val="24"/>
                <w:highlight w:val="none"/>
              </w:rPr>
            </w:pPr>
          </w:p>
        </w:tc>
        <w:tc>
          <w:tcPr>
            <w:tcW w:w="955" w:type="dxa"/>
            <w:tcBorders>
              <w:top w:val="single" w:color="auto" w:sz="4" w:space="0"/>
              <w:left w:val="single" w:color="auto" w:sz="4" w:space="0"/>
              <w:bottom w:val="single" w:color="auto" w:sz="4" w:space="0"/>
              <w:right w:val="single" w:color="auto" w:sz="4" w:space="0"/>
            </w:tcBorders>
            <w:vAlign w:val="center"/>
          </w:tcPr>
          <w:p w14:paraId="714CF18D">
            <w:pPr>
              <w:pStyle w:val="731"/>
              <w:tabs>
                <w:tab w:val="left" w:pos="1337"/>
              </w:tabs>
              <w:spacing w:line="360" w:lineRule="auto"/>
              <w:jc w:val="center"/>
              <w:rPr>
                <w:rFonts w:hint="eastAsia" w:ascii="仿宋" w:hAnsi="仿宋" w:eastAsia="仿宋" w:cs="仿宋"/>
                <w:color w:val="auto"/>
                <w:sz w:val="24"/>
                <w:highlight w:val="none"/>
              </w:rPr>
            </w:pPr>
          </w:p>
        </w:tc>
        <w:tc>
          <w:tcPr>
            <w:tcW w:w="1146" w:type="dxa"/>
            <w:tcBorders>
              <w:top w:val="single" w:color="auto" w:sz="4" w:space="0"/>
              <w:left w:val="single" w:color="auto" w:sz="4" w:space="0"/>
              <w:bottom w:val="single" w:color="auto" w:sz="4" w:space="0"/>
              <w:right w:val="single" w:color="auto" w:sz="12" w:space="0"/>
            </w:tcBorders>
            <w:vAlign w:val="center"/>
          </w:tcPr>
          <w:p w14:paraId="721E5AB3">
            <w:pPr>
              <w:pStyle w:val="731"/>
              <w:tabs>
                <w:tab w:val="left" w:pos="1337"/>
              </w:tabs>
              <w:spacing w:line="360" w:lineRule="auto"/>
              <w:jc w:val="center"/>
              <w:rPr>
                <w:rFonts w:hint="eastAsia" w:ascii="仿宋" w:hAnsi="仿宋" w:eastAsia="仿宋" w:cs="仿宋"/>
                <w:color w:val="auto"/>
                <w:sz w:val="24"/>
                <w:highlight w:val="none"/>
              </w:rPr>
            </w:pPr>
          </w:p>
        </w:tc>
      </w:tr>
      <w:tr w14:paraId="3EAB4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3" w:type="dxa"/>
            <w:tcBorders>
              <w:top w:val="single" w:color="auto" w:sz="4" w:space="0"/>
              <w:left w:val="single" w:color="auto" w:sz="12" w:space="0"/>
              <w:bottom w:val="single" w:color="auto" w:sz="12" w:space="0"/>
              <w:right w:val="single" w:color="auto" w:sz="4" w:space="0"/>
            </w:tcBorders>
            <w:vAlign w:val="center"/>
          </w:tcPr>
          <w:p w14:paraId="0533DE36">
            <w:pPr>
              <w:pStyle w:val="731"/>
              <w:tabs>
                <w:tab w:val="left" w:pos="1337"/>
              </w:tabs>
              <w:spacing w:line="360" w:lineRule="auto"/>
              <w:jc w:val="center"/>
              <w:rPr>
                <w:rFonts w:hint="eastAsia" w:ascii="仿宋" w:hAnsi="仿宋" w:eastAsia="仿宋" w:cs="仿宋"/>
                <w:color w:val="auto"/>
                <w:sz w:val="24"/>
                <w:highlight w:val="none"/>
              </w:rPr>
            </w:pPr>
          </w:p>
        </w:tc>
        <w:tc>
          <w:tcPr>
            <w:tcW w:w="2821" w:type="dxa"/>
            <w:tcBorders>
              <w:top w:val="single" w:color="auto" w:sz="4" w:space="0"/>
              <w:left w:val="single" w:color="auto" w:sz="4" w:space="0"/>
              <w:bottom w:val="single" w:color="auto" w:sz="12" w:space="0"/>
              <w:right w:val="single" w:color="auto" w:sz="4" w:space="0"/>
            </w:tcBorders>
            <w:vAlign w:val="center"/>
          </w:tcPr>
          <w:p w14:paraId="6E42F900">
            <w:pPr>
              <w:pStyle w:val="731"/>
              <w:tabs>
                <w:tab w:val="left" w:pos="1337"/>
              </w:tabs>
              <w:spacing w:line="360" w:lineRule="auto"/>
              <w:jc w:val="center"/>
              <w:rPr>
                <w:rFonts w:hint="eastAsia" w:ascii="仿宋" w:hAnsi="仿宋" w:eastAsia="仿宋" w:cs="仿宋"/>
                <w:color w:val="auto"/>
                <w:sz w:val="24"/>
                <w:highlight w:val="none"/>
              </w:rPr>
            </w:pPr>
          </w:p>
        </w:tc>
        <w:tc>
          <w:tcPr>
            <w:tcW w:w="3038" w:type="dxa"/>
            <w:gridSpan w:val="2"/>
            <w:tcBorders>
              <w:top w:val="single" w:color="auto" w:sz="4" w:space="0"/>
              <w:left w:val="single" w:color="auto" w:sz="4" w:space="0"/>
              <w:bottom w:val="single" w:color="auto" w:sz="12" w:space="0"/>
              <w:right w:val="single" w:color="auto" w:sz="4" w:space="0"/>
            </w:tcBorders>
          </w:tcPr>
          <w:p w14:paraId="63B8ECCB">
            <w:pPr>
              <w:pStyle w:val="731"/>
              <w:tabs>
                <w:tab w:val="left" w:pos="1337"/>
              </w:tabs>
              <w:spacing w:line="360" w:lineRule="auto"/>
              <w:jc w:val="center"/>
              <w:rPr>
                <w:rFonts w:hint="eastAsia" w:ascii="仿宋" w:hAnsi="仿宋" w:eastAsia="仿宋" w:cs="仿宋"/>
                <w:color w:val="auto"/>
                <w:sz w:val="24"/>
                <w:highlight w:val="none"/>
              </w:rPr>
            </w:pPr>
          </w:p>
        </w:tc>
        <w:tc>
          <w:tcPr>
            <w:tcW w:w="955" w:type="dxa"/>
            <w:tcBorders>
              <w:top w:val="single" w:color="auto" w:sz="4" w:space="0"/>
              <w:left w:val="single" w:color="auto" w:sz="4" w:space="0"/>
              <w:bottom w:val="single" w:color="auto" w:sz="12" w:space="0"/>
              <w:right w:val="single" w:color="auto" w:sz="4" w:space="0"/>
            </w:tcBorders>
          </w:tcPr>
          <w:p w14:paraId="4C7A9876">
            <w:pPr>
              <w:pStyle w:val="731"/>
              <w:tabs>
                <w:tab w:val="left" w:pos="1337"/>
              </w:tabs>
              <w:spacing w:line="360" w:lineRule="auto"/>
              <w:jc w:val="center"/>
              <w:rPr>
                <w:rFonts w:hint="eastAsia" w:ascii="仿宋" w:hAnsi="仿宋" w:eastAsia="仿宋" w:cs="仿宋"/>
                <w:color w:val="auto"/>
                <w:sz w:val="24"/>
                <w:highlight w:val="none"/>
              </w:rPr>
            </w:pPr>
          </w:p>
        </w:tc>
        <w:tc>
          <w:tcPr>
            <w:tcW w:w="955" w:type="dxa"/>
            <w:tcBorders>
              <w:top w:val="single" w:color="auto" w:sz="4" w:space="0"/>
              <w:left w:val="single" w:color="auto" w:sz="4" w:space="0"/>
              <w:bottom w:val="single" w:color="auto" w:sz="12" w:space="0"/>
              <w:right w:val="single" w:color="auto" w:sz="4" w:space="0"/>
            </w:tcBorders>
            <w:vAlign w:val="center"/>
          </w:tcPr>
          <w:p w14:paraId="22BE1132">
            <w:pPr>
              <w:pStyle w:val="731"/>
              <w:tabs>
                <w:tab w:val="left" w:pos="1337"/>
              </w:tabs>
              <w:spacing w:line="360" w:lineRule="auto"/>
              <w:jc w:val="center"/>
              <w:rPr>
                <w:rFonts w:hint="eastAsia" w:ascii="仿宋" w:hAnsi="仿宋" w:eastAsia="仿宋" w:cs="仿宋"/>
                <w:color w:val="auto"/>
                <w:sz w:val="24"/>
                <w:highlight w:val="none"/>
              </w:rPr>
            </w:pPr>
          </w:p>
        </w:tc>
        <w:tc>
          <w:tcPr>
            <w:tcW w:w="1146" w:type="dxa"/>
            <w:tcBorders>
              <w:top w:val="single" w:color="auto" w:sz="4" w:space="0"/>
              <w:left w:val="single" w:color="auto" w:sz="4" w:space="0"/>
              <w:bottom w:val="single" w:color="auto" w:sz="12" w:space="0"/>
              <w:right w:val="single" w:color="auto" w:sz="12" w:space="0"/>
            </w:tcBorders>
            <w:vAlign w:val="center"/>
          </w:tcPr>
          <w:p w14:paraId="1B78AAD3">
            <w:pPr>
              <w:pStyle w:val="731"/>
              <w:tabs>
                <w:tab w:val="left" w:pos="1337"/>
              </w:tabs>
              <w:spacing w:line="360" w:lineRule="auto"/>
              <w:jc w:val="center"/>
              <w:rPr>
                <w:rFonts w:hint="eastAsia" w:ascii="仿宋" w:hAnsi="仿宋" w:eastAsia="仿宋" w:cs="仿宋"/>
                <w:color w:val="auto"/>
                <w:sz w:val="24"/>
                <w:highlight w:val="none"/>
              </w:rPr>
            </w:pPr>
          </w:p>
        </w:tc>
      </w:tr>
      <w:tr w14:paraId="07CF8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3" w:type="dxa"/>
            <w:tcBorders>
              <w:top w:val="single" w:color="auto" w:sz="4" w:space="0"/>
              <w:left w:val="single" w:color="auto" w:sz="12" w:space="0"/>
              <w:bottom w:val="single" w:color="auto" w:sz="12" w:space="0"/>
              <w:right w:val="single" w:color="auto" w:sz="4" w:space="0"/>
            </w:tcBorders>
            <w:vAlign w:val="center"/>
          </w:tcPr>
          <w:p w14:paraId="0E31A070">
            <w:pPr>
              <w:pStyle w:val="731"/>
              <w:tabs>
                <w:tab w:val="left" w:pos="1337"/>
              </w:tabs>
              <w:spacing w:line="360" w:lineRule="auto"/>
              <w:jc w:val="center"/>
              <w:rPr>
                <w:rFonts w:hint="eastAsia" w:ascii="仿宋" w:hAnsi="仿宋" w:eastAsia="仿宋" w:cs="仿宋"/>
                <w:color w:val="auto"/>
                <w:sz w:val="24"/>
                <w:highlight w:val="none"/>
              </w:rPr>
            </w:pPr>
          </w:p>
        </w:tc>
        <w:tc>
          <w:tcPr>
            <w:tcW w:w="2821" w:type="dxa"/>
            <w:tcBorders>
              <w:top w:val="single" w:color="auto" w:sz="4" w:space="0"/>
              <w:left w:val="single" w:color="auto" w:sz="4" w:space="0"/>
              <w:bottom w:val="single" w:color="auto" w:sz="12" w:space="0"/>
              <w:right w:val="single" w:color="auto" w:sz="4" w:space="0"/>
            </w:tcBorders>
            <w:vAlign w:val="center"/>
          </w:tcPr>
          <w:p w14:paraId="246A9D1F">
            <w:pPr>
              <w:pStyle w:val="731"/>
              <w:tabs>
                <w:tab w:val="left" w:pos="1337"/>
              </w:tabs>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安装调试费</w:t>
            </w:r>
          </w:p>
        </w:tc>
        <w:tc>
          <w:tcPr>
            <w:tcW w:w="3038" w:type="dxa"/>
            <w:gridSpan w:val="2"/>
            <w:tcBorders>
              <w:top w:val="single" w:color="auto" w:sz="4" w:space="0"/>
              <w:left w:val="single" w:color="auto" w:sz="4" w:space="0"/>
              <w:bottom w:val="single" w:color="auto" w:sz="12" w:space="0"/>
              <w:right w:val="single" w:color="auto" w:sz="4" w:space="0"/>
            </w:tcBorders>
          </w:tcPr>
          <w:p w14:paraId="29A8D9CA">
            <w:pPr>
              <w:pStyle w:val="731"/>
              <w:tabs>
                <w:tab w:val="left" w:pos="1337"/>
              </w:tabs>
              <w:spacing w:line="360" w:lineRule="auto"/>
              <w:jc w:val="center"/>
              <w:rPr>
                <w:rFonts w:hint="eastAsia" w:ascii="仿宋" w:hAnsi="仿宋" w:eastAsia="仿宋" w:cs="仿宋"/>
                <w:color w:val="auto"/>
                <w:sz w:val="24"/>
                <w:highlight w:val="none"/>
              </w:rPr>
            </w:pPr>
          </w:p>
        </w:tc>
        <w:tc>
          <w:tcPr>
            <w:tcW w:w="955" w:type="dxa"/>
            <w:tcBorders>
              <w:top w:val="single" w:color="auto" w:sz="4" w:space="0"/>
              <w:left w:val="single" w:color="auto" w:sz="4" w:space="0"/>
              <w:bottom w:val="single" w:color="auto" w:sz="12" w:space="0"/>
              <w:right w:val="single" w:color="auto" w:sz="4" w:space="0"/>
            </w:tcBorders>
          </w:tcPr>
          <w:p w14:paraId="04F83EF7">
            <w:pPr>
              <w:pStyle w:val="731"/>
              <w:tabs>
                <w:tab w:val="left" w:pos="1337"/>
              </w:tabs>
              <w:spacing w:line="360" w:lineRule="auto"/>
              <w:jc w:val="center"/>
              <w:rPr>
                <w:rFonts w:hint="eastAsia" w:ascii="仿宋" w:hAnsi="仿宋" w:eastAsia="仿宋" w:cs="仿宋"/>
                <w:color w:val="auto"/>
                <w:sz w:val="24"/>
                <w:highlight w:val="none"/>
              </w:rPr>
            </w:pPr>
          </w:p>
        </w:tc>
        <w:tc>
          <w:tcPr>
            <w:tcW w:w="955" w:type="dxa"/>
            <w:tcBorders>
              <w:top w:val="single" w:color="auto" w:sz="4" w:space="0"/>
              <w:left w:val="single" w:color="auto" w:sz="4" w:space="0"/>
              <w:bottom w:val="single" w:color="auto" w:sz="12" w:space="0"/>
              <w:right w:val="single" w:color="auto" w:sz="4" w:space="0"/>
            </w:tcBorders>
            <w:vAlign w:val="center"/>
          </w:tcPr>
          <w:p w14:paraId="223D064C">
            <w:pPr>
              <w:pStyle w:val="731"/>
              <w:tabs>
                <w:tab w:val="left" w:pos="1337"/>
              </w:tabs>
              <w:spacing w:line="360" w:lineRule="auto"/>
              <w:jc w:val="center"/>
              <w:rPr>
                <w:rFonts w:hint="eastAsia" w:ascii="仿宋" w:hAnsi="仿宋" w:eastAsia="仿宋" w:cs="仿宋"/>
                <w:color w:val="auto"/>
                <w:sz w:val="24"/>
                <w:highlight w:val="none"/>
              </w:rPr>
            </w:pPr>
          </w:p>
        </w:tc>
        <w:tc>
          <w:tcPr>
            <w:tcW w:w="1146" w:type="dxa"/>
            <w:tcBorders>
              <w:top w:val="single" w:color="auto" w:sz="4" w:space="0"/>
              <w:left w:val="single" w:color="auto" w:sz="4" w:space="0"/>
              <w:bottom w:val="single" w:color="auto" w:sz="12" w:space="0"/>
              <w:right w:val="single" w:color="auto" w:sz="12" w:space="0"/>
            </w:tcBorders>
            <w:vAlign w:val="center"/>
          </w:tcPr>
          <w:p w14:paraId="15A9CB15">
            <w:pPr>
              <w:pStyle w:val="731"/>
              <w:tabs>
                <w:tab w:val="left" w:pos="1337"/>
              </w:tabs>
              <w:spacing w:line="360" w:lineRule="auto"/>
              <w:jc w:val="center"/>
              <w:rPr>
                <w:rFonts w:hint="eastAsia" w:ascii="仿宋" w:hAnsi="仿宋" w:eastAsia="仿宋" w:cs="仿宋"/>
                <w:color w:val="auto"/>
                <w:sz w:val="24"/>
                <w:highlight w:val="none"/>
              </w:rPr>
            </w:pPr>
          </w:p>
        </w:tc>
      </w:tr>
      <w:tr w14:paraId="788EC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3" w:type="dxa"/>
            <w:tcBorders>
              <w:top w:val="single" w:color="auto" w:sz="4" w:space="0"/>
              <w:left w:val="single" w:color="auto" w:sz="12" w:space="0"/>
              <w:bottom w:val="single" w:color="auto" w:sz="12" w:space="0"/>
              <w:right w:val="single" w:color="auto" w:sz="4" w:space="0"/>
            </w:tcBorders>
            <w:vAlign w:val="center"/>
          </w:tcPr>
          <w:p w14:paraId="29678FA1">
            <w:pPr>
              <w:pStyle w:val="731"/>
              <w:tabs>
                <w:tab w:val="left" w:pos="1337"/>
              </w:tabs>
              <w:spacing w:line="360" w:lineRule="auto"/>
              <w:jc w:val="center"/>
              <w:rPr>
                <w:rFonts w:hint="eastAsia" w:ascii="仿宋" w:hAnsi="仿宋" w:eastAsia="仿宋" w:cs="仿宋"/>
                <w:color w:val="auto"/>
                <w:sz w:val="24"/>
                <w:highlight w:val="none"/>
              </w:rPr>
            </w:pPr>
          </w:p>
        </w:tc>
        <w:tc>
          <w:tcPr>
            <w:tcW w:w="2821" w:type="dxa"/>
            <w:tcBorders>
              <w:top w:val="single" w:color="auto" w:sz="4" w:space="0"/>
              <w:left w:val="single" w:color="auto" w:sz="4" w:space="0"/>
              <w:bottom w:val="single" w:color="auto" w:sz="12" w:space="0"/>
              <w:right w:val="single" w:color="auto" w:sz="4" w:space="0"/>
            </w:tcBorders>
            <w:vAlign w:val="center"/>
          </w:tcPr>
          <w:p w14:paraId="01C1A576">
            <w:pPr>
              <w:pStyle w:val="731"/>
              <w:tabs>
                <w:tab w:val="left" w:pos="1337"/>
              </w:tabs>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技术支持费</w:t>
            </w:r>
          </w:p>
        </w:tc>
        <w:tc>
          <w:tcPr>
            <w:tcW w:w="3038" w:type="dxa"/>
            <w:gridSpan w:val="2"/>
            <w:tcBorders>
              <w:top w:val="single" w:color="auto" w:sz="4" w:space="0"/>
              <w:left w:val="single" w:color="auto" w:sz="4" w:space="0"/>
              <w:bottom w:val="single" w:color="auto" w:sz="12" w:space="0"/>
              <w:right w:val="single" w:color="auto" w:sz="4" w:space="0"/>
            </w:tcBorders>
          </w:tcPr>
          <w:p w14:paraId="63B442DC">
            <w:pPr>
              <w:pStyle w:val="731"/>
              <w:tabs>
                <w:tab w:val="left" w:pos="1337"/>
              </w:tabs>
              <w:spacing w:line="360" w:lineRule="auto"/>
              <w:jc w:val="center"/>
              <w:rPr>
                <w:rFonts w:hint="eastAsia" w:ascii="仿宋" w:hAnsi="仿宋" w:eastAsia="仿宋" w:cs="仿宋"/>
                <w:color w:val="auto"/>
                <w:sz w:val="24"/>
                <w:highlight w:val="none"/>
              </w:rPr>
            </w:pPr>
          </w:p>
        </w:tc>
        <w:tc>
          <w:tcPr>
            <w:tcW w:w="955" w:type="dxa"/>
            <w:tcBorders>
              <w:top w:val="single" w:color="auto" w:sz="4" w:space="0"/>
              <w:left w:val="single" w:color="auto" w:sz="4" w:space="0"/>
              <w:bottom w:val="single" w:color="auto" w:sz="12" w:space="0"/>
              <w:right w:val="single" w:color="auto" w:sz="4" w:space="0"/>
            </w:tcBorders>
          </w:tcPr>
          <w:p w14:paraId="2D4A6CC1">
            <w:pPr>
              <w:pStyle w:val="731"/>
              <w:tabs>
                <w:tab w:val="left" w:pos="1337"/>
              </w:tabs>
              <w:spacing w:line="360" w:lineRule="auto"/>
              <w:jc w:val="center"/>
              <w:rPr>
                <w:rFonts w:hint="eastAsia" w:ascii="仿宋" w:hAnsi="仿宋" w:eastAsia="仿宋" w:cs="仿宋"/>
                <w:color w:val="auto"/>
                <w:sz w:val="24"/>
                <w:highlight w:val="none"/>
              </w:rPr>
            </w:pPr>
          </w:p>
        </w:tc>
        <w:tc>
          <w:tcPr>
            <w:tcW w:w="955" w:type="dxa"/>
            <w:tcBorders>
              <w:top w:val="single" w:color="auto" w:sz="4" w:space="0"/>
              <w:left w:val="single" w:color="auto" w:sz="4" w:space="0"/>
              <w:bottom w:val="single" w:color="auto" w:sz="12" w:space="0"/>
              <w:right w:val="single" w:color="auto" w:sz="4" w:space="0"/>
            </w:tcBorders>
            <w:vAlign w:val="center"/>
          </w:tcPr>
          <w:p w14:paraId="43E72CA4">
            <w:pPr>
              <w:pStyle w:val="731"/>
              <w:tabs>
                <w:tab w:val="left" w:pos="1337"/>
              </w:tabs>
              <w:spacing w:line="360" w:lineRule="auto"/>
              <w:jc w:val="center"/>
              <w:rPr>
                <w:rFonts w:hint="eastAsia" w:ascii="仿宋" w:hAnsi="仿宋" w:eastAsia="仿宋" w:cs="仿宋"/>
                <w:color w:val="auto"/>
                <w:sz w:val="24"/>
                <w:highlight w:val="none"/>
              </w:rPr>
            </w:pPr>
          </w:p>
        </w:tc>
        <w:tc>
          <w:tcPr>
            <w:tcW w:w="1146" w:type="dxa"/>
            <w:tcBorders>
              <w:top w:val="single" w:color="auto" w:sz="4" w:space="0"/>
              <w:left w:val="single" w:color="auto" w:sz="4" w:space="0"/>
              <w:bottom w:val="single" w:color="auto" w:sz="12" w:space="0"/>
              <w:right w:val="single" w:color="auto" w:sz="12" w:space="0"/>
            </w:tcBorders>
            <w:vAlign w:val="center"/>
          </w:tcPr>
          <w:p w14:paraId="5A09B90D">
            <w:pPr>
              <w:pStyle w:val="731"/>
              <w:tabs>
                <w:tab w:val="left" w:pos="1337"/>
              </w:tabs>
              <w:spacing w:line="360" w:lineRule="auto"/>
              <w:jc w:val="center"/>
              <w:rPr>
                <w:rFonts w:hint="eastAsia" w:ascii="仿宋" w:hAnsi="仿宋" w:eastAsia="仿宋" w:cs="仿宋"/>
                <w:color w:val="auto"/>
                <w:sz w:val="24"/>
                <w:highlight w:val="none"/>
              </w:rPr>
            </w:pPr>
          </w:p>
        </w:tc>
      </w:tr>
      <w:tr w14:paraId="2D210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3" w:type="dxa"/>
            <w:tcBorders>
              <w:top w:val="single" w:color="auto" w:sz="4" w:space="0"/>
              <w:left w:val="single" w:color="auto" w:sz="12" w:space="0"/>
              <w:bottom w:val="single" w:color="auto" w:sz="12" w:space="0"/>
              <w:right w:val="single" w:color="auto" w:sz="4" w:space="0"/>
            </w:tcBorders>
            <w:vAlign w:val="center"/>
          </w:tcPr>
          <w:p w14:paraId="1F9F2FBD">
            <w:pPr>
              <w:pStyle w:val="731"/>
              <w:tabs>
                <w:tab w:val="left" w:pos="1337"/>
              </w:tabs>
              <w:spacing w:line="360" w:lineRule="auto"/>
              <w:jc w:val="center"/>
              <w:rPr>
                <w:rFonts w:hint="eastAsia" w:ascii="仿宋" w:hAnsi="仿宋" w:eastAsia="仿宋" w:cs="仿宋"/>
                <w:color w:val="auto"/>
                <w:sz w:val="24"/>
                <w:highlight w:val="none"/>
              </w:rPr>
            </w:pPr>
          </w:p>
        </w:tc>
        <w:tc>
          <w:tcPr>
            <w:tcW w:w="2821" w:type="dxa"/>
            <w:tcBorders>
              <w:top w:val="single" w:color="auto" w:sz="4" w:space="0"/>
              <w:left w:val="single" w:color="auto" w:sz="4" w:space="0"/>
              <w:bottom w:val="single" w:color="auto" w:sz="12" w:space="0"/>
              <w:right w:val="single" w:color="auto" w:sz="4" w:space="0"/>
            </w:tcBorders>
            <w:vAlign w:val="center"/>
          </w:tcPr>
          <w:p w14:paraId="0CA6DEBC">
            <w:pPr>
              <w:pStyle w:val="731"/>
              <w:tabs>
                <w:tab w:val="left" w:pos="1337"/>
              </w:tabs>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培训费</w:t>
            </w:r>
          </w:p>
        </w:tc>
        <w:tc>
          <w:tcPr>
            <w:tcW w:w="3038" w:type="dxa"/>
            <w:gridSpan w:val="2"/>
            <w:tcBorders>
              <w:top w:val="single" w:color="auto" w:sz="4" w:space="0"/>
              <w:left w:val="single" w:color="auto" w:sz="4" w:space="0"/>
              <w:bottom w:val="single" w:color="auto" w:sz="12" w:space="0"/>
              <w:right w:val="single" w:color="auto" w:sz="4" w:space="0"/>
            </w:tcBorders>
          </w:tcPr>
          <w:p w14:paraId="4FE6D7F6">
            <w:pPr>
              <w:pStyle w:val="731"/>
              <w:tabs>
                <w:tab w:val="left" w:pos="1337"/>
              </w:tabs>
              <w:spacing w:line="360" w:lineRule="auto"/>
              <w:jc w:val="center"/>
              <w:rPr>
                <w:rFonts w:hint="eastAsia" w:ascii="仿宋" w:hAnsi="仿宋" w:eastAsia="仿宋" w:cs="仿宋"/>
                <w:color w:val="auto"/>
                <w:sz w:val="24"/>
                <w:highlight w:val="none"/>
              </w:rPr>
            </w:pPr>
          </w:p>
        </w:tc>
        <w:tc>
          <w:tcPr>
            <w:tcW w:w="955" w:type="dxa"/>
            <w:tcBorders>
              <w:top w:val="single" w:color="auto" w:sz="4" w:space="0"/>
              <w:left w:val="single" w:color="auto" w:sz="4" w:space="0"/>
              <w:bottom w:val="single" w:color="auto" w:sz="12" w:space="0"/>
              <w:right w:val="single" w:color="auto" w:sz="4" w:space="0"/>
            </w:tcBorders>
          </w:tcPr>
          <w:p w14:paraId="55566E07">
            <w:pPr>
              <w:pStyle w:val="731"/>
              <w:tabs>
                <w:tab w:val="left" w:pos="1337"/>
              </w:tabs>
              <w:spacing w:line="360" w:lineRule="auto"/>
              <w:jc w:val="center"/>
              <w:rPr>
                <w:rFonts w:hint="eastAsia" w:ascii="仿宋" w:hAnsi="仿宋" w:eastAsia="仿宋" w:cs="仿宋"/>
                <w:color w:val="auto"/>
                <w:sz w:val="24"/>
                <w:highlight w:val="none"/>
              </w:rPr>
            </w:pPr>
          </w:p>
        </w:tc>
        <w:tc>
          <w:tcPr>
            <w:tcW w:w="955" w:type="dxa"/>
            <w:tcBorders>
              <w:top w:val="single" w:color="auto" w:sz="4" w:space="0"/>
              <w:left w:val="single" w:color="auto" w:sz="4" w:space="0"/>
              <w:bottom w:val="single" w:color="auto" w:sz="12" w:space="0"/>
              <w:right w:val="single" w:color="auto" w:sz="4" w:space="0"/>
            </w:tcBorders>
            <w:vAlign w:val="center"/>
          </w:tcPr>
          <w:p w14:paraId="4379DDEC">
            <w:pPr>
              <w:pStyle w:val="731"/>
              <w:tabs>
                <w:tab w:val="left" w:pos="1337"/>
              </w:tabs>
              <w:spacing w:line="360" w:lineRule="auto"/>
              <w:jc w:val="center"/>
              <w:rPr>
                <w:rFonts w:hint="eastAsia" w:ascii="仿宋" w:hAnsi="仿宋" w:eastAsia="仿宋" w:cs="仿宋"/>
                <w:color w:val="auto"/>
                <w:sz w:val="24"/>
                <w:highlight w:val="none"/>
              </w:rPr>
            </w:pPr>
          </w:p>
        </w:tc>
        <w:tc>
          <w:tcPr>
            <w:tcW w:w="1146" w:type="dxa"/>
            <w:tcBorders>
              <w:top w:val="single" w:color="auto" w:sz="4" w:space="0"/>
              <w:left w:val="single" w:color="auto" w:sz="4" w:space="0"/>
              <w:bottom w:val="single" w:color="auto" w:sz="12" w:space="0"/>
              <w:right w:val="single" w:color="auto" w:sz="12" w:space="0"/>
            </w:tcBorders>
            <w:vAlign w:val="center"/>
          </w:tcPr>
          <w:p w14:paraId="47150FB9">
            <w:pPr>
              <w:pStyle w:val="731"/>
              <w:tabs>
                <w:tab w:val="left" w:pos="1337"/>
              </w:tabs>
              <w:spacing w:line="360" w:lineRule="auto"/>
              <w:jc w:val="center"/>
              <w:rPr>
                <w:rFonts w:hint="eastAsia" w:ascii="仿宋" w:hAnsi="仿宋" w:eastAsia="仿宋" w:cs="仿宋"/>
                <w:color w:val="auto"/>
                <w:sz w:val="24"/>
                <w:highlight w:val="none"/>
              </w:rPr>
            </w:pPr>
          </w:p>
        </w:tc>
      </w:tr>
      <w:tr w14:paraId="4E92C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3" w:type="dxa"/>
            <w:tcBorders>
              <w:top w:val="single" w:color="auto" w:sz="4" w:space="0"/>
              <w:left w:val="single" w:color="auto" w:sz="12" w:space="0"/>
              <w:bottom w:val="single" w:color="auto" w:sz="12" w:space="0"/>
              <w:right w:val="single" w:color="auto" w:sz="4" w:space="0"/>
            </w:tcBorders>
            <w:vAlign w:val="center"/>
          </w:tcPr>
          <w:p w14:paraId="72342A65">
            <w:pPr>
              <w:pStyle w:val="731"/>
              <w:tabs>
                <w:tab w:val="left" w:pos="1337"/>
              </w:tabs>
              <w:spacing w:line="360" w:lineRule="auto"/>
              <w:jc w:val="center"/>
              <w:rPr>
                <w:rFonts w:hint="eastAsia" w:ascii="仿宋" w:hAnsi="仿宋" w:eastAsia="仿宋" w:cs="仿宋"/>
                <w:color w:val="auto"/>
                <w:sz w:val="24"/>
                <w:highlight w:val="none"/>
              </w:rPr>
            </w:pPr>
          </w:p>
        </w:tc>
        <w:tc>
          <w:tcPr>
            <w:tcW w:w="2821" w:type="dxa"/>
            <w:tcBorders>
              <w:top w:val="single" w:color="auto" w:sz="4" w:space="0"/>
              <w:left w:val="single" w:color="auto" w:sz="4" w:space="0"/>
              <w:bottom w:val="single" w:color="auto" w:sz="12" w:space="0"/>
              <w:right w:val="single" w:color="auto" w:sz="4" w:space="0"/>
            </w:tcBorders>
            <w:vAlign w:val="center"/>
          </w:tcPr>
          <w:p w14:paraId="135334A9">
            <w:pPr>
              <w:pStyle w:val="731"/>
              <w:tabs>
                <w:tab w:val="left" w:pos="1337"/>
              </w:tabs>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运输与保险费</w:t>
            </w:r>
          </w:p>
        </w:tc>
        <w:tc>
          <w:tcPr>
            <w:tcW w:w="3038" w:type="dxa"/>
            <w:gridSpan w:val="2"/>
            <w:tcBorders>
              <w:top w:val="single" w:color="auto" w:sz="4" w:space="0"/>
              <w:left w:val="single" w:color="auto" w:sz="4" w:space="0"/>
              <w:bottom w:val="single" w:color="auto" w:sz="12" w:space="0"/>
              <w:right w:val="single" w:color="auto" w:sz="4" w:space="0"/>
            </w:tcBorders>
          </w:tcPr>
          <w:p w14:paraId="53C4EB5C">
            <w:pPr>
              <w:pStyle w:val="731"/>
              <w:tabs>
                <w:tab w:val="left" w:pos="1337"/>
              </w:tabs>
              <w:spacing w:line="360" w:lineRule="auto"/>
              <w:jc w:val="center"/>
              <w:rPr>
                <w:rFonts w:hint="eastAsia" w:ascii="仿宋" w:hAnsi="仿宋" w:eastAsia="仿宋" w:cs="仿宋"/>
                <w:color w:val="auto"/>
                <w:sz w:val="24"/>
                <w:highlight w:val="none"/>
              </w:rPr>
            </w:pPr>
          </w:p>
        </w:tc>
        <w:tc>
          <w:tcPr>
            <w:tcW w:w="955" w:type="dxa"/>
            <w:tcBorders>
              <w:top w:val="single" w:color="auto" w:sz="4" w:space="0"/>
              <w:left w:val="single" w:color="auto" w:sz="4" w:space="0"/>
              <w:bottom w:val="single" w:color="auto" w:sz="12" w:space="0"/>
              <w:right w:val="single" w:color="auto" w:sz="4" w:space="0"/>
            </w:tcBorders>
          </w:tcPr>
          <w:p w14:paraId="74EB7794">
            <w:pPr>
              <w:pStyle w:val="731"/>
              <w:tabs>
                <w:tab w:val="left" w:pos="1337"/>
              </w:tabs>
              <w:spacing w:line="360" w:lineRule="auto"/>
              <w:jc w:val="center"/>
              <w:rPr>
                <w:rFonts w:hint="eastAsia" w:ascii="仿宋" w:hAnsi="仿宋" w:eastAsia="仿宋" w:cs="仿宋"/>
                <w:color w:val="auto"/>
                <w:sz w:val="24"/>
                <w:highlight w:val="none"/>
              </w:rPr>
            </w:pPr>
          </w:p>
        </w:tc>
        <w:tc>
          <w:tcPr>
            <w:tcW w:w="955" w:type="dxa"/>
            <w:tcBorders>
              <w:top w:val="single" w:color="auto" w:sz="4" w:space="0"/>
              <w:left w:val="single" w:color="auto" w:sz="4" w:space="0"/>
              <w:bottom w:val="single" w:color="auto" w:sz="12" w:space="0"/>
              <w:right w:val="single" w:color="auto" w:sz="4" w:space="0"/>
            </w:tcBorders>
            <w:vAlign w:val="center"/>
          </w:tcPr>
          <w:p w14:paraId="0E1E027A">
            <w:pPr>
              <w:pStyle w:val="731"/>
              <w:tabs>
                <w:tab w:val="left" w:pos="1337"/>
              </w:tabs>
              <w:spacing w:line="360" w:lineRule="auto"/>
              <w:jc w:val="center"/>
              <w:rPr>
                <w:rFonts w:hint="eastAsia" w:ascii="仿宋" w:hAnsi="仿宋" w:eastAsia="仿宋" w:cs="仿宋"/>
                <w:color w:val="auto"/>
                <w:sz w:val="24"/>
                <w:highlight w:val="none"/>
              </w:rPr>
            </w:pPr>
          </w:p>
        </w:tc>
        <w:tc>
          <w:tcPr>
            <w:tcW w:w="1146" w:type="dxa"/>
            <w:tcBorders>
              <w:top w:val="single" w:color="auto" w:sz="4" w:space="0"/>
              <w:left w:val="single" w:color="auto" w:sz="4" w:space="0"/>
              <w:bottom w:val="single" w:color="auto" w:sz="12" w:space="0"/>
              <w:right w:val="single" w:color="auto" w:sz="12" w:space="0"/>
            </w:tcBorders>
            <w:vAlign w:val="center"/>
          </w:tcPr>
          <w:p w14:paraId="4647B40C">
            <w:pPr>
              <w:pStyle w:val="731"/>
              <w:tabs>
                <w:tab w:val="left" w:pos="1337"/>
              </w:tabs>
              <w:spacing w:line="360" w:lineRule="auto"/>
              <w:jc w:val="center"/>
              <w:rPr>
                <w:rFonts w:hint="eastAsia" w:ascii="仿宋" w:hAnsi="仿宋" w:eastAsia="仿宋" w:cs="仿宋"/>
                <w:color w:val="auto"/>
                <w:sz w:val="24"/>
                <w:highlight w:val="none"/>
              </w:rPr>
            </w:pPr>
          </w:p>
        </w:tc>
      </w:tr>
      <w:tr w14:paraId="257EF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3" w:type="dxa"/>
            <w:tcBorders>
              <w:top w:val="single" w:color="auto" w:sz="4" w:space="0"/>
              <w:left w:val="single" w:color="auto" w:sz="12" w:space="0"/>
              <w:bottom w:val="single" w:color="auto" w:sz="12" w:space="0"/>
              <w:right w:val="single" w:color="auto" w:sz="4" w:space="0"/>
            </w:tcBorders>
            <w:vAlign w:val="center"/>
          </w:tcPr>
          <w:p w14:paraId="76D2A598">
            <w:pPr>
              <w:pStyle w:val="731"/>
              <w:tabs>
                <w:tab w:val="left" w:pos="1337"/>
              </w:tabs>
              <w:spacing w:line="360" w:lineRule="auto"/>
              <w:jc w:val="center"/>
              <w:rPr>
                <w:rFonts w:hint="eastAsia" w:ascii="仿宋" w:hAnsi="仿宋" w:eastAsia="仿宋" w:cs="仿宋"/>
                <w:color w:val="auto"/>
                <w:sz w:val="24"/>
                <w:highlight w:val="none"/>
              </w:rPr>
            </w:pPr>
          </w:p>
        </w:tc>
        <w:tc>
          <w:tcPr>
            <w:tcW w:w="2821" w:type="dxa"/>
            <w:tcBorders>
              <w:top w:val="single" w:color="auto" w:sz="4" w:space="0"/>
              <w:left w:val="single" w:color="auto" w:sz="4" w:space="0"/>
              <w:bottom w:val="single" w:color="auto" w:sz="12" w:space="0"/>
              <w:right w:val="single" w:color="auto" w:sz="4" w:space="0"/>
            </w:tcBorders>
            <w:vAlign w:val="center"/>
          </w:tcPr>
          <w:p w14:paraId="4EDC15C2">
            <w:pPr>
              <w:pStyle w:val="731"/>
              <w:tabs>
                <w:tab w:val="left" w:pos="1337"/>
              </w:tabs>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其他</w:t>
            </w:r>
          </w:p>
        </w:tc>
        <w:tc>
          <w:tcPr>
            <w:tcW w:w="3038" w:type="dxa"/>
            <w:gridSpan w:val="2"/>
            <w:tcBorders>
              <w:top w:val="single" w:color="auto" w:sz="4" w:space="0"/>
              <w:left w:val="single" w:color="auto" w:sz="4" w:space="0"/>
              <w:bottom w:val="single" w:color="auto" w:sz="12" w:space="0"/>
              <w:right w:val="single" w:color="auto" w:sz="4" w:space="0"/>
            </w:tcBorders>
          </w:tcPr>
          <w:p w14:paraId="701DD41A">
            <w:pPr>
              <w:pStyle w:val="731"/>
              <w:tabs>
                <w:tab w:val="left" w:pos="1337"/>
              </w:tabs>
              <w:spacing w:line="360" w:lineRule="auto"/>
              <w:jc w:val="center"/>
              <w:rPr>
                <w:rFonts w:hint="eastAsia" w:ascii="仿宋" w:hAnsi="仿宋" w:eastAsia="仿宋" w:cs="仿宋"/>
                <w:color w:val="auto"/>
                <w:sz w:val="24"/>
                <w:highlight w:val="none"/>
              </w:rPr>
            </w:pPr>
          </w:p>
        </w:tc>
        <w:tc>
          <w:tcPr>
            <w:tcW w:w="955" w:type="dxa"/>
            <w:tcBorders>
              <w:top w:val="single" w:color="auto" w:sz="4" w:space="0"/>
              <w:left w:val="single" w:color="auto" w:sz="4" w:space="0"/>
              <w:bottom w:val="single" w:color="auto" w:sz="12" w:space="0"/>
              <w:right w:val="single" w:color="auto" w:sz="4" w:space="0"/>
            </w:tcBorders>
          </w:tcPr>
          <w:p w14:paraId="1E728EAC">
            <w:pPr>
              <w:pStyle w:val="731"/>
              <w:tabs>
                <w:tab w:val="left" w:pos="1337"/>
              </w:tabs>
              <w:spacing w:line="360" w:lineRule="auto"/>
              <w:jc w:val="center"/>
              <w:rPr>
                <w:rFonts w:hint="eastAsia" w:ascii="仿宋" w:hAnsi="仿宋" w:eastAsia="仿宋" w:cs="仿宋"/>
                <w:color w:val="auto"/>
                <w:sz w:val="24"/>
                <w:highlight w:val="none"/>
              </w:rPr>
            </w:pPr>
          </w:p>
        </w:tc>
        <w:tc>
          <w:tcPr>
            <w:tcW w:w="955" w:type="dxa"/>
            <w:tcBorders>
              <w:top w:val="single" w:color="auto" w:sz="4" w:space="0"/>
              <w:left w:val="single" w:color="auto" w:sz="4" w:space="0"/>
              <w:bottom w:val="single" w:color="auto" w:sz="12" w:space="0"/>
              <w:right w:val="single" w:color="auto" w:sz="4" w:space="0"/>
            </w:tcBorders>
            <w:vAlign w:val="center"/>
          </w:tcPr>
          <w:p w14:paraId="666BF89D">
            <w:pPr>
              <w:pStyle w:val="731"/>
              <w:tabs>
                <w:tab w:val="left" w:pos="1337"/>
              </w:tabs>
              <w:spacing w:line="360" w:lineRule="auto"/>
              <w:jc w:val="center"/>
              <w:rPr>
                <w:rFonts w:hint="eastAsia" w:ascii="仿宋" w:hAnsi="仿宋" w:eastAsia="仿宋" w:cs="仿宋"/>
                <w:color w:val="auto"/>
                <w:sz w:val="24"/>
                <w:highlight w:val="none"/>
              </w:rPr>
            </w:pPr>
          </w:p>
        </w:tc>
        <w:tc>
          <w:tcPr>
            <w:tcW w:w="1146" w:type="dxa"/>
            <w:tcBorders>
              <w:top w:val="single" w:color="auto" w:sz="4" w:space="0"/>
              <w:left w:val="single" w:color="auto" w:sz="4" w:space="0"/>
              <w:bottom w:val="single" w:color="auto" w:sz="12" w:space="0"/>
              <w:right w:val="single" w:color="auto" w:sz="12" w:space="0"/>
            </w:tcBorders>
            <w:vAlign w:val="center"/>
          </w:tcPr>
          <w:p w14:paraId="3D1EEC98">
            <w:pPr>
              <w:pStyle w:val="731"/>
              <w:tabs>
                <w:tab w:val="left" w:pos="1337"/>
              </w:tabs>
              <w:spacing w:line="360" w:lineRule="auto"/>
              <w:jc w:val="center"/>
              <w:rPr>
                <w:rFonts w:hint="eastAsia" w:ascii="仿宋" w:hAnsi="仿宋" w:eastAsia="仿宋" w:cs="仿宋"/>
                <w:color w:val="auto"/>
                <w:sz w:val="24"/>
                <w:highlight w:val="none"/>
              </w:rPr>
            </w:pPr>
          </w:p>
        </w:tc>
      </w:tr>
      <w:tr w14:paraId="32B31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3" w:type="dxa"/>
            <w:tcBorders>
              <w:top w:val="single" w:color="auto" w:sz="4" w:space="0"/>
              <w:left w:val="single" w:color="auto" w:sz="12" w:space="0"/>
              <w:bottom w:val="single" w:color="auto" w:sz="12" w:space="0"/>
              <w:right w:val="single" w:color="auto" w:sz="4" w:space="0"/>
            </w:tcBorders>
            <w:vAlign w:val="center"/>
          </w:tcPr>
          <w:p w14:paraId="46C1BBC6">
            <w:pPr>
              <w:pStyle w:val="731"/>
              <w:tabs>
                <w:tab w:val="left" w:pos="1337"/>
              </w:tabs>
              <w:spacing w:line="360" w:lineRule="auto"/>
              <w:jc w:val="center"/>
              <w:rPr>
                <w:rFonts w:hint="eastAsia" w:ascii="仿宋" w:hAnsi="仿宋" w:eastAsia="仿宋" w:cs="仿宋"/>
                <w:color w:val="auto"/>
                <w:sz w:val="24"/>
                <w:highlight w:val="none"/>
              </w:rPr>
            </w:pPr>
          </w:p>
        </w:tc>
        <w:tc>
          <w:tcPr>
            <w:tcW w:w="2821" w:type="dxa"/>
            <w:tcBorders>
              <w:top w:val="single" w:color="auto" w:sz="4" w:space="0"/>
              <w:left w:val="single" w:color="auto" w:sz="4" w:space="0"/>
              <w:bottom w:val="single" w:color="auto" w:sz="12" w:space="0"/>
              <w:right w:val="single" w:color="auto" w:sz="4" w:space="0"/>
            </w:tcBorders>
            <w:vAlign w:val="center"/>
          </w:tcPr>
          <w:p w14:paraId="603F0EF0">
            <w:pPr>
              <w:pStyle w:val="731"/>
              <w:tabs>
                <w:tab w:val="left" w:pos="1337"/>
              </w:tabs>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合计（元）</w:t>
            </w:r>
          </w:p>
        </w:tc>
        <w:tc>
          <w:tcPr>
            <w:tcW w:w="3038" w:type="dxa"/>
            <w:gridSpan w:val="2"/>
            <w:tcBorders>
              <w:top w:val="single" w:color="auto" w:sz="4" w:space="0"/>
              <w:left w:val="single" w:color="auto" w:sz="4" w:space="0"/>
              <w:bottom w:val="single" w:color="auto" w:sz="12" w:space="0"/>
              <w:right w:val="single" w:color="auto" w:sz="4" w:space="0"/>
            </w:tcBorders>
          </w:tcPr>
          <w:p w14:paraId="5DC0D634">
            <w:pPr>
              <w:pStyle w:val="731"/>
              <w:tabs>
                <w:tab w:val="left" w:pos="1337"/>
              </w:tabs>
              <w:spacing w:line="360" w:lineRule="auto"/>
              <w:jc w:val="center"/>
              <w:rPr>
                <w:rFonts w:hint="eastAsia" w:ascii="仿宋" w:hAnsi="仿宋" w:eastAsia="仿宋" w:cs="仿宋"/>
                <w:color w:val="auto"/>
                <w:sz w:val="24"/>
                <w:highlight w:val="none"/>
              </w:rPr>
            </w:pPr>
          </w:p>
        </w:tc>
        <w:tc>
          <w:tcPr>
            <w:tcW w:w="955" w:type="dxa"/>
            <w:tcBorders>
              <w:top w:val="single" w:color="auto" w:sz="4" w:space="0"/>
              <w:left w:val="single" w:color="auto" w:sz="4" w:space="0"/>
              <w:bottom w:val="single" w:color="auto" w:sz="12" w:space="0"/>
              <w:right w:val="single" w:color="auto" w:sz="4" w:space="0"/>
            </w:tcBorders>
          </w:tcPr>
          <w:p w14:paraId="0B76D0B6">
            <w:pPr>
              <w:pStyle w:val="731"/>
              <w:tabs>
                <w:tab w:val="left" w:pos="1337"/>
              </w:tabs>
              <w:spacing w:line="360" w:lineRule="auto"/>
              <w:jc w:val="center"/>
              <w:rPr>
                <w:rFonts w:hint="eastAsia" w:ascii="仿宋" w:hAnsi="仿宋" w:eastAsia="仿宋" w:cs="仿宋"/>
                <w:color w:val="auto"/>
                <w:sz w:val="24"/>
                <w:highlight w:val="none"/>
              </w:rPr>
            </w:pPr>
          </w:p>
        </w:tc>
        <w:tc>
          <w:tcPr>
            <w:tcW w:w="955" w:type="dxa"/>
            <w:tcBorders>
              <w:top w:val="single" w:color="auto" w:sz="4" w:space="0"/>
              <w:left w:val="single" w:color="auto" w:sz="4" w:space="0"/>
              <w:bottom w:val="single" w:color="auto" w:sz="12" w:space="0"/>
              <w:right w:val="single" w:color="auto" w:sz="4" w:space="0"/>
            </w:tcBorders>
            <w:vAlign w:val="center"/>
          </w:tcPr>
          <w:p w14:paraId="3494E726">
            <w:pPr>
              <w:pStyle w:val="731"/>
              <w:tabs>
                <w:tab w:val="left" w:pos="1337"/>
              </w:tabs>
              <w:spacing w:line="360" w:lineRule="auto"/>
              <w:jc w:val="center"/>
              <w:rPr>
                <w:rFonts w:hint="eastAsia" w:ascii="仿宋" w:hAnsi="仿宋" w:eastAsia="仿宋" w:cs="仿宋"/>
                <w:color w:val="auto"/>
                <w:sz w:val="24"/>
                <w:highlight w:val="none"/>
              </w:rPr>
            </w:pPr>
          </w:p>
        </w:tc>
        <w:tc>
          <w:tcPr>
            <w:tcW w:w="1146" w:type="dxa"/>
            <w:tcBorders>
              <w:top w:val="single" w:color="auto" w:sz="4" w:space="0"/>
              <w:left w:val="single" w:color="auto" w:sz="4" w:space="0"/>
              <w:bottom w:val="single" w:color="auto" w:sz="12" w:space="0"/>
              <w:right w:val="single" w:color="auto" w:sz="12" w:space="0"/>
            </w:tcBorders>
            <w:vAlign w:val="center"/>
          </w:tcPr>
          <w:p w14:paraId="2822A578">
            <w:pPr>
              <w:pStyle w:val="731"/>
              <w:tabs>
                <w:tab w:val="left" w:pos="1337"/>
              </w:tabs>
              <w:spacing w:line="360" w:lineRule="auto"/>
              <w:jc w:val="center"/>
              <w:rPr>
                <w:rFonts w:hint="eastAsia" w:ascii="仿宋" w:hAnsi="仿宋" w:eastAsia="仿宋" w:cs="仿宋"/>
                <w:color w:val="auto"/>
                <w:sz w:val="24"/>
                <w:highlight w:val="none"/>
              </w:rPr>
            </w:pPr>
          </w:p>
        </w:tc>
      </w:tr>
    </w:tbl>
    <w:p w14:paraId="29360DCE">
      <w:pPr>
        <w:shd w:val="clear" w:color="auto" w:fill="FFFFFF"/>
        <w:spacing w:line="440" w:lineRule="exact"/>
        <w:rPr>
          <w:rFonts w:hint="eastAsia" w:ascii="仿宋" w:hAnsi="仿宋" w:eastAsia="仿宋" w:cs="仿宋"/>
          <w:b/>
          <w:color w:val="auto"/>
          <w:sz w:val="24"/>
          <w:highlight w:val="none"/>
        </w:rPr>
      </w:pPr>
    </w:p>
    <w:p w14:paraId="35C63DE4">
      <w:pPr>
        <w:pStyle w:val="733"/>
        <w:tabs>
          <w:tab w:val="left" w:pos="420"/>
          <w:tab w:val="clear" w:pos="360"/>
        </w:tabs>
        <w:spacing w:line="340" w:lineRule="exact"/>
        <w:ind w:left="566" w:hanging="566" w:hangingChars="235"/>
        <w:outlineLvl w:val="2"/>
        <w:rPr>
          <w:rFonts w:hint="eastAsia" w:ascii="仿宋" w:hAnsi="仿宋" w:eastAsia="仿宋" w:cs="仿宋"/>
          <w:bCs/>
          <w:color w:val="auto"/>
          <w:kern w:val="0"/>
          <w:highlight w:val="none"/>
        </w:rPr>
      </w:pPr>
      <w:r>
        <w:rPr>
          <w:rFonts w:hint="eastAsia" w:ascii="仿宋" w:hAnsi="仿宋" w:eastAsia="仿宋" w:cs="仿宋"/>
          <w:color w:val="auto"/>
          <w:highlight w:val="none"/>
        </w:rPr>
        <w:t>注：</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w:t>
      </w:r>
      <w:r>
        <w:rPr>
          <w:rFonts w:hint="eastAsia" w:ascii="仿宋" w:hAnsi="仿宋" w:eastAsia="仿宋" w:cs="仿宋"/>
          <w:bCs/>
          <w:color w:val="auto"/>
          <w:kern w:val="0"/>
          <w:highlight w:val="none"/>
        </w:rPr>
        <w:t>按照第四章《采购需求》内容列明所有货物</w:t>
      </w:r>
      <w:r>
        <w:rPr>
          <w:rFonts w:hint="eastAsia" w:ascii="仿宋" w:hAnsi="仿宋" w:eastAsia="仿宋" w:cs="仿宋"/>
          <w:bCs/>
          <w:color w:val="auto"/>
          <w:kern w:val="0"/>
          <w:highlight w:val="none"/>
          <w:lang w:eastAsia="zh-CN"/>
        </w:rPr>
        <w:t>及</w:t>
      </w:r>
      <w:r>
        <w:rPr>
          <w:rFonts w:hint="eastAsia" w:ascii="仿宋" w:hAnsi="仿宋" w:eastAsia="仿宋" w:cs="仿宋"/>
          <w:bCs/>
          <w:color w:val="auto"/>
          <w:kern w:val="0"/>
          <w:highlight w:val="none"/>
        </w:rPr>
        <w:t>服务等明细价格。</w:t>
      </w:r>
    </w:p>
    <w:p w14:paraId="0D1510E3">
      <w:pPr>
        <w:pStyle w:val="733"/>
        <w:tabs>
          <w:tab w:val="left" w:pos="420"/>
          <w:tab w:val="clear" w:pos="360"/>
        </w:tabs>
        <w:spacing w:line="340" w:lineRule="exact"/>
        <w:ind w:left="563" w:leftChars="229" w:hanging="82" w:hangingChars="34"/>
        <w:outlineLvl w:val="2"/>
        <w:rPr>
          <w:rFonts w:hint="eastAsia" w:ascii="仿宋" w:hAnsi="仿宋" w:eastAsia="仿宋" w:cs="仿宋"/>
          <w:bCs/>
          <w:color w:val="auto"/>
          <w:kern w:val="0"/>
          <w:highlight w:val="none"/>
        </w:rPr>
      </w:pPr>
      <w:r>
        <w:rPr>
          <w:rFonts w:hint="eastAsia" w:ascii="仿宋" w:hAnsi="仿宋" w:eastAsia="仿宋" w:cs="仿宋"/>
          <w:bCs/>
          <w:color w:val="auto"/>
          <w:kern w:val="0"/>
          <w:highlight w:val="none"/>
        </w:rPr>
        <w:t>2、本表合计价格应与《开标一览表》</w:t>
      </w:r>
      <w:r>
        <w:rPr>
          <w:rFonts w:hint="eastAsia" w:ascii="仿宋" w:hAnsi="仿宋" w:eastAsia="仿宋" w:cs="仿宋"/>
          <w:bCs/>
          <w:color w:val="auto"/>
          <w:kern w:val="0"/>
          <w:highlight w:val="none"/>
          <w:lang w:eastAsia="zh-CN"/>
        </w:rPr>
        <w:t>总报价</w:t>
      </w:r>
      <w:r>
        <w:rPr>
          <w:rFonts w:hint="eastAsia" w:ascii="仿宋" w:hAnsi="仿宋" w:eastAsia="仿宋" w:cs="仿宋"/>
          <w:bCs/>
          <w:color w:val="auto"/>
          <w:kern w:val="0"/>
          <w:highlight w:val="none"/>
        </w:rPr>
        <w:t>一致。</w:t>
      </w:r>
    </w:p>
    <w:p w14:paraId="5F4D2FA8">
      <w:pPr>
        <w:rPr>
          <w:rFonts w:hint="eastAsia" w:ascii="仿宋" w:hAnsi="仿宋" w:eastAsia="仿宋" w:cs="仿宋"/>
          <w:color w:val="auto"/>
          <w:highlight w:val="none"/>
        </w:rPr>
      </w:pPr>
    </w:p>
    <w:p w14:paraId="01D002B5">
      <w:pPr>
        <w:widowControl/>
        <w:spacing w:line="440" w:lineRule="exact"/>
        <w:ind w:firstLine="5400" w:firstLineChars="22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供应商（公章）：</w:t>
      </w:r>
    </w:p>
    <w:p w14:paraId="6429518D">
      <w:pPr>
        <w:shd w:val="clear" w:color="auto" w:fill="FFFFFF"/>
        <w:tabs>
          <w:tab w:val="left" w:pos="3780"/>
        </w:tabs>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法定代表人（签字或签章）：</w:t>
      </w:r>
    </w:p>
    <w:p w14:paraId="5550B4C5">
      <w:pPr>
        <w:shd w:val="clear" w:color="auto" w:fill="FFFFFF"/>
        <w:tabs>
          <w:tab w:val="left" w:pos="3780"/>
        </w:tabs>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授权代理人（签字或签章）：</w:t>
      </w:r>
    </w:p>
    <w:p w14:paraId="6DEC66B2">
      <w:pPr>
        <w:pStyle w:val="734"/>
        <w:spacing w:line="440" w:lineRule="exac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 xml:space="preserve">                                             日期： 年  月  日</w:t>
      </w:r>
    </w:p>
    <w:sectPr>
      <w:headerReference r:id="rId9" w:type="default"/>
      <w:footerReference r:id="rId10" w:type="default"/>
      <w:pgSz w:w="11906" w:h="16838"/>
      <w:pgMar w:top="1134" w:right="1134" w:bottom="1134" w:left="1134" w:header="703" w:footer="851" w:gutter="0"/>
      <w:pgBorders>
        <w:top w:val="none" w:sz="0" w:space="0"/>
        <w:left w:val="none" w:sz="0" w:space="0"/>
        <w:bottom w:val="none" w:sz="0" w:space="0"/>
        <w:right w:val="none" w:sz="0" w:space="0"/>
      </w:pgBorders>
      <w:pgNumType w:start="1"/>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魏碑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Book Antiqua">
    <w:panose1 w:val="02040602050305030304"/>
    <w:charset w:val="00"/>
    <w:family w:val="roman"/>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长城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DD..">
    <w:altName w:val="宋体"/>
    <w:panose1 w:val="00000000000000000000"/>
    <w:charset w:val="86"/>
    <w:family w:val="auto"/>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文鼎粗黑">
    <w:altName w:val="黑体"/>
    <w:panose1 w:val="00000000000000000000"/>
    <w:charset w:val="86"/>
    <w:family w:val="auto"/>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小标宋简体">
    <w:altName w:val="方正舒体"/>
    <w:panose1 w:val="02000000000000000000"/>
    <w:charset w:val="86"/>
    <w:family w:val="auto"/>
    <w:pitch w:val="default"/>
    <w:sig w:usb0="00000000" w:usb1="00000000" w:usb2="00000000" w:usb3="00000000" w:csb0="00040000" w:csb1="00000000"/>
  </w:font>
  <w:font w:name="Geneva">
    <w:altName w:val="Arial"/>
    <w:panose1 w:val="00000000000000000000"/>
    <w:charset w:val="00"/>
    <w:family w:val="auto"/>
    <w:pitch w:val="default"/>
    <w:sig w:usb0="00000000" w:usb1="00000000" w:usb2="00000000" w:usb3="00000000" w:csb0="00040001" w:csb1="00000000"/>
  </w:font>
  <w:font w:name="Angsana New">
    <w:altName w:val="Times New Roman"/>
    <w:panose1 w:val="02020603050405020304"/>
    <w:charset w:val="00"/>
    <w:family w:val="roman"/>
    <w:pitch w:val="default"/>
    <w:sig w:usb0="00000000" w:usb1="00000000" w:usb2="00000000" w:usb3="00000000" w:csb0="00010001" w:csb1="00000000"/>
  </w:font>
  <w:font w:name="Arial Black">
    <w:panose1 w:val="020B0A04020102020204"/>
    <w:charset w:val="00"/>
    <w:family w:val="swiss"/>
    <w:pitch w:val="default"/>
    <w:sig w:usb0="A00002AF" w:usb1="400078FB" w:usb2="00000000" w:usb3="00000000" w:csb0="6000009F" w:csb1="DFD70000"/>
  </w:font>
  <w:font w:name="Times">
    <w:altName w:val="Times New Roman"/>
    <w:panose1 w:val="02020603050405020304"/>
    <w:charset w:val="00"/>
    <w:family w:val="roman"/>
    <w:pitch w:val="default"/>
    <w:sig w:usb0="00000000" w:usb1="00000000" w:usb2="00000009" w:usb3="00000000" w:csb0="000001FF" w:csb1="00000000"/>
  </w:font>
  <w:font w:name="华文新魏">
    <w:panose1 w:val="02010800040101010101"/>
    <w:charset w:val="86"/>
    <w:family w:val="auto"/>
    <w:pitch w:val="default"/>
    <w:sig w:usb0="00000001" w:usb1="080F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7E918">
    <w:pPr>
      <w:pStyle w:val="39"/>
      <w:jc w:val="center"/>
    </w:pPr>
    <w:r>
      <w:fldChar w:fldCharType="begin"/>
    </w:r>
    <w:r>
      <w:instrText xml:space="preserve"> PAGE   \* MERGEFORMAT </w:instrText>
    </w:r>
    <w:r>
      <w:fldChar w:fldCharType="separate"/>
    </w:r>
    <w:r>
      <w:rPr>
        <w:lang w:val="zh-CN"/>
      </w:rPr>
      <w:t>-</w:t>
    </w:r>
    <w:r>
      <w:t xml:space="preserve"> 3 -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EA30A">
    <w:pPr>
      <w:pStyle w:val="3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10215">
    <w:pPr>
      <w:ind w:right="359" w:rightChars="171" w:firstLine="525" w:firstLineChars="25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DDDA2">
    <w:pPr>
      <w:pStyle w:val="39"/>
      <w:pBdr>
        <w:top w:val="dashDotStroked" w:color="auto" w:sz="24" w:space="1"/>
      </w:pBdr>
      <w:jc w:val="both"/>
      <w:rPr>
        <w:rFonts w:ascii="宋体"/>
        <w:kern w:val="0"/>
        <w:sz w:val="20"/>
      </w:rPr>
    </w:pPr>
    <w:r>
      <w:rPr>
        <w:sz w:val="20"/>
      </w:rPr>
      <w:pict>
        <v:shape id="_x0000_s2053" o:spid="_x0000_s205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6218ECAA">
                <w:pPr>
                  <w:pStyle w:val="39"/>
                </w:pPr>
                <w:r>
                  <w:fldChar w:fldCharType="begin"/>
                </w:r>
                <w:r>
                  <w:instrText xml:space="preserve"> PAGE  \* MERGEFORMAT </w:instrText>
                </w:r>
                <w:r>
                  <w:fldChar w:fldCharType="separate"/>
                </w:r>
                <w:r>
                  <w:t>81</w:t>
                </w:r>
                <w:r>
                  <w:fldChar w:fldCharType="end"/>
                </w:r>
              </w:p>
            </w:txbxContent>
          </v:textbox>
        </v:shape>
      </w:pict>
    </w:r>
    <w:r>
      <w:rPr>
        <w:sz w:val="20"/>
      </w:rPr>
      <w:pict>
        <v:shape id="_x0000_s2052" o:spid="_x0000_s2052"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6C43DCBB">
                <w:pPr>
                  <w:pStyle w:val="57"/>
                  <w:ind w:firstLine="210"/>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F7DE6">
    <w:pPr>
      <w:pStyle w:val="40"/>
      <w:pBdr>
        <w:bottom w:val="dashDotStroked" w:color="auto" w:sz="24" w:space="0"/>
      </w:pBdr>
      <w:jc w:val="left"/>
      <w:rPr>
        <w:rFonts w:ascii="仿宋" w:hAnsi="仿宋" w:eastAsia="仿宋"/>
        <w:b/>
        <w:i/>
        <w:spacing w:val="-10"/>
      </w:rPr>
    </w:pPr>
    <w:r>
      <w:rPr>
        <w:rFonts w:hint="eastAsia" w:ascii="仿宋" w:hAnsi="仿宋" w:eastAsia="仿宋"/>
        <w:b/>
        <w:i/>
        <w:spacing w:val="-16"/>
      </w:rPr>
      <w:t>库尔勒市妇幼保健计划生育服务中心（库尔勒市妇幼保健院）彩色多普勒超声诊断仪等医疗设备采购</w:t>
    </w:r>
    <w:r>
      <w:rPr>
        <w:rFonts w:hint="eastAsia" w:ascii="仿宋" w:hAnsi="仿宋" w:eastAsia="仿宋"/>
        <w:b/>
        <w:i/>
        <w:spacing w:val="-10"/>
      </w:rPr>
      <w:t xml:space="preserve">   项目编号：2022PCGK050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58C08">
    <w:pPr>
      <w:pStyle w:val="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1B693">
    <w:pPr>
      <w:pStyle w:val="4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FB955">
    <w:pPr>
      <w:pStyle w:val="40"/>
      <w:pBdr>
        <w:bottom w:val="dashDotStroked" w:color="auto" w:sz="24" w:space="0"/>
      </w:pBdr>
      <w:jc w:val="left"/>
      <w:rPr>
        <w:rFonts w:hint="default" w:ascii="仿宋" w:hAnsi="仿宋" w:eastAsia="仿宋"/>
        <w:b/>
        <w:i/>
        <w:spacing w:val="-10"/>
        <w:lang w:val="en-US" w:eastAsia="zh-CN"/>
      </w:rPr>
    </w:pPr>
    <w:r>
      <w:rPr>
        <w:rFonts w:hint="eastAsia" w:ascii="仿宋" w:hAnsi="仿宋" w:eastAsia="仿宋"/>
        <w:b/>
        <w:i/>
        <w:spacing w:val="-10"/>
        <w:lang w:eastAsia="zh-CN"/>
      </w:rPr>
      <w:t>库尔勒市妇幼保健计划生育服务中心（库尔勒市妇幼保健院）智慧超声系统服务采购</w:t>
    </w:r>
    <w:r>
      <w:rPr>
        <w:rFonts w:hint="eastAsia" w:ascii="仿宋" w:hAnsi="仿宋" w:eastAsia="仿宋"/>
        <w:b/>
        <w:i/>
        <w:spacing w:val="-10"/>
      </w:rPr>
      <w:t xml:space="preserve">招标文件         </w:t>
    </w:r>
    <w:r>
      <w:rPr>
        <w:rFonts w:hint="eastAsia" w:ascii="仿宋" w:hAnsi="仿宋" w:eastAsia="仿宋"/>
        <w:b/>
        <w:i/>
        <w:spacing w:val="-10"/>
        <w:lang w:val="en-US" w:eastAsia="zh-CN"/>
      </w:rPr>
      <w:t xml:space="preserve">         </w:t>
    </w:r>
    <w:r>
      <w:rPr>
        <w:rFonts w:hint="eastAsia" w:ascii="仿宋" w:hAnsi="仿宋" w:eastAsia="仿宋"/>
        <w:b/>
        <w:i/>
        <w:spacing w:val="-10"/>
      </w:rPr>
      <w:t>项目编号：</w:t>
    </w:r>
    <w:r>
      <w:rPr>
        <w:rFonts w:hint="eastAsia" w:ascii="仿宋" w:hAnsi="仿宋" w:eastAsia="仿宋"/>
        <w:b/>
        <w:i/>
        <w:spacing w:val="-10"/>
        <w:lang w:eastAsia="zh-CN"/>
      </w:rPr>
      <w:t>2025PCGK</w:t>
    </w:r>
    <w:r>
      <w:rPr>
        <w:rFonts w:hint="eastAsia" w:ascii="仿宋" w:hAnsi="仿宋" w:eastAsia="仿宋"/>
        <w:b/>
        <w:i/>
        <w:spacing w:val="-10"/>
        <w:lang w:val="en-US" w:eastAsia="zh-CN"/>
      </w:rPr>
      <w:t>100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320DB5"/>
    <w:multiLevelType w:val="singleLevel"/>
    <w:tmpl w:val="8C320DB5"/>
    <w:lvl w:ilvl="0" w:tentative="0">
      <w:start w:val="1"/>
      <w:numFmt w:val="decimal"/>
      <w:lvlText w:val="(%1)"/>
      <w:lvlJc w:val="left"/>
      <w:pPr>
        <w:ind w:left="425" w:hanging="425"/>
      </w:pPr>
      <w:rPr>
        <w:rFonts w:hint="default"/>
      </w:rPr>
    </w:lvl>
  </w:abstractNum>
  <w:abstractNum w:abstractNumId="1">
    <w:nsid w:val="9778F269"/>
    <w:multiLevelType w:val="singleLevel"/>
    <w:tmpl w:val="9778F269"/>
    <w:lvl w:ilvl="0" w:tentative="0">
      <w:start w:val="1"/>
      <w:numFmt w:val="decimal"/>
      <w:lvlText w:val="(%1)"/>
      <w:lvlJc w:val="left"/>
      <w:pPr>
        <w:ind w:left="425" w:hanging="425"/>
      </w:pPr>
      <w:rPr>
        <w:rFonts w:hint="default"/>
      </w:rPr>
    </w:lvl>
  </w:abstractNum>
  <w:abstractNum w:abstractNumId="2">
    <w:nsid w:val="AF975996"/>
    <w:multiLevelType w:val="singleLevel"/>
    <w:tmpl w:val="AF975996"/>
    <w:lvl w:ilvl="0" w:tentative="0">
      <w:start w:val="1"/>
      <w:numFmt w:val="decimal"/>
      <w:lvlText w:val="(%1)"/>
      <w:lvlJc w:val="left"/>
      <w:pPr>
        <w:ind w:left="425" w:hanging="425"/>
      </w:pPr>
      <w:rPr>
        <w:rFonts w:hint="default"/>
      </w:rPr>
    </w:lvl>
  </w:abstractNum>
  <w:abstractNum w:abstractNumId="3">
    <w:nsid w:val="B5FD5E50"/>
    <w:multiLevelType w:val="singleLevel"/>
    <w:tmpl w:val="B5FD5E50"/>
    <w:lvl w:ilvl="0" w:tentative="0">
      <w:start w:val="1"/>
      <w:numFmt w:val="decimal"/>
      <w:lvlText w:val="(%1)"/>
      <w:lvlJc w:val="left"/>
      <w:pPr>
        <w:ind w:left="425" w:hanging="425"/>
      </w:pPr>
      <w:rPr>
        <w:rFonts w:hint="default"/>
      </w:rPr>
    </w:lvl>
  </w:abstractNum>
  <w:abstractNum w:abstractNumId="4">
    <w:nsid w:val="BFE08362"/>
    <w:multiLevelType w:val="singleLevel"/>
    <w:tmpl w:val="BFE08362"/>
    <w:lvl w:ilvl="0" w:tentative="0">
      <w:start w:val="1"/>
      <w:numFmt w:val="decimal"/>
      <w:lvlText w:val="(%1)"/>
      <w:lvlJc w:val="left"/>
      <w:pPr>
        <w:ind w:left="425" w:hanging="425"/>
      </w:pPr>
      <w:rPr>
        <w:rFonts w:hint="default"/>
      </w:rPr>
    </w:lvl>
  </w:abstractNum>
  <w:abstractNum w:abstractNumId="5">
    <w:nsid w:val="D284D47E"/>
    <w:multiLevelType w:val="singleLevel"/>
    <w:tmpl w:val="D284D47E"/>
    <w:lvl w:ilvl="0" w:tentative="0">
      <w:start w:val="1"/>
      <w:numFmt w:val="decimal"/>
      <w:lvlText w:val="(%1)"/>
      <w:lvlJc w:val="left"/>
      <w:pPr>
        <w:ind w:left="425" w:hanging="425"/>
      </w:pPr>
      <w:rPr>
        <w:rFonts w:hint="default"/>
        <w:color w:val="auto"/>
      </w:rPr>
    </w:lvl>
  </w:abstractNum>
  <w:abstractNum w:abstractNumId="6">
    <w:nsid w:val="E8035616"/>
    <w:multiLevelType w:val="multilevel"/>
    <w:tmpl w:val="E8035616"/>
    <w:lvl w:ilvl="0" w:tentative="0">
      <w:start w:val="1"/>
      <w:numFmt w:val="decimal"/>
      <w:lvlText w:val="4.%1"/>
      <w:lvlJc w:val="left"/>
      <w:pPr>
        <w:ind w:left="44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F07ABE3F"/>
    <w:multiLevelType w:val="singleLevel"/>
    <w:tmpl w:val="F07ABE3F"/>
    <w:lvl w:ilvl="0" w:tentative="0">
      <w:start w:val="1"/>
      <w:numFmt w:val="decimal"/>
      <w:lvlText w:val="(%1)"/>
      <w:lvlJc w:val="left"/>
      <w:pPr>
        <w:ind w:left="425" w:hanging="425"/>
      </w:pPr>
      <w:rPr>
        <w:rFonts w:hint="default"/>
        <w:color w:val="auto"/>
      </w:rPr>
    </w:lvl>
  </w:abstractNum>
  <w:abstractNum w:abstractNumId="8">
    <w:nsid w:val="04BC56F8"/>
    <w:multiLevelType w:val="singleLevel"/>
    <w:tmpl w:val="04BC56F8"/>
    <w:lvl w:ilvl="0" w:tentative="0">
      <w:start w:val="1"/>
      <w:numFmt w:val="decimal"/>
      <w:lvlText w:val="(%1)"/>
      <w:lvlJc w:val="left"/>
      <w:pPr>
        <w:ind w:left="425" w:hanging="425"/>
      </w:pPr>
      <w:rPr>
        <w:rFonts w:hint="default"/>
      </w:rPr>
    </w:lvl>
  </w:abstractNum>
  <w:abstractNum w:abstractNumId="9">
    <w:nsid w:val="05691C3B"/>
    <w:multiLevelType w:val="singleLevel"/>
    <w:tmpl w:val="05691C3B"/>
    <w:lvl w:ilvl="0" w:tentative="0">
      <w:start w:val="1"/>
      <w:numFmt w:val="decimal"/>
      <w:lvlText w:val="(%1)"/>
      <w:lvlJc w:val="left"/>
      <w:pPr>
        <w:ind w:left="425" w:hanging="425"/>
      </w:pPr>
      <w:rPr>
        <w:rFonts w:hint="default"/>
        <w:color w:val="auto"/>
      </w:rPr>
    </w:lvl>
  </w:abstractNum>
  <w:abstractNum w:abstractNumId="10">
    <w:nsid w:val="0EDB2900"/>
    <w:multiLevelType w:val="multilevel"/>
    <w:tmpl w:val="0EDB2900"/>
    <w:lvl w:ilvl="0" w:tentative="0">
      <w:start w:val="1"/>
      <w:numFmt w:val="bullet"/>
      <w:pStyle w:val="513"/>
      <w:lvlText w:val="−"/>
      <w:lvlJc w:val="left"/>
      <w:pPr>
        <w:tabs>
          <w:tab w:val="left" w:pos="2409"/>
        </w:tabs>
        <w:ind w:left="2410" w:hanging="284"/>
      </w:pPr>
      <w:rPr>
        <w:rFonts w:hint="default" w:ascii="Times New Roman" w:hAnsi="Times New Roman" w:cs="Times New Roman"/>
        <w:sz w:val="16"/>
        <w:szCs w:val="16"/>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11">
    <w:nsid w:val="107C0E74"/>
    <w:multiLevelType w:val="singleLevel"/>
    <w:tmpl w:val="107C0E74"/>
    <w:lvl w:ilvl="0" w:tentative="0">
      <w:start w:val="1"/>
      <w:numFmt w:val="decimal"/>
      <w:lvlText w:val="(%1)"/>
      <w:lvlJc w:val="left"/>
      <w:pPr>
        <w:ind w:left="425" w:hanging="425"/>
      </w:pPr>
      <w:rPr>
        <w:rFonts w:hint="default"/>
        <w:color w:val="000000" w:themeColor="text1"/>
      </w:rPr>
    </w:lvl>
  </w:abstractNum>
  <w:abstractNum w:abstractNumId="12">
    <w:nsid w:val="11BF6E1B"/>
    <w:multiLevelType w:val="multilevel"/>
    <w:tmpl w:val="11BF6E1B"/>
    <w:lvl w:ilvl="0" w:tentative="0">
      <w:start w:val="1"/>
      <w:numFmt w:val="decimal"/>
      <w:pStyle w:val="153"/>
      <w:lvlText w:val="(%1)"/>
      <w:lvlJc w:val="left"/>
      <w:pPr>
        <w:ind w:left="510" w:hanging="420"/>
      </w:pPr>
      <w:rPr>
        <w:rFonts w:hint="default" w:ascii="Times New Roman" w:hAnsi="Times New Roman" w:cs="Times New Roman"/>
        <w:sz w:val="24"/>
        <w:szCs w:val="24"/>
      </w:rPr>
    </w:lvl>
    <w:lvl w:ilvl="1" w:tentative="0">
      <w:start w:val="1"/>
      <w:numFmt w:val="lowerLetter"/>
      <w:lvlText w:val="%2)"/>
      <w:lvlJc w:val="left"/>
      <w:pPr>
        <w:ind w:left="930" w:hanging="420"/>
      </w:pPr>
    </w:lvl>
    <w:lvl w:ilvl="2" w:tentative="0">
      <w:start w:val="1"/>
      <w:numFmt w:val="lowerRoman"/>
      <w:lvlText w:val="%3."/>
      <w:lvlJc w:val="right"/>
      <w:pPr>
        <w:ind w:left="1350" w:hanging="420"/>
      </w:pPr>
    </w:lvl>
    <w:lvl w:ilvl="3" w:tentative="0">
      <w:start w:val="1"/>
      <w:numFmt w:val="decimal"/>
      <w:lvlText w:val="%4."/>
      <w:lvlJc w:val="left"/>
      <w:pPr>
        <w:ind w:left="1770" w:hanging="420"/>
      </w:pPr>
    </w:lvl>
    <w:lvl w:ilvl="4" w:tentative="0">
      <w:start w:val="1"/>
      <w:numFmt w:val="lowerLetter"/>
      <w:lvlText w:val="%5)"/>
      <w:lvlJc w:val="left"/>
      <w:pPr>
        <w:ind w:left="2190" w:hanging="420"/>
      </w:pPr>
    </w:lvl>
    <w:lvl w:ilvl="5" w:tentative="0">
      <w:start w:val="1"/>
      <w:numFmt w:val="lowerRoman"/>
      <w:lvlText w:val="%6."/>
      <w:lvlJc w:val="right"/>
      <w:pPr>
        <w:ind w:left="2610" w:hanging="420"/>
      </w:pPr>
    </w:lvl>
    <w:lvl w:ilvl="6" w:tentative="0">
      <w:start w:val="1"/>
      <w:numFmt w:val="decimal"/>
      <w:lvlText w:val="%7."/>
      <w:lvlJc w:val="left"/>
      <w:pPr>
        <w:ind w:left="3030" w:hanging="420"/>
      </w:pPr>
    </w:lvl>
    <w:lvl w:ilvl="7" w:tentative="0">
      <w:start w:val="1"/>
      <w:numFmt w:val="lowerLetter"/>
      <w:lvlText w:val="%8)"/>
      <w:lvlJc w:val="left"/>
      <w:pPr>
        <w:ind w:left="3450" w:hanging="420"/>
      </w:pPr>
    </w:lvl>
    <w:lvl w:ilvl="8" w:tentative="0">
      <w:start w:val="1"/>
      <w:numFmt w:val="lowerRoman"/>
      <w:lvlText w:val="%9."/>
      <w:lvlJc w:val="right"/>
      <w:pPr>
        <w:ind w:left="3870" w:hanging="420"/>
      </w:pPr>
    </w:lvl>
  </w:abstractNum>
  <w:abstractNum w:abstractNumId="13">
    <w:nsid w:val="13F60562"/>
    <w:multiLevelType w:val="multilevel"/>
    <w:tmpl w:val="13F60562"/>
    <w:lvl w:ilvl="0" w:tentative="0">
      <w:start w:val="1"/>
      <w:numFmt w:val="decimal"/>
      <w:lvlText w:val="%1　"/>
      <w:lvlJc w:val="left"/>
      <w:pPr>
        <w:tabs>
          <w:tab w:val="left" w:pos="1733"/>
        </w:tabs>
        <w:ind w:left="1620" w:firstLine="0"/>
      </w:pPr>
      <w:rPr>
        <w:rFonts w:hint="eastAsia" w:cs="Times New Roman"/>
      </w:rPr>
    </w:lvl>
    <w:lvl w:ilvl="1" w:tentative="0">
      <w:start w:val="1"/>
      <w:numFmt w:val="decimal"/>
      <w:lvlText w:val="%1.%2　"/>
      <w:lvlJc w:val="left"/>
      <w:pPr>
        <w:tabs>
          <w:tab w:val="left" w:pos="767"/>
        </w:tabs>
        <w:ind w:left="767" w:hanging="227"/>
      </w:pPr>
      <w:rPr>
        <w:rFonts w:hint="default" w:ascii="Times New Roman" w:hAnsi="Times New Roman" w:eastAsia="宋体" w:cs="Times New Roman"/>
        <w:b/>
        <w:i w:val="0"/>
        <w:sz w:val="30"/>
        <w:szCs w:val="30"/>
      </w:rPr>
    </w:lvl>
    <w:lvl w:ilvl="2" w:tentative="0">
      <w:start w:val="1"/>
      <w:numFmt w:val="decimal"/>
      <w:lvlText w:val="%1.%2.%3　"/>
      <w:lvlJc w:val="left"/>
      <w:pPr>
        <w:tabs>
          <w:tab w:val="left" w:pos="709"/>
        </w:tabs>
        <w:ind w:left="709" w:hanging="709"/>
      </w:pPr>
      <w:rPr>
        <w:rFonts w:hint="eastAsia" w:cs="Times New Roman"/>
        <w:sz w:val="28"/>
        <w:szCs w:val="28"/>
      </w:rPr>
    </w:lvl>
    <w:lvl w:ilvl="3" w:tentative="0">
      <w:start w:val="0"/>
      <w:numFmt w:val="decimal"/>
      <w:pStyle w:val="489"/>
      <w:lvlText w:val="%42.1.1.3"/>
      <w:lvlJc w:val="left"/>
      <w:pPr>
        <w:tabs>
          <w:tab w:val="left" w:pos="851"/>
        </w:tabs>
        <w:ind w:left="851" w:hanging="851"/>
      </w:pPr>
      <w:rPr>
        <w:rFonts w:hint="eastAsia" w:cs="Times New Roman"/>
      </w:rPr>
    </w:lvl>
    <w:lvl w:ilvl="4" w:tentative="0">
      <w:start w:val="0"/>
      <w:numFmt w:val="decimal"/>
      <w:lvlText w:val="%1.%2.%3.%4.%5."/>
      <w:lvlJc w:val="left"/>
      <w:pPr>
        <w:tabs>
          <w:tab w:val="left" w:pos="992"/>
        </w:tabs>
        <w:ind w:left="992" w:hanging="992"/>
      </w:pPr>
      <w:rPr>
        <w:rFonts w:hint="eastAsia" w:cs="Times New Roman"/>
      </w:rPr>
    </w:lvl>
    <w:lvl w:ilvl="5" w:tentative="0">
      <w:start w:val="0"/>
      <w:numFmt w:val="decimal"/>
      <w:lvlText w:val="%1.%2.%3.%4.%5.%6."/>
      <w:lvlJc w:val="left"/>
      <w:pPr>
        <w:tabs>
          <w:tab w:val="left" w:pos="1134"/>
        </w:tabs>
        <w:ind w:left="1134" w:hanging="1134"/>
      </w:pPr>
      <w:rPr>
        <w:rFonts w:hint="eastAsia" w:cs="Times New Roman"/>
      </w:rPr>
    </w:lvl>
    <w:lvl w:ilvl="6" w:tentative="0">
      <w:start w:val="0"/>
      <w:numFmt w:val="decimal"/>
      <w:lvlText w:val="%1.%2.%3.%4.%5.%6.%7."/>
      <w:lvlJc w:val="left"/>
      <w:pPr>
        <w:tabs>
          <w:tab w:val="left" w:pos="1276"/>
        </w:tabs>
        <w:ind w:left="1276" w:hanging="1276"/>
      </w:pPr>
      <w:rPr>
        <w:rFonts w:hint="eastAsia" w:cs="Times New Roman"/>
      </w:rPr>
    </w:lvl>
    <w:lvl w:ilvl="7" w:tentative="0">
      <w:start w:val="0"/>
      <w:numFmt w:val="decimal"/>
      <w:lvlText w:val="%1.%2.%3.%4.%5.%6.%7.%8."/>
      <w:lvlJc w:val="left"/>
      <w:pPr>
        <w:tabs>
          <w:tab w:val="left" w:pos="1418"/>
        </w:tabs>
        <w:ind w:left="1418" w:hanging="1418"/>
      </w:pPr>
      <w:rPr>
        <w:rFonts w:hint="eastAsia" w:cs="Times New Roman"/>
      </w:rPr>
    </w:lvl>
    <w:lvl w:ilvl="8" w:tentative="0">
      <w:start w:val="0"/>
      <w:numFmt w:val="decimal"/>
      <w:lvlText w:val="%1.%2.%3.%4.%5.%6.%7.%8.%9."/>
      <w:lvlJc w:val="left"/>
      <w:pPr>
        <w:tabs>
          <w:tab w:val="left" w:pos="1559"/>
        </w:tabs>
        <w:ind w:left="1559" w:hanging="1559"/>
      </w:pPr>
      <w:rPr>
        <w:rFonts w:hint="eastAsia" w:cs="Times New Roman"/>
      </w:rPr>
    </w:lvl>
  </w:abstractNum>
  <w:abstractNum w:abstractNumId="14">
    <w:nsid w:val="18232DD3"/>
    <w:multiLevelType w:val="singleLevel"/>
    <w:tmpl w:val="18232DD3"/>
    <w:lvl w:ilvl="0" w:tentative="0">
      <w:start w:val="1"/>
      <w:numFmt w:val="decimal"/>
      <w:pStyle w:val="510"/>
      <w:lvlText w:val="（%1）"/>
      <w:lvlJc w:val="left"/>
      <w:pPr>
        <w:tabs>
          <w:tab w:val="left" w:pos="1800"/>
        </w:tabs>
        <w:ind w:left="1800" w:hanging="900"/>
      </w:pPr>
      <w:rPr>
        <w:rFonts w:hint="eastAsia"/>
      </w:rPr>
    </w:lvl>
  </w:abstractNum>
  <w:abstractNum w:abstractNumId="15">
    <w:nsid w:val="19B03A24"/>
    <w:multiLevelType w:val="singleLevel"/>
    <w:tmpl w:val="19B03A24"/>
    <w:lvl w:ilvl="0" w:tentative="0">
      <w:start w:val="1"/>
      <w:numFmt w:val="decimal"/>
      <w:lvlText w:val="(%1)"/>
      <w:lvlJc w:val="left"/>
      <w:pPr>
        <w:ind w:left="425" w:hanging="425"/>
      </w:pPr>
      <w:rPr>
        <w:rFonts w:hint="default"/>
      </w:rPr>
    </w:lvl>
  </w:abstractNum>
  <w:abstractNum w:abstractNumId="16">
    <w:nsid w:val="1D8360A8"/>
    <w:multiLevelType w:val="singleLevel"/>
    <w:tmpl w:val="1D8360A8"/>
    <w:lvl w:ilvl="0" w:tentative="0">
      <w:start w:val="2"/>
      <w:numFmt w:val="chineseCounting"/>
      <w:suff w:val="nothing"/>
      <w:lvlText w:val="%1、"/>
      <w:lvlJc w:val="left"/>
      <w:rPr>
        <w:rFonts w:hint="eastAsia"/>
      </w:rPr>
    </w:lvl>
  </w:abstractNum>
  <w:abstractNum w:abstractNumId="17">
    <w:nsid w:val="20A10221"/>
    <w:multiLevelType w:val="multilevel"/>
    <w:tmpl w:val="20A10221"/>
    <w:lvl w:ilvl="0" w:tentative="0">
      <w:start w:val="1"/>
      <w:numFmt w:val="decimal"/>
      <w:pStyle w:val="218"/>
      <w:lvlText w:val="表 2.%1"/>
      <w:lvlJc w:val="left"/>
      <w:pPr>
        <w:tabs>
          <w:tab w:val="left" w:pos="902"/>
        </w:tabs>
        <w:ind w:left="902"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27727B63"/>
    <w:multiLevelType w:val="multilevel"/>
    <w:tmpl w:val="27727B63"/>
    <w:lvl w:ilvl="0" w:tentative="0">
      <w:start w:val="1"/>
      <w:numFmt w:val="bullet"/>
      <w:pStyle w:val="432"/>
      <w:lvlText w:val=""/>
      <w:lvlJc w:val="left"/>
      <w:pPr>
        <w:tabs>
          <w:tab w:val="left" w:pos="340"/>
        </w:tabs>
        <w:ind w:left="340" w:hanging="170"/>
      </w:pPr>
      <w:rPr>
        <w:rFonts w:hint="default" w:ascii="Wingdings" w:hAnsi="Wingdings"/>
        <w:color w:val="auto"/>
        <w:spacing w:val="0"/>
        <w:w w:val="100"/>
        <w:position w:val="1"/>
        <w:sz w:val="13"/>
        <w:szCs w:val="13"/>
      </w:rPr>
    </w:lvl>
    <w:lvl w:ilvl="1" w:tentative="0">
      <w:start w:val="1"/>
      <w:numFmt w:val="bullet"/>
      <w:pStyle w:val="626"/>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9">
    <w:nsid w:val="2A9B4473"/>
    <w:multiLevelType w:val="multilevel"/>
    <w:tmpl w:val="2A9B4473"/>
    <w:lvl w:ilvl="0" w:tentative="0">
      <w:start w:val="1"/>
      <w:numFmt w:val="decimal"/>
      <w:lvlText w:val="(%1)"/>
      <w:lvlJc w:val="left"/>
      <w:pPr>
        <w:ind w:left="420" w:hanging="420"/>
      </w:pPr>
      <w:rPr>
        <w:rFonts w:hint="default"/>
        <w:color w:val="auto"/>
      </w:rPr>
    </w:lvl>
    <w:lvl w:ilvl="1" w:tentative="0">
      <w:start w:val="0"/>
      <w:numFmt w:val="bullet"/>
      <w:lvlText w:val="▲"/>
      <w:lvlJc w:val="left"/>
      <w:pPr>
        <w:ind w:left="780" w:hanging="360"/>
      </w:pPr>
      <w:rPr>
        <w:rFonts w:hint="eastAsia" w:ascii="宋体" w:hAnsi="宋体" w:eastAsia="宋体" w:cstheme="minorBidi"/>
      </w:rPr>
    </w:lvl>
    <w:lvl w:ilvl="2" w:tentative="0">
      <w:start w:val="0"/>
      <w:numFmt w:val="bullet"/>
      <w:lvlText w:val="★"/>
      <w:lvlJc w:val="left"/>
      <w:pPr>
        <w:ind w:left="1200" w:hanging="360"/>
      </w:pPr>
      <w:rPr>
        <w:rFonts w:hint="eastAsia" w:ascii="宋体" w:hAnsi="宋体" w:eastAsia="宋体" w:cstheme="minorBidi"/>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3217A5CE"/>
    <w:multiLevelType w:val="singleLevel"/>
    <w:tmpl w:val="3217A5CE"/>
    <w:lvl w:ilvl="0" w:tentative="0">
      <w:start w:val="1"/>
      <w:numFmt w:val="decimal"/>
      <w:lvlText w:val="(%1)"/>
      <w:lvlJc w:val="left"/>
      <w:pPr>
        <w:ind w:left="425" w:hanging="425"/>
      </w:pPr>
      <w:rPr>
        <w:rFonts w:hint="default"/>
      </w:rPr>
    </w:lvl>
  </w:abstractNum>
  <w:abstractNum w:abstractNumId="21">
    <w:nsid w:val="39AD57ED"/>
    <w:multiLevelType w:val="singleLevel"/>
    <w:tmpl w:val="39AD57ED"/>
    <w:lvl w:ilvl="0" w:tentative="0">
      <w:start w:val="1"/>
      <w:numFmt w:val="decimal"/>
      <w:lvlText w:val="(%1)"/>
      <w:lvlJc w:val="left"/>
      <w:pPr>
        <w:ind w:left="425" w:hanging="425"/>
      </w:pPr>
      <w:rPr>
        <w:rFonts w:hint="default"/>
      </w:rPr>
    </w:lvl>
  </w:abstractNum>
  <w:abstractNum w:abstractNumId="22">
    <w:nsid w:val="419E7C23"/>
    <w:multiLevelType w:val="singleLevel"/>
    <w:tmpl w:val="419E7C23"/>
    <w:lvl w:ilvl="0" w:tentative="0">
      <w:start w:val="1"/>
      <w:numFmt w:val="decimal"/>
      <w:lvlText w:val="(%1)"/>
      <w:lvlJc w:val="left"/>
      <w:pPr>
        <w:ind w:left="425" w:hanging="425"/>
      </w:pPr>
      <w:rPr>
        <w:rFonts w:hint="default"/>
      </w:rPr>
    </w:lvl>
  </w:abstractNum>
  <w:abstractNum w:abstractNumId="23">
    <w:nsid w:val="4A9570CD"/>
    <w:multiLevelType w:val="singleLevel"/>
    <w:tmpl w:val="4A9570CD"/>
    <w:lvl w:ilvl="0" w:tentative="0">
      <w:start w:val="1"/>
      <w:numFmt w:val="decimal"/>
      <w:lvlText w:val="(%1)"/>
      <w:lvlJc w:val="left"/>
      <w:pPr>
        <w:ind w:left="425" w:hanging="425"/>
      </w:pPr>
      <w:rPr>
        <w:rFonts w:hint="default"/>
        <w:color w:val="000000" w:themeColor="text1"/>
      </w:rPr>
    </w:lvl>
  </w:abstractNum>
  <w:abstractNum w:abstractNumId="24">
    <w:nsid w:val="4F430D32"/>
    <w:multiLevelType w:val="multilevel"/>
    <w:tmpl w:val="4F430D32"/>
    <w:lvl w:ilvl="0" w:tentative="0">
      <w:start w:val="1"/>
      <w:numFmt w:val="decimal"/>
      <w:pStyle w:val="16"/>
      <w:lvlText w:val=""/>
      <w:lvlJc w:val="left"/>
      <w:pPr>
        <w:tabs>
          <w:tab w:val="left" w:pos="360"/>
        </w:tabs>
        <w:ind w:left="360" w:hanging="360"/>
      </w:pPr>
      <w:rPr>
        <w:rFonts w:hint="default" w:ascii="Times New Roman" w:hAnsi="Times New Roman"/>
      </w:rPr>
    </w:lvl>
    <w:lvl w:ilvl="1" w:tentative="0">
      <w:start w:val="1"/>
      <w:numFmt w:val="decimal"/>
      <w:lvlText w:val="%1.%2"/>
      <w:lvlJc w:val="left"/>
      <w:pPr>
        <w:tabs>
          <w:tab w:val="left" w:pos="1620"/>
        </w:tabs>
        <w:ind w:left="1620" w:hanging="810"/>
      </w:pPr>
      <w:rPr>
        <w:rFonts w:hint="eastAsia"/>
      </w:rPr>
    </w:lvl>
    <w:lvl w:ilvl="2" w:tentative="0">
      <w:start w:val="1"/>
      <w:numFmt w:val="decimal"/>
      <w:lvlText w:val="%1.%2.%3"/>
      <w:lvlJc w:val="left"/>
      <w:pPr>
        <w:tabs>
          <w:tab w:val="left" w:pos="2430"/>
        </w:tabs>
        <w:ind w:left="2430" w:hanging="810"/>
      </w:pPr>
      <w:rPr>
        <w:rFonts w:hint="eastAsia"/>
      </w:rPr>
    </w:lvl>
    <w:lvl w:ilvl="3" w:tentative="0">
      <w:start w:val="1"/>
      <w:numFmt w:val="decimal"/>
      <w:lvlText w:val="%1.%2.%3.%4"/>
      <w:lvlJc w:val="left"/>
      <w:pPr>
        <w:tabs>
          <w:tab w:val="left" w:pos="3240"/>
        </w:tabs>
        <w:ind w:left="3240" w:hanging="810"/>
      </w:pPr>
      <w:rPr>
        <w:rFonts w:hint="eastAsia"/>
      </w:rPr>
    </w:lvl>
    <w:lvl w:ilvl="4" w:tentative="0">
      <w:start w:val="1"/>
      <w:numFmt w:val="decimal"/>
      <w:lvlText w:val="%1.%2.%3.%4.%5"/>
      <w:lvlJc w:val="left"/>
      <w:pPr>
        <w:tabs>
          <w:tab w:val="left" w:pos="4050"/>
        </w:tabs>
        <w:ind w:left="4050" w:hanging="810"/>
      </w:pPr>
      <w:rPr>
        <w:rFonts w:hint="eastAsia"/>
      </w:rPr>
    </w:lvl>
    <w:lvl w:ilvl="5" w:tentative="0">
      <w:start w:val="1"/>
      <w:numFmt w:val="decimal"/>
      <w:lvlText w:val="%1.%2.%3.%4.%5.%6"/>
      <w:lvlJc w:val="left"/>
      <w:pPr>
        <w:tabs>
          <w:tab w:val="left" w:pos="4860"/>
        </w:tabs>
        <w:ind w:left="4860" w:hanging="810"/>
      </w:pPr>
      <w:rPr>
        <w:rFonts w:hint="eastAsia"/>
      </w:rPr>
    </w:lvl>
    <w:lvl w:ilvl="6" w:tentative="0">
      <w:start w:val="1"/>
      <w:numFmt w:val="decimal"/>
      <w:lvlText w:val="%1.%2.%3.%4.%5.%6.%7"/>
      <w:lvlJc w:val="left"/>
      <w:pPr>
        <w:tabs>
          <w:tab w:val="left" w:pos="5670"/>
        </w:tabs>
        <w:ind w:left="5670" w:hanging="810"/>
      </w:pPr>
      <w:rPr>
        <w:rFonts w:hint="eastAsia"/>
      </w:rPr>
    </w:lvl>
    <w:lvl w:ilvl="7" w:tentative="0">
      <w:start w:val="1"/>
      <w:numFmt w:val="decimal"/>
      <w:lvlText w:val="%1.%2.%3.%4.%5.%6.%7.%8"/>
      <w:lvlJc w:val="left"/>
      <w:pPr>
        <w:tabs>
          <w:tab w:val="left" w:pos="6480"/>
        </w:tabs>
        <w:ind w:left="6480" w:hanging="810"/>
      </w:pPr>
      <w:rPr>
        <w:rFonts w:hint="eastAsia"/>
      </w:rPr>
    </w:lvl>
    <w:lvl w:ilvl="8" w:tentative="0">
      <w:start w:val="1"/>
      <w:numFmt w:val="decimal"/>
      <w:lvlText w:val="%1.%2.%3.%4.%5.%6.%7.%8.%9"/>
      <w:lvlJc w:val="left"/>
      <w:pPr>
        <w:tabs>
          <w:tab w:val="left" w:pos="7290"/>
        </w:tabs>
        <w:ind w:left="7290" w:hanging="810"/>
      </w:pPr>
      <w:rPr>
        <w:rFonts w:hint="eastAsia"/>
      </w:rPr>
    </w:lvl>
  </w:abstractNum>
  <w:abstractNum w:abstractNumId="25">
    <w:nsid w:val="4FB507E1"/>
    <w:multiLevelType w:val="singleLevel"/>
    <w:tmpl w:val="4FB507E1"/>
    <w:lvl w:ilvl="0" w:tentative="0">
      <w:start w:val="1"/>
      <w:numFmt w:val="decimal"/>
      <w:lvlText w:val="(%1)"/>
      <w:lvlJc w:val="left"/>
      <w:pPr>
        <w:ind w:left="425" w:hanging="425"/>
      </w:pPr>
      <w:rPr>
        <w:rFonts w:hint="default"/>
        <w:color w:val="auto"/>
      </w:rPr>
    </w:lvl>
  </w:abstractNum>
  <w:abstractNum w:abstractNumId="26">
    <w:nsid w:val="5760308D"/>
    <w:multiLevelType w:val="singleLevel"/>
    <w:tmpl w:val="5760308D"/>
    <w:lvl w:ilvl="0" w:tentative="0">
      <w:start w:val="1"/>
      <w:numFmt w:val="decimal"/>
      <w:lvlText w:val="(%1)"/>
      <w:lvlJc w:val="left"/>
      <w:pPr>
        <w:ind w:left="425" w:hanging="425"/>
      </w:pPr>
      <w:rPr>
        <w:rFonts w:hint="default"/>
      </w:rPr>
    </w:lvl>
  </w:abstractNum>
  <w:abstractNum w:abstractNumId="27">
    <w:nsid w:val="5B6D3AF1"/>
    <w:multiLevelType w:val="multilevel"/>
    <w:tmpl w:val="5B6D3AF1"/>
    <w:lvl w:ilvl="0" w:tentative="0">
      <w:start w:val="1"/>
      <w:numFmt w:val="decimal"/>
      <w:pStyle w:val="588"/>
      <w:lvlText w:val="%1　"/>
      <w:lvlJc w:val="left"/>
      <w:pPr>
        <w:tabs>
          <w:tab w:val="left" w:pos="539"/>
        </w:tabs>
        <w:ind w:left="426"/>
      </w:pPr>
      <w:rPr>
        <w:rFonts w:hint="eastAsia" w:cs="Times New Roman"/>
      </w:rPr>
    </w:lvl>
    <w:lvl w:ilvl="1" w:tentative="0">
      <w:start w:val="1"/>
      <w:numFmt w:val="decimal"/>
      <w:lvlText w:val="%1.%2　"/>
      <w:lvlJc w:val="left"/>
      <w:pPr>
        <w:tabs>
          <w:tab w:val="left" w:pos="369"/>
        </w:tabs>
        <w:ind w:left="369" w:hanging="227"/>
      </w:pPr>
      <w:rPr>
        <w:rFonts w:hint="default" w:ascii="Arial" w:hAnsi="Arial" w:eastAsia="宋体" w:cs="Times New Roman"/>
        <w:b/>
        <w:i w:val="0"/>
        <w:sz w:val="28"/>
      </w:rPr>
    </w:lvl>
    <w:lvl w:ilvl="2" w:tentative="0">
      <w:start w:val="1"/>
      <w:numFmt w:val="decimal"/>
      <w:lvlText w:val="%1.%2.%3."/>
      <w:lvlJc w:val="left"/>
      <w:pPr>
        <w:tabs>
          <w:tab w:val="left" w:pos="709"/>
        </w:tabs>
        <w:ind w:left="709" w:hanging="709"/>
      </w:pPr>
      <w:rPr>
        <w:rFonts w:hint="eastAsia" w:cs="Times New Roman"/>
      </w:rPr>
    </w:lvl>
    <w:lvl w:ilvl="3" w:tentative="0">
      <w:start w:val="0"/>
      <w:numFmt w:val="decimal"/>
      <w:lvlText w:val="%42.1.1.3"/>
      <w:lvlJc w:val="left"/>
      <w:pPr>
        <w:tabs>
          <w:tab w:val="left" w:pos="851"/>
        </w:tabs>
        <w:ind w:left="851" w:hanging="851"/>
      </w:pPr>
      <w:rPr>
        <w:rFonts w:hint="eastAsia" w:cs="Times New Roman"/>
      </w:rPr>
    </w:lvl>
    <w:lvl w:ilvl="4" w:tentative="0">
      <w:start w:val="0"/>
      <w:numFmt w:val="decimal"/>
      <w:lvlText w:val="%1.%2.%3.%4.%5."/>
      <w:lvlJc w:val="left"/>
      <w:pPr>
        <w:tabs>
          <w:tab w:val="left" w:pos="992"/>
        </w:tabs>
        <w:ind w:left="992" w:hanging="992"/>
      </w:pPr>
      <w:rPr>
        <w:rFonts w:hint="eastAsia" w:cs="Times New Roman"/>
      </w:rPr>
    </w:lvl>
    <w:lvl w:ilvl="5" w:tentative="0">
      <w:start w:val="0"/>
      <w:numFmt w:val="decimal"/>
      <w:lvlText w:val="%1.%2.%3.%4.%5.%6."/>
      <w:lvlJc w:val="left"/>
      <w:pPr>
        <w:tabs>
          <w:tab w:val="left" w:pos="1134"/>
        </w:tabs>
        <w:ind w:left="1134" w:hanging="1134"/>
      </w:pPr>
      <w:rPr>
        <w:rFonts w:hint="eastAsia" w:cs="Times New Roman"/>
      </w:rPr>
    </w:lvl>
    <w:lvl w:ilvl="6" w:tentative="0">
      <w:start w:val="0"/>
      <w:numFmt w:val="decimal"/>
      <w:lvlText w:val="%1.%2.%3.%4.%5.%6.%7."/>
      <w:lvlJc w:val="left"/>
      <w:pPr>
        <w:tabs>
          <w:tab w:val="left" w:pos="1276"/>
        </w:tabs>
        <w:ind w:left="1276" w:hanging="1276"/>
      </w:pPr>
      <w:rPr>
        <w:rFonts w:hint="eastAsia" w:cs="Times New Roman"/>
      </w:rPr>
    </w:lvl>
    <w:lvl w:ilvl="7" w:tentative="0">
      <w:start w:val="0"/>
      <w:numFmt w:val="decimal"/>
      <w:lvlText w:val="%1.%2.%3.%4.%5.%6.%7.%8."/>
      <w:lvlJc w:val="left"/>
      <w:pPr>
        <w:tabs>
          <w:tab w:val="left" w:pos="1418"/>
        </w:tabs>
        <w:ind w:left="1418" w:hanging="1418"/>
      </w:pPr>
      <w:rPr>
        <w:rFonts w:hint="eastAsia" w:cs="Times New Roman"/>
      </w:rPr>
    </w:lvl>
    <w:lvl w:ilvl="8" w:tentative="0">
      <w:start w:val="0"/>
      <w:numFmt w:val="decimal"/>
      <w:lvlText w:val="%1.%2.%3.%4.%5.%6.%7.%8.%9."/>
      <w:lvlJc w:val="left"/>
      <w:pPr>
        <w:tabs>
          <w:tab w:val="left" w:pos="1559"/>
        </w:tabs>
        <w:ind w:left="1559" w:hanging="1559"/>
      </w:pPr>
      <w:rPr>
        <w:rFonts w:hint="eastAsia" w:cs="Times New Roman"/>
      </w:rPr>
    </w:lvl>
  </w:abstractNum>
  <w:abstractNum w:abstractNumId="28">
    <w:nsid w:val="5DA0C13E"/>
    <w:multiLevelType w:val="singleLevel"/>
    <w:tmpl w:val="5DA0C13E"/>
    <w:lvl w:ilvl="0" w:tentative="0">
      <w:start w:val="1"/>
      <w:numFmt w:val="decimal"/>
      <w:lvlText w:val="(%1)"/>
      <w:lvlJc w:val="left"/>
      <w:pPr>
        <w:ind w:left="425" w:hanging="425"/>
      </w:pPr>
      <w:rPr>
        <w:rFonts w:hint="default"/>
        <w:color w:val="auto"/>
      </w:rPr>
    </w:lvl>
  </w:abstractNum>
  <w:abstractNum w:abstractNumId="29">
    <w:nsid w:val="69EB3673"/>
    <w:multiLevelType w:val="singleLevel"/>
    <w:tmpl w:val="69EB3673"/>
    <w:lvl w:ilvl="0" w:tentative="0">
      <w:start w:val="1"/>
      <w:numFmt w:val="decimal"/>
      <w:lvlText w:val="(%1)"/>
      <w:lvlJc w:val="left"/>
      <w:pPr>
        <w:ind w:left="425" w:hanging="425"/>
      </w:pPr>
      <w:rPr>
        <w:rFonts w:hint="default"/>
      </w:rPr>
    </w:lvl>
  </w:abstractNum>
  <w:abstractNum w:abstractNumId="30">
    <w:nsid w:val="6E230785"/>
    <w:multiLevelType w:val="multilevel"/>
    <w:tmpl w:val="6E230785"/>
    <w:lvl w:ilvl="0" w:tentative="0">
      <w:start w:val="1"/>
      <w:numFmt w:val="bullet"/>
      <w:pStyle w:val="615"/>
      <w:lvlText w:val=""/>
      <w:lvlJc w:val="left"/>
      <w:pPr>
        <w:tabs>
          <w:tab w:val="left" w:pos="170"/>
        </w:tabs>
        <w:ind w:left="170" w:hanging="170"/>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1">
    <w:nsid w:val="7C4E04D6"/>
    <w:multiLevelType w:val="singleLevel"/>
    <w:tmpl w:val="7C4E04D6"/>
    <w:lvl w:ilvl="0" w:tentative="0">
      <w:start w:val="1"/>
      <w:numFmt w:val="decimal"/>
      <w:lvlText w:val="(%1)"/>
      <w:lvlJc w:val="left"/>
      <w:pPr>
        <w:ind w:left="425" w:hanging="425"/>
      </w:pPr>
      <w:rPr>
        <w:rFonts w:hint="default"/>
      </w:rPr>
    </w:lvl>
  </w:abstractNum>
  <w:abstractNum w:abstractNumId="32">
    <w:nsid w:val="7E3B679F"/>
    <w:multiLevelType w:val="multilevel"/>
    <w:tmpl w:val="7E3B679F"/>
    <w:lvl w:ilvl="0" w:tentative="0">
      <w:start w:val="1"/>
      <w:numFmt w:val="chineseCountingThousand"/>
      <w:pStyle w:val="370"/>
      <w:lvlText w:val="%1."/>
      <w:lvlJc w:val="left"/>
      <w:pPr>
        <w:ind w:left="0" w:firstLine="0"/>
      </w:pPr>
      <w:rPr>
        <w:rFonts w:hint="default"/>
        <w:color w:val="auto"/>
        <w:sz w:val="44"/>
      </w:rPr>
    </w:lvl>
    <w:lvl w:ilvl="1" w:tentative="0">
      <w:start w:val="1"/>
      <w:numFmt w:val="decimal"/>
      <w:pStyle w:val="445"/>
      <w:lvlText w:val="%2"/>
      <w:lvlJc w:val="left"/>
      <w:pPr>
        <w:ind w:left="0" w:firstLine="0"/>
      </w:pPr>
      <w:rPr>
        <w:rFonts w:hint="eastAsia"/>
      </w:rPr>
    </w:lvl>
    <w:lvl w:ilvl="2" w:tentative="0">
      <w:start w:val="1"/>
      <w:numFmt w:val="decimal"/>
      <w:pStyle w:val="553"/>
      <w:lvlText w:val="%2.%3"/>
      <w:lvlJc w:val="left"/>
      <w:pPr>
        <w:ind w:left="0" w:firstLine="0"/>
      </w:pPr>
      <w:rPr>
        <w:rFonts w:hint="eastAsia"/>
      </w:rPr>
    </w:lvl>
    <w:lvl w:ilvl="3" w:tentative="0">
      <w:start w:val="1"/>
      <w:numFmt w:val="decimal"/>
      <w:pStyle w:val="183"/>
      <w:lvlText w:val="%2.%3.%4"/>
      <w:lvlJc w:val="left"/>
      <w:pPr>
        <w:ind w:left="0" w:firstLine="0"/>
      </w:pPr>
      <w:rPr>
        <w:rFonts w:hint="eastAsia"/>
      </w:rPr>
    </w:lvl>
    <w:lvl w:ilvl="4" w:tentative="0">
      <w:start w:val="1"/>
      <w:numFmt w:val="decimal"/>
      <w:pStyle w:val="620"/>
      <w:lvlText w:val="%2.%3.%4.%5"/>
      <w:lvlJc w:val="left"/>
      <w:pPr>
        <w:ind w:left="0" w:firstLine="0"/>
      </w:pPr>
      <w:rPr>
        <w:rFonts w:hint="eastAsia"/>
      </w:rPr>
    </w:lvl>
    <w:lvl w:ilvl="5" w:tentative="0">
      <w:start w:val="1"/>
      <w:numFmt w:val="decimal"/>
      <w:lvlText w:val="%2.%3.%4.%5.%6"/>
      <w:lvlJc w:val="left"/>
      <w:pPr>
        <w:ind w:left="0" w:firstLine="0"/>
      </w:pPr>
      <w:rPr>
        <w:rFonts w:hint="eastAsia" w:eastAsia="宋体"/>
        <w:b/>
        <w:sz w:val="24"/>
      </w:rPr>
    </w:lvl>
    <w:lvl w:ilvl="6" w:tentative="0">
      <w:start w:val="1"/>
      <w:numFmt w:val="decimal"/>
      <w:lvlText w:val="%2.%3.%4.%5.%6.%7"/>
      <w:lvlJc w:val="left"/>
      <w:pPr>
        <w:ind w:left="0" w:firstLine="0"/>
      </w:pPr>
      <w:rPr>
        <w:rFonts w:hint="eastAsia"/>
      </w:rPr>
    </w:lvl>
    <w:lvl w:ilvl="7" w:tentative="0">
      <w:start w:val="1"/>
      <w:numFmt w:val="decimal"/>
      <w:lvlText w:val="%2.%3.%4.%5.%6.%7.%8"/>
      <w:lvlJc w:val="left"/>
      <w:pPr>
        <w:ind w:left="0" w:firstLine="0"/>
      </w:pPr>
      <w:rPr>
        <w:rFonts w:hint="eastAsia"/>
      </w:rPr>
    </w:lvl>
    <w:lvl w:ilvl="8" w:tentative="0">
      <w:start w:val="1"/>
      <w:numFmt w:val="decimal"/>
      <w:lvlText w:val="%2.%3.%4.%5.%6.%7.%8.%9"/>
      <w:lvlJc w:val="left"/>
      <w:pPr>
        <w:ind w:left="0" w:firstLine="0"/>
      </w:pPr>
      <w:rPr>
        <w:rFonts w:hint="eastAsia"/>
      </w:rPr>
    </w:lvl>
  </w:abstractNum>
  <w:num w:numId="1">
    <w:abstractNumId w:val="24"/>
  </w:num>
  <w:num w:numId="2">
    <w:abstractNumId w:val="12"/>
  </w:num>
  <w:num w:numId="3">
    <w:abstractNumId w:val="32"/>
  </w:num>
  <w:num w:numId="4">
    <w:abstractNumId w:val="17"/>
  </w:num>
  <w:num w:numId="5">
    <w:abstractNumId w:val="18"/>
  </w:num>
  <w:num w:numId="6">
    <w:abstractNumId w:val="13"/>
  </w:num>
  <w:num w:numId="7">
    <w:abstractNumId w:val="14"/>
  </w:num>
  <w:num w:numId="8">
    <w:abstractNumId w:val="10"/>
  </w:num>
  <w:num w:numId="9">
    <w:abstractNumId w:val="27"/>
  </w:num>
  <w:num w:numId="10">
    <w:abstractNumId w:val="30"/>
  </w:num>
  <w:num w:numId="11">
    <w:abstractNumId w:val="16"/>
  </w:num>
  <w:num w:numId="12">
    <w:abstractNumId w:val="19"/>
  </w:num>
  <w:num w:numId="13">
    <w:abstractNumId w:val="5"/>
  </w:num>
  <w:num w:numId="14">
    <w:abstractNumId w:val="7"/>
  </w:num>
  <w:num w:numId="15">
    <w:abstractNumId w:val="25"/>
  </w:num>
  <w:num w:numId="16">
    <w:abstractNumId w:val="3"/>
  </w:num>
  <w:num w:numId="17">
    <w:abstractNumId w:val="26"/>
  </w:num>
  <w:num w:numId="18">
    <w:abstractNumId w:val="4"/>
  </w:num>
  <w:num w:numId="19">
    <w:abstractNumId w:val="8"/>
  </w:num>
  <w:num w:numId="20">
    <w:abstractNumId w:val="28"/>
  </w:num>
  <w:num w:numId="21">
    <w:abstractNumId w:val="9"/>
  </w:num>
  <w:num w:numId="22">
    <w:abstractNumId w:val="0"/>
  </w:num>
  <w:num w:numId="23">
    <w:abstractNumId w:val="1"/>
  </w:num>
  <w:num w:numId="24">
    <w:abstractNumId w:val="31"/>
  </w:num>
  <w:num w:numId="25">
    <w:abstractNumId w:val="2"/>
  </w:num>
  <w:num w:numId="26">
    <w:abstractNumId w:val="20"/>
  </w:num>
  <w:num w:numId="27">
    <w:abstractNumId w:val="21"/>
  </w:num>
  <w:num w:numId="28">
    <w:abstractNumId w:val="11"/>
  </w:num>
  <w:num w:numId="29">
    <w:abstractNumId w:val="23"/>
  </w:num>
  <w:num w:numId="30">
    <w:abstractNumId w:val="29"/>
  </w:num>
  <w:num w:numId="31">
    <w:abstractNumId w:val="22"/>
  </w:num>
  <w:num w:numId="32">
    <w:abstractNumId w:val="15"/>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HorizontalSpacing w:val="105"/>
  <w:drawingGridVerticalSpacing w:val="157"/>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FjNDAzMzRmZTgwZmU3ZmZhNWU5Y2YwN2MwOTFhODYifQ=="/>
  </w:docVars>
  <w:rsids>
    <w:rsidRoot w:val="00FD0709"/>
    <w:rsid w:val="00000648"/>
    <w:rsid w:val="0000080C"/>
    <w:rsid w:val="000009E4"/>
    <w:rsid w:val="0000164C"/>
    <w:rsid w:val="0000219E"/>
    <w:rsid w:val="000026E1"/>
    <w:rsid w:val="00002992"/>
    <w:rsid w:val="00002A72"/>
    <w:rsid w:val="00002D0A"/>
    <w:rsid w:val="00003069"/>
    <w:rsid w:val="0000431D"/>
    <w:rsid w:val="00004BCF"/>
    <w:rsid w:val="00005500"/>
    <w:rsid w:val="00005717"/>
    <w:rsid w:val="00006D5F"/>
    <w:rsid w:val="00006FF4"/>
    <w:rsid w:val="0000711B"/>
    <w:rsid w:val="0000744F"/>
    <w:rsid w:val="00007E6D"/>
    <w:rsid w:val="000100D7"/>
    <w:rsid w:val="00010470"/>
    <w:rsid w:val="00010830"/>
    <w:rsid w:val="00010A5F"/>
    <w:rsid w:val="00010BE4"/>
    <w:rsid w:val="00010CE3"/>
    <w:rsid w:val="00010DF2"/>
    <w:rsid w:val="0001156F"/>
    <w:rsid w:val="00011946"/>
    <w:rsid w:val="00012264"/>
    <w:rsid w:val="0001236A"/>
    <w:rsid w:val="00012804"/>
    <w:rsid w:val="00012EF1"/>
    <w:rsid w:val="00013694"/>
    <w:rsid w:val="00013833"/>
    <w:rsid w:val="000138DF"/>
    <w:rsid w:val="00013ECD"/>
    <w:rsid w:val="000140FD"/>
    <w:rsid w:val="0001535B"/>
    <w:rsid w:val="00015E47"/>
    <w:rsid w:val="0001650D"/>
    <w:rsid w:val="00016860"/>
    <w:rsid w:val="00016944"/>
    <w:rsid w:val="00016F70"/>
    <w:rsid w:val="0001711C"/>
    <w:rsid w:val="0001769A"/>
    <w:rsid w:val="00017BA7"/>
    <w:rsid w:val="00017D72"/>
    <w:rsid w:val="00020677"/>
    <w:rsid w:val="00020F51"/>
    <w:rsid w:val="00022976"/>
    <w:rsid w:val="000235A5"/>
    <w:rsid w:val="000235E9"/>
    <w:rsid w:val="000238B7"/>
    <w:rsid w:val="00023E07"/>
    <w:rsid w:val="00024242"/>
    <w:rsid w:val="0002451A"/>
    <w:rsid w:val="00024E5C"/>
    <w:rsid w:val="0002579A"/>
    <w:rsid w:val="00025802"/>
    <w:rsid w:val="00026643"/>
    <w:rsid w:val="00026B98"/>
    <w:rsid w:val="00026FFE"/>
    <w:rsid w:val="00027213"/>
    <w:rsid w:val="000275F5"/>
    <w:rsid w:val="0003038B"/>
    <w:rsid w:val="00030458"/>
    <w:rsid w:val="00030940"/>
    <w:rsid w:val="00030AD3"/>
    <w:rsid w:val="00032460"/>
    <w:rsid w:val="00032774"/>
    <w:rsid w:val="00032EF4"/>
    <w:rsid w:val="00033651"/>
    <w:rsid w:val="000338C2"/>
    <w:rsid w:val="00033A7C"/>
    <w:rsid w:val="0003443B"/>
    <w:rsid w:val="000344A4"/>
    <w:rsid w:val="00034C64"/>
    <w:rsid w:val="00034C80"/>
    <w:rsid w:val="00034DB4"/>
    <w:rsid w:val="00034EED"/>
    <w:rsid w:val="00034F95"/>
    <w:rsid w:val="00035989"/>
    <w:rsid w:val="000360D5"/>
    <w:rsid w:val="000361E1"/>
    <w:rsid w:val="0003684E"/>
    <w:rsid w:val="000368E0"/>
    <w:rsid w:val="00036F43"/>
    <w:rsid w:val="00037038"/>
    <w:rsid w:val="000375B1"/>
    <w:rsid w:val="000377AC"/>
    <w:rsid w:val="000379CC"/>
    <w:rsid w:val="00037CDB"/>
    <w:rsid w:val="000403B6"/>
    <w:rsid w:val="00040A62"/>
    <w:rsid w:val="000417C3"/>
    <w:rsid w:val="00043FB9"/>
    <w:rsid w:val="00044931"/>
    <w:rsid w:val="00044D3A"/>
    <w:rsid w:val="00047062"/>
    <w:rsid w:val="00047090"/>
    <w:rsid w:val="0005094C"/>
    <w:rsid w:val="00050D70"/>
    <w:rsid w:val="000514DA"/>
    <w:rsid w:val="00051540"/>
    <w:rsid w:val="000517A5"/>
    <w:rsid w:val="00051B60"/>
    <w:rsid w:val="0005275C"/>
    <w:rsid w:val="00052D90"/>
    <w:rsid w:val="000530F3"/>
    <w:rsid w:val="00053BB2"/>
    <w:rsid w:val="000541EF"/>
    <w:rsid w:val="00054260"/>
    <w:rsid w:val="00054B82"/>
    <w:rsid w:val="00054B97"/>
    <w:rsid w:val="000564DE"/>
    <w:rsid w:val="000575AD"/>
    <w:rsid w:val="000578E2"/>
    <w:rsid w:val="00057BEC"/>
    <w:rsid w:val="00057CEE"/>
    <w:rsid w:val="000601CC"/>
    <w:rsid w:val="00060599"/>
    <w:rsid w:val="000614E4"/>
    <w:rsid w:val="000615F7"/>
    <w:rsid w:val="00061754"/>
    <w:rsid w:val="00061E49"/>
    <w:rsid w:val="000628C9"/>
    <w:rsid w:val="00063463"/>
    <w:rsid w:val="000636E6"/>
    <w:rsid w:val="00063BE0"/>
    <w:rsid w:val="00063EE6"/>
    <w:rsid w:val="00064A35"/>
    <w:rsid w:val="0006630D"/>
    <w:rsid w:val="000668C3"/>
    <w:rsid w:val="00066E3F"/>
    <w:rsid w:val="000676B4"/>
    <w:rsid w:val="00067A73"/>
    <w:rsid w:val="00067EDF"/>
    <w:rsid w:val="00070238"/>
    <w:rsid w:val="000706EA"/>
    <w:rsid w:val="00070945"/>
    <w:rsid w:val="0007120E"/>
    <w:rsid w:val="0007149E"/>
    <w:rsid w:val="00071AF4"/>
    <w:rsid w:val="00071CDF"/>
    <w:rsid w:val="000720DB"/>
    <w:rsid w:val="000725C8"/>
    <w:rsid w:val="00072985"/>
    <w:rsid w:val="00072BD7"/>
    <w:rsid w:val="00073D89"/>
    <w:rsid w:val="00073E8E"/>
    <w:rsid w:val="000749E7"/>
    <w:rsid w:val="00074E58"/>
    <w:rsid w:val="00075669"/>
    <w:rsid w:val="00076071"/>
    <w:rsid w:val="00080194"/>
    <w:rsid w:val="00080E6A"/>
    <w:rsid w:val="00082016"/>
    <w:rsid w:val="000827AD"/>
    <w:rsid w:val="00082E4F"/>
    <w:rsid w:val="000830A7"/>
    <w:rsid w:val="0008320D"/>
    <w:rsid w:val="000832A1"/>
    <w:rsid w:val="0008382F"/>
    <w:rsid w:val="00083B2D"/>
    <w:rsid w:val="00085DC8"/>
    <w:rsid w:val="00085E32"/>
    <w:rsid w:val="00085FAD"/>
    <w:rsid w:val="000864B0"/>
    <w:rsid w:val="000867C7"/>
    <w:rsid w:val="00086C8A"/>
    <w:rsid w:val="00087B69"/>
    <w:rsid w:val="00087F9F"/>
    <w:rsid w:val="00090C73"/>
    <w:rsid w:val="00091207"/>
    <w:rsid w:val="0009387E"/>
    <w:rsid w:val="00093C35"/>
    <w:rsid w:val="00093D4C"/>
    <w:rsid w:val="00094064"/>
    <w:rsid w:val="000947F1"/>
    <w:rsid w:val="000949E6"/>
    <w:rsid w:val="00094C95"/>
    <w:rsid w:val="000957C7"/>
    <w:rsid w:val="0009593D"/>
    <w:rsid w:val="00095994"/>
    <w:rsid w:val="00095EAE"/>
    <w:rsid w:val="000966DF"/>
    <w:rsid w:val="000973D4"/>
    <w:rsid w:val="000A08F8"/>
    <w:rsid w:val="000A09BA"/>
    <w:rsid w:val="000A11E5"/>
    <w:rsid w:val="000A1504"/>
    <w:rsid w:val="000A223C"/>
    <w:rsid w:val="000A24A2"/>
    <w:rsid w:val="000A2717"/>
    <w:rsid w:val="000A31AA"/>
    <w:rsid w:val="000A3D7A"/>
    <w:rsid w:val="000A4BCB"/>
    <w:rsid w:val="000A5816"/>
    <w:rsid w:val="000A5AE9"/>
    <w:rsid w:val="000A6391"/>
    <w:rsid w:val="000B0216"/>
    <w:rsid w:val="000B0279"/>
    <w:rsid w:val="000B02B9"/>
    <w:rsid w:val="000B0851"/>
    <w:rsid w:val="000B0960"/>
    <w:rsid w:val="000B0DAB"/>
    <w:rsid w:val="000B1963"/>
    <w:rsid w:val="000B1B5F"/>
    <w:rsid w:val="000B1BB8"/>
    <w:rsid w:val="000B1CC4"/>
    <w:rsid w:val="000B35E1"/>
    <w:rsid w:val="000B389A"/>
    <w:rsid w:val="000B3B40"/>
    <w:rsid w:val="000B4FE9"/>
    <w:rsid w:val="000B60AE"/>
    <w:rsid w:val="000B6137"/>
    <w:rsid w:val="000B65B8"/>
    <w:rsid w:val="000B6AF4"/>
    <w:rsid w:val="000C0AA0"/>
    <w:rsid w:val="000C0AB9"/>
    <w:rsid w:val="000C1377"/>
    <w:rsid w:val="000C17B0"/>
    <w:rsid w:val="000C1C4F"/>
    <w:rsid w:val="000C2CB4"/>
    <w:rsid w:val="000C4110"/>
    <w:rsid w:val="000C41EA"/>
    <w:rsid w:val="000C4B6C"/>
    <w:rsid w:val="000C4D44"/>
    <w:rsid w:val="000C4DD8"/>
    <w:rsid w:val="000C686C"/>
    <w:rsid w:val="000C69D4"/>
    <w:rsid w:val="000C7154"/>
    <w:rsid w:val="000C71F2"/>
    <w:rsid w:val="000C74F1"/>
    <w:rsid w:val="000C7574"/>
    <w:rsid w:val="000D00C8"/>
    <w:rsid w:val="000D0BBC"/>
    <w:rsid w:val="000D0F31"/>
    <w:rsid w:val="000D1353"/>
    <w:rsid w:val="000D153C"/>
    <w:rsid w:val="000D17BA"/>
    <w:rsid w:val="000D1DBA"/>
    <w:rsid w:val="000D1DDD"/>
    <w:rsid w:val="000D2A6D"/>
    <w:rsid w:val="000D2FEE"/>
    <w:rsid w:val="000D328F"/>
    <w:rsid w:val="000D33F8"/>
    <w:rsid w:val="000D5028"/>
    <w:rsid w:val="000D5FBA"/>
    <w:rsid w:val="000D62DA"/>
    <w:rsid w:val="000D6A10"/>
    <w:rsid w:val="000D7BA9"/>
    <w:rsid w:val="000D7D03"/>
    <w:rsid w:val="000E01A4"/>
    <w:rsid w:val="000E01BB"/>
    <w:rsid w:val="000E0C38"/>
    <w:rsid w:val="000E0FEE"/>
    <w:rsid w:val="000E17A6"/>
    <w:rsid w:val="000E1875"/>
    <w:rsid w:val="000E1A89"/>
    <w:rsid w:val="000E1E08"/>
    <w:rsid w:val="000E2A07"/>
    <w:rsid w:val="000E36DE"/>
    <w:rsid w:val="000E3F9C"/>
    <w:rsid w:val="000E5C89"/>
    <w:rsid w:val="000E6E62"/>
    <w:rsid w:val="000E7B08"/>
    <w:rsid w:val="000E7BEE"/>
    <w:rsid w:val="000E7DEA"/>
    <w:rsid w:val="000E7EAF"/>
    <w:rsid w:val="000E7F1E"/>
    <w:rsid w:val="000F0017"/>
    <w:rsid w:val="000F01D5"/>
    <w:rsid w:val="000F0549"/>
    <w:rsid w:val="000F1A8B"/>
    <w:rsid w:val="000F1ED1"/>
    <w:rsid w:val="000F2021"/>
    <w:rsid w:val="000F21E5"/>
    <w:rsid w:val="000F24BF"/>
    <w:rsid w:val="000F2A62"/>
    <w:rsid w:val="000F39A1"/>
    <w:rsid w:val="000F3F24"/>
    <w:rsid w:val="000F44AE"/>
    <w:rsid w:val="000F4811"/>
    <w:rsid w:val="000F4FDE"/>
    <w:rsid w:val="000F5230"/>
    <w:rsid w:val="000F55CE"/>
    <w:rsid w:val="000F5A98"/>
    <w:rsid w:val="000F5C69"/>
    <w:rsid w:val="000F6CC6"/>
    <w:rsid w:val="000F6D58"/>
    <w:rsid w:val="000F6F44"/>
    <w:rsid w:val="000F7A0A"/>
    <w:rsid w:val="00100340"/>
    <w:rsid w:val="00100DD0"/>
    <w:rsid w:val="00100EF6"/>
    <w:rsid w:val="00101022"/>
    <w:rsid w:val="00101550"/>
    <w:rsid w:val="00101A88"/>
    <w:rsid w:val="00102B00"/>
    <w:rsid w:val="00103C81"/>
    <w:rsid w:val="00103FBC"/>
    <w:rsid w:val="00104153"/>
    <w:rsid w:val="001041BA"/>
    <w:rsid w:val="0010489E"/>
    <w:rsid w:val="001048DC"/>
    <w:rsid w:val="00104B84"/>
    <w:rsid w:val="001052E7"/>
    <w:rsid w:val="001056FC"/>
    <w:rsid w:val="001069F0"/>
    <w:rsid w:val="00107541"/>
    <w:rsid w:val="0011054A"/>
    <w:rsid w:val="001113CC"/>
    <w:rsid w:val="001116A8"/>
    <w:rsid w:val="001118E4"/>
    <w:rsid w:val="00111DCF"/>
    <w:rsid w:val="00111ED7"/>
    <w:rsid w:val="00113994"/>
    <w:rsid w:val="00113D6F"/>
    <w:rsid w:val="00113FC6"/>
    <w:rsid w:val="00114276"/>
    <w:rsid w:val="00114616"/>
    <w:rsid w:val="00115496"/>
    <w:rsid w:val="00115817"/>
    <w:rsid w:val="00115CAE"/>
    <w:rsid w:val="00116620"/>
    <w:rsid w:val="0011671D"/>
    <w:rsid w:val="00117833"/>
    <w:rsid w:val="001203C4"/>
    <w:rsid w:val="001205DF"/>
    <w:rsid w:val="00120DC2"/>
    <w:rsid w:val="00120EB2"/>
    <w:rsid w:val="00121314"/>
    <w:rsid w:val="00122B8B"/>
    <w:rsid w:val="001236B1"/>
    <w:rsid w:val="0012439E"/>
    <w:rsid w:val="00124AC7"/>
    <w:rsid w:val="00124DF5"/>
    <w:rsid w:val="00125E8C"/>
    <w:rsid w:val="0012633F"/>
    <w:rsid w:val="00126796"/>
    <w:rsid w:val="00127283"/>
    <w:rsid w:val="00127394"/>
    <w:rsid w:val="00127E92"/>
    <w:rsid w:val="00130176"/>
    <w:rsid w:val="00130A54"/>
    <w:rsid w:val="00130C2C"/>
    <w:rsid w:val="00130D97"/>
    <w:rsid w:val="00130EE4"/>
    <w:rsid w:val="00130FD7"/>
    <w:rsid w:val="00131CC8"/>
    <w:rsid w:val="00132E8E"/>
    <w:rsid w:val="00133161"/>
    <w:rsid w:val="001331DD"/>
    <w:rsid w:val="0013329C"/>
    <w:rsid w:val="001332D6"/>
    <w:rsid w:val="00133537"/>
    <w:rsid w:val="00133738"/>
    <w:rsid w:val="00133BBE"/>
    <w:rsid w:val="00133D43"/>
    <w:rsid w:val="001348A7"/>
    <w:rsid w:val="00135321"/>
    <w:rsid w:val="00137242"/>
    <w:rsid w:val="00141351"/>
    <w:rsid w:val="00141C8F"/>
    <w:rsid w:val="00141D40"/>
    <w:rsid w:val="001423F7"/>
    <w:rsid w:val="00142ED9"/>
    <w:rsid w:val="0014324D"/>
    <w:rsid w:val="001432C0"/>
    <w:rsid w:val="00143BE1"/>
    <w:rsid w:val="00144F52"/>
    <w:rsid w:val="0014543A"/>
    <w:rsid w:val="00145484"/>
    <w:rsid w:val="00145632"/>
    <w:rsid w:val="001456BD"/>
    <w:rsid w:val="00145D2A"/>
    <w:rsid w:val="001468EF"/>
    <w:rsid w:val="00147522"/>
    <w:rsid w:val="00147B3A"/>
    <w:rsid w:val="00150704"/>
    <w:rsid w:val="00150ECD"/>
    <w:rsid w:val="00151373"/>
    <w:rsid w:val="00152233"/>
    <w:rsid w:val="0015237C"/>
    <w:rsid w:val="00152745"/>
    <w:rsid w:val="00153ED1"/>
    <w:rsid w:val="00154367"/>
    <w:rsid w:val="00154416"/>
    <w:rsid w:val="001544B2"/>
    <w:rsid w:val="00154A90"/>
    <w:rsid w:val="001553B5"/>
    <w:rsid w:val="001556E9"/>
    <w:rsid w:val="00155A2F"/>
    <w:rsid w:val="0015642B"/>
    <w:rsid w:val="001568D4"/>
    <w:rsid w:val="00157E9E"/>
    <w:rsid w:val="00160BC8"/>
    <w:rsid w:val="00161870"/>
    <w:rsid w:val="0016302E"/>
    <w:rsid w:val="00163230"/>
    <w:rsid w:val="0016347D"/>
    <w:rsid w:val="00163499"/>
    <w:rsid w:val="00163CF4"/>
    <w:rsid w:val="001642B0"/>
    <w:rsid w:val="001642D0"/>
    <w:rsid w:val="001647B3"/>
    <w:rsid w:val="00164C20"/>
    <w:rsid w:val="00165A93"/>
    <w:rsid w:val="00165B6E"/>
    <w:rsid w:val="00166EAA"/>
    <w:rsid w:val="00166EDE"/>
    <w:rsid w:val="00167210"/>
    <w:rsid w:val="00167886"/>
    <w:rsid w:val="00167E2A"/>
    <w:rsid w:val="00170781"/>
    <w:rsid w:val="00171434"/>
    <w:rsid w:val="00171C3E"/>
    <w:rsid w:val="00172069"/>
    <w:rsid w:val="00173868"/>
    <w:rsid w:val="00173D3B"/>
    <w:rsid w:val="00175964"/>
    <w:rsid w:val="00175DA1"/>
    <w:rsid w:val="00175FB4"/>
    <w:rsid w:val="001762E9"/>
    <w:rsid w:val="00176468"/>
    <w:rsid w:val="00176877"/>
    <w:rsid w:val="00177106"/>
    <w:rsid w:val="00177D68"/>
    <w:rsid w:val="00180752"/>
    <w:rsid w:val="00180985"/>
    <w:rsid w:val="00180C8F"/>
    <w:rsid w:val="00181C16"/>
    <w:rsid w:val="00181DDC"/>
    <w:rsid w:val="00182166"/>
    <w:rsid w:val="00182460"/>
    <w:rsid w:val="001824E7"/>
    <w:rsid w:val="00182627"/>
    <w:rsid w:val="0018262A"/>
    <w:rsid w:val="001830FF"/>
    <w:rsid w:val="00183396"/>
    <w:rsid w:val="00183CD1"/>
    <w:rsid w:val="00183D54"/>
    <w:rsid w:val="00183FEA"/>
    <w:rsid w:val="00184397"/>
    <w:rsid w:val="00184512"/>
    <w:rsid w:val="001846AE"/>
    <w:rsid w:val="00185020"/>
    <w:rsid w:val="00185166"/>
    <w:rsid w:val="00185451"/>
    <w:rsid w:val="00185BA7"/>
    <w:rsid w:val="0018686D"/>
    <w:rsid w:val="00186876"/>
    <w:rsid w:val="0018784A"/>
    <w:rsid w:val="0019058B"/>
    <w:rsid w:val="00190DC4"/>
    <w:rsid w:val="00191383"/>
    <w:rsid w:val="0019173B"/>
    <w:rsid w:val="00191C0B"/>
    <w:rsid w:val="00192678"/>
    <w:rsid w:val="001928E7"/>
    <w:rsid w:val="001940A1"/>
    <w:rsid w:val="001951C1"/>
    <w:rsid w:val="00195330"/>
    <w:rsid w:val="00195408"/>
    <w:rsid w:val="001954B8"/>
    <w:rsid w:val="0019588D"/>
    <w:rsid w:val="00195BED"/>
    <w:rsid w:val="0019638F"/>
    <w:rsid w:val="00196965"/>
    <w:rsid w:val="00196CB7"/>
    <w:rsid w:val="00196F34"/>
    <w:rsid w:val="0019721D"/>
    <w:rsid w:val="001978EC"/>
    <w:rsid w:val="00197C2E"/>
    <w:rsid w:val="001A0370"/>
    <w:rsid w:val="001A0940"/>
    <w:rsid w:val="001A0C26"/>
    <w:rsid w:val="001A1572"/>
    <w:rsid w:val="001A1F77"/>
    <w:rsid w:val="001A2869"/>
    <w:rsid w:val="001A33ED"/>
    <w:rsid w:val="001A376D"/>
    <w:rsid w:val="001A4876"/>
    <w:rsid w:val="001A4BED"/>
    <w:rsid w:val="001A4F84"/>
    <w:rsid w:val="001A5CF0"/>
    <w:rsid w:val="001A60A6"/>
    <w:rsid w:val="001A60D0"/>
    <w:rsid w:val="001A61D6"/>
    <w:rsid w:val="001A6DED"/>
    <w:rsid w:val="001A75F9"/>
    <w:rsid w:val="001B0101"/>
    <w:rsid w:val="001B0D17"/>
    <w:rsid w:val="001B0E63"/>
    <w:rsid w:val="001B0E64"/>
    <w:rsid w:val="001B1F23"/>
    <w:rsid w:val="001B3938"/>
    <w:rsid w:val="001B3C6F"/>
    <w:rsid w:val="001B426F"/>
    <w:rsid w:val="001B4527"/>
    <w:rsid w:val="001B5117"/>
    <w:rsid w:val="001B55D3"/>
    <w:rsid w:val="001B5DD9"/>
    <w:rsid w:val="001B60B0"/>
    <w:rsid w:val="001B6539"/>
    <w:rsid w:val="001B658F"/>
    <w:rsid w:val="001B6602"/>
    <w:rsid w:val="001B6CA7"/>
    <w:rsid w:val="001B712A"/>
    <w:rsid w:val="001B7360"/>
    <w:rsid w:val="001B7446"/>
    <w:rsid w:val="001B7540"/>
    <w:rsid w:val="001C01C7"/>
    <w:rsid w:val="001C0200"/>
    <w:rsid w:val="001C061F"/>
    <w:rsid w:val="001C0C8A"/>
    <w:rsid w:val="001C117B"/>
    <w:rsid w:val="001C18D9"/>
    <w:rsid w:val="001C19FA"/>
    <w:rsid w:val="001C2501"/>
    <w:rsid w:val="001C2767"/>
    <w:rsid w:val="001C2C9A"/>
    <w:rsid w:val="001C3010"/>
    <w:rsid w:val="001C314A"/>
    <w:rsid w:val="001C34CD"/>
    <w:rsid w:val="001C39B1"/>
    <w:rsid w:val="001C3E0F"/>
    <w:rsid w:val="001C409B"/>
    <w:rsid w:val="001C511F"/>
    <w:rsid w:val="001C56DD"/>
    <w:rsid w:val="001C5BFB"/>
    <w:rsid w:val="001C75A9"/>
    <w:rsid w:val="001C7D63"/>
    <w:rsid w:val="001D016E"/>
    <w:rsid w:val="001D0F23"/>
    <w:rsid w:val="001D1082"/>
    <w:rsid w:val="001D1A2A"/>
    <w:rsid w:val="001D21B6"/>
    <w:rsid w:val="001D350E"/>
    <w:rsid w:val="001D3C2F"/>
    <w:rsid w:val="001D3EB6"/>
    <w:rsid w:val="001D412F"/>
    <w:rsid w:val="001D4161"/>
    <w:rsid w:val="001D4490"/>
    <w:rsid w:val="001D4A4C"/>
    <w:rsid w:val="001D4FB2"/>
    <w:rsid w:val="001D5068"/>
    <w:rsid w:val="001D5360"/>
    <w:rsid w:val="001D62DB"/>
    <w:rsid w:val="001D63C8"/>
    <w:rsid w:val="001D726B"/>
    <w:rsid w:val="001D771F"/>
    <w:rsid w:val="001D7D3E"/>
    <w:rsid w:val="001E0506"/>
    <w:rsid w:val="001E0698"/>
    <w:rsid w:val="001E1789"/>
    <w:rsid w:val="001E2B77"/>
    <w:rsid w:val="001E30E6"/>
    <w:rsid w:val="001E31B9"/>
    <w:rsid w:val="001E3B18"/>
    <w:rsid w:val="001E3C81"/>
    <w:rsid w:val="001E4A13"/>
    <w:rsid w:val="001E528C"/>
    <w:rsid w:val="001E52A9"/>
    <w:rsid w:val="001E65BE"/>
    <w:rsid w:val="001E6CA5"/>
    <w:rsid w:val="001E6EED"/>
    <w:rsid w:val="001E6FAE"/>
    <w:rsid w:val="001E7078"/>
    <w:rsid w:val="001E75C1"/>
    <w:rsid w:val="001E7944"/>
    <w:rsid w:val="001E7D66"/>
    <w:rsid w:val="001F041F"/>
    <w:rsid w:val="001F14E0"/>
    <w:rsid w:val="001F14F5"/>
    <w:rsid w:val="001F1743"/>
    <w:rsid w:val="001F1CAC"/>
    <w:rsid w:val="001F1E17"/>
    <w:rsid w:val="001F1F1D"/>
    <w:rsid w:val="001F2419"/>
    <w:rsid w:val="001F4381"/>
    <w:rsid w:val="001F479E"/>
    <w:rsid w:val="001F480C"/>
    <w:rsid w:val="001F5134"/>
    <w:rsid w:val="001F5141"/>
    <w:rsid w:val="001F55A0"/>
    <w:rsid w:val="001F691A"/>
    <w:rsid w:val="001F697E"/>
    <w:rsid w:val="001F76F6"/>
    <w:rsid w:val="001F77AF"/>
    <w:rsid w:val="002002FE"/>
    <w:rsid w:val="00200DBA"/>
    <w:rsid w:val="00200E97"/>
    <w:rsid w:val="002018C8"/>
    <w:rsid w:val="00201D71"/>
    <w:rsid w:val="00201F6C"/>
    <w:rsid w:val="00202445"/>
    <w:rsid w:val="00202657"/>
    <w:rsid w:val="002033CE"/>
    <w:rsid w:val="002036BB"/>
    <w:rsid w:val="00203EA1"/>
    <w:rsid w:val="00203ECC"/>
    <w:rsid w:val="002044E0"/>
    <w:rsid w:val="0020489B"/>
    <w:rsid w:val="00204AE6"/>
    <w:rsid w:val="00204D42"/>
    <w:rsid w:val="002053A0"/>
    <w:rsid w:val="00206433"/>
    <w:rsid w:val="00206AD9"/>
    <w:rsid w:val="00206AE0"/>
    <w:rsid w:val="00206B08"/>
    <w:rsid w:val="0020701F"/>
    <w:rsid w:val="002073D9"/>
    <w:rsid w:val="002100AB"/>
    <w:rsid w:val="002101AD"/>
    <w:rsid w:val="00210BDB"/>
    <w:rsid w:val="00211D5D"/>
    <w:rsid w:val="00212407"/>
    <w:rsid w:val="00212A1D"/>
    <w:rsid w:val="002136E3"/>
    <w:rsid w:val="00213954"/>
    <w:rsid w:val="0021398C"/>
    <w:rsid w:val="00213A06"/>
    <w:rsid w:val="00213DFD"/>
    <w:rsid w:val="00214102"/>
    <w:rsid w:val="0021460B"/>
    <w:rsid w:val="002146A5"/>
    <w:rsid w:val="00214D02"/>
    <w:rsid w:val="00214D2C"/>
    <w:rsid w:val="00215669"/>
    <w:rsid w:val="00215A2E"/>
    <w:rsid w:val="00215B0C"/>
    <w:rsid w:val="00215CD4"/>
    <w:rsid w:val="00216E97"/>
    <w:rsid w:val="002170E1"/>
    <w:rsid w:val="002171B9"/>
    <w:rsid w:val="00217E4B"/>
    <w:rsid w:val="002200D7"/>
    <w:rsid w:val="00220596"/>
    <w:rsid w:val="002209E1"/>
    <w:rsid w:val="00220E2F"/>
    <w:rsid w:val="00221059"/>
    <w:rsid w:val="00221080"/>
    <w:rsid w:val="00222502"/>
    <w:rsid w:val="00222A25"/>
    <w:rsid w:val="00223158"/>
    <w:rsid w:val="002242AF"/>
    <w:rsid w:val="00224F57"/>
    <w:rsid w:val="00225746"/>
    <w:rsid w:val="00225955"/>
    <w:rsid w:val="002264D5"/>
    <w:rsid w:val="0022690C"/>
    <w:rsid w:val="00227189"/>
    <w:rsid w:val="0022730E"/>
    <w:rsid w:val="00227B79"/>
    <w:rsid w:val="002300C6"/>
    <w:rsid w:val="002300E1"/>
    <w:rsid w:val="002304B6"/>
    <w:rsid w:val="0023271B"/>
    <w:rsid w:val="0023299B"/>
    <w:rsid w:val="00233196"/>
    <w:rsid w:val="00234304"/>
    <w:rsid w:val="0023463B"/>
    <w:rsid w:val="002349FE"/>
    <w:rsid w:val="00234EF7"/>
    <w:rsid w:val="002355FD"/>
    <w:rsid w:val="00235A6F"/>
    <w:rsid w:val="00236104"/>
    <w:rsid w:val="00236D55"/>
    <w:rsid w:val="00237199"/>
    <w:rsid w:val="002372F4"/>
    <w:rsid w:val="00237A0B"/>
    <w:rsid w:val="00237D96"/>
    <w:rsid w:val="002400C1"/>
    <w:rsid w:val="00240846"/>
    <w:rsid w:val="002408A3"/>
    <w:rsid w:val="002409E6"/>
    <w:rsid w:val="00240AEE"/>
    <w:rsid w:val="00240E0B"/>
    <w:rsid w:val="00240E9B"/>
    <w:rsid w:val="00240F2E"/>
    <w:rsid w:val="0024226A"/>
    <w:rsid w:val="00242B37"/>
    <w:rsid w:val="00243E03"/>
    <w:rsid w:val="00244022"/>
    <w:rsid w:val="00244EE6"/>
    <w:rsid w:val="00245A2D"/>
    <w:rsid w:val="002461BB"/>
    <w:rsid w:val="002462FB"/>
    <w:rsid w:val="002464DD"/>
    <w:rsid w:val="00247398"/>
    <w:rsid w:val="002502A5"/>
    <w:rsid w:val="00250C42"/>
    <w:rsid w:val="002518C1"/>
    <w:rsid w:val="0025226C"/>
    <w:rsid w:val="00252BF2"/>
    <w:rsid w:val="002534DA"/>
    <w:rsid w:val="002535F1"/>
    <w:rsid w:val="00253712"/>
    <w:rsid w:val="002538DB"/>
    <w:rsid w:val="0025393E"/>
    <w:rsid w:val="00253D4C"/>
    <w:rsid w:val="0025421B"/>
    <w:rsid w:val="0025488B"/>
    <w:rsid w:val="00255643"/>
    <w:rsid w:val="00255B81"/>
    <w:rsid w:val="00255F3F"/>
    <w:rsid w:val="00257B49"/>
    <w:rsid w:val="00260254"/>
    <w:rsid w:val="002602F3"/>
    <w:rsid w:val="0026031A"/>
    <w:rsid w:val="00262276"/>
    <w:rsid w:val="002625BB"/>
    <w:rsid w:val="00262BE9"/>
    <w:rsid w:val="00263B7D"/>
    <w:rsid w:val="0026479C"/>
    <w:rsid w:val="00264859"/>
    <w:rsid w:val="00264BB5"/>
    <w:rsid w:val="00264E05"/>
    <w:rsid w:val="00265D0B"/>
    <w:rsid w:val="002661E8"/>
    <w:rsid w:val="00266402"/>
    <w:rsid w:val="00266CCD"/>
    <w:rsid w:val="002679BD"/>
    <w:rsid w:val="00267D78"/>
    <w:rsid w:val="0027015E"/>
    <w:rsid w:val="002702FD"/>
    <w:rsid w:val="00270425"/>
    <w:rsid w:val="0027067A"/>
    <w:rsid w:val="00271231"/>
    <w:rsid w:val="002733E2"/>
    <w:rsid w:val="00273D1C"/>
    <w:rsid w:val="00273FC8"/>
    <w:rsid w:val="002740A1"/>
    <w:rsid w:val="00274244"/>
    <w:rsid w:val="00274336"/>
    <w:rsid w:val="00274451"/>
    <w:rsid w:val="00274541"/>
    <w:rsid w:val="002754D8"/>
    <w:rsid w:val="00275756"/>
    <w:rsid w:val="00275893"/>
    <w:rsid w:val="0027599C"/>
    <w:rsid w:val="002759A1"/>
    <w:rsid w:val="00275A59"/>
    <w:rsid w:val="0027776E"/>
    <w:rsid w:val="002808D0"/>
    <w:rsid w:val="00280A1F"/>
    <w:rsid w:val="00280A2D"/>
    <w:rsid w:val="00281080"/>
    <w:rsid w:val="00281642"/>
    <w:rsid w:val="002816F6"/>
    <w:rsid w:val="00282325"/>
    <w:rsid w:val="0028241A"/>
    <w:rsid w:val="00282DD6"/>
    <w:rsid w:val="00283395"/>
    <w:rsid w:val="002842CD"/>
    <w:rsid w:val="00284834"/>
    <w:rsid w:val="0028557C"/>
    <w:rsid w:val="002855C9"/>
    <w:rsid w:val="00285C1B"/>
    <w:rsid w:val="00285EC4"/>
    <w:rsid w:val="00286273"/>
    <w:rsid w:val="00286A37"/>
    <w:rsid w:val="00286B65"/>
    <w:rsid w:val="00287035"/>
    <w:rsid w:val="00287BB1"/>
    <w:rsid w:val="002904AC"/>
    <w:rsid w:val="002904CD"/>
    <w:rsid w:val="002905DB"/>
    <w:rsid w:val="002911C5"/>
    <w:rsid w:val="0029159D"/>
    <w:rsid w:val="002921F2"/>
    <w:rsid w:val="00292652"/>
    <w:rsid w:val="00292A77"/>
    <w:rsid w:val="00292D52"/>
    <w:rsid w:val="00293B6A"/>
    <w:rsid w:val="00293B80"/>
    <w:rsid w:val="002945FC"/>
    <w:rsid w:val="002947CC"/>
    <w:rsid w:val="00294893"/>
    <w:rsid w:val="00294E8F"/>
    <w:rsid w:val="00296D3E"/>
    <w:rsid w:val="00296E7A"/>
    <w:rsid w:val="00297364"/>
    <w:rsid w:val="002977FD"/>
    <w:rsid w:val="00297E80"/>
    <w:rsid w:val="00297F03"/>
    <w:rsid w:val="00297FE1"/>
    <w:rsid w:val="002A0012"/>
    <w:rsid w:val="002A00AA"/>
    <w:rsid w:val="002A0B22"/>
    <w:rsid w:val="002A25BE"/>
    <w:rsid w:val="002A2BAB"/>
    <w:rsid w:val="002A3040"/>
    <w:rsid w:val="002A3742"/>
    <w:rsid w:val="002A497E"/>
    <w:rsid w:val="002A4BA2"/>
    <w:rsid w:val="002A4E2D"/>
    <w:rsid w:val="002A5B04"/>
    <w:rsid w:val="002A6138"/>
    <w:rsid w:val="002A6614"/>
    <w:rsid w:val="002A6CF9"/>
    <w:rsid w:val="002A71EF"/>
    <w:rsid w:val="002A77C3"/>
    <w:rsid w:val="002A7872"/>
    <w:rsid w:val="002B0DEE"/>
    <w:rsid w:val="002B1668"/>
    <w:rsid w:val="002B23DF"/>
    <w:rsid w:val="002B32EF"/>
    <w:rsid w:val="002B402A"/>
    <w:rsid w:val="002B48B5"/>
    <w:rsid w:val="002B599D"/>
    <w:rsid w:val="002B5A9F"/>
    <w:rsid w:val="002B5C5E"/>
    <w:rsid w:val="002B6892"/>
    <w:rsid w:val="002B6902"/>
    <w:rsid w:val="002B6E17"/>
    <w:rsid w:val="002C036A"/>
    <w:rsid w:val="002C0420"/>
    <w:rsid w:val="002C149B"/>
    <w:rsid w:val="002C1B5E"/>
    <w:rsid w:val="002C1FE3"/>
    <w:rsid w:val="002C2460"/>
    <w:rsid w:val="002C2D41"/>
    <w:rsid w:val="002C2E16"/>
    <w:rsid w:val="002C3CAC"/>
    <w:rsid w:val="002C40EE"/>
    <w:rsid w:val="002C4E05"/>
    <w:rsid w:val="002C5181"/>
    <w:rsid w:val="002C5358"/>
    <w:rsid w:val="002C55A1"/>
    <w:rsid w:val="002C57C0"/>
    <w:rsid w:val="002C6353"/>
    <w:rsid w:val="002C6C9C"/>
    <w:rsid w:val="002C6E0E"/>
    <w:rsid w:val="002C73F8"/>
    <w:rsid w:val="002C7882"/>
    <w:rsid w:val="002C7925"/>
    <w:rsid w:val="002C7BDD"/>
    <w:rsid w:val="002C7C8A"/>
    <w:rsid w:val="002D04A9"/>
    <w:rsid w:val="002D0838"/>
    <w:rsid w:val="002D10EF"/>
    <w:rsid w:val="002D1E9D"/>
    <w:rsid w:val="002D202F"/>
    <w:rsid w:val="002D2237"/>
    <w:rsid w:val="002D2E8E"/>
    <w:rsid w:val="002D3343"/>
    <w:rsid w:val="002D39DC"/>
    <w:rsid w:val="002D45BD"/>
    <w:rsid w:val="002D4962"/>
    <w:rsid w:val="002D497C"/>
    <w:rsid w:val="002D4DB5"/>
    <w:rsid w:val="002D5E3D"/>
    <w:rsid w:val="002D6698"/>
    <w:rsid w:val="002D677D"/>
    <w:rsid w:val="002D6B8E"/>
    <w:rsid w:val="002D6BAB"/>
    <w:rsid w:val="002D6F03"/>
    <w:rsid w:val="002D771E"/>
    <w:rsid w:val="002D7CD2"/>
    <w:rsid w:val="002D7F2F"/>
    <w:rsid w:val="002E0426"/>
    <w:rsid w:val="002E04EA"/>
    <w:rsid w:val="002E171C"/>
    <w:rsid w:val="002E193E"/>
    <w:rsid w:val="002E39AA"/>
    <w:rsid w:val="002E3AA7"/>
    <w:rsid w:val="002E3E4E"/>
    <w:rsid w:val="002E3F83"/>
    <w:rsid w:val="002E43D6"/>
    <w:rsid w:val="002E44F0"/>
    <w:rsid w:val="002E4561"/>
    <w:rsid w:val="002E4D99"/>
    <w:rsid w:val="002E59FB"/>
    <w:rsid w:val="002E5BD1"/>
    <w:rsid w:val="002E5E93"/>
    <w:rsid w:val="002E6613"/>
    <w:rsid w:val="002E67CA"/>
    <w:rsid w:val="002E6BE7"/>
    <w:rsid w:val="002E7903"/>
    <w:rsid w:val="002F01B3"/>
    <w:rsid w:val="002F12CB"/>
    <w:rsid w:val="002F14EF"/>
    <w:rsid w:val="002F1841"/>
    <w:rsid w:val="002F1ECD"/>
    <w:rsid w:val="002F1F29"/>
    <w:rsid w:val="002F33C5"/>
    <w:rsid w:val="002F3561"/>
    <w:rsid w:val="002F3591"/>
    <w:rsid w:val="002F4BB7"/>
    <w:rsid w:val="002F51E1"/>
    <w:rsid w:val="002F5998"/>
    <w:rsid w:val="002F5B1D"/>
    <w:rsid w:val="002F636D"/>
    <w:rsid w:val="002F7082"/>
    <w:rsid w:val="002F716B"/>
    <w:rsid w:val="002F7181"/>
    <w:rsid w:val="002F71DA"/>
    <w:rsid w:val="002F7AAB"/>
    <w:rsid w:val="003001D4"/>
    <w:rsid w:val="00300597"/>
    <w:rsid w:val="00300818"/>
    <w:rsid w:val="0030090B"/>
    <w:rsid w:val="00300CD2"/>
    <w:rsid w:val="00300D89"/>
    <w:rsid w:val="00300F32"/>
    <w:rsid w:val="0030104F"/>
    <w:rsid w:val="003018A4"/>
    <w:rsid w:val="00301AC9"/>
    <w:rsid w:val="00302A92"/>
    <w:rsid w:val="00302C46"/>
    <w:rsid w:val="00303DED"/>
    <w:rsid w:val="00304499"/>
    <w:rsid w:val="00304743"/>
    <w:rsid w:val="003052D7"/>
    <w:rsid w:val="00305902"/>
    <w:rsid w:val="00305D3D"/>
    <w:rsid w:val="00305F28"/>
    <w:rsid w:val="00305F43"/>
    <w:rsid w:val="00307F1D"/>
    <w:rsid w:val="00310468"/>
    <w:rsid w:val="00310747"/>
    <w:rsid w:val="00310943"/>
    <w:rsid w:val="00310AED"/>
    <w:rsid w:val="00312026"/>
    <w:rsid w:val="00313AC0"/>
    <w:rsid w:val="00313E14"/>
    <w:rsid w:val="00314B05"/>
    <w:rsid w:val="0031502D"/>
    <w:rsid w:val="003152BB"/>
    <w:rsid w:val="00316286"/>
    <w:rsid w:val="00316A7C"/>
    <w:rsid w:val="00316B20"/>
    <w:rsid w:val="00316F90"/>
    <w:rsid w:val="003177F5"/>
    <w:rsid w:val="00317B16"/>
    <w:rsid w:val="0032015D"/>
    <w:rsid w:val="003201F0"/>
    <w:rsid w:val="003202AC"/>
    <w:rsid w:val="00320A3A"/>
    <w:rsid w:val="00320BCD"/>
    <w:rsid w:val="00321082"/>
    <w:rsid w:val="003217E4"/>
    <w:rsid w:val="003219B3"/>
    <w:rsid w:val="003222CC"/>
    <w:rsid w:val="00322655"/>
    <w:rsid w:val="00322C19"/>
    <w:rsid w:val="003231C6"/>
    <w:rsid w:val="00323301"/>
    <w:rsid w:val="0032377B"/>
    <w:rsid w:val="00323AF7"/>
    <w:rsid w:val="00323E35"/>
    <w:rsid w:val="00325545"/>
    <w:rsid w:val="0032560B"/>
    <w:rsid w:val="003258EB"/>
    <w:rsid w:val="00325C94"/>
    <w:rsid w:val="00325F86"/>
    <w:rsid w:val="0032665D"/>
    <w:rsid w:val="003269E3"/>
    <w:rsid w:val="00326D99"/>
    <w:rsid w:val="00327A9E"/>
    <w:rsid w:val="003301D7"/>
    <w:rsid w:val="0033117D"/>
    <w:rsid w:val="0033185A"/>
    <w:rsid w:val="00331D65"/>
    <w:rsid w:val="0033224C"/>
    <w:rsid w:val="00332671"/>
    <w:rsid w:val="0033281A"/>
    <w:rsid w:val="00332B62"/>
    <w:rsid w:val="003330D8"/>
    <w:rsid w:val="003337E7"/>
    <w:rsid w:val="00333F73"/>
    <w:rsid w:val="00334020"/>
    <w:rsid w:val="00334415"/>
    <w:rsid w:val="0033443D"/>
    <w:rsid w:val="00334BDE"/>
    <w:rsid w:val="00335527"/>
    <w:rsid w:val="0033652A"/>
    <w:rsid w:val="0033684E"/>
    <w:rsid w:val="00337271"/>
    <w:rsid w:val="00337C72"/>
    <w:rsid w:val="00340540"/>
    <w:rsid w:val="0034083D"/>
    <w:rsid w:val="00340E71"/>
    <w:rsid w:val="003419F1"/>
    <w:rsid w:val="00343B84"/>
    <w:rsid w:val="00343C1B"/>
    <w:rsid w:val="00344709"/>
    <w:rsid w:val="0034515D"/>
    <w:rsid w:val="0034522F"/>
    <w:rsid w:val="00345C11"/>
    <w:rsid w:val="00345C36"/>
    <w:rsid w:val="0034640B"/>
    <w:rsid w:val="003466B1"/>
    <w:rsid w:val="00347271"/>
    <w:rsid w:val="00347532"/>
    <w:rsid w:val="0035020A"/>
    <w:rsid w:val="00350D46"/>
    <w:rsid w:val="0035106E"/>
    <w:rsid w:val="00351466"/>
    <w:rsid w:val="0035186B"/>
    <w:rsid w:val="003519D2"/>
    <w:rsid w:val="00352751"/>
    <w:rsid w:val="003529F1"/>
    <w:rsid w:val="00352CE4"/>
    <w:rsid w:val="00352E53"/>
    <w:rsid w:val="0035398F"/>
    <w:rsid w:val="00353BBA"/>
    <w:rsid w:val="00353E82"/>
    <w:rsid w:val="00354000"/>
    <w:rsid w:val="0035427B"/>
    <w:rsid w:val="003542A3"/>
    <w:rsid w:val="00354AE8"/>
    <w:rsid w:val="00354EB6"/>
    <w:rsid w:val="0035531D"/>
    <w:rsid w:val="003553C2"/>
    <w:rsid w:val="00355851"/>
    <w:rsid w:val="00355A6A"/>
    <w:rsid w:val="00355FB8"/>
    <w:rsid w:val="00356419"/>
    <w:rsid w:val="00356492"/>
    <w:rsid w:val="00356678"/>
    <w:rsid w:val="0035733A"/>
    <w:rsid w:val="003577E1"/>
    <w:rsid w:val="00360511"/>
    <w:rsid w:val="00360984"/>
    <w:rsid w:val="003611BD"/>
    <w:rsid w:val="0036184E"/>
    <w:rsid w:val="00361DD3"/>
    <w:rsid w:val="00361E00"/>
    <w:rsid w:val="0036228D"/>
    <w:rsid w:val="0036239E"/>
    <w:rsid w:val="003628D5"/>
    <w:rsid w:val="00362926"/>
    <w:rsid w:val="00362F11"/>
    <w:rsid w:val="00362F44"/>
    <w:rsid w:val="0036358E"/>
    <w:rsid w:val="00364587"/>
    <w:rsid w:val="00364897"/>
    <w:rsid w:val="003648F9"/>
    <w:rsid w:val="003649B6"/>
    <w:rsid w:val="00364B80"/>
    <w:rsid w:val="00364F1E"/>
    <w:rsid w:val="00364FD2"/>
    <w:rsid w:val="0036598D"/>
    <w:rsid w:val="00366369"/>
    <w:rsid w:val="00366C68"/>
    <w:rsid w:val="00370035"/>
    <w:rsid w:val="0037021C"/>
    <w:rsid w:val="003710E3"/>
    <w:rsid w:val="0037284E"/>
    <w:rsid w:val="003733E7"/>
    <w:rsid w:val="00373D60"/>
    <w:rsid w:val="003747F2"/>
    <w:rsid w:val="003749C0"/>
    <w:rsid w:val="00375220"/>
    <w:rsid w:val="00375641"/>
    <w:rsid w:val="003757F1"/>
    <w:rsid w:val="00376233"/>
    <w:rsid w:val="00377462"/>
    <w:rsid w:val="00377890"/>
    <w:rsid w:val="00377B7A"/>
    <w:rsid w:val="00377E03"/>
    <w:rsid w:val="00377EED"/>
    <w:rsid w:val="00380490"/>
    <w:rsid w:val="00381183"/>
    <w:rsid w:val="003814C9"/>
    <w:rsid w:val="003815EF"/>
    <w:rsid w:val="0038193F"/>
    <w:rsid w:val="00381EE6"/>
    <w:rsid w:val="00381F0E"/>
    <w:rsid w:val="0038237B"/>
    <w:rsid w:val="00382ACB"/>
    <w:rsid w:val="0038312F"/>
    <w:rsid w:val="0038351C"/>
    <w:rsid w:val="00383B15"/>
    <w:rsid w:val="00383C23"/>
    <w:rsid w:val="00383E41"/>
    <w:rsid w:val="00383FBB"/>
    <w:rsid w:val="0038413D"/>
    <w:rsid w:val="0038426A"/>
    <w:rsid w:val="00384BB0"/>
    <w:rsid w:val="0038643E"/>
    <w:rsid w:val="003865AB"/>
    <w:rsid w:val="00386ECF"/>
    <w:rsid w:val="003900A3"/>
    <w:rsid w:val="0039043D"/>
    <w:rsid w:val="00390808"/>
    <w:rsid w:val="00390C84"/>
    <w:rsid w:val="00391116"/>
    <w:rsid w:val="00391287"/>
    <w:rsid w:val="00391FE4"/>
    <w:rsid w:val="00392004"/>
    <w:rsid w:val="00393519"/>
    <w:rsid w:val="00393710"/>
    <w:rsid w:val="00394135"/>
    <w:rsid w:val="0039461B"/>
    <w:rsid w:val="00395268"/>
    <w:rsid w:val="00395B8D"/>
    <w:rsid w:val="003964B3"/>
    <w:rsid w:val="00396967"/>
    <w:rsid w:val="00396A15"/>
    <w:rsid w:val="003973FB"/>
    <w:rsid w:val="003A079F"/>
    <w:rsid w:val="003A0A12"/>
    <w:rsid w:val="003A12FD"/>
    <w:rsid w:val="003A1AFF"/>
    <w:rsid w:val="003A1D41"/>
    <w:rsid w:val="003A206B"/>
    <w:rsid w:val="003A23B0"/>
    <w:rsid w:val="003A438A"/>
    <w:rsid w:val="003A46F1"/>
    <w:rsid w:val="003A4DC5"/>
    <w:rsid w:val="003A5BF5"/>
    <w:rsid w:val="003A5CC6"/>
    <w:rsid w:val="003A6ABA"/>
    <w:rsid w:val="003A722C"/>
    <w:rsid w:val="003A7520"/>
    <w:rsid w:val="003A7A5A"/>
    <w:rsid w:val="003A7DF2"/>
    <w:rsid w:val="003A7E56"/>
    <w:rsid w:val="003B1798"/>
    <w:rsid w:val="003B1D85"/>
    <w:rsid w:val="003B23B7"/>
    <w:rsid w:val="003B2665"/>
    <w:rsid w:val="003B2FB3"/>
    <w:rsid w:val="003B2FC7"/>
    <w:rsid w:val="003B301A"/>
    <w:rsid w:val="003B331E"/>
    <w:rsid w:val="003B38B2"/>
    <w:rsid w:val="003B44C4"/>
    <w:rsid w:val="003B47E0"/>
    <w:rsid w:val="003B48EB"/>
    <w:rsid w:val="003B558C"/>
    <w:rsid w:val="003B577A"/>
    <w:rsid w:val="003B5D39"/>
    <w:rsid w:val="003B6B07"/>
    <w:rsid w:val="003B7829"/>
    <w:rsid w:val="003B783F"/>
    <w:rsid w:val="003C00A6"/>
    <w:rsid w:val="003C099E"/>
    <w:rsid w:val="003C09E9"/>
    <w:rsid w:val="003C0B78"/>
    <w:rsid w:val="003C101A"/>
    <w:rsid w:val="003C1115"/>
    <w:rsid w:val="003C1EAE"/>
    <w:rsid w:val="003C1F92"/>
    <w:rsid w:val="003C2039"/>
    <w:rsid w:val="003C23EB"/>
    <w:rsid w:val="003C2522"/>
    <w:rsid w:val="003C2BA5"/>
    <w:rsid w:val="003C300B"/>
    <w:rsid w:val="003C3FE6"/>
    <w:rsid w:val="003C47D4"/>
    <w:rsid w:val="003C4C07"/>
    <w:rsid w:val="003C4E03"/>
    <w:rsid w:val="003C6A3C"/>
    <w:rsid w:val="003C6F0F"/>
    <w:rsid w:val="003C772D"/>
    <w:rsid w:val="003C7927"/>
    <w:rsid w:val="003D0AF8"/>
    <w:rsid w:val="003D0B9A"/>
    <w:rsid w:val="003D131B"/>
    <w:rsid w:val="003D168A"/>
    <w:rsid w:val="003D1B7B"/>
    <w:rsid w:val="003D2B14"/>
    <w:rsid w:val="003D2E55"/>
    <w:rsid w:val="003D2EDB"/>
    <w:rsid w:val="003D35DA"/>
    <w:rsid w:val="003D3DB0"/>
    <w:rsid w:val="003D4C38"/>
    <w:rsid w:val="003D51A3"/>
    <w:rsid w:val="003D542A"/>
    <w:rsid w:val="003D5C0A"/>
    <w:rsid w:val="003D6B87"/>
    <w:rsid w:val="003E01CA"/>
    <w:rsid w:val="003E0BF7"/>
    <w:rsid w:val="003E0C04"/>
    <w:rsid w:val="003E0F8F"/>
    <w:rsid w:val="003E1671"/>
    <w:rsid w:val="003E2A93"/>
    <w:rsid w:val="003E2D2D"/>
    <w:rsid w:val="003E2EC5"/>
    <w:rsid w:val="003E308B"/>
    <w:rsid w:val="003E38D1"/>
    <w:rsid w:val="003E3B70"/>
    <w:rsid w:val="003E49DE"/>
    <w:rsid w:val="003E4B39"/>
    <w:rsid w:val="003E4EE4"/>
    <w:rsid w:val="003E5283"/>
    <w:rsid w:val="003E5713"/>
    <w:rsid w:val="003E63CA"/>
    <w:rsid w:val="003E6547"/>
    <w:rsid w:val="003E7C0D"/>
    <w:rsid w:val="003F0019"/>
    <w:rsid w:val="003F03A3"/>
    <w:rsid w:val="003F09F9"/>
    <w:rsid w:val="003F126A"/>
    <w:rsid w:val="003F22CE"/>
    <w:rsid w:val="003F23FE"/>
    <w:rsid w:val="003F27FB"/>
    <w:rsid w:val="003F2812"/>
    <w:rsid w:val="003F3BCE"/>
    <w:rsid w:val="003F44FB"/>
    <w:rsid w:val="003F4D9B"/>
    <w:rsid w:val="003F5F76"/>
    <w:rsid w:val="003F6B77"/>
    <w:rsid w:val="003F6F2C"/>
    <w:rsid w:val="0040081C"/>
    <w:rsid w:val="00400A47"/>
    <w:rsid w:val="00400AE5"/>
    <w:rsid w:val="00401DD7"/>
    <w:rsid w:val="00402950"/>
    <w:rsid w:val="00402B76"/>
    <w:rsid w:val="004036F7"/>
    <w:rsid w:val="00403FCE"/>
    <w:rsid w:val="004045E9"/>
    <w:rsid w:val="00404750"/>
    <w:rsid w:val="004051F2"/>
    <w:rsid w:val="0040629E"/>
    <w:rsid w:val="004065D0"/>
    <w:rsid w:val="00406E46"/>
    <w:rsid w:val="004078E9"/>
    <w:rsid w:val="0040797A"/>
    <w:rsid w:val="00410048"/>
    <w:rsid w:val="00410249"/>
    <w:rsid w:val="004103F1"/>
    <w:rsid w:val="00410E53"/>
    <w:rsid w:val="00411266"/>
    <w:rsid w:val="00411A15"/>
    <w:rsid w:val="00411B23"/>
    <w:rsid w:val="00411DDB"/>
    <w:rsid w:val="0041301B"/>
    <w:rsid w:val="00413318"/>
    <w:rsid w:val="004156A0"/>
    <w:rsid w:val="004157A2"/>
    <w:rsid w:val="00415951"/>
    <w:rsid w:val="00415D5A"/>
    <w:rsid w:val="004160C6"/>
    <w:rsid w:val="00416611"/>
    <w:rsid w:val="004166B0"/>
    <w:rsid w:val="00416C81"/>
    <w:rsid w:val="00417192"/>
    <w:rsid w:val="0041767E"/>
    <w:rsid w:val="004203CE"/>
    <w:rsid w:val="00420BC5"/>
    <w:rsid w:val="004219D0"/>
    <w:rsid w:val="00421A40"/>
    <w:rsid w:val="00422195"/>
    <w:rsid w:val="004222B8"/>
    <w:rsid w:val="004226D0"/>
    <w:rsid w:val="00422838"/>
    <w:rsid w:val="00422994"/>
    <w:rsid w:val="00422CCB"/>
    <w:rsid w:val="00423B7E"/>
    <w:rsid w:val="00423BDD"/>
    <w:rsid w:val="0042440E"/>
    <w:rsid w:val="00424792"/>
    <w:rsid w:val="004249EF"/>
    <w:rsid w:val="00424ED5"/>
    <w:rsid w:val="00425A04"/>
    <w:rsid w:val="00426118"/>
    <w:rsid w:val="004268E8"/>
    <w:rsid w:val="0042696B"/>
    <w:rsid w:val="00426DEC"/>
    <w:rsid w:val="0042731A"/>
    <w:rsid w:val="0042740F"/>
    <w:rsid w:val="004300CC"/>
    <w:rsid w:val="0043076C"/>
    <w:rsid w:val="00430F0A"/>
    <w:rsid w:val="00430F55"/>
    <w:rsid w:val="0043118F"/>
    <w:rsid w:val="00431C62"/>
    <w:rsid w:val="004320D0"/>
    <w:rsid w:val="00432277"/>
    <w:rsid w:val="004325EA"/>
    <w:rsid w:val="00432A96"/>
    <w:rsid w:val="00432EAC"/>
    <w:rsid w:val="00433182"/>
    <w:rsid w:val="00433517"/>
    <w:rsid w:val="00433CB1"/>
    <w:rsid w:val="00433FA9"/>
    <w:rsid w:val="0043401D"/>
    <w:rsid w:val="00434108"/>
    <w:rsid w:val="00434B2B"/>
    <w:rsid w:val="00434D2C"/>
    <w:rsid w:val="00435002"/>
    <w:rsid w:val="00435230"/>
    <w:rsid w:val="004374EC"/>
    <w:rsid w:val="004377CE"/>
    <w:rsid w:val="00437B62"/>
    <w:rsid w:val="00437BB3"/>
    <w:rsid w:val="0044034D"/>
    <w:rsid w:val="00441705"/>
    <w:rsid w:val="00441B92"/>
    <w:rsid w:val="0044204F"/>
    <w:rsid w:val="0044241A"/>
    <w:rsid w:val="00442A7C"/>
    <w:rsid w:val="00442C72"/>
    <w:rsid w:val="0044316A"/>
    <w:rsid w:val="0044337C"/>
    <w:rsid w:val="00444302"/>
    <w:rsid w:val="004445A1"/>
    <w:rsid w:val="00444883"/>
    <w:rsid w:val="00444F07"/>
    <w:rsid w:val="0044533E"/>
    <w:rsid w:val="004453F3"/>
    <w:rsid w:val="0044548E"/>
    <w:rsid w:val="004458A7"/>
    <w:rsid w:val="00446FA1"/>
    <w:rsid w:val="00447EF9"/>
    <w:rsid w:val="004500B3"/>
    <w:rsid w:val="0045092E"/>
    <w:rsid w:val="00450C2E"/>
    <w:rsid w:val="00451077"/>
    <w:rsid w:val="00451487"/>
    <w:rsid w:val="004516B0"/>
    <w:rsid w:val="004523B6"/>
    <w:rsid w:val="00452447"/>
    <w:rsid w:val="00452603"/>
    <w:rsid w:val="00453D86"/>
    <w:rsid w:val="00455075"/>
    <w:rsid w:val="0045580F"/>
    <w:rsid w:val="00456586"/>
    <w:rsid w:val="00456E66"/>
    <w:rsid w:val="00457053"/>
    <w:rsid w:val="00457BB1"/>
    <w:rsid w:val="004606DA"/>
    <w:rsid w:val="004607AA"/>
    <w:rsid w:val="00460D17"/>
    <w:rsid w:val="004612C3"/>
    <w:rsid w:val="004614C1"/>
    <w:rsid w:val="004614FF"/>
    <w:rsid w:val="004617AE"/>
    <w:rsid w:val="00462ADF"/>
    <w:rsid w:val="00463367"/>
    <w:rsid w:val="00463915"/>
    <w:rsid w:val="00463E99"/>
    <w:rsid w:val="00463F08"/>
    <w:rsid w:val="00464063"/>
    <w:rsid w:val="0046451E"/>
    <w:rsid w:val="00464AB6"/>
    <w:rsid w:val="0046590F"/>
    <w:rsid w:val="00465A3C"/>
    <w:rsid w:val="00465B24"/>
    <w:rsid w:val="00465CA8"/>
    <w:rsid w:val="0046679E"/>
    <w:rsid w:val="00466B93"/>
    <w:rsid w:val="004703C0"/>
    <w:rsid w:val="00470A1F"/>
    <w:rsid w:val="00470D8C"/>
    <w:rsid w:val="00470F8C"/>
    <w:rsid w:val="00471124"/>
    <w:rsid w:val="00471B14"/>
    <w:rsid w:val="0047245F"/>
    <w:rsid w:val="00472A6F"/>
    <w:rsid w:val="00472BB5"/>
    <w:rsid w:val="00472E09"/>
    <w:rsid w:val="00473AB2"/>
    <w:rsid w:val="00473C94"/>
    <w:rsid w:val="004740AE"/>
    <w:rsid w:val="004744DB"/>
    <w:rsid w:val="00474849"/>
    <w:rsid w:val="00474BB0"/>
    <w:rsid w:val="004753F9"/>
    <w:rsid w:val="004777C7"/>
    <w:rsid w:val="0047795F"/>
    <w:rsid w:val="00477B51"/>
    <w:rsid w:val="004800CD"/>
    <w:rsid w:val="00480923"/>
    <w:rsid w:val="00480C13"/>
    <w:rsid w:val="00481A03"/>
    <w:rsid w:val="00481E4C"/>
    <w:rsid w:val="00482160"/>
    <w:rsid w:val="00482A52"/>
    <w:rsid w:val="00482D5E"/>
    <w:rsid w:val="00482EA9"/>
    <w:rsid w:val="00483137"/>
    <w:rsid w:val="0048315F"/>
    <w:rsid w:val="00483FE0"/>
    <w:rsid w:val="004841E4"/>
    <w:rsid w:val="004851A7"/>
    <w:rsid w:val="00485D02"/>
    <w:rsid w:val="004867CB"/>
    <w:rsid w:val="00486A0D"/>
    <w:rsid w:val="00486B88"/>
    <w:rsid w:val="00486EB8"/>
    <w:rsid w:val="00487892"/>
    <w:rsid w:val="00487AE6"/>
    <w:rsid w:val="00487DBB"/>
    <w:rsid w:val="00490A17"/>
    <w:rsid w:val="0049127E"/>
    <w:rsid w:val="004914DE"/>
    <w:rsid w:val="00491EF6"/>
    <w:rsid w:val="00491F25"/>
    <w:rsid w:val="00492206"/>
    <w:rsid w:val="00492A0C"/>
    <w:rsid w:val="004933EE"/>
    <w:rsid w:val="004936EA"/>
    <w:rsid w:val="00495508"/>
    <w:rsid w:val="004959BA"/>
    <w:rsid w:val="00495B65"/>
    <w:rsid w:val="00495EFF"/>
    <w:rsid w:val="00495F27"/>
    <w:rsid w:val="004964B2"/>
    <w:rsid w:val="004966DC"/>
    <w:rsid w:val="004967A5"/>
    <w:rsid w:val="00496AD9"/>
    <w:rsid w:val="00496FCA"/>
    <w:rsid w:val="0049727B"/>
    <w:rsid w:val="00497415"/>
    <w:rsid w:val="004979BF"/>
    <w:rsid w:val="00497F58"/>
    <w:rsid w:val="004A052B"/>
    <w:rsid w:val="004A1AB6"/>
    <w:rsid w:val="004A20B5"/>
    <w:rsid w:val="004A2132"/>
    <w:rsid w:val="004A349B"/>
    <w:rsid w:val="004A4210"/>
    <w:rsid w:val="004A4536"/>
    <w:rsid w:val="004A523B"/>
    <w:rsid w:val="004A654A"/>
    <w:rsid w:val="004A671E"/>
    <w:rsid w:val="004A6877"/>
    <w:rsid w:val="004A7346"/>
    <w:rsid w:val="004B0470"/>
    <w:rsid w:val="004B07FB"/>
    <w:rsid w:val="004B091B"/>
    <w:rsid w:val="004B0B84"/>
    <w:rsid w:val="004B0ED2"/>
    <w:rsid w:val="004B0FAC"/>
    <w:rsid w:val="004B1157"/>
    <w:rsid w:val="004B119F"/>
    <w:rsid w:val="004B11AD"/>
    <w:rsid w:val="004B1308"/>
    <w:rsid w:val="004B21AB"/>
    <w:rsid w:val="004B24A8"/>
    <w:rsid w:val="004B29B6"/>
    <w:rsid w:val="004B3426"/>
    <w:rsid w:val="004B3B6C"/>
    <w:rsid w:val="004B4996"/>
    <w:rsid w:val="004B49D5"/>
    <w:rsid w:val="004B5490"/>
    <w:rsid w:val="004B5783"/>
    <w:rsid w:val="004B6B0C"/>
    <w:rsid w:val="004B6F9B"/>
    <w:rsid w:val="004B760A"/>
    <w:rsid w:val="004B7989"/>
    <w:rsid w:val="004C03D8"/>
    <w:rsid w:val="004C0BD6"/>
    <w:rsid w:val="004C0C50"/>
    <w:rsid w:val="004C138A"/>
    <w:rsid w:val="004C1C39"/>
    <w:rsid w:val="004C1E2F"/>
    <w:rsid w:val="004C2A5F"/>
    <w:rsid w:val="004C35C2"/>
    <w:rsid w:val="004C3625"/>
    <w:rsid w:val="004C38CA"/>
    <w:rsid w:val="004C3A6D"/>
    <w:rsid w:val="004C53E2"/>
    <w:rsid w:val="004C5482"/>
    <w:rsid w:val="004C557A"/>
    <w:rsid w:val="004C5DCA"/>
    <w:rsid w:val="004C6049"/>
    <w:rsid w:val="004C6413"/>
    <w:rsid w:val="004C6EFE"/>
    <w:rsid w:val="004C6FE5"/>
    <w:rsid w:val="004C7207"/>
    <w:rsid w:val="004C75F4"/>
    <w:rsid w:val="004C7B8F"/>
    <w:rsid w:val="004C7C0B"/>
    <w:rsid w:val="004D0CD6"/>
    <w:rsid w:val="004D1D07"/>
    <w:rsid w:val="004D1F65"/>
    <w:rsid w:val="004D21B5"/>
    <w:rsid w:val="004D21BE"/>
    <w:rsid w:val="004D2264"/>
    <w:rsid w:val="004D273B"/>
    <w:rsid w:val="004D2A5A"/>
    <w:rsid w:val="004D2B58"/>
    <w:rsid w:val="004D3418"/>
    <w:rsid w:val="004D3C14"/>
    <w:rsid w:val="004D3EA1"/>
    <w:rsid w:val="004D3EE4"/>
    <w:rsid w:val="004D4C57"/>
    <w:rsid w:val="004D5131"/>
    <w:rsid w:val="004D51C0"/>
    <w:rsid w:val="004D6237"/>
    <w:rsid w:val="004D68ED"/>
    <w:rsid w:val="004D6D4D"/>
    <w:rsid w:val="004D6E04"/>
    <w:rsid w:val="004D70E2"/>
    <w:rsid w:val="004E0585"/>
    <w:rsid w:val="004E075A"/>
    <w:rsid w:val="004E18B1"/>
    <w:rsid w:val="004E2018"/>
    <w:rsid w:val="004E210B"/>
    <w:rsid w:val="004E22C8"/>
    <w:rsid w:val="004E22EC"/>
    <w:rsid w:val="004E2505"/>
    <w:rsid w:val="004E259D"/>
    <w:rsid w:val="004E278C"/>
    <w:rsid w:val="004E2C24"/>
    <w:rsid w:val="004E2DA4"/>
    <w:rsid w:val="004E4061"/>
    <w:rsid w:val="004E5731"/>
    <w:rsid w:val="004E6128"/>
    <w:rsid w:val="004E7007"/>
    <w:rsid w:val="004E7B4F"/>
    <w:rsid w:val="004F0327"/>
    <w:rsid w:val="004F03A0"/>
    <w:rsid w:val="004F0439"/>
    <w:rsid w:val="004F0659"/>
    <w:rsid w:val="004F0C74"/>
    <w:rsid w:val="004F1317"/>
    <w:rsid w:val="004F221B"/>
    <w:rsid w:val="004F2725"/>
    <w:rsid w:val="004F2841"/>
    <w:rsid w:val="004F319E"/>
    <w:rsid w:val="004F3423"/>
    <w:rsid w:val="004F3553"/>
    <w:rsid w:val="004F36CA"/>
    <w:rsid w:val="004F4191"/>
    <w:rsid w:val="004F419E"/>
    <w:rsid w:val="004F457F"/>
    <w:rsid w:val="004F45E0"/>
    <w:rsid w:val="004F544A"/>
    <w:rsid w:val="004F55B9"/>
    <w:rsid w:val="004F5DB6"/>
    <w:rsid w:val="004F6899"/>
    <w:rsid w:val="004F6BF6"/>
    <w:rsid w:val="004F6E37"/>
    <w:rsid w:val="004F7254"/>
    <w:rsid w:val="004F7AFE"/>
    <w:rsid w:val="0050101E"/>
    <w:rsid w:val="0050115B"/>
    <w:rsid w:val="005011D7"/>
    <w:rsid w:val="00501DBA"/>
    <w:rsid w:val="005030C9"/>
    <w:rsid w:val="005039A5"/>
    <w:rsid w:val="00503D6C"/>
    <w:rsid w:val="00504573"/>
    <w:rsid w:val="00504740"/>
    <w:rsid w:val="00504D02"/>
    <w:rsid w:val="00504E35"/>
    <w:rsid w:val="005050D4"/>
    <w:rsid w:val="0050555E"/>
    <w:rsid w:val="005059A9"/>
    <w:rsid w:val="00505BB1"/>
    <w:rsid w:val="005062D6"/>
    <w:rsid w:val="005063A9"/>
    <w:rsid w:val="0050755D"/>
    <w:rsid w:val="0050760B"/>
    <w:rsid w:val="005078FD"/>
    <w:rsid w:val="00507A12"/>
    <w:rsid w:val="00507C25"/>
    <w:rsid w:val="00510977"/>
    <w:rsid w:val="005114E3"/>
    <w:rsid w:val="005116A5"/>
    <w:rsid w:val="00511FEB"/>
    <w:rsid w:val="00512800"/>
    <w:rsid w:val="00512962"/>
    <w:rsid w:val="005129EA"/>
    <w:rsid w:val="00512B83"/>
    <w:rsid w:val="00512F88"/>
    <w:rsid w:val="00513037"/>
    <w:rsid w:val="005134B4"/>
    <w:rsid w:val="005134C6"/>
    <w:rsid w:val="00513F0A"/>
    <w:rsid w:val="00513F8E"/>
    <w:rsid w:val="005142BD"/>
    <w:rsid w:val="005146BF"/>
    <w:rsid w:val="005158C2"/>
    <w:rsid w:val="00515EDE"/>
    <w:rsid w:val="00516197"/>
    <w:rsid w:val="00516DA3"/>
    <w:rsid w:val="00516E14"/>
    <w:rsid w:val="00517126"/>
    <w:rsid w:val="00517351"/>
    <w:rsid w:val="0051736E"/>
    <w:rsid w:val="0051792D"/>
    <w:rsid w:val="00517DE1"/>
    <w:rsid w:val="00520387"/>
    <w:rsid w:val="00521E28"/>
    <w:rsid w:val="00521EED"/>
    <w:rsid w:val="005220C5"/>
    <w:rsid w:val="00522334"/>
    <w:rsid w:val="00522848"/>
    <w:rsid w:val="00522995"/>
    <w:rsid w:val="00522A08"/>
    <w:rsid w:val="005235D6"/>
    <w:rsid w:val="00523825"/>
    <w:rsid w:val="00523840"/>
    <w:rsid w:val="00523B74"/>
    <w:rsid w:val="00523B97"/>
    <w:rsid w:val="005254F7"/>
    <w:rsid w:val="00525D08"/>
    <w:rsid w:val="00525F82"/>
    <w:rsid w:val="00526D07"/>
    <w:rsid w:val="0052722B"/>
    <w:rsid w:val="00527DED"/>
    <w:rsid w:val="00527DFD"/>
    <w:rsid w:val="00527FA1"/>
    <w:rsid w:val="0053018F"/>
    <w:rsid w:val="00530293"/>
    <w:rsid w:val="0053034E"/>
    <w:rsid w:val="00531370"/>
    <w:rsid w:val="00531443"/>
    <w:rsid w:val="00531986"/>
    <w:rsid w:val="00531B35"/>
    <w:rsid w:val="00531DC2"/>
    <w:rsid w:val="00532BD1"/>
    <w:rsid w:val="00533623"/>
    <w:rsid w:val="00533BCF"/>
    <w:rsid w:val="00533C82"/>
    <w:rsid w:val="005344FC"/>
    <w:rsid w:val="0053463D"/>
    <w:rsid w:val="00534F25"/>
    <w:rsid w:val="00535EFA"/>
    <w:rsid w:val="005362DD"/>
    <w:rsid w:val="005368DE"/>
    <w:rsid w:val="005400A2"/>
    <w:rsid w:val="00540A53"/>
    <w:rsid w:val="0054174A"/>
    <w:rsid w:val="00542C9C"/>
    <w:rsid w:val="0054374C"/>
    <w:rsid w:val="00543A81"/>
    <w:rsid w:val="00544CE1"/>
    <w:rsid w:val="005451A6"/>
    <w:rsid w:val="0054583B"/>
    <w:rsid w:val="00546C51"/>
    <w:rsid w:val="00547395"/>
    <w:rsid w:val="005476FC"/>
    <w:rsid w:val="005479EA"/>
    <w:rsid w:val="00547B2C"/>
    <w:rsid w:val="00550637"/>
    <w:rsid w:val="00550732"/>
    <w:rsid w:val="00551172"/>
    <w:rsid w:val="005515E6"/>
    <w:rsid w:val="00551A4D"/>
    <w:rsid w:val="00551DF1"/>
    <w:rsid w:val="0055290D"/>
    <w:rsid w:val="00552F63"/>
    <w:rsid w:val="005531A6"/>
    <w:rsid w:val="00553567"/>
    <w:rsid w:val="005543FF"/>
    <w:rsid w:val="005546DD"/>
    <w:rsid w:val="00554DE2"/>
    <w:rsid w:val="00555125"/>
    <w:rsid w:val="0055530F"/>
    <w:rsid w:val="00555376"/>
    <w:rsid w:val="0055548F"/>
    <w:rsid w:val="00555BEA"/>
    <w:rsid w:val="00556CE5"/>
    <w:rsid w:val="00557540"/>
    <w:rsid w:val="00560672"/>
    <w:rsid w:val="005613DD"/>
    <w:rsid w:val="00561932"/>
    <w:rsid w:val="00561CE4"/>
    <w:rsid w:val="00562BEB"/>
    <w:rsid w:val="00563091"/>
    <w:rsid w:val="00563935"/>
    <w:rsid w:val="00563A75"/>
    <w:rsid w:val="00563B54"/>
    <w:rsid w:val="00565D73"/>
    <w:rsid w:val="00565F64"/>
    <w:rsid w:val="00565F7C"/>
    <w:rsid w:val="0056669E"/>
    <w:rsid w:val="0056770B"/>
    <w:rsid w:val="005718F5"/>
    <w:rsid w:val="00572089"/>
    <w:rsid w:val="00574452"/>
    <w:rsid w:val="00574692"/>
    <w:rsid w:val="00574785"/>
    <w:rsid w:val="0057503C"/>
    <w:rsid w:val="005753D1"/>
    <w:rsid w:val="0057581C"/>
    <w:rsid w:val="005759F4"/>
    <w:rsid w:val="00576078"/>
    <w:rsid w:val="00576534"/>
    <w:rsid w:val="00576545"/>
    <w:rsid w:val="00576688"/>
    <w:rsid w:val="005768D1"/>
    <w:rsid w:val="00576910"/>
    <w:rsid w:val="00576CE9"/>
    <w:rsid w:val="0057704A"/>
    <w:rsid w:val="00577147"/>
    <w:rsid w:val="0057728A"/>
    <w:rsid w:val="00577491"/>
    <w:rsid w:val="0058125D"/>
    <w:rsid w:val="00581BC1"/>
    <w:rsid w:val="00582D5B"/>
    <w:rsid w:val="00583680"/>
    <w:rsid w:val="005837CE"/>
    <w:rsid w:val="00583B37"/>
    <w:rsid w:val="00583F15"/>
    <w:rsid w:val="005846DA"/>
    <w:rsid w:val="0058526D"/>
    <w:rsid w:val="005852A6"/>
    <w:rsid w:val="00585D7E"/>
    <w:rsid w:val="00586950"/>
    <w:rsid w:val="00586B29"/>
    <w:rsid w:val="00586CF2"/>
    <w:rsid w:val="00586D7A"/>
    <w:rsid w:val="0058717C"/>
    <w:rsid w:val="005875A5"/>
    <w:rsid w:val="0058798B"/>
    <w:rsid w:val="00587EF8"/>
    <w:rsid w:val="005900AF"/>
    <w:rsid w:val="0059055E"/>
    <w:rsid w:val="0059116B"/>
    <w:rsid w:val="00591A62"/>
    <w:rsid w:val="00591CA1"/>
    <w:rsid w:val="00591EB1"/>
    <w:rsid w:val="00591FE6"/>
    <w:rsid w:val="005925F4"/>
    <w:rsid w:val="005928D5"/>
    <w:rsid w:val="00593479"/>
    <w:rsid w:val="00593F20"/>
    <w:rsid w:val="00595D44"/>
    <w:rsid w:val="00596AA7"/>
    <w:rsid w:val="00596C4E"/>
    <w:rsid w:val="005973E2"/>
    <w:rsid w:val="00597D1C"/>
    <w:rsid w:val="00597D7D"/>
    <w:rsid w:val="00597E37"/>
    <w:rsid w:val="00597E85"/>
    <w:rsid w:val="00597EAC"/>
    <w:rsid w:val="005A017A"/>
    <w:rsid w:val="005A0808"/>
    <w:rsid w:val="005A136B"/>
    <w:rsid w:val="005A201D"/>
    <w:rsid w:val="005A2638"/>
    <w:rsid w:val="005A2C2A"/>
    <w:rsid w:val="005A3465"/>
    <w:rsid w:val="005A35E0"/>
    <w:rsid w:val="005A43F2"/>
    <w:rsid w:val="005A458D"/>
    <w:rsid w:val="005A47C2"/>
    <w:rsid w:val="005A4E06"/>
    <w:rsid w:val="005A509E"/>
    <w:rsid w:val="005A664A"/>
    <w:rsid w:val="005A66A1"/>
    <w:rsid w:val="005A7418"/>
    <w:rsid w:val="005A7745"/>
    <w:rsid w:val="005B1E07"/>
    <w:rsid w:val="005B1FA4"/>
    <w:rsid w:val="005B2ACB"/>
    <w:rsid w:val="005B3219"/>
    <w:rsid w:val="005B322F"/>
    <w:rsid w:val="005B34DA"/>
    <w:rsid w:val="005B3922"/>
    <w:rsid w:val="005B4361"/>
    <w:rsid w:val="005B447F"/>
    <w:rsid w:val="005B4CDB"/>
    <w:rsid w:val="005B4DAE"/>
    <w:rsid w:val="005B5332"/>
    <w:rsid w:val="005B5992"/>
    <w:rsid w:val="005B6340"/>
    <w:rsid w:val="005B67F2"/>
    <w:rsid w:val="005B6848"/>
    <w:rsid w:val="005B6EF9"/>
    <w:rsid w:val="005B70C4"/>
    <w:rsid w:val="005B7AB8"/>
    <w:rsid w:val="005B7B08"/>
    <w:rsid w:val="005C0393"/>
    <w:rsid w:val="005C08D3"/>
    <w:rsid w:val="005C0B62"/>
    <w:rsid w:val="005C0DE9"/>
    <w:rsid w:val="005C19D3"/>
    <w:rsid w:val="005C1DAD"/>
    <w:rsid w:val="005C23E5"/>
    <w:rsid w:val="005C2547"/>
    <w:rsid w:val="005C2DFB"/>
    <w:rsid w:val="005C3531"/>
    <w:rsid w:val="005C374F"/>
    <w:rsid w:val="005C478C"/>
    <w:rsid w:val="005C4C94"/>
    <w:rsid w:val="005C512D"/>
    <w:rsid w:val="005C52D2"/>
    <w:rsid w:val="005C53F4"/>
    <w:rsid w:val="005C5D45"/>
    <w:rsid w:val="005C6753"/>
    <w:rsid w:val="005C68B5"/>
    <w:rsid w:val="005C6A2A"/>
    <w:rsid w:val="005C6BF7"/>
    <w:rsid w:val="005C6F7A"/>
    <w:rsid w:val="005C7AA4"/>
    <w:rsid w:val="005C7BC6"/>
    <w:rsid w:val="005C7F8D"/>
    <w:rsid w:val="005D0689"/>
    <w:rsid w:val="005D11BA"/>
    <w:rsid w:val="005D121B"/>
    <w:rsid w:val="005D196E"/>
    <w:rsid w:val="005D1CE3"/>
    <w:rsid w:val="005D260C"/>
    <w:rsid w:val="005D3073"/>
    <w:rsid w:val="005D3598"/>
    <w:rsid w:val="005D4161"/>
    <w:rsid w:val="005D448D"/>
    <w:rsid w:val="005D47E1"/>
    <w:rsid w:val="005D52B9"/>
    <w:rsid w:val="005D55BC"/>
    <w:rsid w:val="005D5979"/>
    <w:rsid w:val="005D5D42"/>
    <w:rsid w:val="005D5DB7"/>
    <w:rsid w:val="005D668E"/>
    <w:rsid w:val="005D7136"/>
    <w:rsid w:val="005D71E4"/>
    <w:rsid w:val="005D7FEF"/>
    <w:rsid w:val="005E04BC"/>
    <w:rsid w:val="005E0D54"/>
    <w:rsid w:val="005E0F22"/>
    <w:rsid w:val="005E1CB0"/>
    <w:rsid w:val="005E2062"/>
    <w:rsid w:val="005E2B27"/>
    <w:rsid w:val="005E3478"/>
    <w:rsid w:val="005E3805"/>
    <w:rsid w:val="005E391F"/>
    <w:rsid w:val="005E39CD"/>
    <w:rsid w:val="005E3E2C"/>
    <w:rsid w:val="005E42E1"/>
    <w:rsid w:val="005E4B70"/>
    <w:rsid w:val="005E4B7C"/>
    <w:rsid w:val="005E528A"/>
    <w:rsid w:val="005E53A9"/>
    <w:rsid w:val="005E53DC"/>
    <w:rsid w:val="005E5FE8"/>
    <w:rsid w:val="005E67DB"/>
    <w:rsid w:val="005E6E41"/>
    <w:rsid w:val="005E796C"/>
    <w:rsid w:val="005F04F3"/>
    <w:rsid w:val="005F08D0"/>
    <w:rsid w:val="005F09E0"/>
    <w:rsid w:val="005F0FD5"/>
    <w:rsid w:val="005F10FE"/>
    <w:rsid w:val="005F1786"/>
    <w:rsid w:val="005F1B91"/>
    <w:rsid w:val="005F240F"/>
    <w:rsid w:val="005F2B79"/>
    <w:rsid w:val="005F3523"/>
    <w:rsid w:val="005F3FD8"/>
    <w:rsid w:val="005F4916"/>
    <w:rsid w:val="005F4926"/>
    <w:rsid w:val="005F4D20"/>
    <w:rsid w:val="005F514B"/>
    <w:rsid w:val="005F5535"/>
    <w:rsid w:val="005F5AF0"/>
    <w:rsid w:val="005F6203"/>
    <w:rsid w:val="005F6FC1"/>
    <w:rsid w:val="00600194"/>
    <w:rsid w:val="00600A30"/>
    <w:rsid w:val="00601B2E"/>
    <w:rsid w:val="00601B6C"/>
    <w:rsid w:val="00602004"/>
    <w:rsid w:val="0060207A"/>
    <w:rsid w:val="00602782"/>
    <w:rsid w:val="006027A4"/>
    <w:rsid w:val="00602CC3"/>
    <w:rsid w:val="00602F41"/>
    <w:rsid w:val="00603281"/>
    <w:rsid w:val="00603A7C"/>
    <w:rsid w:val="00603CBA"/>
    <w:rsid w:val="006040FD"/>
    <w:rsid w:val="0060419A"/>
    <w:rsid w:val="0060468A"/>
    <w:rsid w:val="00604DAB"/>
    <w:rsid w:val="006063D9"/>
    <w:rsid w:val="0060688E"/>
    <w:rsid w:val="00606BDD"/>
    <w:rsid w:val="00606D84"/>
    <w:rsid w:val="00606FF0"/>
    <w:rsid w:val="00607219"/>
    <w:rsid w:val="0061033D"/>
    <w:rsid w:val="00610671"/>
    <w:rsid w:val="006109ED"/>
    <w:rsid w:val="006110EC"/>
    <w:rsid w:val="006115A3"/>
    <w:rsid w:val="00611CB0"/>
    <w:rsid w:val="00611FD5"/>
    <w:rsid w:val="006120B9"/>
    <w:rsid w:val="006125F2"/>
    <w:rsid w:val="00612A77"/>
    <w:rsid w:val="00612CB2"/>
    <w:rsid w:val="00613674"/>
    <w:rsid w:val="0061564A"/>
    <w:rsid w:val="006156B8"/>
    <w:rsid w:val="006158F4"/>
    <w:rsid w:val="00615D3F"/>
    <w:rsid w:val="00615D72"/>
    <w:rsid w:val="00616052"/>
    <w:rsid w:val="00617785"/>
    <w:rsid w:val="00617CC1"/>
    <w:rsid w:val="00620784"/>
    <w:rsid w:val="006208B6"/>
    <w:rsid w:val="00621254"/>
    <w:rsid w:val="00621379"/>
    <w:rsid w:val="00621532"/>
    <w:rsid w:val="00621679"/>
    <w:rsid w:val="0062390D"/>
    <w:rsid w:val="00623A18"/>
    <w:rsid w:val="006242FE"/>
    <w:rsid w:val="00624458"/>
    <w:rsid w:val="00624FA7"/>
    <w:rsid w:val="00625A4B"/>
    <w:rsid w:val="00626338"/>
    <w:rsid w:val="006263B2"/>
    <w:rsid w:val="006265F4"/>
    <w:rsid w:val="00626C50"/>
    <w:rsid w:val="00626D7E"/>
    <w:rsid w:val="00626E58"/>
    <w:rsid w:val="00627100"/>
    <w:rsid w:val="00627409"/>
    <w:rsid w:val="00627530"/>
    <w:rsid w:val="00627C51"/>
    <w:rsid w:val="006304CC"/>
    <w:rsid w:val="00630A18"/>
    <w:rsid w:val="00631612"/>
    <w:rsid w:val="006328B3"/>
    <w:rsid w:val="00632F53"/>
    <w:rsid w:val="006333FC"/>
    <w:rsid w:val="00634222"/>
    <w:rsid w:val="006348E9"/>
    <w:rsid w:val="0063492C"/>
    <w:rsid w:val="00634D8E"/>
    <w:rsid w:val="00634ED9"/>
    <w:rsid w:val="00636704"/>
    <w:rsid w:val="006403F1"/>
    <w:rsid w:val="006406D4"/>
    <w:rsid w:val="00640A34"/>
    <w:rsid w:val="00640BB7"/>
    <w:rsid w:val="00640DBF"/>
    <w:rsid w:val="00641250"/>
    <w:rsid w:val="006415D1"/>
    <w:rsid w:val="0064169C"/>
    <w:rsid w:val="006416DA"/>
    <w:rsid w:val="006418C3"/>
    <w:rsid w:val="006418D9"/>
    <w:rsid w:val="00642DDB"/>
    <w:rsid w:val="0064317F"/>
    <w:rsid w:val="006435E4"/>
    <w:rsid w:val="00643CA2"/>
    <w:rsid w:val="00645FE2"/>
    <w:rsid w:val="00646048"/>
    <w:rsid w:val="006469B9"/>
    <w:rsid w:val="00646AF2"/>
    <w:rsid w:val="006474AC"/>
    <w:rsid w:val="006474E3"/>
    <w:rsid w:val="0064770C"/>
    <w:rsid w:val="006504EC"/>
    <w:rsid w:val="00650E10"/>
    <w:rsid w:val="006515F1"/>
    <w:rsid w:val="00651B56"/>
    <w:rsid w:val="00651DBA"/>
    <w:rsid w:val="00652BEF"/>
    <w:rsid w:val="00653CE4"/>
    <w:rsid w:val="006544CF"/>
    <w:rsid w:val="00654A5D"/>
    <w:rsid w:val="00654C5E"/>
    <w:rsid w:val="006550B8"/>
    <w:rsid w:val="0065585F"/>
    <w:rsid w:val="006562D5"/>
    <w:rsid w:val="0065668E"/>
    <w:rsid w:val="006566E8"/>
    <w:rsid w:val="006567CA"/>
    <w:rsid w:val="006568C5"/>
    <w:rsid w:val="006570E3"/>
    <w:rsid w:val="006573AD"/>
    <w:rsid w:val="00657899"/>
    <w:rsid w:val="006602D4"/>
    <w:rsid w:val="0066031A"/>
    <w:rsid w:val="00660E34"/>
    <w:rsid w:val="00660ED4"/>
    <w:rsid w:val="00660F19"/>
    <w:rsid w:val="00662327"/>
    <w:rsid w:val="0066277A"/>
    <w:rsid w:val="00662B5C"/>
    <w:rsid w:val="00662E73"/>
    <w:rsid w:val="006639C7"/>
    <w:rsid w:val="00663CD4"/>
    <w:rsid w:val="00663FAA"/>
    <w:rsid w:val="00663FF5"/>
    <w:rsid w:val="00664324"/>
    <w:rsid w:val="0066443F"/>
    <w:rsid w:val="00664DFE"/>
    <w:rsid w:val="00664F1A"/>
    <w:rsid w:val="006650F8"/>
    <w:rsid w:val="0066563D"/>
    <w:rsid w:val="006659AB"/>
    <w:rsid w:val="00665D19"/>
    <w:rsid w:val="00666109"/>
    <w:rsid w:val="006662E9"/>
    <w:rsid w:val="00666912"/>
    <w:rsid w:val="00666B79"/>
    <w:rsid w:val="006673C4"/>
    <w:rsid w:val="00667671"/>
    <w:rsid w:val="00667A25"/>
    <w:rsid w:val="00670631"/>
    <w:rsid w:val="00670805"/>
    <w:rsid w:val="00670DD6"/>
    <w:rsid w:val="00672059"/>
    <w:rsid w:val="006720D3"/>
    <w:rsid w:val="00672BEB"/>
    <w:rsid w:val="00673A37"/>
    <w:rsid w:val="00673DE0"/>
    <w:rsid w:val="00674957"/>
    <w:rsid w:val="00675263"/>
    <w:rsid w:val="006752F0"/>
    <w:rsid w:val="00675542"/>
    <w:rsid w:val="00675717"/>
    <w:rsid w:val="0067598C"/>
    <w:rsid w:val="00675A96"/>
    <w:rsid w:val="00675C3A"/>
    <w:rsid w:val="00676091"/>
    <w:rsid w:val="00676C5B"/>
    <w:rsid w:val="006773E7"/>
    <w:rsid w:val="006778CB"/>
    <w:rsid w:val="006778F6"/>
    <w:rsid w:val="00677B47"/>
    <w:rsid w:val="00680396"/>
    <w:rsid w:val="00680621"/>
    <w:rsid w:val="006806D1"/>
    <w:rsid w:val="00680E87"/>
    <w:rsid w:val="00681351"/>
    <w:rsid w:val="0068149B"/>
    <w:rsid w:val="0068168E"/>
    <w:rsid w:val="00681842"/>
    <w:rsid w:val="006819AF"/>
    <w:rsid w:val="00682BCD"/>
    <w:rsid w:val="00682FA4"/>
    <w:rsid w:val="006834F6"/>
    <w:rsid w:val="00683CAF"/>
    <w:rsid w:val="00684591"/>
    <w:rsid w:val="0068498C"/>
    <w:rsid w:val="00684BFA"/>
    <w:rsid w:val="0068540A"/>
    <w:rsid w:val="00685579"/>
    <w:rsid w:val="006857CE"/>
    <w:rsid w:val="00686457"/>
    <w:rsid w:val="00686815"/>
    <w:rsid w:val="00686A37"/>
    <w:rsid w:val="00686E03"/>
    <w:rsid w:val="00687145"/>
    <w:rsid w:val="00687172"/>
    <w:rsid w:val="006875B3"/>
    <w:rsid w:val="00687BDB"/>
    <w:rsid w:val="00687E38"/>
    <w:rsid w:val="006902AE"/>
    <w:rsid w:val="00690CF0"/>
    <w:rsid w:val="00690EEC"/>
    <w:rsid w:val="00690F9D"/>
    <w:rsid w:val="006912B3"/>
    <w:rsid w:val="0069141B"/>
    <w:rsid w:val="0069167B"/>
    <w:rsid w:val="006927CE"/>
    <w:rsid w:val="00692978"/>
    <w:rsid w:val="0069326F"/>
    <w:rsid w:val="0069446F"/>
    <w:rsid w:val="00694640"/>
    <w:rsid w:val="0069491F"/>
    <w:rsid w:val="00694D25"/>
    <w:rsid w:val="00694F80"/>
    <w:rsid w:val="006953ED"/>
    <w:rsid w:val="00695680"/>
    <w:rsid w:val="006965CE"/>
    <w:rsid w:val="00697714"/>
    <w:rsid w:val="006978CA"/>
    <w:rsid w:val="00697A2E"/>
    <w:rsid w:val="006A0C5D"/>
    <w:rsid w:val="006A0F08"/>
    <w:rsid w:val="006A0F7B"/>
    <w:rsid w:val="006A20A5"/>
    <w:rsid w:val="006A2AED"/>
    <w:rsid w:val="006A33E6"/>
    <w:rsid w:val="006A39BF"/>
    <w:rsid w:val="006A3C27"/>
    <w:rsid w:val="006A3E77"/>
    <w:rsid w:val="006A3EB9"/>
    <w:rsid w:val="006A3ECA"/>
    <w:rsid w:val="006A4328"/>
    <w:rsid w:val="006A4358"/>
    <w:rsid w:val="006A4605"/>
    <w:rsid w:val="006A52B8"/>
    <w:rsid w:val="006A55A9"/>
    <w:rsid w:val="006A6178"/>
    <w:rsid w:val="006A61F8"/>
    <w:rsid w:val="006A6C83"/>
    <w:rsid w:val="006A6CBA"/>
    <w:rsid w:val="006A6D8D"/>
    <w:rsid w:val="006A7504"/>
    <w:rsid w:val="006A7615"/>
    <w:rsid w:val="006A7A3D"/>
    <w:rsid w:val="006A7AF5"/>
    <w:rsid w:val="006B13AA"/>
    <w:rsid w:val="006B1E06"/>
    <w:rsid w:val="006B2F9D"/>
    <w:rsid w:val="006B47FC"/>
    <w:rsid w:val="006B5233"/>
    <w:rsid w:val="006B54FD"/>
    <w:rsid w:val="006B5582"/>
    <w:rsid w:val="006B586A"/>
    <w:rsid w:val="006B5A93"/>
    <w:rsid w:val="006B5EED"/>
    <w:rsid w:val="006B6D3B"/>
    <w:rsid w:val="006B7449"/>
    <w:rsid w:val="006B786D"/>
    <w:rsid w:val="006B7CAC"/>
    <w:rsid w:val="006B7E1B"/>
    <w:rsid w:val="006B7EEE"/>
    <w:rsid w:val="006C0C66"/>
    <w:rsid w:val="006C0FD4"/>
    <w:rsid w:val="006C106A"/>
    <w:rsid w:val="006C1783"/>
    <w:rsid w:val="006C18BD"/>
    <w:rsid w:val="006C2496"/>
    <w:rsid w:val="006C270D"/>
    <w:rsid w:val="006C3439"/>
    <w:rsid w:val="006C3465"/>
    <w:rsid w:val="006C367B"/>
    <w:rsid w:val="006C38BA"/>
    <w:rsid w:val="006C4196"/>
    <w:rsid w:val="006C4492"/>
    <w:rsid w:val="006C4B9E"/>
    <w:rsid w:val="006C5491"/>
    <w:rsid w:val="006C606A"/>
    <w:rsid w:val="006C6387"/>
    <w:rsid w:val="006C6B28"/>
    <w:rsid w:val="006C71A6"/>
    <w:rsid w:val="006C73DA"/>
    <w:rsid w:val="006C784B"/>
    <w:rsid w:val="006C79E3"/>
    <w:rsid w:val="006C7D99"/>
    <w:rsid w:val="006C7DDC"/>
    <w:rsid w:val="006D06F4"/>
    <w:rsid w:val="006D1171"/>
    <w:rsid w:val="006D1652"/>
    <w:rsid w:val="006D1F55"/>
    <w:rsid w:val="006D3810"/>
    <w:rsid w:val="006D39A7"/>
    <w:rsid w:val="006D4894"/>
    <w:rsid w:val="006D4EEB"/>
    <w:rsid w:val="006D54DE"/>
    <w:rsid w:val="006D55A4"/>
    <w:rsid w:val="006D5F7D"/>
    <w:rsid w:val="006D62D7"/>
    <w:rsid w:val="006D69D4"/>
    <w:rsid w:val="006D6C98"/>
    <w:rsid w:val="006D712B"/>
    <w:rsid w:val="006D7987"/>
    <w:rsid w:val="006E0896"/>
    <w:rsid w:val="006E0B7D"/>
    <w:rsid w:val="006E1624"/>
    <w:rsid w:val="006E1803"/>
    <w:rsid w:val="006E2136"/>
    <w:rsid w:val="006E268A"/>
    <w:rsid w:val="006E36BB"/>
    <w:rsid w:val="006E3F03"/>
    <w:rsid w:val="006E3FCA"/>
    <w:rsid w:val="006E422C"/>
    <w:rsid w:val="006E4F3D"/>
    <w:rsid w:val="006E565C"/>
    <w:rsid w:val="006E5881"/>
    <w:rsid w:val="006E6751"/>
    <w:rsid w:val="006E6ADE"/>
    <w:rsid w:val="006E6B4D"/>
    <w:rsid w:val="006E6DDE"/>
    <w:rsid w:val="006E70B3"/>
    <w:rsid w:val="006E737F"/>
    <w:rsid w:val="006E7A32"/>
    <w:rsid w:val="006E7A3C"/>
    <w:rsid w:val="006F0C17"/>
    <w:rsid w:val="006F0F5A"/>
    <w:rsid w:val="006F2691"/>
    <w:rsid w:val="006F31EC"/>
    <w:rsid w:val="006F36F7"/>
    <w:rsid w:val="006F3CCC"/>
    <w:rsid w:val="006F4221"/>
    <w:rsid w:val="006F42E0"/>
    <w:rsid w:val="006F5038"/>
    <w:rsid w:val="006F555F"/>
    <w:rsid w:val="006F748A"/>
    <w:rsid w:val="006F79A4"/>
    <w:rsid w:val="006F7CF0"/>
    <w:rsid w:val="00700A50"/>
    <w:rsid w:val="007014D9"/>
    <w:rsid w:val="00701B82"/>
    <w:rsid w:val="007021CF"/>
    <w:rsid w:val="00702A0C"/>
    <w:rsid w:val="00702DA2"/>
    <w:rsid w:val="007033F7"/>
    <w:rsid w:val="0070350D"/>
    <w:rsid w:val="00703952"/>
    <w:rsid w:val="00704A81"/>
    <w:rsid w:val="007054DA"/>
    <w:rsid w:val="00705774"/>
    <w:rsid w:val="00707318"/>
    <w:rsid w:val="0070798F"/>
    <w:rsid w:val="00707E86"/>
    <w:rsid w:val="00707EFE"/>
    <w:rsid w:val="00710352"/>
    <w:rsid w:val="007108DF"/>
    <w:rsid w:val="00710A1F"/>
    <w:rsid w:val="00711033"/>
    <w:rsid w:val="00711042"/>
    <w:rsid w:val="007116F1"/>
    <w:rsid w:val="00712055"/>
    <w:rsid w:val="00713004"/>
    <w:rsid w:val="00713CD4"/>
    <w:rsid w:val="00713ED6"/>
    <w:rsid w:val="00714206"/>
    <w:rsid w:val="00714507"/>
    <w:rsid w:val="00714B14"/>
    <w:rsid w:val="00714DA4"/>
    <w:rsid w:val="00715D6A"/>
    <w:rsid w:val="00715E5E"/>
    <w:rsid w:val="007162F1"/>
    <w:rsid w:val="00716680"/>
    <w:rsid w:val="00716877"/>
    <w:rsid w:val="00716D67"/>
    <w:rsid w:val="007170AE"/>
    <w:rsid w:val="00717AE8"/>
    <w:rsid w:val="00717C51"/>
    <w:rsid w:val="00717C59"/>
    <w:rsid w:val="00720055"/>
    <w:rsid w:val="0072023E"/>
    <w:rsid w:val="00720780"/>
    <w:rsid w:val="0072086B"/>
    <w:rsid w:val="00720FA5"/>
    <w:rsid w:val="0072171B"/>
    <w:rsid w:val="00721AAC"/>
    <w:rsid w:val="007221DA"/>
    <w:rsid w:val="00722E29"/>
    <w:rsid w:val="007236F8"/>
    <w:rsid w:val="00723994"/>
    <w:rsid w:val="007241A3"/>
    <w:rsid w:val="0072452D"/>
    <w:rsid w:val="007246BE"/>
    <w:rsid w:val="007261E0"/>
    <w:rsid w:val="007300AC"/>
    <w:rsid w:val="007301CA"/>
    <w:rsid w:val="00730485"/>
    <w:rsid w:val="0073099A"/>
    <w:rsid w:val="00731B29"/>
    <w:rsid w:val="0073283D"/>
    <w:rsid w:val="00733308"/>
    <w:rsid w:val="0073370F"/>
    <w:rsid w:val="0073390F"/>
    <w:rsid w:val="007356F7"/>
    <w:rsid w:val="00735D0C"/>
    <w:rsid w:val="00735EA8"/>
    <w:rsid w:val="00735FF9"/>
    <w:rsid w:val="007361A8"/>
    <w:rsid w:val="00736894"/>
    <w:rsid w:val="00736944"/>
    <w:rsid w:val="00736D31"/>
    <w:rsid w:val="00736F77"/>
    <w:rsid w:val="0073737F"/>
    <w:rsid w:val="007376B1"/>
    <w:rsid w:val="00740DC1"/>
    <w:rsid w:val="007410B6"/>
    <w:rsid w:val="00741995"/>
    <w:rsid w:val="00741B46"/>
    <w:rsid w:val="00741BD8"/>
    <w:rsid w:val="0074229B"/>
    <w:rsid w:val="00742CC6"/>
    <w:rsid w:val="007430AA"/>
    <w:rsid w:val="00743B24"/>
    <w:rsid w:val="007443B2"/>
    <w:rsid w:val="00744873"/>
    <w:rsid w:val="00744F4C"/>
    <w:rsid w:val="00744FFF"/>
    <w:rsid w:val="007452B4"/>
    <w:rsid w:val="0074594B"/>
    <w:rsid w:val="00745F66"/>
    <w:rsid w:val="0074602E"/>
    <w:rsid w:val="007462F6"/>
    <w:rsid w:val="007466B0"/>
    <w:rsid w:val="00747FB3"/>
    <w:rsid w:val="007510B0"/>
    <w:rsid w:val="007512BE"/>
    <w:rsid w:val="007521AE"/>
    <w:rsid w:val="00753165"/>
    <w:rsid w:val="00753334"/>
    <w:rsid w:val="00753CB7"/>
    <w:rsid w:val="00753D97"/>
    <w:rsid w:val="007542F6"/>
    <w:rsid w:val="007545FA"/>
    <w:rsid w:val="00755D2A"/>
    <w:rsid w:val="0075638D"/>
    <w:rsid w:val="00756E68"/>
    <w:rsid w:val="00757505"/>
    <w:rsid w:val="00757597"/>
    <w:rsid w:val="00760DAB"/>
    <w:rsid w:val="007621A6"/>
    <w:rsid w:val="00762772"/>
    <w:rsid w:val="007669AB"/>
    <w:rsid w:val="007670EA"/>
    <w:rsid w:val="00767BF8"/>
    <w:rsid w:val="007700F1"/>
    <w:rsid w:val="00770FFE"/>
    <w:rsid w:val="00771091"/>
    <w:rsid w:val="00771660"/>
    <w:rsid w:val="00771BF1"/>
    <w:rsid w:val="007722A6"/>
    <w:rsid w:val="00772666"/>
    <w:rsid w:val="00773F28"/>
    <w:rsid w:val="007743F6"/>
    <w:rsid w:val="00774631"/>
    <w:rsid w:val="00774CDC"/>
    <w:rsid w:val="00775EB6"/>
    <w:rsid w:val="00776DD8"/>
    <w:rsid w:val="0077719B"/>
    <w:rsid w:val="007777C9"/>
    <w:rsid w:val="00780032"/>
    <w:rsid w:val="007814B7"/>
    <w:rsid w:val="00782159"/>
    <w:rsid w:val="00782B96"/>
    <w:rsid w:val="0078381E"/>
    <w:rsid w:val="007839E8"/>
    <w:rsid w:val="007842CA"/>
    <w:rsid w:val="0078444D"/>
    <w:rsid w:val="00784738"/>
    <w:rsid w:val="00785955"/>
    <w:rsid w:val="007859CB"/>
    <w:rsid w:val="00785D89"/>
    <w:rsid w:val="00785F5F"/>
    <w:rsid w:val="00786134"/>
    <w:rsid w:val="00786B26"/>
    <w:rsid w:val="00786D1A"/>
    <w:rsid w:val="00786F6E"/>
    <w:rsid w:val="00786F9F"/>
    <w:rsid w:val="007901AD"/>
    <w:rsid w:val="007902A4"/>
    <w:rsid w:val="0079085C"/>
    <w:rsid w:val="00791ACD"/>
    <w:rsid w:val="00791EB0"/>
    <w:rsid w:val="00791F39"/>
    <w:rsid w:val="00792A6F"/>
    <w:rsid w:val="007930EE"/>
    <w:rsid w:val="007936F2"/>
    <w:rsid w:val="00793724"/>
    <w:rsid w:val="00793C8E"/>
    <w:rsid w:val="00793EE4"/>
    <w:rsid w:val="00794758"/>
    <w:rsid w:val="00794A7D"/>
    <w:rsid w:val="007955D0"/>
    <w:rsid w:val="007961AA"/>
    <w:rsid w:val="007977CA"/>
    <w:rsid w:val="00797880"/>
    <w:rsid w:val="00797F5A"/>
    <w:rsid w:val="007A0109"/>
    <w:rsid w:val="007A013F"/>
    <w:rsid w:val="007A146C"/>
    <w:rsid w:val="007A147B"/>
    <w:rsid w:val="007A18A8"/>
    <w:rsid w:val="007A1BC7"/>
    <w:rsid w:val="007A2106"/>
    <w:rsid w:val="007A247F"/>
    <w:rsid w:val="007A2D1B"/>
    <w:rsid w:val="007A2D64"/>
    <w:rsid w:val="007A3F6E"/>
    <w:rsid w:val="007A464E"/>
    <w:rsid w:val="007A4DA7"/>
    <w:rsid w:val="007A50D0"/>
    <w:rsid w:val="007A535E"/>
    <w:rsid w:val="007A599F"/>
    <w:rsid w:val="007A5F4C"/>
    <w:rsid w:val="007A6F32"/>
    <w:rsid w:val="007A75F5"/>
    <w:rsid w:val="007A79E0"/>
    <w:rsid w:val="007A7E92"/>
    <w:rsid w:val="007B019A"/>
    <w:rsid w:val="007B03F6"/>
    <w:rsid w:val="007B1052"/>
    <w:rsid w:val="007B1417"/>
    <w:rsid w:val="007B16F6"/>
    <w:rsid w:val="007B1955"/>
    <w:rsid w:val="007B1ABB"/>
    <w:rsid w:val="007B25CD"/>
    <w:rsid w:val="007B27FF"/>
    <w:rsid w:val="007B2CAB"/>
    <w:rsid w:val="007B3245"/>
    <w:rsid w:val="007B333A"/>
    <w:rsid w:val="007B3370"/>
    <w:rsid w:val="007B34FE"/>
    <w:rsid w:val="007B3501"/>
    <w:rsid w:val="007B433C"/>
    <w:rsid w:val="007B4670"/>
    <w:rsid w:val="007B7531"/>
    <w:rsid w:val="007B7ED8"/>
    <w:rsid w:val="007C086D"/>
    <w:rsid w:val="007C09A8"/>
    <w:rsid w:val="007C1647"/>
    <w:rsid w:val="007C1671"/>
    <w:rsid w:val="007C1E42"/>
    <w:rsid w:val="007C2385"/>
    <w:rsid w:val="007C23DE"/>
    <w:rsid w:val="007C3112"/>
    <w:rsid w:val="007C31B8"/>
    <w:rsid w:val="007C518E"/>
    <w:rsid w:val="007C61DF"/>
    <w:rsid w:val="007C6296"/>
    <w:rsid w:val="007C639A"/>
    <w:rsid w:val="007C66CE"/>
    <w:rsid w:val="007C7453"/>
    <w:rsid w:val="007C7548"/>
    <w:rsid w:val="007C7B84"/>
    <w:rsid w:val="007D034D"/>
    <w:rsid w:val="007D08AF"/>
    <w:rsid w:val="007D08C6"/>
    <w:rsid w:val="007D0B5D"/>
    <w:rsid w:val="007D0E28"/>
    <w:rsid w:val="007D17C5"/>
    <w:rsid w:val="007D1A26"/>
    <w:rsid w:val="007D21EE"/>
    <w:rsid w:val="007D22FE"/>
    <w:rsid w:val="007D321F"/>
    <w:rsid w:val="007D34BD"/>
    <w:rsid w:val="007D4559"/>
    <w:rsid w:val="007D4D5A"/>
    <w:rsid w:val="007D5845"/>
    <w:rsid w:val="007D5F2F"/>
    <w:rsid w:val="007D659D"/>
    <w:rsid w:val="007D6624"/>
    <w:rsid w:val="007D67ED"/>
    <w:rsid w:val="007D6863"/>
    <w:rsid w:val="007E0773"/>
    <w:rsid w:val="007E1324"/>
    <w:rsid w:val="007E26A8"/>
    <w:rsid w:val="007E2AF2"/>
    <w:rsid w:val="007E2B57"/>
    <w:rsid w:val="007E300A"/>
    <w:rsid w:val="007E4184"/>
    <w:rsid w:val="007E431E"/>
    <w:rsid w:val="007E46F2"/>
    <w:rsid w:val="007E55E3"/>
    <w:rsid w:val="007E6032"/>
    <w:rsid w:val="007E62A2"/>
    <w:rsid w:val="007E67D9"/>
    <w:rsid w:val="007E747B"/>
    <w:rsid w:val="007E7754"/>
    <w:rsid w:val="007E7D84"/>
    <w:rsid w:val="007F00AA"/>
    <w:rsid w:val="007F19EC"/>
    <w:rsid w:val="007F1EF2"/>
    <w:rsid w:val="007F23A4"/>
    <w:rsid w:val="007F256B"/>
    <w:rsid w:val="007F2D69"/>
    <w:rsid w:val="007F35DD"/>
    <w:rsid w:val="007F3A12"/>
    <w:rsid w:val="007F3E57"/>
    <w:rsid w:val="007F4895"/>
    <w:rsid w:val="007F4B12"/>
    <w:rsid w:val="007F5030"/>
    <w:rsid w:val="007F601D"/>
    <w:rsid w:val="007F677B"/>
    <w:rsid w:val="007F6B78"/>
    <w:rsid w:val="007F7157"/>
    <w:rsid w:val="007F755F"/>
    <w:rsid w:val="00800194"/>
    <w:rsid w:val="008007F3"/>
    <w:rsid w:val="00800804"/>
    <w:rsid w:val="00801057"/>
    <w:rsid w:val="00801B9B"/>
    <w:rsid w:val="00802C47"/>
    <w:rsid w:val="00802D52"/>
    <w:rsid w:val="00803609"/>
    <w:rsid w:val="0080374E"/>
    <w:rsid w:val="008037A6"/>
    <w:rsid w:val="00803EA8"/>
    <w:rsid w:val="00804836"/>
    <w:rsid w:val="00804986"/>
    <w:rsid w:val="00804BB8"/>
    <w:rsid w:val="00804D50"/>
    <w:rsid w:val="00805537"/>
    <w:rsid w:val="00805583"/>
    <w:rsid w:val="0080632A"/>
    <w:rsid w:val="00806502"/>
    <w:rsid w:val="00806B63"/>
    <w:rsid w:val="008071C3"/>
    <w:rsid w:val="00807C26"/>
    <w:rsid w:val="00811A67"/>
    <w:rsid w:val="00811F52"/>
    <w:rsid w:val="00812108"/>
    <w:rsid w:val="0081237D"/>
    <w:rsid w:val="008123DA"/>
    <w:rsid w:val="00812B15"/>
    <w:rsid w:val="00813376"/>
    <w:rsid w:val="008134D1"/>
    <w:rsid w:val="00813C68"/>
    <w:rsid w:val="00814DC4"/>
    <w:rsid w:val="0081509B"/>
    <w:rsid w:val="00815175"/>
    <w:rsid w:val="0081543A"/>
    <w:rsid w:val="00815D47"/>
    <w:rsid w:val="00816546"/>
    <w:rsid w:val="00817629"/>
    <w:rsid w:val="00820AD7"/>
    <w:rsid w:val="00820C08"/>
    <w:rsid w:val="008211D0"/>
    <w:rsid w:val="00822BD4"/>
    <w:rsid w:val="00823C9C"/>
    <w:rsid w:val="00824864"/>
    <w:rsid w:val="00824917"/>
    <w:rsid w:val="008250BD"/>
    <w:rsid w:val="008256E3"/>
    <w:rsid w:val="00827039"/>
    <w:rsid w:val="00827A93"/>
    <w:rsid w:val="00827DEA"/>
    <w:rsid w:val="00827F35"/>
    <w:rsid w:val="008303F9"/>
    <w:rsid w:val="008311C6"/>
    <w:rsid w:val="00831434"/>
    <w:rsid w:val="00831B47"/>
    <w:rsid w:val="0083239E"/>
    <w:rsid w:val="00832A58"/>
    <w:rsid w:val="008331AA"/>
    <w:rsid w:val="0083354A"/>
    <w:rsid w:val="00833BE5"/>
    <w:rsid w:val="00833E5B"/>
    <w:rsid w:val="008343D5"/>
    <w:rsid w:val="008347E2"/>
    <w:rsid w:val="00834A95"/>
    <w:rsid w:val="00834B47"/>
    <w:rsid w:val="0083690E"/>
    <w:rsid w:val="008375D7"/>
    <w:rsid w:val="008375E5"/>
    <w:rsid w:val="0084056F"/>
    <w:rsid w:val="0084059A"/>
    <w:rsid w:val="00841775"/>
    <w:rsid w:val="00841AEE"/>
    <w:rsid w:val="00841C59"/>
    <w:rsid w:val="00842222"/>
    <w:rsid w:val="00842AA6"/>
    <w:rsid w:val="00842C7C"/>
    <w:rsid w:val="00843447"/>
    <w:rsid w:val="00843702"/>
    <w:rsid w:val="008439E5"/>
    <w:rsid w:val="008442D1"/>
    <w:rsid w:val="00844C47"/>
    <w:rsid w:val="00844C5E"/>
    <w:rsid w:val="008469CA"/>
    <w:rsid w:val="00846A56"/>
    <w:rsid w:val="00847454"/>
    <w:rsid w:val="00847741"/>
    <w:rsid w:val="00850937"/>
    <w:rsid w:val="00850B9A"/>
    <w:rsid w:val="00851116"/>
    <w:rsid w:val="008515E1"/>
    <w:rsid w:val="00851FB5"/>
    <w:rsid w:val="00852895"/>
    <w:rsid w:val="00852F94"/>
    <w:rsid w:val="00853820"/>
    <w:rsid w:val="00853B4C"/>
    <w:rsid w:val="0085458C"/>
    <w:rsid w:val="00854695"/>
    <w:rsid w:val="0085483F"/>
    <w:rsid w:val="00854DCB"/>
    <w:rsid w:val="008554D6"/>
    <w:rsid w:val="00855CE4"/>
    <w:rsid w:val="00855E13"/>
    <w:rsid w:val="008568C2"/>
    <w:rsid w:val="00856B32"/>
    <w:rsid w:val="00856C42"/>
    <w:rsid w:val="00856D29"/>
    <w:rsid w:val="008606CD"/>
    <w:rsid w:val="00861254"/>
    <w:rsid w:val="00862C5E"/>
    <w:rsid w:val="00862DDD"/>
    <w:rsid w:val="00862F9E"/>
    <w:rsid w:val="008634BF"/>
    <w:rsid w:val="008636FF"/>
    <w:rsid w:val="008638BA"/>
    <w:rsid w:val="0086433F"/>
    <w:rsid w:val="008657A7"/>
    <w:rsid w:val="00865CE4"/>
    <w:rsid w:val="0086657A"/>
    <w:rsid w:val="00866DA9"/>
    <w:rsid w:val="00866E7E"/>
    <w:rsid w:val="0087014B"/>
    <w:rsid w:val="008701C9"/>
    <w:rsid w:val="0087082C"/>
    <w:rsid w:val="00870C71"/>
    <w:rsid w:val="0087146C"/>
    <w:rsid w:val="00871656"/>
    <w:rsid w:val="00871B44"/>
    <w:rsid w:val="00872CCB"/>
    <w:rsid w:val="00872E71"/>
    <w:rsid w:val="00873CA0"/>
    <w:rsid w:val="00874AC5"/>
    <w:rsid w:val="00874B22"/>
    <w:rsid w:val="00875484"/>
    <w:rsid w:val="0087590F"/>
    <w:rsid w:val="00875B5B"/>
    <w:rsid w:val="00875E0F"/>
    <w:rsid w:val="00877522"/>
    <w:rsid w:val="008778AD"/>
    <w:rsid w:val="0087791C"/>
    <w:rsid w:val="00880ACF"/>
    <w:rsid w:val="00881285"/>
    <w:rsid w:val="00881CE4"/>
    <w:rsid w:val="00882042"/>
    <w:rsid w:val="00882534"/>
    <w:rsid w:val="00882862"/>
    <w:rsid w:val="00882C95"/>
    <w:rsid w:val="00883624"/>
    <w:rsid w:val="00883913"/>
    <w:rsid w:val="00883F59"/>
    <w:rsid w:val="00883FF6"/>
    <w:rsid w:val="008840DF"/>
    <w:rsid w:val="0088548C"/>
    <w:rsid w:val="008858BB"/>
    <w:rsid w:val="008874BF"/>
    <w:rsid w:val="00887DFC"/>
    <w:rsid w:val="0089165F"/>
    <w:rsid w:val="008917BE"/>
    <w:rsid w:val="0089208C"/>
    <w:rsid w:val="008921C3"/>
    <w:rsid w:val="0089292F"/>
    <w:rsid w:val="0089301E"/>
    <w:rsid w:val="008931AA"/>
    <w:rsid w:val="00893401"/>
    <w:rsid w:val="008943F3"/>
    <w:rsid w:val="00895E28"/>
    <w:rsid w:val="00896061"/>
    <w:rsid w:val="00896AAF"/>
    <w:rsid w:val="00897915"/>
    <w:rsid w:val="008A0212"/>
    <w:rsid w:val="008A0937"/>
    <w:rsid w:val="008A157D"/>
    <w:rsid w:val="008A2245"/>
    <w:rsid w:val="008A28E5"/>
    <w:rsid w:val="008A4214"/>
    <w:rsid w:val="008A4787"/>
    <w:rsid w:val="008A4932"/>
    <w:rsid w:val="008A50F7"/>
    <w:rsid w:val="008A5432"/>
    <w:rsid w:val="008A54D0"/>
    <w:rsid w:val="008A6584"/>
    <w:rsid w:val="008A6FD2"/>
    <w:rsid w:val="008A79D2"/>
    <w:rsid w:val="008B0567"/>
    <w:rsid w:val="008B0E4B"/>
    <w:rsid w:val="008B1C51"/>
    <w:rsid w:val="008B2BA2"/>
    <w:rsid w:val="008B488E"/>
    <w:rsid w:val="008B4F3E"/>
    <w:rsid w:val="008B4FDA"/>
    <w:rsid w:val="008B54D4"/>
    <w:rsid w:val="008B55E3"/>
    <w:rsid w:val="008B5DBB"/>
    <w:rsid w:val="008B627B"/>
    <w:rsid w:val="008B6916"/>
    <w:rsid w:val="008B699B"/>
    <w:rsid w:val="008B7119"/>
    <w:rsid w:val="008B7C5A"/>
    <w:rsid w:val="008B7EA7"/>
    <w:rsid w:val="008B7EC8"/>
    <w:rsid w:val="008C0258"/>
    <w:rsid w:val="008C0C7A"/>
    <w:rsid w:val="008C1695"/>
    <w:rsid w:val="008C1816"/>
    <w:rsid w:val="008C2FC1"/>
    <w:rsid w:val="008C3469"/>
    <w:rsid w:val="008C4003"/>
    <w:rsid w:val="008C4424"/>
    <w:rsid w:val="008C4DB4"/>
    <w:rsid w:val="008C558A"/>
    <w:rsid w:val="008C59C5"/>
    <w:rsid w:val="008C5AF2"/>
    <w:rsid w:val="008C5CE4"/>
    <w:rsid w:val="008C63F0"/>
    <w:rsid w:val="008C64F5"/>
    <w:rsid w:val="008C6543"/>
    <w:rsid w:val="008C6E55"/>
    <w:rsid w:val="008C6F63"/>
    <w:rsid w:val="008C7114"/>
    <w:rsid w:val="008C76D1"/>
    <w:rsid w:val="008C7BA9"/>
    <w:rsid w:val="008C7BF5"/>
    <w:rsid w:val="008D019A"/>
    <w:rsid w:val="008D02D1"/>
    <w:rsid w:val="008D1522"/>
    <w:rsid w:val="008D163D"/>
    <w:rsid w:val="008D1989"/>
    <w:rsid w:val="008D2270"/>
    <w:rsid w:val="008D269D"/>
    <w:rsid w:val="008D2A38"/>
    <w:rsid w:val="008D2D4A"/>
    <w:rsid w:val="008D2E4A"/>
    <w:rsid w:val="008D2F22"/>
    <w:rsid w:val="008D3214"/>
    <w:rsid w:val="008D4491"/>
    <w:rsid w:val="008D46A1"/>
    <w:rsid w:val="008D5522"/>
    <w:rsid w:val="008D669B"/>
    <w:rsid w:val="008D69F5"/>
    <w:rsid w:val="008D6CAE"/>
    <w:rsid w:val="008D6E8B"/>
    <w:rsid w:val="008D7113"/>
    <w:rsid w:val="008D7553"/>
    <w:rsid w:val="008D79FB"/>
    <w:rsid w:val="008D7DB6"/>
    <w:rsid w:val="008E08C2"/>
    <w:rsid w:val="008E1572"/>
    <w:rsid w:val="008E1813"/>
    <w:rsid w:val="008E2138"/>
    <w:rsid w:val="008E2218"/>
    <w:rsid w:val="008E2CFA"/>
    <w:rsid w:val="008E2DCF"/>
    <w:rsid w:val="008E33A1"/>
    <w:rsid w:val="008E4406"/>
    <w:rsid w:val="008E4445"/>
    <w:rsid w:val="008E4BDE"/>
    <w:rsid w:val="008E5931"/>
    <w:rsid w:val="008E5D47"/>
    <w:rsid w:val="008E637E"/>
    <w:rsid w:val="008E6388"/>
    <w:rsid w:val="008E69F7"/>
    <w:rsid w:val="008E6FFE"/>
    <w:rsid w:val="008E7208"/>
    <w:rsid w:val="008E740D"/>
    <w:rsid w:val="008E7C38"/>
    <w:rsid w:val="008F023E"/>
    <w:rsid w:val="008F10AA"/>
    <w:rsid w:val="008F10C2"/>
    <w:rsid w:val="008F12EA"/>
    <w:rsid w:val="008F143E"/>
    <w:rsid w:val="008F153D"/>
    <w:rsid w:val="008F1998"/>
    <w:rsid w:val="008F21DD"/>
    <w:rsid w:val="008F30A0"/>
    <w:rsid w:val="008F3FDE"/>
    <w:rsid w:val="008F41E6"/>
    <w:rsid w:val="008F4617"/>
    <w:rsid w:val="008F517E"/>
    <w:rsid w:val="008F5A40"/>
    <w:rsid w:val="008F60DA"/>
    <w:rsid w:val="008F6397"/>
    <w:rsid w:val="008F6FF1"/>
    <w:rsid w:val="008F75E6"/>
    <w:rsid w:val="0090055F"/>
    <w:rsid w:val="009007B6"/>
    <w:rsid w:val="009007F0"/>
    <w:rsid w:val="00901B4B"/>
    <w:rsid w:val="00901F8E"/>
    <w:rsid w:val="00902009"/>
    <w:rsid w:val="00902319"/>
    <w:rsid w:val="0090329A"/>
    <w:rsid w:val="00903F02"/>
    <w:rsid w:val="0090449A"/>
    <w:rsid w:val="009053B2"/>
    <w:rsid w:val="00905487"/>
    <w:rsid w:val="00905566"/>
    <w:rsid w:val="00905927"/>
    <w:rsid w:val="00905C6F"/>
    <w:rsid w:val="00905C7D"/>
    <w:rsid w:val="00905D88"/>
    <w:rsid w:val="009067FE"/>
    <w:rsid w:val="00906EAA"/>
    <w:rsid w:val="00906F98"/>
    <w:rsid w:val="009070B4"/>
    <w:rsid w:val="009071CB"/>
    <w:rsid w:val="0091125E"/>
    <w:rsid w:val="009115AF"/>
    <w:rsid w:val="00911E70"/>
    <w:rsid w:val="0091268E"/>
    <w:rsid w:val="00912C9F"/>
    <w:rsid w:val="00912DA2"/>
    <w:rsid w:val="00913A30"/>
    <w:rsid w:val="0091419F"/>
    <w:rsid w:val="009153F3"/>
    <w:rsid w:val="00915AA0"/>
    <w:rsid w:val="009161D0"/>
    <w:rsid w:val="0091684C"/>
    <w:rsid w:val="00916DF8"/>
    <w:rsid w:val="00917428"/>
    <w:rsid w:val="009176FB"/>
    <w:rsid w:val="009177AC"/>
    <w:rsid w:val="00917DC6"/>
    <w:rsid w:val="0092038A"/>
    <w:rsid w:val="009204FA"/>
    <w:rsid w:val="009206C2"/>
    <w:rsid w:val="00920B60"/>
    <w:rsid w:val="00921205"/>
    <w:rsid w:val="009212E8"/>
    <w:rsid w:val="009215E3"/>
    <w:rsid w:val="00921A27"/>
    <w:rsid w:val="00921ADB"/>
    <w:rsid w:val="00922958"/>
    <w:rsid w:val="00922DD1"/>
    <w:rsid w:val="0092301C"/>
    <w:rsid w:val="009230C9"/>
    <w:rsid w:val="009234BB"/>
    <w:rsid w:val="00923D4C"/>
    <w:rsid w:val="00924A51"/>
    <w:rsid w:val="00925B80"/>
    <w:rsid w:val="00925CAA"/>
    <w:rsid w:val="0092689C"/>
    <w:rsid w:val="0092726C"/>
    <w:rsid w:val="0092769A"/>
    <w:rsid w:val="00927A52"/>
    <w:rsid w:val="00927F5C"/>
    <w:rsid w:val="00931B3F"/>
    <w:rsid w:val="00933CB3"/>
    <w:rsid w:val="00934030"/>
    <w:rsid w:val="0093432D"/>
    <w:rsid w:val="009345AC"/>
    <w:rsid w:val="00935039"/>
    <w:rsid w:val="009353D9"/>
    <w:rsid w:val="00935E48"/>
    <w:rsid w:val="00936430"/>
    <w:rsid w:val="00936BC8"/>
    <w:rsid w:val="00937C45"/>
    <w:rsid w:val="009415E5"/>
    <w:rsid w:val="00941806"/>
    <w:rsid w:val="00941875"/>
    <w:rsid w:val="00942037"/>
    <w:rsid w:val="009420B9"/>
    <w:rsid w:val="00942174"/>
    <w:rsid w:val="009421B2"/>
    <w:rsid w:val="0094290F"/>
    <w:rsid w:val="009429F2"/>
    <w:rsid w:val="00942BF6"/>
    <w:rsid w:val="00942F59"/>
    <w:rsid w:val="00943436"/>
    <w:rsid w:val="00943BFA"/>
    <w:rsid w:val="00944A05"/>
    <w:rsid w:val="00945825"/>
    <w:rsid w:val="0094658E"/>
    <w:rsid w:val="0094671F"/>
    <w:rsid w:val="0094674F"/>
    <w:rsid w:val="00946818"/>
    <w:rsid w:val="00946B57"/>
    <w:rsid w:val="009472A3"/>
    <w:rsid w:val="009477B3"/>
    <w:rsid w:val="009513DA"/>
    <w:rsid w:val="00954626"/>
    <w:rsid w:val="0095487B"/>
    <w:rsid w:val="009548FB"/>
    <w:rsid w:val="00956646"/>
    <w:rsid w:val="009567E8"/>
    <w:rsid w:val="00956810"/>
    <w:rsid w:val="00956D18"/>
    <w:rsid w:val="009577E8"/>
    <w:rsid w:val="00957B24"/>
    <w:rsid w:val="00960BF6"/>
    <w:rsid w:val="0096294B"/>
    <w:rsid w:val="0096326C"/>
    <w:rsid w:val="00963414"/>
    <w:rsid w:val="00963BF7"/>
    <w:rsid w:val="00964C97"/>
    <w:rsid w:val="00964E84"/>
    <w:rsid w:val="009657B6"/>
    <w:rsid w:val="00966266"/>
    <w:rsid w:val="00966793"/>
    <w:rsid w:val="00966877"/>
    <w:rsid w:val="00966F16"/>
    <w:rsid w:val="00967AFE"/>
    <w:rsid w:val="00967BF7"/>
    <w:rsid w:val="00970CAF"/>
    <w:rsid w:val="00970E80"/>
    <w:rsid w:val="009712FD"/>
    <w:rsid w:val="00971E2D"/>
    <w:rsid w:val="009729AC"/>
    <w:rsid w:val="00973497"/>
    <w:rsid w:val="00973879"/>
    <w:rsid w:val="00973968"/>
    <w:rsid w:val="009739D7"/>
    <w:rsid w:val="00973DE4"/>
    <w:rsid w:val="00973DF2"/>
    <w:rsid w:val="00974D45"/>
    <w:rsid w:val="00975714"/>
    <w:rsid w:val="0097574C"/>
    <w:rsid w:val="00975FED"/>
    <w:rsid w:val="00976770"/>
    <w:rsid w:val="00976ACA"/>
    <w:rsid w:val="00980155"/>
    <w:rsid w:val="0098103A"/>
    <w:rsid w:val="00982A05"/>
    <w:rsid w:val="00983522"/>
    <w:rsid w:val="009839CA"/>
    <w:rsid w:val="00983E38"/>
    <w:rsid w:val="009842DA"/>
    <w:rsid w:val="00985306"/>
    <w:rsid w:val="0098581C"/>
    <w:rsid w:val="00985B8B"/>
    <w:rsid w:val="00986895"/>
    <w:rsid w:val="009868A1"/>
    <w:rsid w:val="00986F86"/>
    <w:rsid w:val="00986F97"/>
    <w:rsid w:val="0098713C"/>
    <w:rsid w:val="009872BF"/>
    <w:rsid w:val="00987CD7"/>
    <w:rsid w:val="00987DDD"/>
    <w:rsid w:val="00987DE8"/>
    <w:rsid w:val="00987F30"/>
    <w:rsid w:val="009907B4"/>
    <w:rsid w:val="00991351"/>
    <w:rsid w:val="009913A5"/>
    <w:rsid w:val="009914DB"/>
    <w:rsid w:val="0099180A"/>
    <w:rsid w:val="00991D04"/>
    <w:rsid w:val="00992227"/>
    <w:rsid w:val="00993B98"/>
    <w:rsid w:val="00993CA0"/>
    <w:rsid w:val="00993DA3"/>
    <w:rsid w:val="00993F22"/>
    <w:rsid w:val="009946AE"/>
    <w:rsid w:val="00994A50"/>
    <w:rsid w:val="00994BAC"/>
    <w:rsid w:val="00995673"/>
    <w:rsid w:val="0099607C"/>
    <w:rsid w:val="00996684"/>
    <w:rsid w:val="00996D07"/>
    <w:rsid w:val="00996EE9"/>
    <w:rsid w:val="0099714E"/>
    <w:rsid w:val="00997C8E"/>
    <w:rsid w:val="00997F93"/>
    <w:rsid w:val="00997FE7"/>
    <w:rsid w:val="009A1351"/>
    <w:rsid w:val="009A2108"/>
    <w:rsid w:val="009A2FDF"/>
    <w:rsid w:val="009A347A"/>
    <w:rsid w:val="009A3C15"/>
    <w:rsid w:val="009A3D91"/>
    <w:rsid w:val="009A3F0D"/>
    <w:rsid w:val="009A4407"/>
    <w:rsid w:val="009A455C"/>
    <w:rsid w:val="009A457D"/>
    <w:rsid w:val="009A45BA"/>
    <w:rsid w:val="009A4A2F"/>
    <w:rsid w:val="009A541E"/>
    <w:rsid w:val="009A640B"/>
    <w:rsid w:val="009A6537"/>
    <w:rsid w:val="009A6999"/>
    <w:rsid w:val="009A752F"/>
    <w:rsid w:val="009B017C"/>
    <w:rsid w:val="009B1D4F"/>
    <w:rsid w:val="009B2265"/>
    <w:rsid w:val="009B26D0"/>
    <w:rsid w:val="009B286A"/>
    <w:rsid w:val="009B3015"/>
    <w:rsid w:val="009B3372"/>
    <w:rsid w:val="009B34F6"/>
    <w:rsid w:val="009B3AF7"/>
    <w:rsid w:val="009B4238"/>
    <w:rsid w:val="009B6A88"/>
    <w:rsid w:val="009B6D27"/>
    <w:rsid w:val="009B6ECC"/>
    <w:rsid w:val="009B6EE9"/>
    <w:rsid w:val="009B718B"/>
    <w:rsid w:val="009B727D"/>
    <w:rsid w:val="009B7CA7"/>
    <w:rsid w:val="009B7FA8"/>
    <w:rsid w:val="009C0898"/>
    <w:rsid w:val="009C0C2B"/>
    <w:rsid w:val="009C0F04"/>
    <w:rsid w:val="009C16FF"/>
    <w:rsid w:val="009C212D"/>
    <w:rsid w:val="009C2AD4"/>
    <w:rsid w:val="009C2E20"/>
    <w:rsid w:val="009C2F56"/>
    <w:rsid w:val="009C31B6"/>
    <w:rsid w:val="009C321F"/>
    <w:rsid w:val="009C32EB"/>
    <w:rsid w:val="009C46E5"/>
    <w:rsid w:val="009C4C3D"/>
    <w:rsid w:val="009C5CD0"/>
    <w:rsid w:val="009C6768"/>
    <w:rsid w:val="009C6D2C"/>
    <w:rsid w:val="009C6D88"/>
    <w:rsid w:val="009C7139"/>
    <w:rsid w:val="009C7357"/>
    <w:rsid w:val="009C78D7"/>
    <w:rsid w:val="009C7C60"/>
    <w:rsid w:val="009D0224"/>
    <w:rsid w:val="009D08FD"/>
    <w:rsid w:val="009D11B4"/>
    <w:rsid w:val="009D11DD"/>
    <w:rsid w:val="009D252F"/>
    <w:rsid w:val="009D256F"/>
    <w:rsid w:val="009D29F7"/>
    <w:rsid w:val="009D2A94"/>
    <w:rsid w:val="009D2BE3"/>
    <w:rsid w:val="009D2D76"/>
    <w:rsid w:val="009D5727"/>
    <w:rsid w:val="009D5973"/>
    <w:rsid w:val="009D7441"/>
    <w:rsid w:val="009D77DB"/>
    <w:rsid w:val="009D7C26"/>
    <w:rsid w:val="009E0371"/>
    <w:rsid w:val="009E0898"/>
    <w:rsid w:val="009E169C"/>
    <w:rsid w:val="009E177B"/>
    <w:rsid w:val="009E1916"/>
    <w:rsid w:val="009E2A08"/>
    <w:rsid w:val="009E35B3"/>
    <w:rsid w:val="009E4BCD"/>
    <w:rsid w:val="009E4D65"/>
    <w:rsid w:val="009E4ECB"/>
    <w:rsid w:val="009E4FFD"/>
    <w:rsid w:val="009E5657"/>
    <w:rsid w:val="009E5AFE"/>
    <w:rsid w:val="009E61A4"/>
    <w:rsid w:val="009E641E"/>
    <w:rsid w:val="009E6B0A"/>
    <w:rsid w:val="009E6E1B"/>
    <w:rsid w:val="009F0262"/>
    <w:rsid w:val="009F05F2"/>
    <w:rsid w:val="009F0BC9"/>
    <w:rsid w:val="009F10CE"/>
    <w:rsid w:val="009F1214"/>
    <w:rsid w:val="009F12C0"/>
    <w:rsid w:val="009F18B8"/>
    <w:rsid w:val="009F19AE"/>
    <w:rsid w:val="009F20D5"/>
    <w:rsid w:val="009F34AD"/>
    <w:rsid w:val="009F354F"/>
    <w:rsid w:val="009F5892"/>
    <w:rsid w:val="009F5ECF"/>
    <w:rsid w:val="009F6589"/>
    <w:rsid w:val="009F69FE"/>
    <w:rsid w:val="009F7503"/>
    <w:rsid w:val="009F7BE6"/>
    <w:rsid w:val="00A000F9"/>
    <w:rsid w:val="00A0050A"/>
    <w:rsid w:val="00A008B0"/>
    <w:rsid w:val="00A01070"/>
    <w:rsid w:val="00A0177C"/>
    <w:rsid w:val="00A02350"/>
    <w:rsid w:val="00A0308F"/>
    <w:rsid w:val="00A03CA2"/>
    <w:rsid w:val="00A0455B"/>
    <w:rsid w:val="00A049DC"/>
    <w:rsid w:val="00A04DC4"/>
    <w:rsid w:val="00A05253"/>
    <w:rsid w:val="00A064DD"/>
    <w:rsid w:val="00A0653F"/>
    <w:rsid w:val="00A065E4"/>
    <w:rsid w:val="00A066A2"/>
    <w:rsid w:val="00A066CC"/>
    <w:rsid w:val="00A0685D"/>
    <w:rsid w:val="00A068D9"/>
    <w:rsid w:val="00A101F3"/>
    <w:rsid w:val="00A11404"/>
    <w:rsid w:val="00A11AC8"/>
    <w:rsid w:val="00A121FA"/>
    <w:rsid w:val="00A12232"/>
    <w:rsid w:val="00A126AD"/>
    <w:rsid w:val="00A12717"/>
    <w:rsid w:val="00A12CC9"/>
    <w:rsid w:val="00A13037"/>
    <w:rsid w:val="00A1310F"/>
    <w:rsid w:val="00A1370E"/>
    <w:rsid w:val="00A145C9"/>
    <w:rsid w:val="00A15B2E"/>
    <w:rsid w:val="00A16461"/>
    <w:rsid w:val="00A16B95"/>
    <w:rsid w:val="00A17D4C"/>
    <w:rsid w:val="00A20871"/>
    <w:rsid w:val="00A20BDF"/>
    <w:rsid w:val="00A20F90"/>
    <w:rsid w:val="00A21513"/>
    <w:rsid w:val="00A22231"/>
    <w:rsid w:val="00A22426"/>
    <w:rsid w:val="00A23388"/>
    <w:rsid w:val="00A2368F"/>
    <w:rsid w:val="00A239D8"/>
    <w:rsid w:val="00A25490"/>
    <w:rsid w:val="00A25612"/>
    <w:rsid w:val="00A258FB"/>
    <w:rsid w:val="00A25A48"/>
    <w:rsid w:val="00A25A9E"/>
    <w:rsid w:val="00A269D6"/>
    <w:rsid w:val="00A26DA7"/>
    <w:rsid w:val="00A27685"/>
    <w:rsid w:val="00A30BC0"/>
    <w:rsid w:val="00A30C24"/>
    <w:rsid w:val="00A31300"/>
    <w:rsid w:val="00A315E0"/>
    <w:rsid w:val="00A32FA4"/>
    <w:rsid w:val="00A33B3F"/>
    <w:rsid w:val="00A33F1F"/>
    <w:rsid w:val="00A33F76"/>
    <w:rsid w:val="00A3441E"/>
    <w:rsid w:val="00A3443D"/>
    <w:rsid w:val="00A34B55"/>
    <w:rsid w:val="00A34D78"/>
    <w:rsid w:val="00A351CC"/>
    <w:rsid w:val="00A3521B"/>
    <w:rsid w:val="00A35550"/>
    <w:rsid w:val="00A35D25"/>
    <w:rsid w:val="00A366EC"/>
    <w:rsid w:val="00A367D4"/>
    <w:rsid w:val="00A36828"/>
    <w:rsid w:val="00A375C3"/>
    <w:rsid w:val="00A379B1"/>
    <w:rsid w:val="00A37BDA"/>
    <w:rsid w:val="00A37E13"/>
    <w:rsid w:val="00A37E8C"/>
    <w:rsid w:val="00A4098A"/>
    <w:rsid w:val="00A414C6"/>
    <w:rsid w:val="00A41595"/>
    <w:rsid w:val="00A41AA1"/>
    <w:rsid w:val="00A41ABD"/>
    <w:rsid w:val="00A41B5F"/>
    <w:rsid w:val="00A42180"/>
    <w:rsid w:val="00A42195"/>
    <w:rsid w:val="00A43645"/>
    <w:rsid w:val="00A43869"/>
    <w:rsid w:val="00A43C6D"/>
    <w:rsid w:val="00A44187"/>
    <w:rsid w:val="00A45670"/>
    <w:rsid w:val="00A458EA"/>
    <w:rsid w:val="00A45F4F"/>
    <w:rsid w:val="00A463EF"/>
    <w:rsid w:val="00A50208"/>
    <w:rsid w:val="00A51416"/>
    <w:rsid w:val="00A5170E"/>
    <w:rsid w:val="00A51A21"/>
    <w:rsid w:val="00A51AC9"/>
    <w:rsid w:val="00A51DEE"/>
    <w:rsid w:val="00A52015"/>
    <w:rsid w:val="00A52939"/>
    <w:rsid w:val="00A53746"/>
    <w:rsid w:val="00A53963"/>
    <w:rsid w:val="00A53DD0"/>
    <w:rsid w:val="00A5508C"/>
    <w:rsid w:val="00A55578"/>
    <w:rsid w:val="00A565B1"/>
    <w:rsid w:val="00A5661C"/>
    <w:rsid w:val="00A60636"/>
    <w:rsid w:val="00A60999"/>
    <w:rsid w:val="00A60AB1"/>
    <w:rsid w:val="00A60FFF"/>
    <w:rsid w:val="00A613A9"/>
    <w:rsid w:val="00A61813"/>
    <w:rsid w:val="00A6186F"/>
    <w:rsid w:val="00A62582"/>
    <w:rsid w:val="00A62BAD"/>
    <w:rsid w:val="00A62E70"/>
    <w:rsid w:val="00A637E4"/>
    <w:rsid w:val="00A63922"/>
    <w:rsid w:val="00A6421D"/>
    <w:rsid w:val="00A642B4"/>
    <w:rsid w:val="00A65735"/>
    <w:rsid w:val="00A659D1"/>
    <w:rsid w:val="00A65A75"/>
    <w:rsid w:val="00A65F4B"/>
    <w:rsid w:val="00A67E11"/>
    <w:rsid w:val="00A67E39"/>
    <w:rsid w:val="00A70754"/>
    <w:rsid w:val="00A70D28"/>
    <w:rsid w:val="00A715B2"/>
    <w:rsid w:val="00A717A4"/>
    <w:rsid w:val="00A71836"/>
    <w:rsid w:val="00A71985"/>
    <w:rsid w:val="00A725E5"/>
    <w:rsid w:val="00A735C3"/>
    <w:rsid w:val="00A73A58"/>
    <w:rsid w:val="00A74846"/>
    <w:rsid w:val="00A74F83"/>
    <w:rsid w:val="00A75156"/>
    <w:rsid w:val="00A7583C"/>
    <w:rsid w:val="00A75E5F"/>
    <w:rsid w:val="00A76ABC"/>
    <w:rsid w:val="00A774E7"/>
    <w:rsid w:val="00A7753F"/>
    <w:rsid w:val="00A77EB5"/>
    <w:rsid w:val="00A801A2"/>
    <w:rsid w:val="00A80C19"/>
    <w:rsid w:val="00A818A6"/>
    <w:rsid w:val="00A820E1"/>
    <w:rsid w:val="00A82723"/>
    <w:rsid w:val="00A8275C"/>
    <w:rsid w:val="00A82E00"/>
    <w:rsid w:val="00A83951"/>
    <w:rsid w:val="00A83A00"/>
    <w:rsid w:val="00A844D0"/>
    <w:rsid w:val="00A845EB"/>
    <w:rsid w:val="00A84767"/>
    <w:rsid w:val="00A84E63"/>
    <w:rsid w:val="00A84E68"/>
    <w:rsid w:val="00A85329"/>
    <w:rsid w:val="00A858AF"/>
    <w:rsid w:val="00A861A8"/>
    <w:rsid w:val="00A8689A"/>
    <w:rsid w:val="00A86916"/>
    <w:rsid w:val="00A871AD"/>
    <w:rsid w:val="00A87873"/>
    <w:rsid w:val="00A87DE3"/>
    <w:rsid w:val="00A910F7"/>
    <w:rsid w:val="00A92501"/>
    <w:rsid w:val="00A94C76"/>
    <w:rsid w:val="00A94D43"/>
    <w:rsid w:val="00A94F78"/>
    <w:rsid w:val="00A965AE"/>
    <w:rsid w:val="00A966C3"/>
    <w:rsid w:val="00A96F26"/>
    <w:rsid w:val="00A97465"/>
    <w:rsid w:val="00A974DA"/>
    <w:rsid w:val="00A97D73"/>
    <w:rsid w:val="00AA0B81"/>
    <w:rsid w:val="00AA0D9B"/>
    <w:rsid w:val="00AA1C11"/>
    <w:rsid w:val="00AA3365"/>
    <w:rsid w:val="00AA43BB"/>
    <w:rsid w:val="00AA4931"/>
    <w:rsid w:val="00AA4BF2"/>
    <w:rsid w:val="00AA4DEC"/>
    <w:rsid w:val="00AA51C0"/>
    <w:rsid w:val="00AA5B98"/>
    <w:rsid w:val="00AA60CE"/>
    <w:rsid w:val="00AA6A8D"/>
    <w:rsid w:val="00AA6D60"/>
    <w:rsid w:val="00AA6F52"/>
    <w:rsid w:val="00AA7371"/>
    <w:rsid w:val="00AA7FB3"/>
    <w:rsid w:val="00AB0CB5"/>
    <w:rsid w:val="00AB10F0"/>
    <w:rsid w:val="00AB11F1"/>
    <w:rsid w:val="00AB1567"/>
    <w:rsid w:val="00AB1EE6"/>
    <w:rsid w:val="00AB277E"/>
    <w:rsid w:val="00AB2DFB"/>
    <w:rsid w:val="00AB36AF"/>
    <w:rsid w:val="00AB39F9"/>
    <w:rsid w:val="00AB3DF9"/>
    <w:rsid w:val="00AB4455"/>
    <w:rsid w:val="00AB4FA4"/>
    <w:rsid w:val="00AB589F"/>
    <w:rsid w:val="00AB5991"/>
    <w:rsid w:val="00AB5D60"/>
    <w:rsid w:val="00AB6024"/>
    <w:rsid w:val="00AB6A3F"/>
    <w:rsid w:val="00AB7056"/>
    <w:rsid w:val="00AB72B7"/>
    <w:rsid w:val="00AB7AD6"/>
    <w:rsid w:val="00AC062D"/>
    <w:rsid w:val="00AC0FEE"/>
    <w:rsid w:val="00AC18DD"/>
    <w:rsid w:val="00AC2090"/>
    <w:rsid w:val="00AC2D35"/>
    <w:rsid w:val="00AC3B9A"/>
    <w:rsid w:val="00AC3D3C"/>
    <w:rsid w:val="00AC53A8"/>
    <w:rsid w:val="00AC5511"/>
    <w:rsid w:val="00AC5678"/>
    <w:rsid w:val="00AC56EB"/>
    <w:rsid w:val="00AC5790"/>
    <w:rsid w:val="00AC61A3"/>
    <w:rsid w:val="00AC6371"/>
    <w:rsid w:val="00AC66C0"/>
    <w:rsid w:val="00AC6789"/>
    <w:rsid w:val="00AC69CC"/>
    <w:rsid w:val="00AC6C95"/>
    <w:rsid w:val="00AC7059"/>
    <w:rsid w:val="00AC768A"/>
    <w:rsid w:val="00AC7958"/>
    <w:rsid w:val="00AC79EC"/>
    <w:rsid w:val="00AD02AB"/>
    <w:rsid w:val="00AD0877"/>
    <w:rsid w:val="00AD0995"/>
    <w:rsid w:val="00AD0FFD"/>
    <w:rsid w:val="00AD1286"/>
    <w:rsid w:val="00AD13EF"/>
    <w:rsid w:val="00AD1B2C"/>
    <w:rsid w:val="00AD1F5D"/>
    <w:rsid w:val="00AD2302"/>
    <w:rsid w:val="00AD232B"/>
    <w:rsid w:val="00AD2860"/>
    <w:rsid w:val="00AD387A"/>
    <w:rsid w:val="00AD3885"/>
    <w:rsid w:val="00AD3B4B"/>
    <w:rsid w:val="00AD4843"/>
    <w:rsid w:val="00AD4B7D"/>
    <w:rsid w:val="00AD50F8"/>
    <w:rsid w:val="00AD5A38"/>
    <w:rsid w:val="00AD5E51"/>
    <w:rsid w:val="00AD62CB"/>
    <w:rsid w:val="00AD6CBE"/>
    <w:rsid w:val="00AD6ECE"/>
    <w:rsid w:val="00AD799E"/>
    <w:rsid w:val="00AD7E6D"/>
    <w:rsid w:val="00AE0397"/>
    <w:rsid w:val="00AE076A"/>
    <w:rsid w:val="00AE1573"/>
    <w:rsid w:val="00AE1B46"/>
    <w:rsid w:val="00AE1BDA"/>
    <w:rsid w:val="00AE1E4B"/>
    <w:rsid w:val="00AE2411"/>
    <w:rsid w:val="00AE24D7"/>
    <w:rsid w:val="00AE2C51"/>
    <w:rsid w:val="00AE2C75"/>
    <w:rsid w:val="00AE3473"/>
    <w:rsid w:val="00AE35BB"/>
    <w:rsid w:val="00AE3715"/>
    <w:rsid w:val="00AE3BE7"/>
    <w:rsid w:val="00AE3E31"/>
    <w:rsid w:val="00AE3E37"/>
    <w:rsid w:val="00AE4A82"/>
    <w:rsid w:val="00AE4EEC"/>
    <w:rsid w:val="00AE5956"/>
    <w:rsid w:val="00AE6255"/>
    <w:rsid w:val="00AE626A"/>
    <w:rsid w:val="00AE6C7F"/>
    <w:rsid w:val="00AE6F8E"/>
    <w:rsid w:val="00AE7281"/>
    <w:rsid w:val="00AF05B7"/>
    <w:rsid w:val="00AF0B45"/>
    <w:rsid w:val="00AF1805"/>
    <w:rsid w:val="00AF216D"/>
    <w:rsid w:val="00AF2570"/>
    <w:rsid w:val="00AF2883"/>
    <w:rsid w:val="00AF2B0F"/>
    <w:rsid w:val="00AF2E9C"/>
    <w:rsid w:val="00AF3696"/>
    <w:rsid w:val="00AF427D"/>
    <w:rsid w:val="00AF432B"/>
    <w:rsid w:val="00AF46FD"/>
    <w:rsid w:val="00AF5252"/>
    <w:rsid w:val="00AF5286"/>
    <w:rsid w:val="00AF547D"/>
    <w:rsid w:val="00AF5565"/>
    <w:rsid w:val="00AF5EB5"/>
    <w:rsid w:val="00AF6796"/>
    <w:rsid w:val="00AF6A15"/>
    <w:rsid w:val="00AF6D5F"/>
    <w:rsid w:val="00AF6EC7"/>
    <w:rsid w:val="00AF71E4"/>
    <w:rsid w:val="00AF7256"/>
    <w:rsid w:val="00B00F3C"/>
    <w:rsid w:val="00B00F61"/>
    <w:rsid w:val="00B013A1"/>
    <w:rsid w:val="00B01729"/>
    <w:rsid w:val="00B0267F"/>
    <w:rsid w:val="00B02A0A"/>
    <w:rsid w:val="00B0456E"/>
    <w:rsid w:val="00B04B31"/>
    <w:rsid w:val="00B05E2A"/>
    <w:rsid w:val="00B07987"/>
    <w:rsid w:val="00B1025C"/>
    <w:rsid w:val="00B104BD"/>
    <w:rsid w:val="00B104ED"/>
    <w:rsid w:val="00B1088B"/>
    <w:rsid w:val="00B10979"/>
    <w:rsid w:val="00B110FC"/>
    <w:rsid w:val="00B1140B"/>
    <w:rsid w:val="00B147F5"/>
    <w:rsid w:val="00B1493B"/>
    <w:rsid w:val="00B15079"/>
    <w:rsid w:val="00B154E6"/>
    <w:rsid w:val="00B155F2"/>
    <w:rsid w:val="00B16451"/>
    <w:rsid w:val="00B1732C"/>
    <w:rsid w:val="00B17C6E"/>
    <w:rsid w:val="00B17E53"/>
    <w:rsid w:val="00B20119"/>
    <w:rsid w:val="00B20717"/>
    <w:rsid w:val="00B20A03"/>
    <w:rsid w:val="00B20A18"/>
    <w:rsid w:val="00B20FB6"/>
    <w:rsid w:val="00B21591"/>
    <w:rsid w:val="00B21ABF"/>
    <w:rsid w:val="00B22116"/>
    <w:rsid w:val="00B221C3"/>
    <w:rsid w:val="00B224D7"/>
    <w:rsid w:val="00B22DC9"/>
    <w:rsid w:val="00B230F4"/>
    <w:rsid w:val="00B23A6D"/>
    <w:rsid w:val="00B2427B"/>
    <w:rsid w:val="00B24314"/>
    <w:rsid w:val="00B24B2B"/>
    <w:rsid w:val="00B24E1D"/>
    <w:rsid w:val="00B2680D"/>
    <w:rsid w:val="00B26C85"/>
    <w:rsid w:val="00B26F36"/>
    <w:rsid w:val="00B275A3"/>
    <w:rsid w:val="00B3045D"/>
    <w:rsid w:val="00B304E3"/>
    <w:rsid w:val="00B306BE"/>
    <w:rsid w:val="00B31604"/>
    <w:rsid w:val="00B3238B"/>
    <w:rsid w:val="00B323FB"/>
    <w:rsid w:val="00B32846"/>
    <w:rsid w:val="00B32F42"/>
    <w:rsid w:val="00B3419D"/>
    <w:rsid w:val="00B346ED"/>
    <w:rsid w:val="00B34B4B"/>
    <w:rsid w:val="00B34DED"/>
    <w:rsid w:val="00B3512B"/>
    <w:rsid w:val="00B358E6"/>
    <w:rsid w:val="00B35A1F"/>
    <w:rsid w:val="00B36F62"/>
    <w:rsid w:val="00B37721"/>
    <w:rsid w:val="00B37A3D"/>
    <w:rsid w:val="00B4045F"/>
    <w:rsid w:val="00B415DB"/>
    <w:rsid w:val="00B417A7"/>
    <w:rsid w:val="00B42493"/>
    <w:rsid w:val="00B42F7B"/>
    <w:rsid w:val="00B43394"/>
    <w:rsid w:val="00B433B3"/>
    <w:rsid w:val="00B435DC"/>
    <w:rsid w:val="00B43E24"/>
    <w:rsid w:val="00B449E1"/>
    <w:rsid w:val="00B44AFA"/>
    <w:rsid w:val="00B45090"/>
    <w:rsid w:val="00B455A9"/>
    <w:rsid w:val="00B459AE"/>
    <w:rsid w:val="00B45B2E"/>
    <w:rsid w:val="00B45E1F"/>
    <w:rsid w:val="00B47C9D"/>
    <w:rsid w:val="00B47DB8"/>
    <w:rsid w:val="00B47FE5"/>
    <w:rsid w:val="00B50F26"/>
    <w:rsid w:val="00B518B7"/>
    <w:rsid w:val="00B51B62"/>
    <w:rsid w:val="00B524FC"/>
    <w:rsid w:val="00B52F7C"/>
    <w:rsid w:val="00B53498"/>
    <w:rsid w:val="00B54BBC"/>
    <w:rsid w:val="00B55616"/>
    <w:rsid w:val="00B556C4"/>
    <w:rsid w:val="00B56097"/>
    <w:rsid w:val="00B5612E"/>
    <w:rsid w:val="00B56DBD"/>
    <w:rsid w:val="00B56E8A"/>
    <w:rsid w:val="00B56F64"/>
    <w:rsid w:val="00B572F5"/>
    <w:rsid w:val="00B5738F"/>
    <w:rsid w:val="00B5753B"/>
    <w:rsid w:val="00B57818"/>
    <w:rsid w:val="00B60517"/>
    <w:rsid w:val="00B61524"/>
    <w:rsid w:val="00B61611"/>
    <w:rsid w:val="00B61931"/>
    <w:rsid w:val="00B61CA8"/>
    <w:rsid w:val="00B626E3"/>
    <w:rsid w:val="00B62740"/>
    <w:rsid w:val="00B62EDF"/>
    <w:rsid w:val="00B631C8"/>
    <w:rsid w:val="00B636CA"/>
    <w:rsid w:val="00B64B15"/>
    <w:rsid w:val="00B65B14"/>
    <w:rsid w:val="00B65C88"/>
    <w:rsid w:val="00B66ED0"/>
    <w:rsid w:val="00B66FBA"/>
    <w:rsid w:val="00B6752C"/>
    <w:rsid w:val="00B675BA"/>
    <w:rsid w:val="00B67954"/>
    <w:rsid w:val="00B67A44"/>
    <w:rsid w:val="00B7111F"/>
    <w:rsid w:val="00B7115B"/>
    <w:rsid w:val="00B71F95"/>
    <w:rsid w:val="00B72033"/>
    <w:rsid w:val="00B72885"/>
    <w:rsid w:val="00B73036"/>
    <w:rsid w:val="00B7342E"/>
    <w:rsid w:val="00B7385F"/>
    <w:rsid w:val="00B73C57"/>
    <w:rsid w:val="00B75079"/>
    <w:rsid w:val="00B755B8"/>
    <w:rsid w:val="00B75A16"/>
    <w:rsid w:val="00B75BC0"/>
    <w:rsid w:val="00B7614F"/>
    <w:rsid w:val="00B76193"/>
    <w:rsid w:val="00B76297"/>
    <w:rsid w:val="00B77433"/>
    <w:rsid w:val="00B77708"/>
    <w:rsid w:val="00B77CE4"/>
    <w:rsid w:val="00B77FDF"/>
    <w:rsid w:val="00B8087D"/>
    <w:rsid w:val="00B80B37"/>
    <w:rsid w:val="00B810A5"/>
    <w:rsid w:val="00B81971"/>
    <w:rsid w:val="00B821DA"/>
    <w:rsid w:val="00B828C4"/>
    <w:rsid w:val="00B82D67"/>
    <w:rsid w:val="00B835AA"/>
    <w:rsid w:val="00B83639"/>
    <w:rsid w:val="00B8387F"/>
    <w:rsid w:val="00B83AFB"/>
    <w:rsid w:val="00B84450"/>
    <w:rsid w:val="00B84528"/>
    <w:rsid w:val="00B84E0E"/>
    <w:rsid w:val="00B863BD"/>
    <w:rsid w:val="00B86C59"/>
    <w:rsid w:val="00B87596"/>
    <w:rsid w:val="00B8771B"/>
    <w:rsid w:val="00B9082C"/>
    <w:rsid w:val="00B90AB5"/>
    <w:rsid w:val="00B911FC"/>
    <w:rsid w:val="00B918CB"/>
    <w:rsid w:val="00B918FE"/>
    <w:rsid w:val="00B91940"/>
    <w:rsid w:val="00B92172"/>
    <w:rsid w:val="00B923AB"/>
    <w:rsid w:val="00B94CE5"/>
    <w:rsid w:val="00B95ACE"/>
    <w:rsid w:val="00B964AF"/>
    <w:rsid w:val="00B96733"/>
    <w:rsid w:val="00B96EF0"/>
    <w:rsid w:val="00B97257"/>
    <w:rsid w:val="00B97752"/>
    <w:rsid w:val="00B9778E"/>
    <w:rsid w:val="00BA096D"/>
    <w:rsid w:val="00BA0F40"/>
    <w:rsid w:val="00BA26B3"/>
    <w:rsid w:val="00BA2721"/>
    <w:rsid w:val="00BA2DD7"/>
    <w:rsid w:val="00BA2F85"/>
    <w:rsid w:val="00BA30B5"/>
    <w:rsid w:val="00BA3190"/>
    <w:rsid w:val="00BA3390"/>
    <w:rsid w:val="00BA38A7"/>
    <w:rsid w:val="00BA417D"/>
    <w:rsid w:val="00BA4CFE"/>
    <w:rsid w:val="00BA5425"/>
    <w:rsid w:val="00BA5426"/>
    <w:rsid w:val="00BA576F"/>
    <w:rsid w:val="00BA618C"/>
    <w:rsid w:val="00BA6326"/>
    <w:rsid w:val="00BA68E8"/>
    <w:rsid w:val="00BA6D75"/>
    <w:rsid w:val="00BA7F85"/>
    <w:rsid w:val="00BB0EB6"/>
    <w:rsid w:val="00BB1379"/>
    <w:rsid w:val="00BB16B0"/>
    <w:rsid w:val="00BB2919"/>
    <w:rsid w:val="00BB329A"/>
    <w:rsid w:val="00BB3576"/>
    <w:rsid w:val="00BB3B42"/>
    <w:rsid w:val="00BB3DE3"/>
    <w:rsid w:val="00BB4146"/>
    <w:rsid w:val="00BB428F"/>
    <w:rsid w:val="00BB4787"/>
    <w:rsid w:val="00BB4926"/>
    <w:rsid w:val="00BB499F"/>
    <w:rsid w:val="00BB53A2"/>
    <w:rsid w:val="00BB6AA1"/>
    <w:rsid w:val="00BB7D9B"/>
    <w:rsid w:val="00BB7DD9"/>
    <w:rsid w:val="00BC0CAC"/>
    <w:rsid w:val="00BC0F30"/>
    <w:rsid w:val="00BC1288"/>
    <w:rsid w:val="00BC20B4"/>
    <w:rsid w:val="00BC2170"/>
    <w:rsid w:val="00BC29C0"/>
    <w:rsid w:val="00BC2FEF"/>
    <w:rsid w:val="00BC3106"/>
    <w:rsid w:val="00BC34EB"/>
    <w:rsid w:val="00BC4020"/>
    <w:rsid w:val="00BC44BD"/>
    <w:rsid w:val="00BC5315"/>
    <w:rsid w:val="00BC56CF"/>
    <w:rsid w:val="00BC595B"/>
    <w:rsid w:val="00BC5A44"/>
    <w:rsid w:val="00BC5F0B"/>
    <w:rsid w:val="00BC7DAD"/>
    <w:rsid w:val="00BC7E68"/>
    <w:rsid w:val="00BD021D"/>
    <w:rsid w:val="00BD0553"/>
    <w:rsid w:val="00BD0888"/>
    <w:rsid w:val="00BD147C"/>
    <w:rsid w:val="00BD1946"/>
    <w:rsid w:val="00BD1CC5"/>
    <w:rsid w:val="00BD1DDF"/>
    <w:rsid w:val="00BD21A2"/>
    <w:rsid w:val="00BD263D"/>
    <w:rsid w:val="00BD3299"/>
    <w:rsid w:val="00BD32C6"/>
    <w:rsid w:val="00BD3373"/>
    <w:rsid w:val="00BD3704"/>
    <w:rsid w:val="00BD3AB5"/>
    <w:rsid w:val="00BD3DC3"/>
    <w:rsid w:val="00BD43CF"/>
    <w:rsid w:val="00BD4B50"/>
    <w:rsid w:val="00BD4B5C"/>
    <w:rsid w:val="00BD4E77"/>
    <w:rsid w:val="00BD5504"/>
    <w:rsid w:val="00BD5632"/>
    <w:rsid w:val="00BD5D92"/>
    <w:rsid w:val="00BD5EE2"/>
    <w:rsid w:val="00BD63EC"/>
    <w:rsid w:val="00BD6847"/>
    <w:rsid w:val="00BD6C87"/>
    <w:rsid w:val="00BD78AF"/>
    <w:rsid w:val="00BE055B"/>
    <w:rsid w:val="00BE06CF"/>
    <w:rsid w:val="00BE11E3"/>
    <w:rsid w:val="00BE18BD"/>
    <w:rsid w:val="00BE1ED3"/>
    <w:rsid w:val="00BE25E1"/>
    <w:rsid w:val="00BE3479"/>
    <w:rsid w:val="00BE3A5E"/>
    <w:rsid w:val="00BE3AD2"/>
    <w:rsid w:val="00BE446A"/>
    <w:rsid w:val="00BE492C"/>
    <w:rsid w:val="00BE5069"/>
    <w:rsid w:val="00BE5132"/>
    <w:rsid w:val="00BE52A5"/>
    <w:rsid w:val="00BE557A"/>
    <w:rsid w:val="00BE5B92"/>
    <w:rsid w:val="00BE5DC2"/>
    <w:rsid w:val="00BE6317"/>
    <w:rsid w:val="00BE68C1"/>
    <w:rsid w:val="00BE6C0D"/>
    <w:rsid w:val="00BE7361"/>
    <w:rsid w:val="00BE759B"/>
    <w:rsid w:val="00BE773F"/>
    <w:rsid w:val="00BF0830"/>
    <w:rsid w:val="00BF0CAD"/>
    <w:rsid w:val="00BF10FE"/>
    <w:rsid w:val="00BF148C"/>
    <w:rsid w:val="00BF1818"/>
    <w:rsid w:val="00BF2787"/>
    <w:rsid w:val="00BF2FF9"/>
    <w:rsid w:val="00BF34E7"/>
    <w:rsid w:val="00BF4741"/>
    <w:rsid w:val="00BF48F9"/>
    <w:rsid w:val="00BF585E"/>
    <w:rsid w:val="00BF60A9"/>
    <w:rsid w:val="00BF60BA"/>
    <w:rsid w:val="00BF649B"/>
    <w:rsid w:val="00BF6E2F"/>
    <w:rsid w:val="00BF7575"/>
    <w:rsid w:val="00BF7ABF"/>
    <w:rsid w:val="00BF7ED2"/>
    <w:rsid w:val="00C009EF"/>
    <w:rsid w:val="00C01470"/>
    <w:rsid w:val="00C01B4E"/>
    <w:rsid w:val="00C01D59"/>
    <w:rsid w:val="00C02980"/>
    <w:rsid w:val="00C02E6F"/>
    <w:rsid w:val="00C0391B"/>
    <w:rsid w:val="00C03A32"/>
    <w:rsid w:val="00C041FF"/>
    <w:rsid w:val="00C04682"/>
    <w:rsid w:val="00C047E7"/>
    <w:rsid w:val="00C052A5"/>
    <w:rsid w:val="00C059B2"/>
    <w:rsid w:val="00C05F94"/>
    <w:rsid w:val="00C0609F"/>
    <w:rsid w:val="00C067AD"/>
    <w:rsid w:val="00C067F1"/>
    <w:rsid w:val="00C06EE0"/>
    <w:rsid w:val="00C0711C"/>
    <w:rsid w:val="00C07B25"/>
    <w:rsid w:val="00C07B81"/>
    <w:rsid w:val="00C07BB6"/>
    <w:rsid w:val="00C07E9D"/>
    <w:rsid w:val="00C1086D"/>
    <w:rsid w:val="00C1097D"/>
    <w:rsid w:val="00C10EB5"/>
    <w:rsid w:val="00C11107"/>
    <w:rsid w:val="00C113BF"/>
    <w:rsid w:val="00C114D9"/>
    <w:rsid w:val="00C11618"/>
    <w:rsid w:val="00C12253"/>
    <w:rsid w:val="00C12C84"/>
    <w:rsid w:val="00C12FF6"/>
    <w:rsid w:val="00C1456E"/>
    <w:rsid w:val="00C15356"/>
    <w:rsid w:val="00C1554C"/>
    <w:rsid w:val="00C15EDF"/>
    <w:rsid w:val="00C1609E"/>
    <w:rsid w:val="00C16566"/>
    <w:rsid w:val="00C1702B"/>
    <w:rsid w:val="00C178E8"/>
    <w:rsid w:val="00C17F4A"/>
    <w:rsid w:val="00C200B9"/>
    <w:rsid w:val="00C20101"/>
    <w:rsid w:val="00C20777"/>
    <w:rsid w:val="00C207C3"/>
    <w:rsid w:val="00C20A35"/>
    <w:rsid w:val="00C2179A"/>
    <w:rsid w:val="00C21DC7"/>
    <w:rsid w:val="00C23AFF"/>
    <w:rsid w:val="00C2468C"/>
    <w:rsid w:val="00C2498C"/>
    <w:rsid w:val="00C24F97"/>
    <w:rsid w:val="00C25269"/>
    <w:rsid w:val="00C25489"/>
    <w:rsid w:val="00C26044"/>
    <w:rsid w:val="00C276D7"/>
    <w:rsid w:val="00C302E7"/>
    <w:rsid w:val="00C30432"/>
    <w:rsid w:val="00C30F54"/>
    <w:rsid w:val="00C317D5"/>
    <w:rsid w:val="00C31A6F"/>
    <w:rsid w:val="00C31AC5"/>
    <w:rsid w:val="00C31B38"/>
    <w:rsid w:val="00C31D22"/>
    <w:rsid w:val="00C3294A"/>
    <w:rsid w:val="00C32E6F"/>
    <w:rsid w:val="00C336F2"/>
    <w:rsid w:val="00C33F92"/>
    <w:rsid w:val="00C35281"/>
    <w:rsid w:val="00C3535E"/>
    <w:rsid w:val="00C353FD"/>
    <w:rsid w:val="00C357B1"/>
    <w:rsid w:val="00C3585C"/>
    <w:rsid w:val="00C35D61"/>
    <w:rsid w:val="00C35E94"/>
    <w:rsid w:val="00C363B4"/>
    <w:rsid w:val="00C3677E"/>
    <w:rsid w:val="00C36823"/>
    <w:rsid w:val="00C36AAE"/>
    <w:rsid w:val="00C37801"/>
    <w:rsid w:val="00C400F3"/>
    <w:rsid w:val="00C401B6"/>
    <w:rsid w:val="00C406AC"/>
    <w:rsid w:val="00C41FBA"/>
    <w:rsid w:val="00C4220E"/>
    <w:rsid w:val="00C42310"/>
    <w:rsid w:val="00C4231C"/>
    <w:rsid w:val="00C428E0"/>
    <w:rsid w:val="00C4331E"/>
    <w:rsid w:val="00C43FF8"/>
    <w:rsid w:val="00C4413B"/>
    <w:rsid w:val="00C442AA"/>
    <w:rsid w:val="00C44407"/>
    <w:rsid w:val="00C446FE"/>
    <w:rsid w:val="00C451AB"/>
    <w:rsid w:val="00C453F8"/>
    <w:rsid w:val="00C45C4C"/>
    <w:rsid w:val="00C46202"/>
    <w:rsid w:val="00C462D8"/>
    <w:rsid w:val="00C46922"/>
    <w:rsid w:val="00C46E97"/>
    <w:rsid w:val="00C503BD"/>
    <w:rsid w:val="00C5048D"/>
    <w:rsid w:val="00C5173F"/>
    <w:rsid w:val="00C518ED"/>
    <w:rsid w:val="00C51A02"/>
    <w:rsid w:val="00C522DD"/>
    <w:rsid w:val="00C52AB8"/>
    <w:rsid w:val="00C554BA"/>
    <w:rsid w:val="00C55A11"/>
    <w:rsid w:val="00C55DB2"/>
    <w:rsid w:val="00C561B9"/>
    <w:rsid w:val="00C564D7"/>
    <w:rsid w:val="00C56A50"/>
    <w:rsid w:val="00C570C0"/>
    <w:rsid w:val="00C600BB"/>
    <w:rsid w:val="00C60810"/>
    <w:rsid w:val="00C60BB6"/>
    <w:rsid w:val="00C6108B"/>
    <w:rsid w:val="00C61317"/>
    <w:rsid w:val="00C61CCE"/>
    <w:rsid w:val="00C6258E"/>
    <w:rsid w:val="00C62676"/>
    <w:rsid w:val="00C63206"/>
    <w:rsid w:val="00C6338D"/>
    <w:rsid w:val="00C6389A"/>
    <w:rsid w:val="00C63E93"/>
    <w:rsid w:val="00C63F97"/>
    <w:rsid w:val="00C6449B"/>
    <w:rsid w:val="00C64982"/>
    <w:rsid w:val="00C64B7F"/>
    <w:rsid w:val="00C64F78"/>
    <w:rsid w:val="00C64FF6"/>
    <w:rsid w:val="00C6605A"/>
    <w:rsid w:val="00C6634F"/>
    <w:rsid w:val="00C66CA9"/>
    <w:rsid w:val="00C66F6A"/>
    <w:rsid w:val="00C67C75"/>
    <w:rsid w:val="00C7042E"/>
    <w:rsid w:val="00C70708"/>
    <w:rsid w:val="00C7071D"/>
    <w:rsid w:val="00C7106D"/>
    <w:rsid w:val="00C710CB"/>
    <w:rsid w:val="00C71416"/>
    <w:rsid w:val="00C7154D"/>
    <w:rsid w:val="00C719AA"/>
    <w:rsid w:val="00C71BF9"/>
    <w:rsid w:val="00C722DE"/>
    <w:rsid w:val="00C722FA"/>
    <w:rsid w:val="00C72CF3"/>
    <w:rsid w:val="00C73EC7"/>
    <w:rsid w:val="00C7402E"/>
    <w:rsid w:val="00C7441D"/>
    <w:rsid w:val="00C74507"/>
    <w:rsid w:val="00C74BB4"/>
    <w:rsid w:val="00C753FE"/>
    <w:rsid w:val="00C75566"/>
    <w:rsid w:val="00C759D5"/>
    <w:rsid w:val="00C762D1"/>
    <w:rsid w:val="00C76ACA"/>
    <w:rsid w:val="00C76B8D"/>
    <w:rsid w:val="00C772E3"/>
    <w:rsid w:val="00C7747E"/>
    <w:rsid w:val="00C774C6"/>
    <w:rsid w:val="00C77835"/>
    <w:rsid w:val="00C77ACA"/>
    <w:rsid w:val="00C77EA5"/>
    <w:rsid w:val="00C80DBF"/>
    <w:rsid w:val="00C8127A"/>
    <w:rsid w:val="00C8184F"/>
    <w:rsid w:val="00C82261"/>
    <w:rsid w:val="00C826D4"/>
    <w:rsid w:val="00C82ACD"/>
    <w:rsid w:val="00C83024"/>
    <w:rsid w:val="00C83DF7"/>
    <w:rsid w:val="00C84EDB"/>
    <w:rsid w:val="00C851BB"/>
    <w:rsid w:val="00C857F5"/>
    <w:rsid w:val="00C85D01"/>
    <w:rsid w:val="00C869FD"/>
    <w:rsid w:val="00C86CE3"/>
    <w:rsid w:val="00C86FCC"/>
    <w:rsid w:val="00C87264"/>
    <w:rsid w:val="00C905AA"/>
    <w:rsid w:val="00C90D48"/>
    <w:rsid w:val="00C9213F"/>
    <w:rsid w:val="00C92617"/>
    <w:rsid w:val="00C93003"/>
    <w:rsid w:val="00C9359C"/>
    <w:rsid w:val="00C936FD"/>
    <w:rsid w:val="00C94229"/>
    <w:rsid w:val="00C94419"/>
    <w:rsid w:val="00C95242"/>
    <w:rsid w:val="00C9578B"/>
    <w:rsid w:val="00C968EE"/>
    <w:rsid w:val="00C96B2C"/>
    <w:rsid w:val="00C9760D"/>
    <w:rsid w:val="00C97F06"/>
    <w:rsid w:val="00CA01AA"/>
    <w:rsid w:val="00CA06E3"/>
    <w:rsid w:val="00CA0C2A"/>
    <w:rsid w:val="00CA161C"/>
    <w:rsid w:val="00CA1A02"/>
    <w:rsid w:val="00CA1DB0"/>
    <w:rsid w:val="00CA27A3"/>
    <w:rsid w:val="00CA28B9"/>
    <w:rsid w:val="00CA2B2C"/>
    <w:rsid w:val="00CA342B"/>
    <w:rsid w:val="00CA353A"/>
    <w:rsid w:val="00CA4921"/>
    <w:rsid w:val="00CA493B"/>
    <w:rsid w:val="00CA63D4"/>
    <w:rsid w:val="00CA6E1A"/>
    <w:rsid w:val="00CA6E88"/>
    <w:rsid w:val="00CA7765"/>
    <w:rsid w:val="00CA77DA"/>
    <w:rsid w:val="00CB0B97"/>
    <w:rsid w:val="00CB12A4"/>
    <w:rsid w:val="00CB1335"/>
    <w:rsid w:val="00CB194D"/>
    <w:rsid w:val="00CB1B85"/>
    <w:rsid w:val="00CB1CCD"/>
    <w:rsid w:val="00CB206F"/>
    <w:rsid w:val="00CB2290"/>
    <w:rsid w:val="00CB2325"/>
    <w:rsid w:val="00CB240D"/>
    <w:rsid w:val="00CB27F5"/>
    <w:rsid w:val="00CB34DC"/>
    <w:rsid w:val="00CB4E6C"/>
    <w:rsid w:val="00CB50D2"/>
    <w:rsid w:val="00CB5246"/>
    <w:rsid w:val="00CB5993"/>
    <w:rsid w:val="00CB5B41"/>
    <w:rsid w:val="00CB5B8B"/>
    <w:rsid w:val="00CB623A"/>
    <w:rsid w:val="00CB6E93"/>
    <w:rsid w:val="00CB70D4"/>
    <w:rsid w:val="00CB7B29"/>
    <w:rsid w:val="00CC0118"/>
    <w:rsid w:val="00CC0B1A"/>
    <w:rsid w:val="00CC101C"/>
    <w:rsid w:val="00CC13DA"/>
    <w:rsid w:val="00CC14E8"/>
    <w:rsid w:val="00CC2234"/>
    <w:rsid w:val="00CC3391"/>
    <w:rsid w:val="00CC3AAA"/>
    <w:rsid w:val="00CC3D41"/>
    <w:rsid w:val="00CC544B"/>
    <w:rsid w:val="00CC5B1C"/>
    <w:rsid w:val="00CC5B81"/>
    <w:rsid w:val="00CC5D92"/>
    <w:rsid w:val="00CC60F8"/>
    <w:rsid w:val="00CC6111"/>
    <w:rsid w:val="00CC6855"/>
    <w:rsid w:val="00CC6A5A"/>
    <w:rsid w:val="00CC7D68"/>
    <w:rsid w:val="00CD06DD"/>
    <w:rsid w:val="00CD2716"/>
    <w:rsid w:val="00CD4E23"/>
    <w:rsid w:val="00CD5A38"/>
    <w:rsid w:val="00CD5DAF"/>
    <w:rsid w:val="00CD6276"/>
    <w:rsid w:val="00CD63EF"/>
    <w:rsid w:val="00CD650F"/>
    <w:rsid w:val="00CD6D60"/>
    <w:rsid w:val="00CD76CF"/>
    <w:rsid w:val="00CD7D8F"/>
    <w:rsid w:val="00CD7EED"/>
    <w:rsid w:val="00CE061B"/>
    <w:rsid w:val="00CE0C1B"/>
    <w:rsid w:val="00CE1470"/>
    <w:rsid w:val="00CE1B62"/>
    <w:rsid w:val="00CE1F8B"/>
    <w:rsid w:val="00CE28A6"/>
    <w:rsid w:val="00CE2B12"/>
    <w:rsid w:val="00CE3872"/>
    <w:rsid w:val="00CE3CCE"/>
    <w:rsid w:val="00CE3F79"/>
    <w:rsid w:val="00CE3FEC"/>
    <w:rsid w:val="00CE51AE"/>
    <w:rsid w:val="00CE51ED"/>
    <w:rsid w:val="00CE5827"/>
    <w:rsid w:val="00CE5DB9"/>
    <w:rsid w:val="00CE5EAA"/>
    <w:rsid w:val="00CE6191"/>
    <w:rsid w:val="00CE6966"/>
    <w:rsid w:val="00CE6CD0"/>
    <w:rsid w:val="00CE6E52"/>
    <w:rsid w:val="00CE70D9"/>
    <w:rsid w:val="00CE75E6"/>
    <w:rsid w:val="00CE7724"/>
    <w:rsid w:val="00CE7AFF"/>
    <w:rsid w:val="00CF0661"/>
    <w:rsid w:val="00CF171A"/>
    <w:rsid w:val="00CF17DF"/>
    <w:rsid w:val="00CF2311"/>
    <w:rsid w:val="00CF2F61"/>
    <w:rsid w:val="00CF320C"/>
    <w:rsid w:val="00CF3500"/>
    <w:rsid w:val="00CF39AC"/>
    <w:rsid w:val="00CF3E77"/>
    <w:rsid w:val="00CF4431"/>
    <w:rsid w:val="00CF6335"/>
    <w:rsid w:val="00CF6418"/>
    <w:rsid w:val="00CF6583"/>
    <w:rsid w:val="00CF72F8"/>
    <w:rsid w:val="00CF74F8"/>
    <w:rsid w:val="00CF7502"/>
    <w:rsid w:val="00CF7CEE"/>
    <w:rsid w:val="00CF7EEE"/>
    <w:rsid w:val="00D001F0"/>
    <w:rsid w:val="00D00738"/>
    <w:rsid w:val="00D0089B"/>
    <w:rsid w:val="00D009E7"/>
    <w:rsid w:val="00D00D1B"/>
    <w:rsid w:val="00D0144E"/>
    <w:rsid w:val="00D01975"/>
    <w:rsid w:val="00D02601"/>
    <w:rsid w:val="00D0386E"/>
    <w:rsid w:val="00D03AAE"/>
    <w:rsid w:val="00D03F07"/>
    <w:rsid w:val="00D04457"/>
    <w:rsid w:val="00D04C57"/>
    <w:rsid w:val="00D06276"/>
    <w:rsid w:val="00D06320"/>
    <w:rsid w:val="00D06966"/>
    <w:rsid w:val="00D072D3"/>
    <w:rsid w:val="00D07CCD"/>
    <w:rsid w:val="00D07FCC"/>
    <w:rsid w:val="00D10113"/>
    <w:rsid w:val="00D10B62"/>
    <w:rsid w:val="00D10D31"/>
    <w:rsid w:val="00D114FF"/>
    <w:rsid w:val="00D11BC2"/>
    <w:rsid w:val="00D11F86"/>
    <w:rsid w:val="00D12689"/>
    <w:rsid w:val="00D12DCA"/>
    <w:rsid w:val="00D12F31"/>
    <w:rsid w:val="00D13155"/>
    <w:rsid w:val="00D1417D"/>
    <w:rsid w:val="00D141E5"/>
    <w:rsid w:val="00D156CC"/>
    <w:rsid w:val="00D156E2"/>
    <w:rsid w:val="00D15942"/>
    <w:rsid w:val="00D1627E"/>
    <w:rsid w:val="00D16AA3"/>
    <w:rsid w:val="00D172EF"/>
    <w:rsid w:val="00D17DA1"/>
    <w:rsid w:val="00D20067"/>
    <w:rsid w:val="00D20533"/>
    <w:rsid w:val="00D20920"/>
    <w:rsid w:val="00D20EF6"/>
    <w:rsid w:val="00D21271"/>
    <w:rsid w:val="00D216DB"/>
    <w:rsid w:val="00D2193F"/>
    <w:rsid w:val="00D22700"/>
    <w:rsid w:val="00D22750"/>
    <w:rsid w:val="00D22AFC"/>
    <w:rsid w:val="00D23183"/>
    <w:rsid w:val="00D2364B"/>
    <w:rsid w:val="00D24C0A"/>
    <w:rsid w:val="00D24C1E"/>
    <w:rsid w:val="00D24E40"/>
    <w:rsid w:val="00D24F4D"/>
    <w:rsid w:val="00D25A40"/>
    <w:rsid w:val="00D265D0"/>
    <w:rsid w:val="00D2697A"/>
    <w:rsid w:val="00D26ADB"/>
    <w:rsid w:val="00D27421"/>
    <w:rsid w:val="00D27C1A"/>
    <w:rsid w:val="00D27FF1"/>
    <w:rsid w:val="00D30500"/>
    <w:rsid w:val="00D31827"/>
    <w:rsid w:val="00D31BB9"/>
    <w:rsid w:val="00D31C2B"/>
    <w:rsid w:val="00D3210D"/>
    <w:rsid w:val="00D32139"/>
    <w:rsid w:val="00D32759"/>
    <w:rsid w:val="00D32E9B"/>
    <w:rsid w:val="00D32F98"/>
    <w:rsid w:val="00D33176"/>
    <w:rsid w:val="00D3546F"/>
    <w:rsid w:val="00D354D6"/>
    <w:rsid w:val="00D358E5"/>
    <w:rsid w:val="00D37EB4"/>
    <w:rsid w:val="00D407E3"/>
    <w:rsid w:val="00D40B45"/>
    <w:rsid w:val="00D40D38"/>
    <w:rsid w:val="00D412BA"/>
    <w:rsid w:val="00D4159F"/>
    <w:rsid w:val="00D41CF5"/>
    <w:rsid w:val="00D42611"/>
    <w:rsid w:val="00D428B2"/>
    <w:rsid w:val="00D4295A"/>
    <w:rsid w:val="00D44058"/>
    <w:rsid w:val="00D448FA"/>
    <w:rsid w:val="00D4573D"/>
    <w:rsid w:val="00D467CF"/>
    <w:rsid w:val="00D47688"/>
    <w:rsid w:val="00D478C0"/>
    <w:rsid w:val="00D50183"/>
    <w:rsid w:val="00D5023C"/>
    <w:rsid w:val="00D502EE"/>
    <w:rsid w:val="00D506CC"/>
    <w:rsid w:val="00D5076F"/>
    <w:rsid w:val="00D5079D"/>
    <w:rsid w:val="00D508D4"/>
    <w:rsid w:val="00D52812"/>
    <w:rsid w:val="00D537A0"/>
    <w:rsid w:val="00D53B50"/>
    <w:rsid w:val="00D54048"/>
    <w:rsid w:val="00D54249"/>
    <w:rsid w:val="00D54C4D"/>
    <w:rsid w:val="00D54D8B"/>
    <w:rsid w:val="00D5561A"/>
    <w:rsid w:val="00D5608D"/>
    <w:rsid w:val="00D56CD9"/>
    <w:rsid w:val="00D60676"/>
    <w:rsid w:val="00D61842"/>
    <w:rsid w:val="00D61C09"/>
    <w:rsid w:val="00D61E4D"/>
    <w:rsid w:val="00D628FB"/>
    <w:rsid w:val="00D62969"/>
    <w:rsid w:val="00D62DA9"/>
    <w:rsid w:val="00D63443"/>
    <w:rsid w:val="00D6428C"/>
    <w:rsid w:val="00D6442D"/>
    <w:rsid w:val="00D652CC"/>
    <w:rsid w:val="00D658AA"/>
    <w:rsid w:val="00D65A08"/>
    <w:rsid w:val="00D65A64"/>
    <w:rsid w:val="00D66448"/>
    <w:rsid w:val="00D6647F"/>
    <w:rsid w:val="00D669B4"/>
    <w:rsid w:val="00D671EA"/>
    <w:rsid w:val="00D67512"/>
    <w:rsid w:val="00D702B2"/>
    <w:rsid w:val="00D70452"/>
    <w:rsid w:val="00D706EA"/>
    <w:rsid w:val="00D707A7"/>
    <w:rsid w:val="00D70BA1"/>
    <w:rsid w:val="00D70F3D"/>
    <w:rsid w:val="00D71ADF"/>
    <w:rsid w:val="00D71E39"/>
    <w:rsid w:val="00D72239"/>
    <w:rsid w:val="00D73961"/>
    <w:rsid w:val="00D74680"/>
    <w:rsid w:val="00D74811"/>
    <w:rsid w:val="00D75A67"/>
    <w:rsid w:val="00D75A98"/>
    <w:rsid w:val="00D77001"/>
    <w:rsid w:val="00D772A0"/>
    <w:rsid w:val="00D7747B"/>
    <w:rsid w:val="00D803B8"/>
    <w:rsid w:val="00D8117A"/>
    <w:rsid w:val="00D814D0"/>
    <w:rsid w:val="00D824F6"/>
    <w:rsid w:val="00D826F0"/>
    <w:rsid w:val="00D82B57"/>
    <w:rsid w:val="00D8317A"/>
    <w:rsid w:val="00D83C41"/>
    <w:rsid w:val="00D83D9D"/>
    <w:rsid w:val="00D83FBB"/>
    <w:rsid w:val="00D846F6"/>
    <w:rsid w:val="00D84937"/>
    <w:rsid w:val="00D84FC1"/>
    <w:rsid w:val="00D85968"/>
    <w:rsid w:val="00D85D25"/>
    <w:rsid w:val="00D85E62"/>
    <w:rsid w:val="00D85F04"/>
    <w:rsid w:val="00D864A5"/>
    <w:rsid w:val="00D8670C"/>
    <w:rsid w:val="00D86A3F"/>
    <w:rsid w:val="00D86E17"/>
    <w:rsid w:val="00D87669"/>
    <w:rsid w:val="00D9025A"/>
    <w:rsid w:val="00D9275B"/>
    <w:rsid w:val="00D93656"/>
    <w:rsid w:val="00D93669"/>
    <w:rsid w:val="00D94A21"/>
    <w:rsid w:val="00D94D96"/>
    <w:rsid w:val="00D94FCE"/>
    <w:rsid w:val="00D95881"/>
    <w:rsid w:val="00D95C4A"/>
    <w:rsid w:val="00D95DB4"/>
    <w:rsid w:val="00D9632E"/>
    <w:rsid w:val="00D96B14"/>
    <w:rsid w:val="00D96F05"/>
    <w:rsid w:val="00D97A14"/>
    <w:rsid w:val="00D97AF3"/>
    <w:rsid w:val="00DA00D0"/>
    <w:rsid w:val="00DA0182"/>
    <w:rsid w:val="00DA0757"/>
    <w:rsid w:val="00DA08BF"/>
    <w:rsid w:val="00DA09DD"/>
    <w:rsid w:val="00DA1487"/>
    <w:rsid w:val="00DA15C9"/>
    <w:rsid w:val="00DA180E"/>
    <w:rsid w:val="00DA2139"/>
    <w:rsid w:val="00DA224E"/>
    <w:rsid w:val="00DA2BB7"/>
    <w:rsid w:val="00DA2E2B"/>
    <w:rsid w:val="00DA3391"/>
    <w:rsid w:val="00DA3D7E"/>
    <w:rsid w:val="00DA3E83"/>
    <w:rsid w:val="00DA4228"/>
    <w:rsid w:val="00DA4333"/>
    <w:rsid w:val="00DA4C9A"/>
    <w:rsid w:val="00DA4F36"/>
    <w:rsid w:val="00DA636F"/>
    <w:rsid w:val="00DA6385"/>
    <w:rsid w:val="00DA64D2"/>
    <w:rsid w:val="00DA66AA"/>
    <w:rsid w:val="00DA7136"/>
    <w:rsid w:val="00DA7618"/>
    <w:rsid w:val="00DA7DE7"/>
    <w:rsid w:val="00DB01A7"/>
    <w:rsid w:val="00DB09D2"/>
    <w:rsid w:val="00DB14F0"/>
    <w:rsid w:val="00DB1531"/>
    <w:rsid w:val="00DB19A3"/>
    <w:rsid w:val="00DB1A88"/>
    <w:rsid w:val="00DB1F58"/>
    <w:rsid w:val="00DB2282"/>
    <w:rsid w:val="00DB2965"/>
    <w:rsid w:val="00DB2A1D"/>
    <w:rsid w:val="00DB2B56"/>
    <w:rsid w:val="00DB3AB8"/>
    <w:rsid w:val="00DB3C6A"/>
    <w:rsid w:val="00DB3CD1"/>
    <w:rsid w:val="00DB4C5F"/>
    <w:rsid w:val="00DB51BC"/>
    <w:rsid w:val="00DB572C"/>
    <w:rsid w:val="00DB5735"/>
    <w:rsid w:val="00DB5BF3"/>
    <w:rsid w:val="00DB636B"/>
    <w:rsid w:val="00DB6696"/>
    <w:rsid w:val="00DB6833"/>
    <w:rsid w:val="00DB74AF"/>
    <w:rsid w:val="00DB7844"/>
    <w:rsid w:val="00DB7953"/>
    <w:rsid w:val="00DC000A"/>
    <w:rsid w:val="00DC00F8"/>
    <w:rsid w:val="00DC01B4"/>
    <w:rsid w:val="00DC0E65"/>
    <w:rsid w:val="00DC0EFD"/>
    <w:rsid w:val="00DC12DC"/>
    <w:rsid w:val="00DC1344"/>
    <w:rsid w:val="00DC181E"/>
    <w:rsid w:val="00DC2128"/>
    <w:rsid w:val="00DC22CB"/>
    <w:rsid w:val="00DC268C"/>
    <w:rsid w:val="00DC332D"/>
    <w:rsid w:val="00DC391F"/>
    <w:rsid w:val="00DC3A9B"/>
    <w:rsid w:val="00DC3F85"/>
    <w:rsid w:val="00DC40FD"/>
    <w:rsid w:val="00DC4403"/>
    <w:rsid w:val="00DC4920"/>
    <w:rsid w:val="00DC52A0"/>
    <w:rsid w:val="00DC5EC9"/>
    <w:rsid w:val="00DC5F9B"/>
    <w:rsid w:val="00DC5FC3"/>
    <w:rsid w:val="00DC60A1"/>
    <w:rsid w:val="00DC6637"/>
    <w:rsid w:val="00DC6923"/>
    <w:rsid w:val="00DC6DED"/>
    <w:rsid w:val="00DC71A5"/>
    <w:rsid w:val="00DC741C"/>
    <w:rsid w:val="00DC75BE"/>
    <w:rsid w:val="00DC7845"/>
    <w:rsid w:val="00DC78A3"/>
    <w:rsid w:val="00DC7AB6"/>
    <w:rsid w:val="00DC7F3E"/>
    <w:rsid w:val="00DC7F7F"/>
    <w:rsid w:val="00DD049A"/>
    <w:rsid w:val="00DD0522"/>
    <w:rsid w:val="00DD0B66"/>
    <w:rsid w:val="00DD1916"/>
    <w:rsid w:val="00DD1FF6"/>
    <w:rsid w:val="00DD25E4"/>
    <w:rsid w:val="00DD2E76"/>
    <w:rsid w:val="00DD57C3"/>
    <w:rsid w:val="00DD6983"/>
    <w:rsid w:val="00DD6BDB"/>
    <w:rsid w:val="00DD7200"/>
    <w:rsid w:val="00DD7321"/>
    <w:rsid w:val="00DD7704"/>
    <w:rsid w:val="00DD7727"/>
    <w:rsid w:val="00DD78E9"/>
    <w:rsid w:val="00DE035B"/>
    <w:rsid w:val="00DE03E5"/>
    <w:rsid w:val="00DE0432"/>
    <w:rsid w:val="00DE19F4"/>
    <w:rsid w:val="00DE1D25"/>
    <w:rsid w:val="00DE1F46"/>
    <w:rsid w:val="00DE36DB"/>
    <w:rsid w:val="00DE36E9"/>
    <w:rsid w:val="00DE39BD"/>
    <w:rsid w:val="00DE479F"/>
    <w:rsid w:val="00DE48C1"/>
    <w:rsid w:val="00DE5B0D"/>
    <w:rsid w:val="00DE609E"/>
    <w:rsid w:val="00DE6158"/>
    <w:rsid w:val="00DE647F"/>
    <w:rsid w:val="00DE64EB"/>
    <w:rsid w:val="00DE6D9C"/>
    <w:rsid w:val="00DF02BE"/>
    <w:rsid w:val="00DF0C97"/>
    <w:rsid w:val="00DF0DD0"/>
    <w:rsid w:val="00DF1606"/>
    <w:rsid w:val="00DF230C"/>
    <w:rsid w:val="00DF5951"/>
    <w:rsid w:val="00DF6540"/>
    <w:rsid w:val="00DF7147"/>
    <w:rsid w:val="00DF78B9"/>
    <w:rsid w:val="00DF7E0E"/>
    <w:rsid w:val="00E001A8"/>
    <w:rsid w:val="00E00261"/>
    <w:rsid w:val="00E00862"/>
    <w:rsid w:val="00E012B4"/>
    <w:rsid w:val="00E03EF6"/>
    <w:rsid w:val="00E040FA"/>
    <w:rsid w:val="00E042F4"/>
    <w:rsid w:val="00E0472F"/>
    <w:rsid w:val="00E04B01"/>
    <w:rsid w:val="00E04D88"/>
    <w:rsid w:val="00E04F2E"/>
    <w:rsid w:val="00E058C9"/>
    <w:rsid w:val="00E05FA4"/>
    <w:rsid w:val="00E06083"/>
    <w:rsid w:val="00E06485"/>
    <w:rsid w:val="00E06E5D"/>
    <w:rsid w:val="00E07783"/>
    <w:rsid w:val="00E07BDB"/>
    <w:rsid w:val="00E104E3"/>
    <w:rsid w:val="00E109F9"/>
    <w:rsid w:val="00E10BAA"/>
    <w:rsid w:val="00E10FDB"/>
    <w:rsid w:val="00E114E4"/>
    <w:rsid w:val="00E11C02"/>
    <w:rsid w:val="00E120FD"/>
    <w:rsid w:val="00E124AF"/>
    <w:rsid w:val="00E12586"/>
    <w:rsid w:val="00E12615"/>
    <w:rsid w:val="00E12EA2"/>
    <w:rsid w:val="00E13096"/>
    <w:rsid w:val="00E134EB"/>
    <w:rsid w:val="00E13F6C"/>
    <w:rsid w:val="00E13FBA"/>
    <w:rsid w:val="00E14346"/>
    <w:rsid w:val="00E1443B"/>
    <w:rsid w:val="00E14D78"/>
    <w:rsid w:val="00E14F48"/>
    <w:rsid w:val="00E1678B"/>
    <w:rsid w:val="00E16840"/>
    <w:rsid w:val="00E16B09"/>
    <w:rsid w:val="00E17577"/>
    <w:rsid w:val="00E21295"/>
    <w:rsid w:val="00E212D5"/>
    <w:rsid w:val="00E219FC"/>
    <w:rsid w:val="00E223F4"/>
    <w:rsid w:val="00E22AF7"/>
    <w:rsid w:val="00E22DCE"/>
    <w:rsid w:val="00E24265"/>
    <w:rsid w:val="00E245D2"/>
    <w:rsid w:val="00E24B93"/>
    <w:rsid w:val="00E257A9"/>
    <w:rsid w:val="00E25920"/>
    <w:rsid w:val="00E25A3A"/>
    <w:rsid w:val="00E25CFD"/>
    <w:rsid w:val="00E2609B"/>
    <w:rsid w:val="00E266AC"/>
    <w:rsid w:val="00E273D3"/>
    <w:rsid w:val="00E304C5"/>
    <w:rsid w:val="00E30B6B"/>
    <w:rsid w:val="00E312E4"/>
    <w:rsid w:val="00E31620"/>
    <w:rsid w:val="00E31632"/>
    <w:rsid w:val="00E3183D"/>
    <w:rsid w:val="00E31879"/>
    <w:rsid w:val="00E31EE6"/>
    <w:rsid w:val="00E325F4"/>
    <w:rsid w:val="00E327E5"/>
    <w:rsid w:val="00E3286E"/>
    <w:rsid w:val="00E32ED5"/>
    <w:rsid w:val="00E32FF3"/>
    <w:rsid w:val="00E3357B"/>
    <w:rsid w:val="00E34077"/>
    <w:rsid w:val="00E34F2A"/>
    <w:rsid w:val="00E35296"/>
    <w:rsid w:val="00E35C48"/>
    <w:rsid w:val="00E35D0B"/>
    <w:rsid w:val="00E35D34"/>
    <w:rsid w:val="00E35EA2"/>
    <w:rsid w:val="00E364F2"/>
    <w:rsid w:val="00E36B96"/>
    <w:rsid w:val="00E36F7D"/>
    <w:rsid w:val="00E37050"/>
    <w:rsid w:val="00E370AB"/>
    <w:rsid w:val="00E37373"/>
    <w:rsid w:val="00E3746D"/>
    <w:rsid w:val="00E40379"/>
    <w:rsid w:val="00E405F7"/>
    <w:rsid w:val="00E406CB"/>
    <w:rsid w:val="00E41712"/>
    <w:rsid w:val="00E420F8"/>
    <w:rsid w:val="00E42E12"/>
    <w:rsid w:val="00E4330A"/>
    <w:rsid w:val="00E44B09"/>
    <w:rsid w:val="00E44B74"/>
    <w:rsid w:val="00E45419"/>
    <w:rsid w:val="00E45B3E"/>
    <w:rsid w:val="00E45D3E"/>
    <w:rsid w:val="00E460A8"/>
    <w:rsid w:val="00E466D2"/>
    <w:rsid w:val="00E47535"/>
    <w:rsid w:val="00E4771C"/>
    <w:rsid w:val="00E50426"/>
    <w:rsid w:val="00E51155"/>
    <w:rsid w:val="00E512EF"/>
    <w:rsid w:val="00E51475"/>
    <w:rsid w:val="00E515F9"/>
    <w:rsid w:val="00E51A6D"/>
    <w:rsid w:val="00E51DD8"/>
    <w:rsid w:val="00E51FD1"/>
    <w:rsid w:val="00E52447"/>
    <w:rsid w:val="00E52902"/>
    <w:rsid w:val="00E5293D"/>
    <w:rsid w:val="00E52D82"/>
    <w:rsid w:val="00E530A3"/>
    <w:rsid w:val="00E53D6E"/>
    <w:rsid w:val="00E53F4A"/>
    <w:rsid w:val="00E5498D"/>
    <w:rsid w:val="00E54ACA"/>
    <w:rsid w:val="00E54DFE"/>
    <w:rsid w:val="00E55A31"/>
    <w:rsid w:val="00E5641D"/>
    <w:rsid w:val="00E56759"/>
    <w:rsid w:val="00E6003A"/>
    <w:rsid w:val="00E6013A"/>
    <w:rsid w:val="00E60A17"/>
    <w:rsid w:val="00E611E7"/>
    <w:rsid w:val="00E6159B"/>
    <w:rsid w:val="00E61E68"/>
    <w:rsid w:val="00E62552"/>
    <w:rsid w:val="00E62EDA"/>
    <w:rsid w:val="00E6310E"/>
    <w:rsid w:val="00E63FB5"/>
    <w:rsid w:val="00E64D85"/>
    <w:rsid w:val="00E64FC5"/>
    <w:rsid w:val="00E6526E"/>
    <w:rsid w:val="00E6550F"/>
    <w:rsid w:val="00E6676C"/>
    <w:rsid w:val="00E66E82"/>
    <w:rsid w:val="00E671F3"/>
    <w:rsid w:val="00E675C5"/>
    <w:rsid w:val="00E676BA"/>
    <w:rsid w:val="00E67C0E"/>
    <w:rsid w:val="00E67C2C"/>
    <w:rsid w:val="00E70709"/>
    <w:rsid w:val="00E71AC1"/>
    <w:rsid w:val="00E72D5E"/>
    <w:rsid w:val="00E73419"/>
    <w:rsid w:val="00E73E84"/>
    <w:rsid w:val="00E743C8"/>
    <w:rsid w:val="00E74543"/>
    <w:rsid w:val="00E757AF"/>
    <w:rsid w:val="00E75A38"/>
    <w:rsid w:val="00E75A5B"/>
    <w:rsid w:val="00E75AEB"/>
    <w:rsid w:val="00E75F91"/>
    <w:rsid w:val="00E7688C"/>
    <w:rsid w:val="00E76B71"/>
    <w:rsid w:val="00E76D5A"/>
    <w:rsid w:val="00E77083"/>
    <w:rsid w:val="00E774F0"/>
    <w:rsid w:val="00E80092"/>
    <w:rsid w:val="00E81A53"/>
    <w:rsid w:val="00E82139"/>
    <w:rsid w:val="00E821E7"/>
    <w:rsid w:val="00E827DF"/>
    <w:rsid w:val="00E8282E"/>
    <w:rsid w:val="00E82C0E"/>
    <w:rsid w:val="00E82CD0"/>
    <w:rsid w:val="00E83813"/>
    <w:rsid w:val="00E84D5F"/>
    <w:rsid w:val="00E85501"/>
    <w:rsid w:val="00E86278"/>
    <w:rsid w:val="00E86A81"/>
    <w:rsid w:val="00E87069"/>
    <w:rsid w:val="00E875A6"/>
    <w:rsid w:val="00E87BE5"/>
    <w:rsid w:val="00E90CBB"/>
    <w:rsid w:val="00E91734"/>
    <w:rsid w:val="00E91DFC"/>
    <w:rsid w:val="00E9215A"/>
    <w:rsid w:val="00E92D18"/>
    <w:rsid w:val="00E92D20"/>
    <w:rsid w:val="00E943BA"/>
    <w:rsid w:val="00E9455E"/>
    <w:rsid w:val="00E95523"/>
    <w:rsid w:val="00E95FF3"/>
    <w:rsid w:val="00E96669"/>
    <w:rsid w:val="00E96EA4"/>
    <w:rsid w:val="00E9753F"/>
    <w:rsid w:val="00EA1784"/>
    <w:rsid w:val="00EA19DF"/>
    <w:rsid w:val="00EA1A09"/>
    <w:rsid w:val="00EA1BD8"/>
    <w:rsid w:val="00EA1FC0"/>
    <w:rsid w:val="00EA293D"/>
    <w:rsid w:val="00EA2F33"/>
    <w:rsid w:val="00EA2F4F"/>
    <w:rsid w:val="00EA3045"/>
    <w:rsid w:val="00EA32F0"/>
    <w:rsid w:val="00EA3AA4"/>
    <w:rsid w:val="00EA4425"/>
    <w:rsid w:val="00EA4525"/>
    <w:rsid w:val="00EA463E"/>
    <w:rsid w:val="00EA5236"/>
    <w:rsid w:val="00EA5400"/>
    <w:rsid w:val="00EA5652"/>
    <w:rsid w:val="00EA583E"/>
    <w:rsid w:val="00EA5869"/>
    <w:rsid w:val="00EA6AF0"/>
    <w:rsid w:val="00EA6EDF"/>
    <w:rsid w:val="00EB050A"/>
    <w:rsid w:val="00EB063A"/>
    <w:rsid w:val="00EB07D3"/>
    <w:rsid w:val="00EB1619"/>
    <w:rsid w:val="00EB1E97"/>
    <w:rsid w:val="00EB221B"/>
    <w:rsid w:val="00EB227D"/>
    <w:rsid w:val="00EB2530"/>
    <w:rsid w:val="00EB2770"/>
    <w:rsid w:val="00EB2B28"/>
    <w:rsid w:val="00EB2EEB"/>
    <w:rsid w:val="00EB39C6"/>
    <w:rsid w:val="00EB4AE4"/>
    <w:rsid w:val="00EB5C63"/>
    <w:rsid w:val="00EB6FF1"/>
    <w:rsid w:val="00EB712C"/>
    <w:rsid w:val="00EB765A"/>
    <w:rsid w:val="00EC05C1"/>
    <w:rsid w:val="00EC0CCD"/>
    <w:rsid w:val="00EC0FCE"/>
    <w:rsid w:val="00EC1766"/>
    <w:rsid w:val="00EC1962"/>
    <w:rsid w:val="00EC1A36"/>
    <w:rsid w:val="00EC1D3E"/>
    <w:rsid w:val="00EC1E98"/>
    <w:rsid w:val="00EC2809"/>
    <w:rsid w:val="00EC3275"/>
    <w:rsid w:val="00EC427C"/>
    <w:rsid w:val="00EC46B2"/>
    <w:rsid w:val="00EC49F3"/>
    <w:rsid w:val="00EC4C59"/>
    <w:rsid w:val="00EC5069"/>
    <w:rsid w:val="00EC5093"/>
    <w:rsid w:val="00EC52E1"/>
    <w:rsid w:val="00EC5AD1"/>
    <w:rsid w:val="00EC6503"/>
    <w:rsid w:val="00EC652F"/>
    <w:rsid w:val="00EC6B7F"/>
    <w:rsid w:val="00EC6DA7"/>
    <w:rsid w:val="00EC6ECA"/>
    <w:rsid w:val="00EC784C"/>
    <w:rsid w:val="00EC7B88"/>
    <w:rsid w:val="00ED0184"/>
    <w:rsid w:val="00ED01F4"/>
    <w:rsid w:val="00ED2EC8"/>
    <w:rsid w:val="00ED30AA"/>
    <w:rsid w:val="00ED3E43"/>
    <w:rsid w:val="00ED4139"/>
    <w:rsid w:val="00ED4AA1"/>
    <w:rsid w:val="00ED4D29"/>
    <w:rsid w:val="00ED4D33"/>
    <w:rsid w:val="00ED562C"/>
    <w:rsid w:val="00ED680D"/>
    <w:rsid w:val="00ED7019"/>
    <w:rsid w:val="00ED7373"/>
    <w:rsid w:val="00ED7481"/>
    <w:rsid w:val="00ED782D"/>
    <w:rsid w:val="00ED7EC9"/>
    <w:rsid w:val="00EE022A"/>
    <w:rsid w:val="00EE04BE"/>
    <w:rsid w:val="00EE0D84"/>
    <w:rsid w:val="00EE15F1"/>
    <w:rsid w:val="00EE177D"/>
    <w:rsid w:val="00EE1AE2"/>
    <w:rsid w:val="00EE1C2E"/>
    <w:rsid w:val="00EE20B6"/>
    <w:rsid w:val="00EE21B6"/>
    <w:rsid w:val="00EE285E"/>
    <w:rsid w:val="00EE2AAB"/>
    <w:rsid w:val="00EE3141"/>
    <w:rsid w:val="00EE3247"/>
    <w:rsid w:val="00EE3F4C"/>
    <w:rsid w:val="00EE48F9"/>
    <w:rsid w:val="00EE4924"/>
    <w:rsid w:val="00EE4B95"/>
    <w:rsid w:val="00EE4D2A"/>
    <w:rsid w:val="00EE524C"/>
    <w:rsid w:val="00EE5BB2"/>
    <w:rsid w:val="00EE5C37"/>
    <w:rsid w:val="00EE5F9F"/>
    <w:rsid w:val="00EE6819"/>
    <w:rsid w:val="00EE6BAA"/>
    <w:rsid w:val="00EE6FE2"/>
    <w:rsid w:val="00EE7086"/>
    <w:rsid w:val="00EE7A24"/>
    <w:rsid w:val="00EF0988"/>
    <w:rsid w:val="00EF14D1"/>
    <w:rsid w:val="00EF1A83"/>
    <w:rsid w:val="00EF1E17"/>
    <w:rsid w:val="00EF2063"/>
    <w:rsid w:val="00EF287F"/>
    <w:rsid w:val="00EF2F22"/>
    <w:rsid w:val="00EF300D"/>
    <w:rsid w:val="00EF3FBD"/>
    <w:rsid w:val="00EF404E"/>
    <w:rsid w:val="00EF46B1"/>
    <w:rsid w:val="00EF4B0A"/>
    <w:rsid w:val="00EF4BB5"/>
    <w:rsid w:val="00EF4E6A"/>
    <w:rsid w:val="00EF52C3"/>
    <w:rsid w:val="00EF58CD"/>
    <w:rsid w:val="00EF652F"/>
    <w:rsid w:val="00EF65CC"/>
    <w:rsid w:val="00EF6D1C"/>
    <w:rsid w:val="00EF6DC3"/>
    <w:rsid w:val="00EF7B13"/>
    <w:rsid w:val="00EF7EAC"/>
    <w:rsid w:val="00F0059D"/>
    <w:rsid w:val="00F00678"/>
    <w:rsid w:val="00F00818"/>
    <w:rsid w:val="00F009F6"/>
    <w:rsid w:val="00F010F7"/>
    <w:rsid w:val="00F014F5"/>
    <w:rsid w:val="00F038AE"/>
    <w:rsid w:val="00F04A52"/>
    <w:rsid w:val="00F05453"/>
    <w:rsid w:val="00F05662"/>
    <w:rsid w:val="00F059B0"/>
    <w:rsid w:val="00F0740E"/>
    <w:rsid w:val="00F109B3"/>
    <w:rsid w:val="00F10C7D"/>
    <w:rsid w:val="00F1157C"/>
    <w:rsid w:val="00F124F2"/>
    <w:rsid w:val="00F125D7"/>
    <w:rsid w:val="00F12CA0"/>
    <w:rsid w:val="00F13052"/>
    <w:rsid w:val="00F139C4"/>
    <w:rsid w:val="00F1408D"/>
    <w:rsid w:val="00F14403"/>
    <w:rsid w:val="00F14B5A"/>
    <w:rsid w:val="00F1579D"/>
    <w:rsid w:val="00F15932"/>
    <w:rsid w:val="00F15BA0"/>
    <w:rsid w:val="00F15C32"/>
    <w:rsid w:val="00F16215"/>
    <w:rsid w:val="00F17636"/>
    <w:rsid w:val="00F17E54"/>
    <w:rsid w:val="00F203F9"/>
    <w:rsid w:val="00F20455"/>
    <w:rsid w:val="00F20836"/>
    <w:rsid w:val="00F21000"/>
    <w:rsid w:val="00F210F0"/>
    <w:rsid w:val="00F2119A"/>
    <w:rsid w:val="00F216DD"/>
    <w:rsid w:val="00F21B3C"/>
    <w:rsid w:val="00F22109"/>
    <w:rsid w:val="00F225BA"/>
    <w:rsid w:val="00F22985"/>
    <w:rsid w:val="00F236B1"/>
    <w:rsid w:val="00F23E7B"/>
    <w:rsid w:val="00F2527A"/>
    <w:rsid w:val="00F26AF0"/>
    <w:rsid w:val="00F26E31"/>
    <w:rsid w:val="00F306E4"/>
    <w:rsid w:val="00F30A61"/>
    <w:rsid w:val="00F30DC8"/>
    <w:rsid w:val="00F30E5E"/>
    <w:rsid w:val="00F314A3"/>
    <w:rsid w:val="00F31AB8"/>
    <w:rsid w:val="00F31D69"/>
    <w:rsid w:val="00F31EB1"/>
    <w:rsid w:val="00F32177"/>
    <w:rsid w:val="00F324A4"/>
    <w:rsid w:val="00F33304"/>
    <w:rsid w:val="00F33355"/>
    <w:rsid w:val="00F334C0"/>
    <w:rsid w:val="00F354FD"/>
    <w:rsid w:val="00F35508"/>
    <w:rsid w:val="00F355CC"/>
    <w:rsid w:val="00F356C8"/>
    <w:rsid w:val="00F35817"/>
    <w:rsid w:val="00F35A7C"/>
    <w:rsid w:val="00F35EFD"/>
    <w:rsid w:val="00F35F3A"/>
    <w:rsid w:val="00F36198"/>
    <w:rsid w:val="00F36C63"/>
    <w:rsid w:val="00F36CA8"/>
    <w:rsid w:val="00F37FDF"/>
    <w:rsid w:val="00F40016"/>
    <w:rsid w:val="00F408F5"/>
    <w:rsid w:val="00F419DD"/>
    <w:rsid w:val="00F4248F"/>
    <w:rsid w:val="00F430A4"/>
    <w:rsid w:val="00F43A67"/>
    <w:rsid w:val="00F44016"/>
    <w:rsid w:val="00F44333"/>
    <w:rsid w:val="00F44385"/>
    <w:rsid w:val="00F44991"/>
    <w:rsid w:val="00F44AA7"/>
    <w:rsid w:val="00F44CBF"/>
    <w:rsid w:val="00F4522A"/>
    <w:rsid w:val="00F453F9"/>
    <w:rsid w:val="00F457E9"/>
    <w:rsid w:val="00F45B6C"/>
    <w:rsid w:val="00F46125"/>
    <w:rsid w:val="00F46335"/>
    <w:rsid w:val="00F46850"/>
    <w:rsid w:val="00F47096"/>
    <w:rsid w:val="00F50675"/>
    <w:rsid w:val="00F516C5"/>
    <w:rsid w:val="00F51DCB"/>
    <w:rsid w:val="00F5249E"/>
    <w:rsid w:val="00F527DC"/>
    <w:rsid w:val="00F528D5"/>
    <w:rsid w:val="00F52EE0"/>
    <w:rsid w:val="00F5393F"/>
    <w:rsid w:val="00F54A51"/>
    <w:rsid w:val="00F55519"/>
    <w:rsid w:val="00F56845"/>
    <w:rsid w:val="00F56D35"/>
    <w:rsid w:val="00F56D44"/>
    <w:rsid w:val="00F5783A"/>
    <w:rsid w:val="00F607B3"/>
    <w:rsid w:val="00F61B23"/>
    <w:rsid w:val="00F62076"/>
    <w:rsid w:val="00F62199"/>
    <w:rsid w:val="00F62DEA"/>
    <w:rsid w:val="00F633CF"/>
    <w:rsid w:val="00F638C7"/>
    <w:rsid w:val="00F63A41"/>
    <w:rsid w:val="00F63CDA"/>
    <w:rsid w:val="00F641B2"/>
    <w:rsid w:val="00F643CE"/>
    <w:rsid w:val="00F65116"/>
    <w:rsid w:val="00F65505"/>
    <w:rsid w:val="00F6561E"/>
    <w:rsid w:val="00F664A3"/>
    <w:rsid w:val="00F67292"/>
    <w:rsid w:val="00F673E0"/>
    <w:rsid w:val="00F675E7"/>
    <w:rsid w:val="00F676D1"/>
    <w:rsid w:val="00F67740"/>
    <w:rsid w:val="00F6780C"/>
    <w:rsid w:val="00F678B7"/>
    <w:rsid w:val="00F67C9D"/>
    <w:rsid w:val="00F67CF8"/>
    <w:rsid w:val="00F70F94"/>
    <w:rsid w:val="00F7124F"/>
    <w:rsid w:val="00F7208E"/>
    <w:rsid w:val="00F72A1C"/>
    <w:rsid w:val="00F72D66"/>
    <w:rsid w:val="00F72DCC"/>
    <w:rsid w:val="00F73398"/>
    <w:rsid w:val="00F734C6"/>
    <w:rsid w:val="00F739B8"/>
    <w:rsid w:val="00F743C0"/>
    <w:rsid w:val="00F7484F"/>
    <w:rsid w:val="00F75746"/>
    <w:rsid w:val="00F757F1"/>
    <w:rsid w:val="00F7641C"/>
    <w:rsid w:val="00F76B03"/>
    <w:rsid w:val="00F76C03"/>
    <w:rsid w:val="00F76E73"/>
    <w:rsid w:val="00F77935"/>
    <w:rsid w:val="00F80057"/>
    <w:rsid w:val="00F803AC"/>
    <w:rsid w:val="00F80416"/>
    <w:rsid w:val="00F80A5D"/>
    <w:rsid w:val="00F81161"/>
    <w:rsid w:val="00F81329"/>
    <w:rsid w:val="00F81340"/>
    <w:rsid w:val="00F81626"/>
    <w:rsid w:val="00F81900"/>
    <w:rsid w:val="00F820F3"/>
    <w:rsid w:val="00F8211B"/>
    <w:rsid w:val="00F823E8"/>
    <w:rsid w:val="00F824B5"/>
    <w:rsid w:val="00F82E4E"/>
    <w:rsid w:val="00F832B1"/>
    <w:rsid w:val="00F83401"/>
    <w:rsid w:val="00F84488"/>
    <w:rsid w:val="00F8546B"/>
    <w:rsid w:val="00F85568"/>
    <w:rsid w:val="00F85CB6"/>
    <w:rsid w:val="00F86802"/>
    <w:rsid w:val="00F87214"/>
    <w:rsid w:val="00F87277"/>
    <w:rsid w:val="00F87412"/>
    <w:rsid w:val="00F9049C"/>
    <w:rsid w:val="00F90A99"/>
    <w:rsid w:val="00F9179F"/>
    <w:rsid w:val="00F91923"/>
    <w:rsid w:val="00F91998"/>
    <w:rsid w:val="00F923DA"/>
    <w:rsid w:val="00F93B9D"/>
    <w:rsid w:val="00F93C2A"/>
    <w:rsid w:val="00F9425A"/>
    <w:rsid w:val="00F957DB"/>
    <w:rsid w:val="00F96183"/>
    <w:rsid w:val="00F96203"/>
    <w:rsid w:val="00F96208"/>
    <w:rsid w:val="00F96246"/>
    <w:rsid w:val="00F96E73"/>
    <w:rsid w:val="00F972D3"/>
    <w:rsid w:val="00F976E6"/>
    <w:rsid w:val="00F97888"/>
    <w:rsid w:val="00F978B4"/>
    <w:rsid w:val="00F97EA4"/>
    <w:rsid w:val="00FA0E0D"/>
    <w:rsid w:val="00FA149E"/>
    <w:rsid w:val="00FA15A9"/>
    <w:rsid w:val="00FA1D8E"/>
    <w:rsid w:val="00FA2229"/>
    <w:rsid w:val="00FA26F6"/>
    <w:rsid w:val="00FA2E9C"/>
    <w:rsid w:val="00FA4190"/>
    <w:rsid w:val="00FA42FB"/>
    <w:rsid w:val="00FA4847"/>
    <w:rsid w:val="00FA501C"/>
    <w:rsid w:val="00FA50B6"/>
    <w:rsid w:val="00FA5779"/>
    <w:rsid w:val="00FA6509"/>
    <w:rsid w:val="00FA69A0"/>
    <w:rsid w:val="00FA6E3C"/>
    <w:rsid w:val="00FA7255"/>
    <w:rsid w:val="00FA7765"/>
    <w:rsid w:val="00FA779C"/>
    <w:rsid w:val="00FA791A"/>
    <w:rsid w:val="00FB05F4"/>
    <w:rsid w:val="00FB0879"/>
    <w:rsid w:val="00FB0F6F"/>
    <w:rsid w:val="00FB1497"/>
    <w:rsid w:val="00FB20E2"/>
    <w:rsid w:val="00FB2299"/>
    <w:rsid w:val="00FB4B92"/>
    <w:rsid w:val="00FB4C2C"/>
    <w:rsid w:val="00FB52DD"/>
    <w:rsid w:val="00FB54AA"/>
    <w:rsid w:val="00FB5640"/>
    <w:rsid w:val="00FB5A3E"/>
    <w:rsid w:val="00FB7A75"/>
    <w:rsid w:val="00FB7A92"/>
    <w:rsid w:val="00FB7B46"/>
    <w:rsid w:val="00FC0141"/>
    <w:rsid w:val="00FC0575"/>
    <w:rsid w:val="00FC08FB"/>
    <w:rsid w:val="00FC0A2F"/>
    <w:rsid w:val="00FC176A"/>
    <w:rsid w:val="00FC1B89"/>
    <w:rsid w:val="00FC20F4"/>
    <w:rsid w:val="00FC2486"/>
    <w:rsid w:val="00FC30BC"/>
    <w:rsid w:val="00FC3E25"/>
    <w:rsid w:val="00FC459C"/>
    <w:rsid w:val="00FC4715"/>
    <w:rsid w:val="00FC498C"/>
    <w:rsid w:val="00FC4BA3"/>
    <w:rsid w:val="00FC4E3E"/>
    <w:rsid w:val="00FC5894"/>
    <w:rsid w:val="00FC589C"/>
    <w:rsid w:val="00FC5ED9"/>
    <w:rsid w:val="00FC6E5E"/>
    <w:rsid w:val="00FC714E"/>
    <w:rsid w:val="00FC73BE"/>
    <w:rsid w:val="00FD0583"/>
    <w:rsid w:val="00FD06A2"/>
    <w:rsid w:val="00FD06ED"/>
    <w:rsid w:val="00FD0709"/>
    <w:rsid w:val="00FD070E"/>
    <w:rsid w:val="00FD0E54"/>
    <w:rsid w:val="00FD0EF0"/>
    <w:rsid w:val="00FD12A6"/>
    <w:rsid w:val="00FD1675"/>
    <w:rsid w:val="00FD185C"/>
    <w:rsid w:val="00FD18EB"/>
    <w:rsid w:val="00FD23F1"/>
    <w:rsid w:val="00FD33B7"/>
    <w:rsid w:val="00FD43C2"/>
    <w:rsid w:val="00FD51EB"/>
    <w:rsid w:val="00FD573A"/>
    <w:rsid w:val="00FD594D"/>
    <w:rsid w:val="00FD6042"/>
    <w:rsid w:val="00FD6197"/>
    <w:rsid w:val="00FD6BE2"/>
    <w:rsid w:val="00FD6FFF"/>
    <w:rsid w:val="00FD759A"/>
    <w:rsid w:val="00FD7FA4"/>
    <w:rsid w:val="00FE0BCB"/>
    <w:rsid w:val="00FE0DCD"/>
    <w:rsid w:val="00FE0EE8"/>
    <w:rsid w:val="00FE15C8"/>
    <w:rsid w:val="00FE2469"/>
    <w:rsid w:val="00FE2706"/>
    <w:rsid w:val="00FE2C7E"/>
    <w:rsid w:val="00FE30A4"/>
    <w:rsid w:val="00FE3CF4"/>
    <w:rsid w:val="00FE4068"/>
    <w:rsid w:val="00FE4C24"/>
    <w:rsid w:val="00FE4D15"/>
    <w:rsid w:val="00FE58AB"/>
    <w:rsid w:val="00FE5BAB"/>
    <w:rsid w:val="00FE5D08"/>
    <w:rsid w:val="00FE68D2"/>
    <w:rsid w:val="00FE6AEA"/>
    <w:rsid w:val="00FE6B34"/>
    <w:rsid w:val="00FE6F4E"/>
    <w:rsid w:val="00FF0235"/>
    <w:rsid w:val="00FF3403"/>
    <w:rsid w:val="00FF4014"/>
    <w:rsid w:val="00FF6CFA"/>
    <w:rsid w:val="00FF6EFD"/>
    <w:rsid w:val="00FF759E"/>
    <w:rsid w:val="00FF7952"/>
    <w:rsid w:val="018627AA"/>
    <w:rsid w:val="0242549F"/>
    <w:rsid w:val="02433078"/>
    <w:rsid w:val="02CC180B"/>
    <w:rsid w:val="031E2AE0"/>
    <w:rsid w:val="034E3DBB"/>
    <w:rsid w:val="039840F6"/>
    <w:rsid w:val="04A40A52"/>
    <w:rsid w:val="04F960EF"/>
    <w:rsid w:val="050B7D1E"/>
    <w:rsid w:val="057D77DA"/>
    <w:rsid w:val="058F66E8"/>
    <w:rsid w:val="05C2152E"/>
    <w:rsid w:val="069D0661"/>
    <w:rsid w:val="06CA6F0E"/>
    <w:rsid w:val="07604E36"/>
    <w:rsid w:val="07980B7A"/>
    <w:rsid w:val="07CC2C26"/>
    <w:rsid w:val="095E38C5"/>
    <w:rsid w:val="09C41003"/>
    <w:rsid w:val="09F5647E"/>
    <w:rsid w:val="0A335CE2"/>
    <w:rsid w:val="0B6C146A"/>
    <w:rsid w:val="0B8956E5"/>
    <w:rsid w:val="0C243E2A"/>
    <w:rsid w:val="0C7E38BD"/>
    <w:rsid w:val="0CED5478"/>
    <w:rsid w:val="0D1573C3"/>
    <w:rsid w:val="0D197D5C"/>
    <w:rsid w:val="0D787973"/>
    <w:rsid w:val="0D7E3B5D"/>
    <w:rsid w:val="0D887611"/>
    <w:rsid w:val="0D945C06"/>
    <w:rsid w:val="0DA759C3"/>
    <w:rsid w:val="0DAD317B"/>
    <w:rsid w:val="0DBA65FB"/>
    <w:rsid w:val="0DC2340A"/>
    <w:rsid w:val="0E010CC3"/>
    <w:rsid w:val="0E8C396F"/>
    <w:rsid w:val="0EBE0829"/>
    <w:rsid w:val="0F39751C"/>
    <w:rsid w:val="0F9811B3"/>
    <w:rsid w:val="0F9D05FF"/>
    <w:rsid w:val="107472AF"/>
    <w:rsid w:val="10855BDB"/>
    <w:rsid w:val="10A24204"/>
    <w:rsid w:val="10D10D1E"/>
    <w:rsid w:val="10D557B9"/>
    <w:rsid w:val="116A1732"/>
    <w:rsid w:val="11C12C43"/>
    <w:rsid w:val="11CF288E"/>
    <w:rsid w:val="12583A6A"/>
    <w:rsid w:val="12A11256"/>
    <w:rsid w:val="12CB5EEF"/>
    <w:rsid w:val="131A5191"/>
    <w:rsid w:val="137D1A92"/>
    <w:rsid w:val="13C61F27"/>
    <w:rsid w:val="13CC3122"/>
    <w:rsid w:val="14830684"/>
    <w:rsid w:val="14CC5B35"/>
    <w:rsid w:val="14D93CAB"/>
    <w:rsid w:val="15CC1C87"/>
    <w:rsid w:val="15EC5AE8"/>
    <w:rsid w:val="179C5E1A"/>
    <w:rsid w:val="17AD76C8"/>
    <w:rsid w:val="17C14316"/>
    <w:rsid w:val="189B2498"/>
    <w:rsid w:val="18F25DD8"/>
    <w:rsid w:val="19095CD3"/>
    <w:rsid w:val="193A32DB"/>
    <w:rsid w:val="1A2623A5"/>
    <w:rsid w:val="1A4A2559"/>
    <w:rsid w:val="1A4A65D5"/>
    <w:rsid w:val="1BDB37F6"/>
    <w:rsid w:val="1BF0048C"/>
    <w:rsid w:val="1C204B72"/>
    <w:rsid w:val="1C717A2C"/>
    <w:rsid w:val="1CC225DD"/>
    <w:rsid w:val="1CC51F1F"/>
    <w:rsid w:val="1CE8451F"/>
    <w:rsid w:val="1D551774"/>
    <w:rsid w:val="1DAA16CA"/>
    <w:rsid w:val="1DC11D9D"/>
    <w:rsid w:val="1DFF412F"/>
    <w:rsid w:val="1E58446C"/>
    <w:rsid w:val="1E615F88"/>
    <w:rsid w:val="1E8358A3"/>
    <w:rsid w:val="1E8B1540"/>
    <w:rsid w:val="1ED815CC"/>
    <w:rsid w:val="1F022AED"/>
    <w:rsid w:val="1FE67A2A"/>
    <w:rsid w:val="20372C77"/>
    <w:rsid w:val="205A36D2"/>
    <w:rsid w:val="20E73D48"/>
    <w:rsid w:val="22142A77"/>
    <w:rsid w:val="22175505"/>
    <w:rsid w:val="2232406D"/>
    <w:rsid w:val="230C79F5"/>
    <w:rsid w:val="230E22BE"/>
    <w:rsid w:val="23511A08"/>
    <w:rsid w:val="237662E1"/>
    <w:rsid w:val="23C13FDD"/>
    <w:rsid w:val="24373239"/>
    <w:rsid w:val="249E4FC1"/>
    <w:rsid w:val="24F3131C"/>
    <w:rsid w:val="24F8450D"/>
    <w:rsid w:val="26417CD1"/>
    <w:rsid w:val="26607AD6"/>
    <w:rsid w:val="26853417"/>
    <w:rsid w:val="27133AE9"/>
    <w:rsid w:val="27BA0FBA"/>
    <w:rsid w:val="27E62FAC"/>
    <w:rsid w:val="281023EC"/>
    <w:rsid w:val="2820574C"/>
    <w:rsid w:val="282E5418"/>
    <w:rsid w:val="286B09FD"/>
    <w:rsid w:val="287C2BA8"/>
    <w:rsid w:val="291C6567"/>
    <w:rsid w:val="294419BD"/>
    <w:rsid w:val="294450F7"/>
    <w:rsid w:val="29BD4E07"/>
    <w:rsid w:val="29D575CB"/>
    <w:rsid w:val="29F070E7"/>
    <w:rsid w:val="29F36FE0"/>
    <w:rsid w:val="2A6E48D8"/>
    <w:rsid w:val="2AC06A54"/>
    <w:rsid w:val="2B0F4C54"/>
    <w:rsid w:val="2B36072A"/>
    <w:rsid w:val="2BFB29F2"/>
    <w:rsid w:val="2C6110AC"/>
    <w:rsid w:val="2C7E578C"/>
    <w:rsid w:val="2CCA7B38"/>
    <w:rsid w:val="2CDF3F22"/>
    <w:rsid w:val="2CE710D8"/>
    <w:rsid w:val="2D4D6DE0"/>
    <w:rsid w:val="2DA97EE5"/>
    <w:rsid w:val="2DCB0BC0"/>
    <w:rsid w:val="2DE3395A"/>
    <w:rsid w:val="2E774D3C"/>
    <w:rsid w:val="2FB90D0B"/>
    <w:rsid w:val="2FC477CB"/>
    <w:rsid w:val="2FDB5CC5"/>
    <w:rsid w:val="304512CE"/>
    <w:rsid w:val="309B3C46"/>
    <w:rsid w:val="310966F9"/>
    <w:rsid w:val="316E04D9"/>
    <w:rsid w:val="31955EE2"/>
    <w:rsid w:val="31FD3DD8"/>
    <w:rsid w:val="32352D3F"/>
    <w:rsid w:val="32B5656E"/>
    <w:rsid w:val="333A4EDB"/>
    <w:rsid w:val="33F27615"/>
    <w:rsid w:val="340258ED"/>
    <w:rsid w:val="342779D3"/>
    <w:rsid w:val="34417E9F"/>
    <w:rsid w:val="34554B0B"/>
    <w:rsid w:val="34FC0751"/>
    <w:rsid w:val="35230157"/>
    <w:rsid w:val="35840DD9"/>
    <w:rsid w:val="35E311A5"/>
    <w:rsid w:val="35EC54C7"/>
    <w:rsid w:val="36AE631C"/>
    <w:rsid w:val="37813D7F"/>
    <w:rsid w:val="378A27B4"/>
    <w:rsid w:val="3794270F"/>
    <w:rsid w:val="38111241"/>
    <w:rsid w:val="384B7D17"/>
    <w:rsid w:val="38700E11"/>
    <w:rsid w:val="389F3D5B"/>
    <w:rsid w:val="38C7660A"/>
    <w:rsid w:val="38CA7D80"/>
    <w:rsid w:val="398179BD"/>
    <w:rsid w:val="39FA6C4A"/>
    <w:rsid w:val="3A99316B"/>
    <w:rsid w:val="3AAD6706"/>
    <w:rsid w:val="3ADD4C50"/>
    <w:rsid w:val="3AE8398C"/>
    <w:rsid w:val="3B1A39B3"/>
    <w:rsid w:val="3B5F4CB8"/>
    <w:rsid w:val="3C095919"/>
    <w:rsid w:val="3C6510EB"/>
    <w:rsid w:val="3C687FDC"/>
    <w:rsid w:val="3D190F16"/>
    <w:rsid w:val="3D352B5F"/>
    <w:rsid w:val="3D6E0A4C"/>
    <w:rsid w:val="3D7879CE"/>
    <w:rsid w:val="3DB85315"/>
    <w:rsid w:val="3DDD1F30"/>
    <w:rsid w:val="3E0D1FF1"/>
    <w:rsid w:val="3E5D24A5"/>
    <w:rsid w:val="3F1461E4"/>
    <w:rsid w:val="3F922049"/>
    <w:rsid w:val="3FB14895"/>
    <w:rsid w:val="403A3D18"/>
    <w:rsid w:val="4089679F"/>
    <w:rsid w:val="40A1219A"/>
    <w:rsid w:val="40F1187B"/>
    <w:rsid w:val="41163263"/>
    <w:rsid w:val="428003B2"/>
    <w:rsid w:val="42905B96"/>
    <w:rsid w:val="42984A4B"/>
    <w:rsid w:val="436570AB"/>
    <w:rsid w:val="43716019"/>
    <w:rsid w:val="437835D9"/>
    <w:rsid w:val="437A14DC"/>
    <w:rsid w:val="43C93D99"/>
    <w:rsid w:val="43DA157B"/>
    <w:rsid w:val="441950C4"/>
    <w:rsid w:val="446C618F"/>
    <w:rsid w:val="44DC2BAC"/>
    <w:rsid w:val="44EA2D09"/>
    <w:rsid w:val="450620ED"/>
    <w:rsid w:val="45833D51"/>
    <w:rsid w:val="460C19D8"/>
    <w:rsid w:val="46855A4B"/>
    <w:rsid w:val="46D44956"/>
    <w:rsid w:val="46EE1E8D"/>
    <w:rsid w:val="477B7CD7"/>
    <w:rsid w:val="47DE6870"/>
    <w:rsid w:val="48362755"/>
    <w:rsid w:val="48823D30"/>
    <w:rsid w:val="48E00140"/>
    <w:rsid w:val="490703E8"/>
    <w:rsid w:val="495C5336"/>
    <w:rsid w:val="49645101"/>
    <w:rsid w:val="49877369"/>
    <w:rsid w:val="4A8B7EC0"/>
    <w:rsid w:val="4AAD488C"/>
    <w:rsid w:val="4B122CFD"/>
    <w:rsid w:val="4B4E04B7"/>
    <w:rsid w:val="4BA71BED"/>
    <w:rsid w:val="4C217FD2"/>
    <w:rsid w:val="4C354AC1"/>
    <w:rsid w:val="4C4D3849"/>
    <w:rsid w:val="4DBF5F37"/>
    <w:rsid w:val="4E265601"/>
    <w:rsid w:val="4E6D044E"/>
    <w:rsid w:val="4E95578B"/>
    <w:rsid w:val="4F4B5A34"/>
    <w:rsid w:val="4FBC4948"/>
    <w:rsid w:val="504340CD"/>
    <w:rsid w:val="50895A8A"/>
    <w:rsid w:val="51744BAA"/>
    <w:rsid w:val="51CC5C50"/>
    <w:rsid w:val="52004121"/>
    <w:rsid w:val="521A10C4"/>
    <w:rsid w:val="52761DA7"/>
    <w:rsid w:val="52DD009F"/>
    <w:rsid w:val="52DF7371"/>
    <w:rsid w:val="531050B2"/>
    <w:rsid w:val="53821D96"/>
    <w:rsid w:val="538C09ED"/>
    <w:rsid w:val="53D81C5E"/>
    <w:rsid w:val="543024D3"/>
    <w:rsid w:val="548010BF"/>
    <w:rsid w:val="54BA63B6"/>
    <w:rsid w:val="54EA49DA"/>
    <w:rsid w:val="555D2250"/>
    <w:rsid w:val="55DF4A13"/>
    <w:rsid w:val="55E90E88"/>
    <w:rsid w:val="56336E29"/>
    <w:rsid w:val="56994859"/>
    <w:rsid w:val="56BE6D1E"/>
    <w:rsid w:val="56CD3563"/>
    <w:rsid w:val="56F47B7E"/>
    <w:rsid w:val="570D3802"/>
    <w:rsid w:val="571A3CDF"/>
    <w:rsid w:val="5742438B"/>
    <w:rsid w:val="57446690"/>
    <w:rsid w:val="57CC4DAB"/>
    <w:rsid w:val="58242496"/>
    <w:rsid w:val="58335A19"/>
    <w:rsid w:val="5851673B"/>
    <w:rsid w:val="58B10560"/>
    <w:rsid w:val="59066A70"/>
    <w:rsid w:val="59077D7A"/>
    <w:rsid w:val="59444C1B"/>
    <w:rsid w:val="594D3595"/>
    <w:rsid w:val="59A16AEC"/>
    <w:rsid w:val="59D4654F"/>
    <w:rsid w:val="5A165663"/>
    <w:rsid w:val="5A3475B5"/>
    <w:rsid w:val="5A350DBE"/>
    <w:rsid w:val="5AB479B0"/>
    <w:rsid w:val="5AEB3E5A"/>
    <w:rsid w:val="5B2B7A22"/>
    <w:rsid w:val="5B995664"/>
    <w:rsid w:val="5BBA5D28"/>
    <w:rsid w:val="5BED19F4"/>
    <w:rsid w:val="5CB179C5"/>
    <w:rsid w:val="5CB87988"/>
    <w:rsid w:val="5D28648B"/>
    <w:rsid w:val="5D4B6E32"/>
    <w:rsid w:val="5D661FD7"/>
    <w:rsid w:val="5DFF7C9E"/>
    <w:rsid w:val="5EE52114"/>
    <w:rsid w:val="5EF4726A"/>
    <w:rsid w:val="5F8D4489"/>
    <w:rsid w:val="5FD7365A"/>
    <w:rsid w:val="600C524A"/>
    <w:rsid w:val="6073066C"/>
    <w:rsid w:val="60752B29"/>
    <w:rsid w:val="60C118EC"/>
    <w:rsid w:val="61097682"/>
    <w:rsid w:val="610B478D"/>
    <w:rsid w:val="616E30EF"/>
    <w:rsid w:val="618F67A9"/>
    <w:rsid w:val="62610F56"/>
    <w:rsid w:val="627C1875"/>
    <w:rsid w:val="62A040E8"/>
    <w:rsid w:val="62A15DA4"/>
    <w:rsid w:val="62D968EB"/>
    <w:rsid w:val="62F86EF8"/>
    <w:rsid w:val="63B55005"/>
    <w:rsid w:val="64C807A3"/>
    <w:rsid w:val="650C51BA"/>
    <w:rsid w:val="650E467C"/>
    <w:rsid w:val="65747F07"/>
    <w:rsid w:val="657F060D"/>
    <w:rsid w:val="661063CD"/>
    <w:rsid w:val="6668718F"/>
    <w:rsid w:val="66867E32"/>
    <w:rsid w:val="669D4101"/>
    <w:rsid w:val="66CC797F"/>
    <w:rsid w:val="67224B97"/>
    <w:rsid w:val="6765645A"/>
    <w:rsid w:val="67887D22"/>
    <w:rsid w:val="6820381B"/>
    <w:rsid w:val="68DA7C00"/>
    <w:rsid w:val="68DD5EAA"/>
    <w:rsid w:val="69150DEB"/>
    <w:rsid w:val="6A2D65C8"/>
    <w:rsid w:val="6A3D3DFF"/>
    <w:rsid w:val="6A6C5263"/>
    <w:rsid w:val="6A8F5E03"/>
    <w:rsid w:val="6AB72926"/>
    <w:rsid w:val="6AD9323E"/>
    <w:rsid w:val="6AE8665A"/>
    <w:rsid w:val="6AEF22F0"/>
    <w:rsid w:val="6AEF7190"/>
    <w:rsid w:val="6B152326"/>
    <w:rsid w:val="6B171960"/>
    <w:rsid w:val="6B7676D1"/>
    <w:rsid w:val="6C960582"/>
    <w:rsid w:val="6D12171A"/>
    <w:rsid w:val="6D260D22"/>
    <w:rsid w:val="6DBB14D9"/>
    <w:rsid w:val="6DF71F59"/>
    <w:rsid w:val="6E3E1358"/>
    <w:rsid w:val="6E7E5383"/>
    <w:rsid w:val="6EEA5288"/>
    <w:rsid w:val="6F2B1501"/>
    <w:rsid w:val="6F4B4A6F"/>
    <w:rsid w:val="6F586F41"/>
    <w:rsid w:val="6F7706A2"/>
    <w:rsid w:val="6F7B319A"/>
    <w:rsid w:val="6F990781"/>
    <w:rsid w:val="6FBF2F7C"/>
    <w:rsid w:val="70095C08"/>
    <w:rsid w:val="708555AF"/>
    <w:rsid w:val="70FE47A5"/>
    <w:rsid w:val="71190330"/>
    <w:rsid w:val="71373115"/>
    <w:rsid w:val="71597999"/>
    <w:rsid w:val="71942299"/>
    <w:rsid w:val="71F91B12"/>
    <w:rsid w:val="72A2709C"/>
    <w:rsid w:val="72F1136F"/>
    <w:rsid w:val="73B52DFF"/>
    <w:rsid w:val="73BE6D5C"/>
    <w:rsid w:val="7403775D"/>
    <w:rsid w:val="74637265"/>
    <w:rsid w:val="74796486"/>
    <w:rsid w:val="74E86097"/>
    <w:rsid w:val="75060627"/>
    <w:rsid w:val="75431DF5"/>
    <w:rsid w:val="758A4A98"/>
    <w:rsid w:val="75B74C0D"/>
    <w:rsid w:val="75EE0105"/>
    <w:rsid w:val="76052128"/>
    <w:rsid w:val="766F449C"/>
    <w:rsid w:val="767D2E2C"/>
    <w:rsid w:val="76907AF5"/>
    <w:rsid w:val="77AE723C"/>
    <w:rsid w:val="78227191"/>
    <w:rsid w:val="782869F8"/>
    <w:rsid w:val="7860256F"/>
    <w:rsid w:val="788D6B17"/>
    <w:rsid w:val="798D63C9"/>
    <w:rsid w:val="79FE63B3"/>
    <w:rsid w:val="7A067F11"/>
    <w:rsid w:val="7A1A1C0E"/>
    <w:rsid w:val="7A2D749C"/>
    <w:rsid w:val="7A366FBF"/>
    <w:rsid w:val="7AAA2AC6"/>
    <w:rsid w:val="7B297A46"/>
    <w:rsid w:val="7B91726B"/>
    <w:rsid w:val="7BD40C4D"/>
    <w:rsid w:val="7C215D74"/>
    <w:rsid w:val="7C2921EF"/>
    <w:rsid w:val="7D5170DA"/>
    <w:rsid w:val="7D7609EE"/>
    <w:rsid w:val="7D9509DB"/>
    <w:rsid w:val="7E7A28A3"/>
    <w:rsid w:val="7EC2465E"/>
    <w:rsid w:val="7F1A6794"/>
    <w:rsid w:val="7F3D2627"/>
    <w:rsid w:val="7F5E6069"/>
    <w:rsid w:val="7F5F04E4"/>
    <w:rsid w:val="7F730581"/>
    <w:rsid w:val="7FCC0A39"/>
    <w:rsid w:val="7FEE6A0D"/>
    <w:rsid w:val="7FF52F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nhideWhenUsed="0" w:uiPriority="99" w:semiHidden="0" w:name="table of figures"/>
    <w:lsdException w:qFormat="1" w:unhideWhenUsed="0" w:uiPriority="0" w:semiHidden="0"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qFormat="1" w:uiPriority="0" w:semiHidden="0" w:name="List Bullet 3"/>
    <w:lsdException w:qFormat="1" w:unhideWhenUsed="0" w:uiPriority="0" w:semiHidden="0"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4"/>
    <w:autoRedefine/>
    <w:qFormat/>
    <w:uiPriority w:val="0"/>
    <w:pPr>
      <w:keepNext/>
      <w:keepLines/>
      <w:adjustRightInd w:val="0"/>
      <w:spacing w:line="460" w:lineRule="exact"/>
      <w:jc w:val="left"/>
      <w:textAlignment w:val="baseline"/>
      <w:outlineLvl w:val="0"/>
    </w:pPr>
    <w:rPr>
      <w:b/>
      <w:kern w:val="44"/>
      <w:sz w:val="32"/>
      <w:szCs w:val="20"/>
    </w:rPr>
  </w:style>
  <w:style w:type="paragraph" w:styleId="4">
    <w:name w:val="heading 2"/>
    <w:basedOn w:val="1"/>
    <w:next w:val="1"/>
    <w:link w:val="75"/>
    <w:autoRedefine/>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76"/>
    <w:autoRedefine/>
    <w:qFormat/>
    <w:uiPriority w:val="9"/>
    <w:pPr>
      <w:keepNext/>
      <w:keepLines/>
      <w:spacing w:before="260" w:after="260" w:line="360" w:lineRule="auto"/>
      <w:ind w:left="171" w:leftChars="171"/>
      <w:outlineLvl w:val="2"/>
    </w:pPr>
    <w:rPr>
      <w:rFonts w:eastAsia="Arial Unicode MS"/>
      <w:b/>
      <w:szCs w:val="20"/>
    </w:rPr>
  </w:style>
  <w:style w:type="paragraph" w:styleId="6">
    <w:name w:val="heading 4"/>
    <w:basedOn w:val="1"/>
    <w:next w:val="1"/>
    <w:link w:val="77"/>
    <w:autoRedefine/>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1"/>
    <w:link w:val="78"/>
    <w:autoRedefine/>
    <w:qFormat/>
    <w:uiPriority w:val="9"/>
    <w:pPr>
      <w:keepNext/>
      <w:keepLines/>
      <w:spacing w:before="280" w:after="290" w:line="376" w:lineRule="auto"/>
      <w:outlineLvl w:val="4"/>
    </w:pPr>
    <w:rPr>
      <w:rFonts w:ascii="Calibri" w:hAnsi="Calibri"/>
      <w:b/>
      <w:bCs/>
      <w:sz w:val="28"/>
      <w:szCs w:val="28"/>
    </w:rPr>
  </w:style>
  <w:style w:type="paragraph" w:styleId="8">
    <w:name w:val="heading 6"/>
    <w:basedOn w:val="1"/>
    <w:next w:val="1"/>
    <w:link w:val="79"/>
    <w:autoRedefine/>
    <w:qFormat/>
    <w:uiPriority w:val="0"/>
    <w:pPr>
      <w:keepNext/>
      <w:keepLines/>
      <w:widowControl/>
      <w:tabs>
        <w:tab w:val="left" w:pos="1320"/>
        <w:tab w:val="left" w:pos="1440"/>
        <w:tab w:val="left" w:pos="3480"/>
      </w:tabs>
      <w:spacing w:before="240" w:after="64" w:line="320" w:lineRule="auto"/>
      <w:ind w:left="3480" w:hanging="420"/>
      <w:jc w:val="left"/>
      <w:outlineLvl w:val="5"/>
    </w:pPr>
    <w:rPr>
      <w:rFonts w:ascii="Arial" w:hAnsi="Arial" w:eastAsia="黑体"/>
      <w:b/>
      <w:bCs/>
      <w:kern w:val="0"/>
      <w:sz w:val="24"/>
    </w:rPr>
  </w:style>
  <w:style w:type="paragraph" w:styleId="9">
    <w:name w:val="heading 7"/>
    <w:basedOn w:val="1"/>
    <w:next w:val="1"/>
    <w:link w:val="80"/>
    <w:autoRedefine/>
    <w:qFormat/>
    <w:uiPriority w:val="0"/>
    <w:pPr>
      <w:keepNext/>
      <w:keepLines/>
      <w:widowControl/>
      <w:tabs>
        <w:tab w:val="left" w:pos="1320"/>
        <w:tab w:val="left" w:pos="2520"/>
        <w:tab w:val="left" w:pos="3900"/>
      </w:tabs>
      <w:spacing w:before="240" w:after="64" w:line="320" w:lineRule="auto"/>
      <w:ind w:left="3900" w:hanging="420"/>
      <w:jc w:val="left"/>
      <w:outlineLvl w:val="6"/>
    </w:pPr>
    <w:rPr>
      <w:b/>
      <w:bCs/>
      <w:kern w:val="0"/>
      <w:sz w:val="24"/>
    </w:rPr>
  </w:style>
  <w:style w:type="paragraph" w:styleId="10">
    <w:name w:val="heading 8"/>
    <w:basedOn w:val="1"/>
    <w:next w:val="1"/>
    <w:link w:val="81"/>
    <w:autoRedefine/>
    <w:qFormat/>
    <w:uiPriority w:val="0"/>
    <w:pPr>
      <w:keepNext/>
      <w:keepLines/>
      <w:widowControl/>
      <w:tabs>
        <w:tab w:val="left" w:pos="1320"/>
        <w:tab w:val="left" w:pos="1440"/>
        <w:tab w:val="left" w:pos="4320"/>
      </w:tabs>
      <w:spacing w:before="240" w:after="64" w:line="320" w:lineRule="auto"/>
      <w:ind w:left="4320" w:hanging="420"/>
      <w:jc w:val="left"/>
      <w:outlineLvl w:val="7"/>
    </w:pPr>
    <w:rPr>
      <w:rFonts w:ascii="Arial" w:hAnsi="Arial" w:eastAsia="黑体"/>
      <w:kern w:val="0"/>
      <w:sz w:val="24"/>
    </w:rPr>
  </w:style>
  <w:style w:type="paragraph" w:styleId="11">
    <w:name w:val="heading 9"/>
    <w:basedOn w:val="1"/>
    <w:next w:val="1"/>
    <w:link w:val="82"/>
    <w:autoRedefine/>
    <w:qFormat/>
    <w:uiPriority w:val="0"/>
    <w:pPr>
      <w:keepNext/>
      <w:keepLines/>
      <w:widowControl/>
      <w:tabs>
        <w:tab w:val="left" w:pos="1320"/>
        <w:tab w:val="left" w:pos="1584"/>
        <w:tab w:val="left" w:pos="4740"/>
      </w:tabs>
      <w:spacing w:before="240" w:after="64" w:line="320" w:lineRule="auto"/>
      <w:ind w:left="4740" w:hanging="420"/>
      <w:jc w:val="left"/>
      <w:outlineLvl w:val="8"/>
    </w:pPr>
    <w:rPr>
      <w:rFonts w:ascii="Arial" w:hAnsi="Arial" w:eastAsia="黑体"/>
      <w:kern w:val="0"/>
      <w:szCs w:val="21"/>
    </w:rPr>
  </w:style>
  <w:style w:type="character" w:default="1" w:styleId="62">
    <w:name w:val="Default Paragraph Font"/>
    <w:autoRedefine/>
    <w:semiHidden/>
    <w:unhideWhenUsed/>
    <w:qFormat/>
    <w:uiPriority w:val="1"/>
  </w:style>
  <w:style w:type="table" w:default="1" w:styleId="5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253"/>
    <w:autoRedefine/>
    <w:qFormat/>
    <w:uiPriority w:val="0"/>
    <w:pPr>
      <w:autoSpaceDE w:val="0"/>
      <w:autoSpaceDN w:val="0"/>
      <w:adjustRightInd w:val="0"/>
      <w:spacing w:line="360" w:lineRule="auto"/>
      <w:jc w:val="left"/>
    </w:pPr>
    <w:rPr>
      <w:rFonts w:ascii="宋体" w:hAnsiTheme="minorHAnsi" w:eastAsiaTheme="minorEastAsia" w:cstheme="minorBidi"/>
      <w:color w:val="000000"/>
      <w:sz w:val="28"/>
      <w:szCs w:val="32"/>
    </w:rPr>
  </w:style>
  <w:style w:type="paragraph" w:styleId="12">
    <w:name w:val="List 3"/>
    <w:basedOn w:val="1"/>
    <w:autoRedefine/>
    <w:qFormat/>
    <w:uiPriority w:val="0"/>
    <w:pPr>
      <w:ind w:left="100" w:leftChars="400" w:hanging="200" w:hangingChars="200"/>
    </w:pPr>
  </w:style>
  <w:style w:type="paragraph" w:styleId="13">
    <w:name w:val="toc 7"/>
    <w:basedOn w:val="1"/>
    <w:next w:val="1"/>
    <w:autoRedefine/>
    <w:qFormat/>
    <w:uiPriority w:val="39"/>
    <w:pPr>
      <w:ind w:left="1260"/>
      <w:jc w:val="left"/>
    </w:pPr>
    <w:rPr>
      <w:rFonts w:asciiTheme="minorHAnsi" w:hAnsiTheme="minorHAnsi"/>
      <w:sz w:val="18"/>
      <w:szCs w:val="18"/>
    </w:rPr>
  </w:style>
  <w:style w:type="paragraph" w:styleId="14">
    <w:name w:val="table of authorities"/>
    <w:basedOn w:val="1"/>
    <w:next w:val="1"/>
    <w:autoRedefine/>
    <w:qFormat/>
    <w:uiPriority w:val="0"/>
    <w:pPr>
      <w:ind w:left="420" w:leftChars="200"/>
    </w:pPr>
    <w:rPr>
      <w:szCs w:val="20"/>
    </w:rPr>
  </w:style>
  <w:style w:type="paragraph" w:styleId="15">
    <w:name w:val="List Bullet 4"/>
    <w:basedOn w:val="1"/>
    <w:autoRedefine/>
    <w:qFormat/>
    <w:uiPriority w:val="0"/>
    <w:pPr>
      <w:tabs>
        <w:tab w:val="left" w:pos="980"/>
      </w:tabs>
      <w:spacing w:beforeLines="50" w:afterLines="50" w:line="360" w:lineRule="auto"/>
      <w:ind w:left="980" w:hanging="420"/>
    </w:pPr>
    <w:rPr>
      <w:sz w:val="24"/>
    </w:rPr>
  </w:style>
  <w:style w:type="paragraph" w:styleId="16">
    <w:name w:val="List Number"/>
    <w:basedOn w:val="1"/>
    <w:autoRedefine/>
    <w:qFormat/>
    <w:uiPriority w:val="0"/>
    <w:pPr>
      <w:numPr>
        <w:ilvl w:val="0"/>
        <w:numId w:val="1"/>
      </w:numPr>
      <w:tabs>
        <w:tab w:val="left" w:pos="840"/>
      </w:tabs>
    </w:pPr>
    <w:rPr>
      <w:rFonts w:ascii="Calibri" w:hAnsi="Calibri"/>
      <w:sz w:val="28"/>
      <w:szCs w:val="22"/>
    </w:rPr>
  </w:style>
  <w:style w:type="paragraph" w:styleId="17">
    <w:name w:val="Normal Indent"/>
    <w:basedOn w:val="1"/>
    <w:next w:val="18"/>
    <w:link w:val="122"/>
    <w:autoRedefine/>
    <w:qFormat/>
    <w:uiPriority w:val="99"/>
    <w:pPr>
      <w:ind w:firstLine="420" w:firstLineChars="200"/>
    </w:pPr>
    <w:rPr>
      <w:rFonts w:asciiTheme="minorHAnsi" w:hAnsiTheme="minorHAnsi" w:eastAsiaTheme="minorEastAsia" w:cstheme="minorBidi"/>
    </w:rPr>
  </w:style>
  <w:style w:type="paragraph" w:styleId="18">
    <w:name w:val="toa heading"/>
    <w:basedOn w:val="1"/>
    <w:next w:val="1"/>
    <w:autoRedefine/>
    <w:qFormat/>
    <w:uiPriority w:val="0"/>
    <w:pPr>
      <w:spacing w:before="120"/>
    </w:pPr>
    <w:rPr>
      <w:rFonts w:ascii="Arial" w:hAnsi="Arial" w:eastAsia="微软雅黑"/>
      <w:sz w:val="24"/>
      <w:szCs w:val="21"/>
    </w:rPr>
  </w:style>
  <w:style w:type="paragraph" w:styleId="19">
    <w:name w:val="caption"/>
    <w:basedOn w:val="1"/>
    <w:next w:val="1"/>
    <w:link w:val="203"/>
    <w:autoRedefine/>
    <w:qFormat/>
    <w:uiPriority w:val="0"/>
    <w:pPr>
      <w:widowControl/>
      <w:jc w:val="left"/>
    </w:pPr>
    <w:rPr>
      <w:rFonts w:ascii="Arial" w:hAnsi="Arial" w:eastAsia="黑体" w:cstheme="minorBidi"/>
      <w:szCs w:val="22"/>
    </w:rPr>
  </w:style>
  <w:style w:type="paragraph" w:styleId="20">
    <w:name w:val="List Bullet"/>
    <w:basedOn w:val="1"/>
    <w:autoRedefine/>
    <w:qFormat/>
    <w:uiPriority w:val="0"/>
    <w:pPr>
      <w:spacing w:beforeLines="50" w:afterLines="50" w:line="360" w:lineRule="auto"/>
      <w:ind w:firstLine="482" w:firstLineChars="200"/>
    </w:pPr>
    <w:rPr>
      <w:rFonts w:ascii="宋体" w:hAnsi="宋体"/>
      <w:b/>
      <w:kern w:val="0"/>
      <w:sz w:val="24"/>
    </w:rPr>
  </w:style>
  <w:style w:type="paragraph" w:styleId="21">
    <w:name w:val="envelope address"/>
    <w:basedOn w:val="1"/>
    <w:autoRedefine/>
    <w:qFormat/>
    <w:uiPriority w:val="0"/>
    <w:pPr>
      <w:framePr w:w="7920" w:h="1980" w:hRule="exact" w:hSpace="180" w:wrap="around" w:vAnchor="margin" w:hAnchor="page" w:xAlign="center" w:yAlign="bottom"/>
      <w:adjustRightInd w:val="0"/>
      <w:spacing w:line="480" w:lineRule="atLeast"/>
      <w:ind w:left="2880"/>
      <w:textAlignment w:val="baseline"/>
    </w:pPr>
    <w:rPr>
      <w:rFonts w:eastAsia="魏碑体"/>
      <w:spacing w:val="10"/>
      <w:kern w:val="0"/>
      <w:sz w:val="32"/>
      <w:szCs w:val="20"/>
    </w:rPr>
  </w:style>
  <w:style w:type="paragraph" w:styleId="22">
    <w:name w:val="Document Map"/>
    <w:basedOn w:val="1"/>
    <w:link w:val="259"/>
    <w:autoRedefine/>
    <w:qFormat/>
    <w:uiPriority w:val="99"/>
    <w:pPr>
      <w:shd w:val="clear" w:color="auto" w:fill="000080"/>
    </w:pPr>
    <w:rPr>
      <w:rFonts w:asciiTheme="minorHAnsi" w:hAnsiTheme="minorHAnsi" w:eastAsiaTheme="minorEastAsia" w:cstheme="minorBidi"/>
    </w:rPr>
  </w:style>
  <w:style w:type="paragraph" w:styleId="23">
    <w:name w:val="annotation text"/>
    <w:basedOn w:val="1"/>
    <w:link w:val="247"/>
    <w:autoRedefine/>
    <w:unhideWhenUsed/>
    <w:qFormat/>
    <w:uiPriority w:val="99"/>
    <w:pPr>
      <w:jc w:val="left"/>
    </w:pPr>
  </w:style>
  <w:style w:type="paragraph" w:styleId="24">
    <w:name w:val="Salutation"/>
    <w:basedOn w:val="1"/>
    <w:next w:val="1"/>
    <w:link w:val="256"/>
    <w:autoRedefine/>
    <w:qFormat/>
    <w:uiPriority w:val="0"/>
    <w:rPr>
      <w:rFonts w:asciiTheme="minorHAnsi" w:hAnsiTheme="minorHAnsi" w:eastAsiaTheme="minorEastAsia" w:cstheme="minorBidi"/>
    </w:rPr>
  </w:style>
  <w:style w:type="paragraph" w:styleId="25">
    <w:name w:val="Body Text 3"/>
    <w:basedOn w:val="1"/>
    <w:link w:val="227"/>
    <w:autoRedefine/>
    <w:unhideWhenUsed/>
    <w:qFormat/>
    <w:uiPriority w:val="0"/>
    <w:pPr>
      <w:spacing w:beforeLines="50" w:afterLines="50" w:line="360" w:lineRule="auto"/>
    </w:pPr>
    <w:rPr>
      <w:rFonts w:asciiTheme="minorHAnsi" w:hAnsiTheme="minorHAnsi" w:eastAsiaTheme="minorEastAsia" w:cstheme="minorBidi"/>
      <w:sz w:val="16"/>
      <w:szCs w:val="16"/>
    </w:rPr>
  </w:style>
  <w:style w:type="paragraph" w:styleId="26">
    <w:name w:val="Closing"/>
    <w:basedOn w:val="1"/>
    <w:link w:val="288"/>
    <w:autoRedefine/>
    <w:qFormat/>
    <w:uiPriority w:val="0"/>
    <w:pPr>
      <w:ind w:left="100" w:leftChars="2100"/>
    </w:pPr>
    <w:rPr>
      <w:rFonts w:ascii="宋体" w:hAnsi="宋体" w:eastAsiaTheme="minorEastAsia" w:cstheme="minorBidi"/>
      <w:b/>
      <w:sz w:val="24"/>
    </w:rPr>
  </w:style>
  <w:style w:type="paragraph" w:styleId="27">
    <w:name w:val="List Bullet 3"/>
    <w:basedOn w:val="1"/>
    <w:autoRedefine/>
    <w:unhideWhenUsed/>
    <w:qFormat/>
    <w:uiPriority w:val="0"/>
    <w:pPr>
      <w:tabs>
        <w:tab w:val="left" w:pos="1200"/>
      </w:tabs>
      <w:ind w:left="1200" w:leftChars="400" w:hanging="360" w:hangingChars="200"/>
      <w:contextualSpacing/>
    </w:pPr>
    <w:rPr>
      <w:szCs w:val="20"/>
    </w:rPr>
  </w:style>
  <w:style w:type="paragraph" w:styleId="28">
    <w:name w:val="Body Text Indent"/>
    <w:basedOn w:val="1"/>
    <w:link w:val="224"/>
    <w:autoRedefine/>
    <w:qFormat/>
    <w:uiPriority w:val="0"/>
    <w:pPr>
      <w:autoSpaceDE w:val="0"/>
      <w:autoSpaceDN w:val="0"/>
      <w:adjustRightInd w:val="0"/>
      <w:spacing w:line="360" w:lineRule="auto"/>
      <w:ind w:left="567" w:leftChars="270"/>
    </w:pPr>
    <w:rPr>
      <w:rFonts w:ascii="宋体" w:hAnsiTheme="minorHAnsi" w:eastAsiaTheme="minorEastAsia" w:cstheme="minorBidi"/>
      <w:color w:val="000000"/>
      <w:sz w:val="32"/>
      <w:szCs w:val="32"/>
    </w:rPr>
  </w:style>
  <w:style w:type="paragraph" w:styleId="29">
    <w:name w:val="List 2"/>
    <w:basedOn w:val="1"/>
    <w:autoRedefine/>
    <w:qFormat/>
    <w:uiPriority w:val="0"/>
    <w:pPr>
      <w:spacing w:beforeLines="50" w:afterLines="50" w:line="360" w:lineRule="auto"/>
      <w:ind w:left="100" w:leftChars="200" w:hanging="200" w:hangingChars="200"/>
    </w:pPr>
    <w:rPr>
      <w:sz w:val="24"/>
    </w:rPr>
  </w:style>
  <w:style w:type="paragraph" w:styleId="30">
    <w:name w:val="Block Text"/>
    <w:basedOn w:val="1"/>
    <w:autoRedefine/>
    <w:qFormat/>
    <w:uiPriority w:val="0"/>
    <w:pPr>
      <w:spacing w:beforeLines="50" w:afterLines="50" w:line="360" w:lineRule="auto"/>
      <w:ind w:left="1440" w:leftChars="700" w:right="1440" w:rightChars="700"/>
    </w:pPr>
    <w:rPr>
      <w:sz w:val="24"/>
    </w:rPr>
  </w:style>
  <w:style w:type="paragraph" w:styleId="31">
    <w:name w:val="toc 5"/>
    <w:basedOn w:val="1"/>
    <w:next w:val="1"/>
    <w:autoRedefine/>
    <w:qFormat/>
    <w:uiPriority w:val="39"/>
    <w:pPr>
      <w:ind w:left="840"/>
      <w:jc w:val="left"/>
    </w:pPr>
    <w:rPr>
      <w:rFonts w:asciiTheme="minorHAnsi" w:hAnsiTheme="minorHAnsi"/>
      <w:sz w:val="18"/>
      <w:szCs w:val="18"/>
    </w:rPr>
  </w:style>
  <w:style w:type="paragraph" w:styleId="32">
    <w:name w:val="toc 3"/>
    <w:basedOn w:val="1"/>
    <w:next w:val="1"/>
    <w:autoRedefine/>
    <w:qFormat/>
    <w:uiPriority w:val="39"/>
    <w:pPr>
      <w:ind w:left="420"/>
      <w:jc w:val="left"/>
    </w:pPr>
    <w:rPr>
      <w:rFonts w:asciiTheme="minorHAnsi" w:hAnsiTheme="minorHAnsi"/>
      <w:i/>
      <w:iCs/>
      <w:sz w:val="20"/>
      <w:szCs w:val="20"/>
    </w:rPr>
  </w:style>
  <w:style w:type="paragraph" w:styleId="33">
    <w:name w:val="Plain Text"/>
    <w:basedOn w:val="1"/>
    <w:link w:val="239"/>
    <w:autoRedefine/>
    <w:qFormat/>
    <w:uiPriority w:val="0"/>
    <w:rPr>
      <w:rFonts w:ascii="宋体" w:hAnsi="Courier New" w:cs="Courier New" w:eastAsiaTheme="minorEastAsia"/>
      <w:szCs w:val="21"/>
    </w:rPr>
  </w:style>
  <w:style w:type="paragraph" w:styleId="34">
    <w:name w:val="toc 8"/>
    <w:basedOn w:val="1"/>
    <w:next w:val="1"/>
    <w:autoRedefine/>
    <w:qFormat/>
    <w:uiPriority w:val="39"/>
    <w:pPr>
      <w:ind w:left="1470"/>
      <w:jc w:val="left"/>
    </w:pPr>
    <w:rPr>
      <w:rFonts w:asciiTheme="minorHAnsi" w:hAnsiTheme="minorHAnsi"/>
      <w:sz w:val="18"/>
      <w:szCs w:val="18"/>
    </w:rPr>
  </w:style>
  <w:style w:type="paragraph" w:styleId="35">
    <w:name w:val="Date"/>
    <w:basedOn w:val="1"/>
    <w:next w:val="1"/>
    <w:link w:val="263"/>
    <w:autoRedefine/>
    <w:qFormat/>
    <w:uiPriority w:val="0"/>
    <w:pPr>
      <w:ind w:left="100" w:leftChars="2500"/>
    </w:pPr>
    <w:rPr>
      <w:rFonts w:eastAsia="仿宋_GB2312" w:asciiTheme="minorHAnsi" w:hAnsiTheme="minorHAnsi" w:cstheme="minorBidi"/>
      <w:color w:val="000000"/>
      <w:sz w:val="28"/>
    </w:rPr>
  </w:style>
  <w:style w:type="paragraph" w:styleId="36">
    <w:name w:val="Body Text Indent 2"/>
    <w:basedOn w:val="1"/>
    <w:link w:val="217"/>
    <w:autoRedefine/>
    <w:qFormat/>
    <w:uiPriority w:val="0"/>
    <w:pPr>
      <w:autoSpaceDE w:val="0"/>
      <w:autoSpaceDN w:val="0"/>
      <w:adjustRightInd w:val="0"/>
      <w:spacing w:line="360" w:lineRule="auto"/>
      <w:ind w:left="1415" w:leftChars="674" w:firstLine="1"/>
      <w:jc w:val="left"/>
    </w:pPr>
    <w:rPr>
      <w:rFonts w:ascii="幼圆" w:eastAsia="幼圆" w:hAnsiTheme="minorHAnsi" w:cstheme="minorBidi"/>
      <w:color w:val="000000"/>
      <w:sz w:val="30"/>
      <w:szCs w:val="32"/>
    </w:rPr>
  </w:style>
  <w:style w:type="paragraph" w:styleId="37">
    <w:name w:val="endnote text"/>
    <w:basedOn w:val="1"/>
    <w:link w:val="292"/>
    <w:autoRedefine/>
    <w:qFormat/>
    <w:uiPriority w:val="0"/>
    <w:pPr>
      <w:snapToGrid w:val="0"/>
      <w:jc w:val="left"/>
    </w:pPr>
    <w:rPr>
      <w:rFonts w:asciiTheme="minorHAnsi" w:hAnsiTheme="minorHAnsi" w:eastAsiaTheme="minorEastAsia" w:cstheme="minorBidi"/>
      <w:szCs w:val="22"/>
    </w:rPr>
  </w:style>
  <w:style w:type="paragraph" w:styleId="38">
    <w:name w:val="Balloon Text"/>
    <w:basedOn w:val="1"/>
    <w:link w:val="245"/>
    <w:autoRedefine/>
    <w:qFormat/>
    <w:uiPriority w:val="99"/>
    <w:rPr>
      <w:rFonts w:asciiTheme="minorHAnsi" w:hAnsiTheme="minorHAnsi" w:eastAsiaTheme="minorEastAsia" w:cstheme="minorBidi"/>
      <w:sz w:val="18"/>
      <w:szCs w:val="18"/>
    </w:rPr>
  </w:style>
  <w:style w:type="paragraph" w:styleId="39">
    <w:name w:val="footer"/>
    <w:basedOn w:val="1"/>
    <w:link w:val="73"/>
    <w:autoRedefine/>
    <w:unhideWhenUsed/>
    <w:qFormat/>
    <w:uiPriority w:val="99"/>
    <w:pPr>
      <w:tabs>
        <w:tab w:val="center" w:pos="4153"/>
        <w:tab w:val="right" w:pos="8306"/>
      </w:tabs>
      <w:snapToGrid w:val="0"/>
      <w:jc w:val="left"/>
    </w:pPr>
    <w:rPr>
      <w:sz w:val="18"/>
      <w:szCs w:val="18"/>
    </w:rPr>
  </w:style>
  <w:style w:type="paragraph" w:styleId="40">
    <w:name w:val="header"/>
    <w:basedOn w:val="1"/>
    <w:link w:val="7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1">
    <w:name w:val="toc 1"/>
    <w:basedOn w:val="1"/>
    <w:next w:val="1"/>
    <w:autoRedefine/>
    <w:qFormat/>
    <w:uiPriority w:val="39"/>
    <w:pPr>
      <w:spacing w:before="120" w:after="120"/>
      <w:jc w:val="left"/>
    </w:pPr>
    <w:rPr>
      <w:rFonts w:asciiTheme="minorHAnsi" w:hAnsiTheme="minorHAnsi"/>
      <w:b/>
      <w:bCs/>
      <w:caps/>
      <w:sz w:val="20"/>
      <w:szCs w:val="20"/>
    </w:rPr>
  </w:style>
  <w:style w:type="paragraph" w:styleId="42">
    <w:name w:val="toc 4"/>
    <w:basedOn w:val="1"/>
    <w:next w:val="1"/>
    <w:autoRedefine/>
    <w:qFormat/>
    <w:uiPriority w:val="39"/>
    <w:pPr>
      <w:ind w:left="630"/>
      <w:jc w:val="left"/>
    </w:pPr>
    <w:rPr>
      <w:rFonts w:asciiTheme="minorHAnsi" w:hAnsiTheme="minorHAnsi"/>
      <w:sz w:val="18"/>
      <w:szCs w:val="18"/>
    </w:rPr>
  </w:style>
  <w:style w:type="paragraph" w:styleId="43">
    <w:name w:val="Subtitle"/>
    <w:basedOn w:val="1"/>
    <w:next w:val="1"/>
    <w:link w:val="289"/>
    <w:autoRedefine/>
    <w:qFormat/>
    <w:uiPriority w:val="0"/>
    <w:pPr>
      <w:spacing w:before="240" w:after="60" w:line="312" w:lineRule="auto"/>
      <w:jc w:val="center"/>
      <w:outlineLvl w:val="1"/>
    </w:pPr>
    <w:rPr>
      <w:rFonts w:ascii="Cambria" w:hAnsi="Cambria" w:eastAsiaTheme="minorEastAsia" w:cstheme="minorBidi"/>
      <w:b/>
      <w:bCs/>
      <w:kern w:val="28"/>
      <w:sz w:val="32"/>
      <w:szCs w:val="32"/>
    </w:rPr>
  </w:style>
  <w:style w:type="paragraph" w:styleId="44">
    <w:name w:val="List"/>
    <w:basedOn w:val="1"/>
    <w:autoRedefine/>
    <w:qFormat/>
    <w:uiPriority w:val="0"/>
    <w:pPr>
      <w:ind w:left="420" w:hanging="420"/>
    </w:pPr>
    <w:rPr>
      <w:sz w:val="24"/>
      <w:szCs w:val="20"/>
    </w:rPr>
  </w:style>
  <w:style w:type="paragraph" w:styleId="45">
    <w:name w:val="footnote text"/>
    <w:basedOn w:val="1"/>
    <w:link w:val="714"/>
    <w:autoRedefine/>
    <w:qFormat/>
    <w:uiPriority w:val="0"/>
    <w:pPr>
      <w:widowControl/>
      <w:jc w:val="left"/>
    </w:pPr>
    <w:rPr>
      <w:kern w:val="0"/>
      <w:sz w:val="20"/>
      <w:szCs w:val="20"/>
      <w:lang w:val="de-DE"/>
    </w:rPr>
  </w:style>
  <w:style w:type="paragraph" w:styleId="46">
    <w:name w:val="toc 6"/>
    <w:basedOn w:val="1"/>
    <w:next w:val="1"/>
    <w:autoRedefine/>
    <w:qFormat/>
    <w:uiPriority w:val="39"/>
    <w:pPr>
      <w:ind w:left="1050"/>
      <w:jc w:val="left"/>
    </w:pPr>
    <w:rPr>
      <w:rFonts w:asciiTheme="minorHAnsi" w:hAnsiTheme="minorHAnsi"/>
      <w:sz w:val="18"/>
      <w:szCs w:val="18"/>
    </w:rPr>
  </w:style>
  <w:style w:type="paragraph" w:styleId="47">
    <w:name w:val="Body Text Indent 3"/>
    <w:basedOn w:val="1"/>
    <w:link w:val="249"/>
    <w:autoRedefine/>
    <w:qFormat/>
    <w:uiPriority w:val="0"/>
    <w:pPr>
      <w:ind w:firstLine="480" w:firstLineChars="200"/>
    </w:pPr>
    <w:rPr>
      <w:rFonts w:ascii="幼圆" w:eastAsia="幼圆" w:hAnsiTheme="minorHAnsi" w:cstheme="minorBidi"/>
      <w:sz w:val="24"/>
      <w:szCs w:val="32"/>
    </w:rPr>
  </w:style>
  <w:style w:type="paragraph" w:styleId="48">
    <w:name w:val="table of figures"/>
    <w:basedOn w:val="1"/>
    <w:next w:val="1"/>
    <w:autoRedefine/>
    <w:qFormat/>
    <w:uiPriority w:val="99"/>
    <w:pPr>
      <w:ind w:left="200" w:leftChars="200" w:hanging="200" w:hangingChars="200"/>
    </w:pPr>
  </w:style>
  <w:style w:type="paragraph" w:styleId="49">
    <w:name w:val="toc 2"/>
    <w:basedOn w:val="1"/>
    <w:next w:val="1"/>
    <w:autoRedefine/>
    <w:qFormat/>
    <w:uiPriority w:val="39"/>
    <w:pPr>
      <w:ind w:left="210"/>
      <w:jc w:val="left"/>
    </w:pPr>
    <w:rPr>
      <w:rFonts w:asciiTheme="minorHAnsi" w:hAnsiTheme="minorHAnsi"/>
      <w:smallCaps/>
      <w:sz w:val="20"/>
      <w:szCs w:val="20"/>
    </w:rPr>
  </w:style>
  <w:style w:type="paragraph" w:styleId="50">
    <w:name w:val="toc 9"/>
    <w:basedOn w:val="1"/>
    <w:next w:val="1"/>
    <w:autoRedefine/>
    <w:qFormat/>
    <w:uiPriority w:val="39"/>
    <w:pPr>
      <w:ind w:left="1680"/>
      <w:jc w:val="left"/>
    </w:pPr>
    <w:rPr>
      <w:rFonts w:asciiTheme="minorHAnsi" w:hAnsiTheme="minorHAnsi"/>
      <w:sz w:val="18"/>
      <w:szCs w:val="18"/>
    </w:rPr>
  </w:style>
  <w:style w:type="paragraph" w:styleId="51">
    <w:name w:val="Body Text 2"/>
    <w:basedOn w:val="1"/>
    <w:link w:val="283"/>
    <w:autoRedefine/>
    <w:qFormat/>
    <w:uiPriority w:val="0"/>
    <w:pPr>
      <w:jc w:val="center"/>
    </w:pPr>
    <w:rPr>
      <w:rFonts w:ascii="宋体" w:hAnsi="宋体" w:eastAsiaTheme="minorEastAsia" w:cstheme="minorBidi"/>
      <w:sz w:val="24"/>
    </w:rPr>
  </w:style>
  <w:style w:type="paragraph" w:styleId="52">
    <w:name w:val="HTML Preformatted"/>
    <w:basedOn w:val="1"/>
    <w:link w:val="279"/>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eastAsiaTheme="minorEastAsia"/>
      <w:sz w:val="24"/>
    </w:rPr>
  </w:style>
  <w:style w:type="paragraph" w:styleId="53">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54">
    <w:name w:val="index 1"/>
    <w:basedOn w:val="1"/>
    <w:next w:val="1"/>
    <w:autoRedefine/>
    <w:qFormat/>
    <w:uiPriority w:val="0"/>
    <w:rPr>
      <w:kern w:val="0"/>
      <w:sz w:val="24"/>
      <w:szCs w:val="21"/>
    </w:rPr>
  </w:style>
  <w:style w:type="paragraph" w:styleId="55">
    <w:name w:val="Title"/>
    <w:basedOn w:val="1"/>
    <w:next w:val="1"/>
    <w:link w:val="230"/>
    <w:autoRedefine/>
    <w:qFormat/>
    <w:uiPriority w:val="0"/>
    <w:pPr>
      <w:spacing w:before="240" w:after="60"/>
      <w:jc w:val="center"/>
      <w:outlineLvl w:val="0"/>
    </w:pPr>
    <w:rPr>
      <w:rFonts w:ascii="Arial" w:hAnsi="Arial" w:eastAsiaTheme="minorEastAsia" w:cstheme="minorBidi"/>
      <w:b/>
      <w:bCs/>
      <w:sz w:val="32"/>
      <w:szCs w:val="32"/>
    </w:rPr>
  </w:style>
  <w:style w:type="paragraph" w:styleId="56">
    <w:name w:val="annotation subject"/>
    <w:basedOn w:val="23"/>
    <w:next w:val="23"/>
    <w:link w:val="248"/>
    <w:autoRedefine/>
    <w:qFormat/>
    <w:uiPriority w:val="99"/>
    <w:rPr>
      <w:rFonts w:asciiTheme="minorHAnsi" w:hAnsiTheme="minorHAnsi" w:eastAsiaTheme="minorEastAsia" w:cstheme="minorBidi"/>
      <w:b/>
    </w:rPr>
  </w:style>
  <w:style w:type="paragraph" w:styleId="57">
    <w:name w:val="Body Text First Indent"/>
    <w:basedOn w:val="2"/>
    <w:link w:val="282"/>
    <w:autoRedefine/>
    <w:qFormat/>
    <w:uiPriority w:val="0"/>
    <w:pPr>
      <w:autoSpaceDE/>
      <w:autoSpaceDN/>
      <w:adjustRightInd/>
      <w:spacing w:after="120" w:line="240" w:lineRule="auto"/>
      <w:ind w:firstLine="420" w:firstLineChars="100"/>
      <w:jc w:val="both"/>
    </w:pPr>
    <w:rPr>
      <w:sz w:val="21"/>
    </w:rPr>
  </w:style>
  <w:style w:type="paragraph" w:styleId="58">
    <w:name w:val="Body Text First Indent 2"/>
    <w:basedOn w:val="28"/>
    <w:next w:val="39"/>
    <w:link w:val="235"/>
    <w:autoRedefine/>
    <w:unhideWhenUsed/>
    <w:qFormat/>
    <w:uiPriority w:val="0"/>
    <w:pPr>
      <w:autoSpaceDE/>
      <w:autoSpaceDN/>
      <w:adjustRightInd/>
      <w:spacing w:after="120" w:line="240" w:lineRule="auto"/>
      <w:ind w:left="420" w:leftChars="200" w:firstLine="420" w:firstLineChars="200"/>
    </w:pPr>
    <w:rPr>
      <w:rFonts w:ascii="仿宋_GB2312" w:eastAsia="仿宋_GB2312"/>
      <w:sz w:val="24"/>
      <w:szCs w:val="24"/>
    </w:rPr>
  </w:style>
  <w:style w:type="table" w:styleId="60">
    <w:name w:val="Table Grid"/>
    <w:basedOn w:val="59"/>
    <w:autoRedefine/>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61">
    <w:name w:val="Table Elegant"/>
    <w:basedOn w:val="59"/>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63">
    <w:name w:val="Strong"/>
    <w:autoRedefine/>
    <w:qFormat/>
    <w:uiPriority w:val="22"/>
    <w:rPr>
      <w:b/>
      <w:bCs/>
    </w:rPr>
  </w:style>
  <w:style w:type="character" w:styleId="64">
    <w:name w:val="endnote reference"/>
    <w:autoRedefine/>
    <w:qFormat/>
    <w:uiPriority w:val="0"/>
    <w:rPr>
      <w:vertAlign w:val="superscript"/>
    </w:rPr>
  </w:style>
  <w:style w:type="character" w:styleId="65">
    <w:name w:val="page number"/>
    <w:basedOn w:val="62"/>
    <w:autoRedefine/>
    <w:qFormat/>
    <w:uiPriority w:val="0"/>
  </w:style>
  <w:style w:type="character" w:styleId="66">
    <w:name w:val="FollowedHyperlink"/>
    <w:autoRedefine/>
    <w:qFormat/>
    <w:uiPriority w:val="0"/>
    <w:rPr>
      <w:color w:val="800080"/>
      <w:u w:val="single"/>
    </w:rPr>
  </w:style>
  <w:style w:type="character" w:styleId="67">
    <w:name w:val="Emphasis"/>
    <w:autoRedefine/>
    <w:qFormat/>
    <w:uiPriority w:val="0"/>
    <w:rPr>
      <w:i/>
      <w:iCs/>
    </w:rPr>
  </w:style>
  <w:style w:type="character" w:styleId="68">
    <w:name w:val="Hyperlink"/>
    <w:autoRedefine/>
    <w:qFormat/>
    <w:uiPriority w:val="99"/>
    <w:rPr>
      <w:color w:val="0000FF"/>
      <w:u w:val="single"/>
    </w:rPr>
  </w:style>
  <w:style w:type="character" w:styleId="69">
    <w:name w:val="annotation reference"/>
    <w:autoRedefine/>
    <w:qFormat/>
    <w:uiPriority w:val="99"/>
    <w:rPr>
      <w:sz w:val="21"/>
    </w:rPr>
  </w:style>
  <w:style w:type="paragraph" w:customStyle="1" w:styleId="70">
    <w:name w:val="Default"/>
    <w:next w:val="71"/>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71">
    <w:name w:val="大标题"/>
    <w:basedOn w:val="1"/>
    <w:next w:val="58"/>
    <w:autoRedefine/>
    <w:qFormat/>
    <w:uiPriority w:val="0"/>
    <w:pPr>
      <w:jc w:val="center"/>
    </w:pPr>
    <w:rPr>
      <w:rFonts w:ascii="Arial" w:hAnsi="Arial"/>
      <w:b/>
      <w:sz w:val="28"/>
    </w:rPr>
  </w:style>
  <w:style w:type="character" w:customStyle="1" w:styleId="72">
    <w:name w:val="页眉 Char"/>
    <w:basedOn w:val="62"/>
    <w:link w:val="40"/>
    <w:autoRedefine/>
    <w:qFormat/>
    <w:uiPriority w:val="99"/>
    <w:rPr>
      <w:sz w:val="18"/>
      <w:szCs w:val="18"/>
    </w:rPr>
  </w:style>
  <w:style w:type="character" w:customStyle="1" w:styleId="73">
    <w:name w:val="页脚 Char"/>
    <w:basedOn w:val="62"/>
    <w:link w:val="39"/>
    <w:autoRedefine/>
    <w:qFormat/>
    <w:uiPriority w:val="99"/>
    <w:rPr>
      <w:sz w:val="18"/>
      <w:szCs w:val="18"/>
    </w:rPr>
  </w:style>
  <w:style w:type="character" w:customStyle="1" w:styleId="74">
    <w:name w:val="标题 1 Char"/>
    <w:basedOn w:val="62"/>
    <w:link w:val="3"/>
    <w:autoRedefine/>
    <w:qFormat/>
    <w:uiPriority w:val="0"/>
    <w:rPr>
      <w:rFonts w:ascii="Times New Roman" w:hAnsi="Times New Roman" w:eastAsia="宋体" w:cs="Times New Roman"/>
      <w:b/>
      <w:kern w:val="44"/>
      <w:sz w:val="32"/>
      <w:szCs w:val="20"/>
    </w:rPr>
  </w:style>
  <w:style w:type="character" w:customStyle="1" w:styleId="75">
    <w:name w:val="标题 2 Char"/>
    <w:basedOn w:val="62"/>
    <w:link w:val="4"/>
    <w:autoRedefine/>
    <w:qFormat/>
    <w:uiPriority w:val="0"/>
    <w:rPr>
      <w:rFonts w:ascii="Arial" w:hAnsi="Arial" w:eastAsia="黑体" w:cs="Times New Roman"/>
      <w:b/>
      <w:bCs/>
      <w:sz w:val="32"/>
      <w:szCs w:val="32"/>
    </w:rPr>
  </w:style>
  <w:style w:type="character" w:customStyle="1" w:styleId="76">
    <w:name w:val="标题 3 Char"/>
    <w:basedOn w:val="62"/>
    <w:link w:val="5"/>
    <w:autoRedefine/>
    <w:qFormat/>
    <w:uiPriority w:val="9"/>
    <w:rPr>
      <w:rFonts w:ascii="Times New Roman" w:hAnsi="Times New Roman" w:eastAsia="Arial Unicode MS" w:cs="Times New Roman"/>
      <w:b/>
      <w:szCs w:val="20"/>
    </w:rPr>
  </w:style>
  <w:style w:type="character" w:customStyle="1" w:styleId="77">
    <w:name w:val="标题 4 Char"/>
    <w:basedOn w:val="62"/>
    <w:link w:val="6"/>
    <w:autoRedefine/>
    <w:qFormat/>
    <w:uiPriority w:val="0"/>
    <w:rPr>
      <w:rFonts w:ascii="Cambria" w:hAnsi="Cambria" w:eastAsia="宋体" w:cs="Times New Roman"/>
      <w:b/>
      <w:bCs/>
      <w:sz w:val="28"/>
      <w:szCs w:val="28"/>
    </w:rPr>
  </w:style>
  <w:style w:type="character" w:customStyle="1" w:styleId="78">
    <w:name w:val="标题 5 Char"/>
    <w:basedOn w:val="62"/>
    <w:link w:val="7"/>
    <w:autoRedefine/>
    <w:qFormat/>
    <w:uiPriority w:val="9"/>
    <w:rPr>
      <w:rFonts w:ascii="Calibri" w:hAnsi="Calibri" w:eastAsia="宋体" w:cs="Times New Roman"/>
      <w:b/>
      <w:bCs/>
      <w:sz w:val="28"/>
      <w:szCs w:val="28"/>
    </w:rPr>
  </w:style>
  <w:style w:type="character" w:customStyle="1" w:styleId="79">
    <w:name w:val="标题 6 Char"/>
    <w:basedOn w:val="62"/>
    <w:link w:val="8"/>
    <w:autoRedefine/>
    <w:qFormat/>
    <w:uiPriority w:val="0"/>
    <w:rPr>
      <w:rFonts w:ascii="Arial" w:hAnsi="Arial" w:eastAsia="黑体" w:cs="Times New Roman"/>
      <w:b/>
      <w:bCs/>
      <w:kern w:val="0"/>
      <w:sz w:val="24"/>
      <w:szCs w:val="24"/>
    </w:rPr>
  </w:style>
  <w:style w:type="character" w:customStyle="1" w:styleId="80">
    <w:name w:val="标题 7 Char"/>
    <w:basedOn w:val="62"/>
    <w:link w:val="9"/>
    <w:autoRedefine/>
    <w:qFormat/>
    <w:uiPriority w:val="0"/>
    <w:rPr>
      <w:rFonts w:ascii="Times New Roman" w:hAnsi="Times New Roman" w:eastAsia="宋体" w:cs="Times New Roman"/>
      <w:b/>
      <w:bCs/>
      <w:kern w:val="0"/>
      <w:sz w:val="24"/>
      <w:szCs w:val="24"/>
    </w:rPr>
  </w:style>
  <w:style w:type="character" w:customStyle="1" w:styleId="81">
    <w:name w:val="标题 8 Char"/>
    <w:basedOn w:val="62"/>
    <w:link w:val="10"/>
    <w:autoRedefine/>
    <w:qFormat/>
    <w:uiPriority w:val="0"/>
    <w:rPr>
      <w:rFonts w:ascii="Arial" w:hAnsi="Arial" w:eastAsia="黑体" w:cs="Times New Roman"/>
      <w:kern w:val="0"/>
      <w:sz w:val="24"/>
      <w:szCs w:val="24"/>
    </w:rPr>
  </w:style>
  <w:style w:type="character" w:customStyle="1" w:styleId="82">
    <w:name w:val="标题 9 Char"/>
    <w:basedOn w:val="62"/>
    <w:link w:val="11"/>
    <w:autoRedefine/>
    <w:qFormat/>
    <w:uiPriority w:val="0"/>
    <w:rPr>
      <w:rFonts w:ascii="Arial" w:hAnsi="Arial" w:eastAsia="黑体" w:cs="Times New Roman"/>
      <w:kern w:val="0"/>
      <w:szCs w:val="21"/>
    </w:rPr>
  </w:style>
  <w:style w:type="character" w:customStyle="1" w:styleId="83">
    <w:name w:val="hei12"/>
    <w:basedOn w:val="62"/>
    <w:autoRedefine/>
    <w:qFormat/>
    <w:uiPriority w:val="0"/>
  </w:style>
  <w:style w:type="character" w:customStyle="1" w:styleId="84">
    <w:name w:val="正文缩进2格 Char"/>
    <w:link w:val="85"/>
    <w:autoRedefine/>
    <w:qFormat/>
    <w:uiPriority w:val="0"/>
    <w:rPr>
      <w:rFonts w:ascii="仿宋_GB2312" w:hAnsi="宋体" w:eastAsia="仿宋_GB2312"/>
      <w:sz w:val="31"/>
    </w:rPr>
  </w:style>
  <w:style w:type="paragraph" w:customStyle="1" w:styleId="85">
    <w:name w:val="正文缩进2格"/>
    <w:basedOn w:val="1"/>
    <w:link w:val="84"/>
    <w:autoRedefine/>
    <w:qFormat/>
    <w:uiPriority w:val="0"/>
    <w:pPr>
      <w:spacing w:line="600" w:lineRule="exact"/>
      <w:ind w:firstLine="639" w:firstLineChars="206"/>
    </w:pPr>
    <w:rPr>
      <w:rFonts w:ascii="仿宋_GB2312" w:hAnsi="宋体" w:eastAsia="仿宋_GB2312" w:cstheme="minorBidi"/>
      <w:sz w:val="31"/>
      <w:szCs w:val="22"/>
    </w:rPr>
  </w:style>
  <w:style w:type="character" w:customStyle="1" w:styleId="86">
    <w:name w:val="font51"/>
    <w:autoRedefine/>
    <w:qFormat/>
    <w:uiPriority w:val="0"/>
    <w:rPr>
      <w:rFonts w:hint="eastAsia" w:ascii="宋体" w:hAnsi="宋体" w:eastAsia="宋体" w:cs="宋体"/>
      <w:color w:val="000000"/>
      <w:sz w:val="20"/>
      <w:szCs w:val="20"/>
      <w:u w:val="none"/>
    </w:rPr>
  </w:style>
  <w:style w:type="character" w:customStyle="1" w:styleId="87">
    <w:name w:val="font61"/>
    <w:autoRedefine/>
    <w:qFormat/>
    <w:uiPriority w:val="0"/>
    <w:rPr>
      <w:rFonts w:hint="default" w:ascii="Times New Roman" w:hAnsi="Times New Roman" w:cs="Times New Roman"/>
      <w:color w:val="000000"/>
      <w:sz w:val="20"/>
      <w:szCs w:val="20"/>
      <w:u w:val="none"/>
    </w:rPr>
  </w:style>
  <w:style w:type="character" w:customStyle="1" w:styleId="88">
    <w:name w:val="表中左小5 Char"/>
    <w:link w:val="89"/>
    <w:autoRedefine/>
    <w:qFormat/>
    <w:uiPriority w:val="0"/>
    <w:rPr>
      <w:color w:val="0000FF"/>
      <w:sz w:val="18"/>
      <w:szCs w:val="18"/>
    </w:rPr>
  </w:style>
  <w:style w:type="paragraph" w:customStyle="1" w:styleId="89">
    <w:name w:val="表中左小5"/>
    <w:link w:val="88"/>
    <w:autoRedefine/>
    <w:qFormat/>
    <w:uiPriority w:val="0"/>
    <w:pPr>
      <w:adjustRightInd w:val="0"/>
      <w:snapToGrid w:val="0"/>
      <w:spacing w:line="320" w:lineRule="exact"/>
    </w:pPr>
    <w:rPr>
      <w:rFonts w:asciiTheme="minorHAnsi" w:hAnsiTheme="minorHAnsi" w:eastAsiaTheme="minorEastAsia" w:cstheme="minorBidi"/>
      <w:color w:val="0000FF"/>
      <w:kern w:val="2"/>
      <w:sz w:val="18"/>
      <w:szCs w:val="18"/>
      <w:lang w:val="en-US" w:eastAsia="zh-CN" w:bidi="ar-SA"/>
    </w:rPr>
  </w:style>
  <w:style w:type="character" w:customStyle="1" w:styleId="90">
    <w:name w:val="font71"/>
    <w:autoRedefine/>
    <w:qFormat/>
    <w:uiPriority w:val="0"/>
    <w:rPr>
      <w:rFonts w:hint="eastAsia" w:ascii="宋体" w:hAnsi="宋体" w:eastAsia="宋体" w:cs="宋体"/>
      <w:color w:val="000000"/>
      <w:sz w:val="20"/>
      <w:szCs w:val="20"/>
      <w:u w:val="none"/>
    </w:rPr>
  </w:style>
  <w:style w:type="character" w:customStyle="1" w:styleId="91">
    <w:name w:val="z-窗体底端 Char"/>
    <w:autoRedefine/>
    <w:qFormat/>
    <w:uiPriority w:val="99"/>
    <w:rPr>
      <w:rFonts w:ascii="Arial" w:hAnsi="Arial" w:cs="Arial"/>
      <w:vanish/>
      <w:sz w:val="16"/>
      <w:szCs w:val="16"/>
    </w:rPr>
  </w:style>
  <w:style w:type="paragraph" w:customStyle="1" w:styleId="92">
    <w:name w:val="z-窗体底端1"/>
    <w:basedOn w:val="1"/>
    <w:next w:val="1"/>
    <w:link w:val="278"/>
    <w:autoRedefine/>
    <w:unhideWhenUsed/>
    <w:qFormat/>
    <w:uiPriority w:val="99"/>
    <w:pPr>
      <w:widowControl/>
      <w:pBdr>
        <w:top w:val="single" w:color="auto" w:sz="6" w:space="1"/>
      </w:pBdr>
      <w:jc w:val="center"/>
    </w:pPr>
    <w:rPr>
      <w:rFonts w:ascii="Arial" w:hAnsi="Arial" w:cs="Arial" w:eastAsiaTheme="minorEastAsia"/>
      <w:vanish/>
      <w:sz w:val="16"/>
      <w:szCs w:val="16"/>
    </w:rPr>
  </w:style>
  <w:style w:type="character" w:customStyle="1" w:styleId="93">
    <w:name w:val="ca-251"/>
    <w:autoRedefine/>
    <w:qFormat/>
    <w:uiPriority w:val="0"/>
    <w:rPr>
      <w:rFonts w:hint="default" w:ascii="Times New Roman" w:hAnsi="Times New Roman" w:cs="Times New Roman"/>
      <w:sz w:val="24"/>
      <w:szCs w:val="24"/>
    </w:rPr>
  </w:style>
  <w:style w:type="character" w:customStyle="1" w:styleId="94">
    <w:name w:val="Char Char3"/>
    <w:autoRedefine/>
    <w:semiHidden/>
    <w:qFormat/>
    <w:uiPriority w:val="0"/>
    <w:rPr>
      <w:sz w:val="18"/>
      <w:szCs w:val="18"/>
    </w:rPr>
  </w:style>
  <w:style w:type="character" w:customStyle="1" w:styleId="95">
    <w:name w:val="批注文字 Char"/>
    <w:autoRedefine/>
    <w:qFormat/>
    <w:uiPriority w:val="99"/>
    <w:rPr>
      <w:kern w:val="2"/>
      <w:sz w:val="21"/>
      <w:szCs w:val="24"/>
    </w:rPr>
  </w:style>
  <w:style w:type="character" w:customStyle="1" w:styleId="96">
    <w:name w:val="apple-converted-space"/>
    <w:basedOn w:val="62"/>
    <w:autoRedefine/>
    <w:qFormat/>
    <w:uiPriority w:val="0"/>
  </w:style>
  <w:style w:type="character" w:customStyle="1" w:styleId="97">
    <w:name w:val="chanpinname"/>
    <w:basedOn w:val="62"/>
    <w:autoRedefine/>
    <w:qFormat/>
    <w:uiPriority w:val="0"/>
  </w:style>
  <w:style w:type="character" w:customStyle="1" w:styleId="98">
    <w:name w:val="副标题 Char"/>
    <w:autoRedefine/>
    <w:qFormat/>
    <w:uiPriority w:val="0"/>
    <w:rPr>
      <w:rFonts w:ascii="Cambria" w:hAnsi="Cambria"/>
      <w:b/>
      <w:bCs/>
      <w:kern w:val="28"/>
      <w:sz w:val="32"/>
      <w:szCs w:val="32"/>
    </w:rPr>
  </w:style>
  <w:style w:type="character" w:customStyle="1" w:styleId="99">
    <w:name w:val="ca-231"/>
    <w:autoRedefine/>
    <w:qFormat/>
    <w:uiPriority w:val="0"/>
    <w:rPr>
      <w:rFonts w:hint="eastAsia" w:ascii="宋体" w:hAnsi="宋体" w:eastAsia="宋体"/>
      <w:sz w:val="24"/>
      <w:szCs w:val="24"/>
    </w:rPr>
  </w:style>
  <w:style w:type="character" w:customStyle="1" w:styleId="100">
    <w:name w:val="Figure Text Char"/>
    <w:link w:val="101"/>
    <w:autoRedefine/>
    <w:qFormat/>
    <w:uiPriority w:val="0"/>
    <w:rPr>
      <w:rFonts w:ascii="Arial" w:hAnsi="Arial" w:cs="Arial"/>
      <w:sz w:val="18"/>
      <w:szCs w:val="18"/>
      <w:lang w:eastAsia="en-US"/>
    </w:rPr>
  </w:style>
  <w:style w:type="paragraph" w:customStyle="1" w:styleId="101">
    <w:name w:val="Figure Text"/>
    <w:link w:val="100"/>
    <w:autoRedefine/>
    <w:qFormat/>
    <w:uiPriority w:val="0"/>
    <w:pPr>
      <w:widowControl w:val="0"/>
      <w:adjustRightInd w:val="0"/>
      <w:snapToGrid w:val="0"/>
      <w:spacing w:line="240" w:lineRule="atLeast"/>
    </w:pPr>
    <w:rPr>
      <w:rFonts w:ascii="Arial" w:hAnsi="Arial" w:cs="Arial" w:eastAsiaTheme="minorEastAsia"/>
      <w:kern w:val="2"/>
      <w:sz w:val="18"/>
      <w:szCs w:val="18"/>
      <w:lang w:val="en-US" w:eastAsia="en-US" w:bidi="ar-SA"/>
    </w:rPr>
  </w:style>
  <w:style w:type="character" w:customStyle="1" w:styleId="102">
    <w:name w:val="font91"/>
    <w:autoRedefine/>
    <w:qFormat/>
    <w:uiPriority w:val="0"/>
    <w:rPr>
      <w:rFonts w:hint="eastAsia" w:ascii="宋体" w:hAnsi="宋体" w:eastAsia="宋体" w:cs="宋体"/>
      <w:color w:val="000000"/>
      <w:sz w:val="20"/>
      <w:szCs w:val="20"/>
      <w:u w:val="none"/>
    </w:rPr>
  </w:style>
  <w:style w:type="character" w:customStyle="1" w:styleId="103">
    <w:name w:val="正文小四 Char"/>
    <w:link w:val="104"/>
    <w:autoRedefine/>
    <w:qFormat/>
    <w:uiPriority w:val="0"/>
    <w:rPr>
      <w:rFonts w:ascii="宋体" w:hAnsi="宋体"/>
      <w:sz w:val="24"/>
    </w:rPr>
  </w:style>
  <w:style w:type="paragraph" w:customStyle="1" w:styleId="104">
    <w:name w:val="正文小四"/>
    <w:link w:val="103"/>
    <w:autoRedefine/>
    <w:qFormat/>
    <w:uiPriority w:val="0"/>
    <w:pPr>
      <w:spacing w:line="360" w:lineRule="auto"/>
      <w:ind w:firstLine="480" w:firstLineChars="200"/>
      <w:jc w:val="both"/>
    </w:pPr>
    <w:rPr>
      <w:rFonts w:ascii="宋体" w:hAnsi="宋体" w:eastAsiaTheme="minorEastAsia" w:cstheme="minorBidi"/>
      <w:kern w:val="2"/>
      <w:sz w:val="24"/>
      <w:szCs w:val="22"/>
      <w:lang w:val="en-US" w:eastAsia="zh-CN" w:bidi="ar-SA"/>
    </w:rPr>
  </w:style>
  <w:style w:type="character" w:customStyle="1" w:styleId="105">
    <w:name w:val="正文文本 3 Char"/>
    <w:autoRedefine/>
    <w:qFormat/>
    <w:uiPriority w:val="0"/>
    <w:rPr>
      <w:sz w:val="16"/>
      <w:szCs w:val="16"/>
    </w:rPr>
  </w:style>
  <w:style w:type="character" w:customStyle="1" w:styleId="106">
    <w:name w:val="font01"/>
    <w:basedOn w:val="62"/>
    <w:autoRedefine/>
    <w:qFormat/>
    <w:uiPriority w:val="0"/>
    <w:rPr>
      <w:rFonts w:hint="eastAsia" w:ascii="宋体" w:hAnsi="宋体" w:eastAsia="宋体" w:cs="宋体"/>
      <w:color w:val="000000"/>
      <w:sz w:val="24"/>
      <w:szCs w:val="24"/>
      <w:u w:val="none"/>
      <w:vertAlign w:val="superscript"/>
    </w:rPr>
  </w:style>
  <w:style w:type="character" w:customStyle="1" w:styleId="107">
    <w:name w:val="Table Description Char Char"/>
    <w:link w:val="108"/>
    <w:autoRedefine/>
    <w:qFormat/>
    <w:uiPriority w:val="0"/>
    <w:rPr>
      <w:rFonts w:ascii="Arial" w:hAnsi="Arial" w:eastAsia="黑体"/>
      <w:sz w:val="18"/>
    </w:rPr>
  </w:style>
  <w:style w:type="paragraph" w:customStyle="1" w:styleId="108">
    <w:name w:val="Table Description"/>
    <w:next w:val="1"/>
    <w:link w:val="107"/>
    <w:autoRedefine/>
    <w:qFormat/>
    <w:uiPriority w:val="0"/>
    <w:pPr>
      <w:keepNext/>
      <w:snapToGrid w:val="0"/>
      <w:spacing w:before="160" w:after="80"/>
      <w:ind w:left="1038"/>
      <w:jc w:val="center"/>
    </w:pPr>
    <w:rPr>
      <w:rFonts w:ascii="Arial" w:hAnsi="Arial" w:eastAsia="黑体" w:cstheme="minorBidi"/>
      <w:kern w:val="2"/>
      <w:sz w:val="18"/>
      <w:szCs w:val="22"/>
      <w:lang w:val="en-US" w:eastAsia="zh-CN" w:bidi="ar-SA"/>
    </w:rPr>
  </w:style>
  <w:style w:type="character" w:customStyle="1" w:styleId="109">
    <w:name w:val="表格标题(居中) Char"/>
    <w:link w:val="110"/>
    <w:autoRedefine/>
    <w:qFormat/>
    <w:uiPriority w:val="0"/>
    <w:rPr>
      <w:rFonts w:eastAsia="黑体"/>
      <w:sz w:val="24"/>
    </w:rPr>
  </w:style>
  <w:style w:type="paragraph" w:customStyle="1" w:styleId="110">
    <w:name w:val="表格标题(居中)"/>
    <w:basedOn w:val="1"/>
    <w:link w:val="109"/>
    <w:autoRedefine/>
    <w:qFormat/>
    <w:uiPriority w:val="0"/>
    <w:pPr>
      <w:snapToGrid w:val="0"/>
      <w:spacing w:line="300" w:lineRule="auto"/>
      <w:jc w:val="center"/>
    </w:pPr>
    <w:rPr>
      <w:rFonts w:eastAsia="黑体" w:asciiTheme="minorHAnsi" w:hAnsiTheme="minorHAnsi" w:cstheme="minorBidi"/>
      <w:sz w:val="24"/>
      <w:szCs w:val="22"/>
    </w:rPr>
  </w:style>
  <w:style w:type="character" w:customStyle="1" w:styleId="111">
    <w:name w:val="称呼 Char"/>
    <w:autoRedefine/>
    <w:qFormat/>
    <w:uiPriority w:val="0"/>
    <w:rPr>
      <w:szCs w:val="24"/>
    </w:rPr>
  </w:style>
  <w:style w:type="character" w:customStyle="1" w:styleId="112">
    <w:name w:val="样式 目录 2 + 宋体 Char"/>
    <w:link w:val="113"/>
    <w:autoRedefine/>
    <w:qFormat/>
    <w:uiPriority w:val="0"/>
    <w:rPr>
      <w:rFonts w:ascii="宋体" w:hAnsi="宋体"/>
      <w:sz w:val="28"/>
    </w:rPr>
  </w:style>
  <w:style w:type="paragraph" w:customStyle="1" w:styleId="113">
    <w:name w:val="样式 目录 2 + 宋体"/>
    <w:basedOn w:val="2"/>
    <w:next w:val="2"/>
    <w:link w:val="112"/>
    <w:autoRedefine/>
    <w:qFormat/>
    <w:uiPriority w:val="0"/>
    <w:pPr>
      <w:autoSpaceDE/>
      <w:autoSpaceDN/>
      <w:adjustRightInd/>
      <w:spacing w:after="120" w:line="240" w:lineRule="auto"/>
      <w:jc w:val="both"/>
    </w:pPr>
    <w:rPr>
      <w:rFonts w:hAnsi="宋体"/>
      <w:color w:val="auto"/>
      <w:szCs w:val="22"/>
    </w:rPr>
  </w:style>
  <w:style w:type="character" w:customStyle="1" w:styleId="114">
    <w:name w:val="副标题 Char1"/>
    <w:autoRedefine/>
    <w:qFormat/>
    <w:uiPriority w:val="0"/>
    <w:rPr>
      <w:rFonts w:ascii="Cambria" w:hAnsi="Cambria" w:cs="Times New Roman"/>
      <w:b/>
      <w:bCs/>
      <w:kern w:val="28"/>
      <w:sz w:val="32"/>
      <w:szCs w:val="32"/>
    </w:rPr>
  </w:style>
  <w:style w:type="character" w:customStyle="1" w:styleId="115">
    <w:name w:val="正文首行缩进 Char"/>
    <w:autoRedefine/>
    <w:qFormat/>
    <w:uiPriority w:val="0"/>
    <w:rPr>
      <w:rFonts w:ascii="宋体"/>
      <w:color w:val="000000"/>
      <w:szCs w:val="32"/>
    </w:rPr>
  </w:style>
  <w:style w:type="character" w:customStyle="1" w:styleId="116">
    <w:name w:val="正文文本缩进 2 Char"/>
    <w:autoRedefine/>
    <w:qFormat/>
    <w:locked/>
    <w:uiPriority w:val="0"/>
    <w:rPr>
      <w:rFonts w:ascii="幼圆" w:eastAsia="幼圆"/>
      <w:color w:val="000000"/>
      <w:sz w:val="30"/>
      <w:szCs w:val="32"/>
    </w:rPr>
  </w:style>
  <w:style w:type="character" w:customStyle="1" w:styleId="117">
    <w:name w:val="font81"/>
    <w:autoRedefine/>
    <w:qFormat/>
    <w:uiPriority w:val="0"/>
    <w:rPr>
      <w:rFonts w:hint="eastAsia" w:ascii="宋体" w:hAnsi="宋体" w:eastAsia="宋体" w:cs="宋体"/>
      <w:color w:val="000000"/>
      <w:sz w:val="20"/>
      <w:szCs w:val="20"/>
      <w:u w:val="none"/>
    </w:rPr>
  </w:style>
  <w:style w:type="character" w:customStyle="1" w:styleId="118">
    <w:name w:val="正文文本 Char"/>
    <w:autoRedefine/>
    <w:qFormat/>
    <w:uiPriority w:val="0"/>
    <w:rPr>
      <w:rFonts w:ascii="宋体"/>
      <w:color w:val="000000"/>
      <w:sz w:val="28"/>
      <w:szCs w:val="32"/>
    </w:rPr>
  </w:style>
  <w:style w:type="character" w:customStyle="1" w:styleId="119">
    <w:name w:val="尾注文本 Char"/>
    <w:basedOn w:val="62"/>
    <w:autoRedefine/>
    <w:qFormat/>
    <w:uiPriority w:val="0"/>
  </w:style>
  <w:style w:type="character" w:customStyle="1" w:styleId="120">
    <w:name w:val="HTML 预设格式 Char1"/>
    <w:autoRedefine/>
    <w:semiHidden/>
    <w:qFormat/>
    <w:uiPriority w:val="0"/>
    <w:rPr>
      <w:rFonts w:ascii="Courier New" w:hAnsi="Courier New" w:eastAsia="宋体" w:cs="Courier New"/>
      <w:sz w:val="20"/>
      <w:szCs w:val="20"/>
    </w:rPr>
  </w:style>
  <w:style w:type="character" w:customStyle="1" w:styleId="121">
    <w:name w:val="3zw1"/>
    <w:autoRedefine/>
    <w:qFormat/>
    <w:uiPriority w:val="0"/>
    <w:rPr>
      <w:color w:val="000000"/>
      <w:sz w:val="21"/>
      <w:szCs w:val="21"/>
    </w:rPr>
  </w:style>
  <w:style w:type="character" w:customStyle="1" w:styleId="122">
    <w:name w:val="正文缩进 Char"/>
    <w:link w:val="17"/>
    <w:autoRedefine/>
    <w:qFormat/>
    <w:uiPriority w:val="0"/>
    <w:rPr>
      <w:szCs w:val="24"/>
    </w:rPr>
  </w:style>
  <w:style w:type="character" w:customStyle="1" w:styleId="123">
    <w:name w:val="正文2级 Char"/>
    <w:link w:val="124"/>
    <w:autoRedefine/>
    <w:qFormat/>
    <w:uiPriority w:val="0"/>
    <w:rPr>
      <w:bCs/>
      <w:kern w:val="44"/>
      <w:sz w:val="24"/>
      <w:szCs w:val="44"/>
    </w:rPr>
  </w:style>
  <w:style w:type="paragraph" w:customStyle="1" w:styleId="124">
    <w:name w:val="正文2级"/>
    <w:link w:val="123"/>
    <w:autoRedefine/>
    <w:qFormat/>
    <w:uiPriority w:val="0"/>
    <w:pPr>
      <w:widowControl w:val="0"/>
      <w:spacing w:after="60" w:line="400" w:lineRule="exact"/>
      <w:jc w:val="both"/>
    </w:pPr>
    <w:rPr>
      <w:rFonts w:asciiTheme="minorHAnsi" w:hAnsiTheme="minorHAnsi" w:eastAsiaTheme="minorEastAsia" w:cstheme="minorBidi"/>
      <w:bCs/>
      <w:kern w:val="44"/>
      <w:sz w:val="24"/>
      <w:szCs w:val="44"/>
      <w:lang w:val="en-US" w:eastAsia="zh-CN" w:bidi="ar-SA"/>
    </w:rPr>
  </w:style>
  <w:style w:type="character" w:customStyle="1" w:styleId="125">
    <w:name w:val="param-name"/>
    <w:autoRedefine/>
    <w:qFormat/>
    <w:uiPriority w:val="0"/>
  </w:style>
  <w:style w:type="character" w:customStyle="1" w:styleId="126">
    <w:name w:val="Table Text Char1"/>
    <w:autoRedefine/>
    <w:qFormat/>
    <w:uiPriority w:val="0"/>
    <w:rPr>
      <w:rFonts w:ascii="Arial" w:hAnsi="Arial" w:eastAsia="宋体" w:cs="Arial"/>
      <w:snapToGrid w:val="0"/>
      <w:sz w:val="21"/>
      <w:szCs w:val="21"/>
      <w:lang w:val="en-US" w:eastAsia="zh-CN" w:bidi="ar-SA"/>
    </w:rPr>
  </w:style>
  <w:style w:type="character" w:customStyle="1" w:styleId="127">
    <w:name w:val="word21"/>
    <w:autoRedefine/>
    <w:qFormat/>
    <w:uiPriority w:val="0"/>
    <w:rPr>
      <w:b/>
      <w:bCs/>
      <w:color w:val="194D7C"/>
      <w:spacing w:val="400"/>
      <w:sz w:val="24"/>
      <w:szCs w:val="24"/>
    </w:rPr>
  </w:style>
  <w:style w:type="character" w:customStyle="1" w:styleId="128">
    <w:name w:val="页眉 Char1"/>
    <w:autoRedefine/>
    <w:semiHidden/>
    <w:qFormat/>
    <w:uiPriority w:val="99"/>
    <w:rPr>
      <w:rFonts w:ascii="Times New Roman" w:hAnsi="Times New Roman" w:eastAsia="宋体" w:cs="Times New Roman"/>
      <w:sz w:val="18"/>
      <w:szCs w:val="18"/>
    </w:rPr>
  </w:style>
  <w:style w:type="character" w:customStyle="1" w:styleId="129">
    <w:name w:val="表格非标题文字 Char"/>
    <w:link w:val="130"/>
    <w:autoRedefine/>
    <w:qFormat/>
    <w:uiPriority w:val="0"/>
    <w:rPr>
      <w:rFonts w:ascii="Arial" w:hAnsi="Arial"/>
      <w:sz w:val="18"/>
      <w:szCs w:val="21"/>
    </w:rPr>
  </w:style>
  <w:style w:type="paragraph" w:customStyle="1" w:styleId="130">
    <w:name w:val="表格非标题文字"/>
    <w:link w:val="129"/>
    <w:autoRedefine/>
    <w:qFormat/>
    <w:uiPriority w:val="0"/>
    <w:pPr>
      <w:snapToGrid w:val="0"/>
      <w:spacing w:before="80" w:after="40"/>
    </w:pPr>
    <w:rPr>
      <w:rFonts w:ascii="Arial" w:hAnsi="Arial" w:eastAsiaTheme="minorEastAsia" w:cstheme="minorBidi"/>
      <w:kern w:val="2"/>
      <w:sz w:val="18"/>
      <w:szCs w:val="21"/>
      <w:lang w:val="en-US" w:eastAsia="zh-CN" w:bidi="ar-SA"/>
    </w:rPr>
  </w:style>
  <w:style w:type="character" w:customStyle="1" w:styleId="131">
    <w:name w:val="正文首行缩进 2 Char1"/>
    <w:basedOn w:val="132"/>
    <w:autoRedefine/>
    <w:qFormat/>
    <w:uiPriority w:val="0"/>
    <w:rPr>
      <w:rFonts w:ascii="楷体_GB2312" w:eastAsia="楷体_GB2312"/>
      <w:kern w:val="2"/>
      <w:sz w:val="28"/>
      <w:szCs w:val="31"/>
    </w:rPr>
  </w:style>
  <w:style w:type="character" w:customStyle="1" w:styleId="132">
    <w:name w:val="正文文本缩进 Char1"/>
    <w:autoRedefine/>
    <w:qFormat/>
    <w:uiPriority w:val="0"/>
    <w:rPr>
      <w:rFonts w:ascii="楷体_GB2312" w:eastAsia="楷体_GB2312"/>
      <w:kern w:val="2"/>
      <w:sz w:val="28"/>
      <w:szCs w:val="31"/>
    </w:rPr>
  </w:style>
  <w:style w:type="character" w:customStyle="1" w:styleId="133">
    <w:name w:val="正文新 Char"/>
    <w:link w:val="134"/>
    <w:autoRedefine/>
    <w:qFormat/>
    <w:uiPriority w:val="0"/>
    <w:rPr>
      <w:rFonts w:ascii="宋体" w:hAnsi="宋体"/>
      <w:sz w:val="28"/>
    </w:rPr>
  </w:style>
  <w:style w:type="paragraph" w:customStyle="1" w:styleId="134">
    <w:name w:val="正文新"/>
    <w:basedOn w:val="1"/>
    <w:link w:val="133"/>
    <w:autoRedefine/>
    <w:qFormat/>
    <w:uiPriority w:val="0"/>
    <w:pPr>
      <w:spacing w:line="360" w:lineRule="auto"/>
      <w:ind w:firstLine="200" w:firstLineChars="200"/>
      <w:jc w:val="left"/>
    </w:pPr>
    <w:rPr>
      <w:rFonts w:ascii="宋体" w:hAnsi="宋体" w:eastAsiaTheme="minorEastAsia" w:cstheme="minorBidi"/>
      <w:sz w:val="28"/>
      <w:szCs w:val="22"/>
    </w:rPr>
  </w:style>
  <w:style w:type="character" w:customStyle="1" w:styleId="135">
    <w:name w:val="font31"/>
    <w:basedOn w:val="62"/>
    <w:autoRedefine/>
    <w:qFormat/>
    <w:uiPriority w:val="0"/>
    <w:rPr>
      <w:rFonts w:hint="default" w:ascii="Times New Roman" w:hAnsi="Times New Roman" w:cs="Times New Roman"/>
      <w:color w:val="000000"/>
      <w:sz w:val="20"/>
      <w:szCs w:val="20"/>
      <w:u w:val="none"/>
    </w:rPr>
  </w:style>
  <w:style w:type="character" w:customStyle="1" w:styleId="136">
    <w:name w:val="B正文 Char"/>
    <w:link w:val="137"/>
    <w:autoRedefine/>
    <w:qFormat/>
    <w:locked/>
    <w:uiPriority w:val="0"/>
    <w:rPr>
      <w:rFonts w:ascii="宋体" w:hAnsi="宋体"/>
      <w:sz w:val="24"/>
    </w:rPr>
  </w:style>
  <w:style w:type="paragraph" w:customStyle="1" w:styleId="137">
    <w:name w:val="B正文"/>
    <w:basedOn w:val="1"/>
    <w:link w:val="136"/>
    <w:autoRedefine/>
    <w:qFormat/>
    <w:uiPriority w:val="0"/>
    <w:pPr>
      <w:widowControl/>
      <w:spacing w:line="360" w:lineRule="auto"/>
      <w:ind w:firstLine="200" w:firstLineChars="200"/>
    </w:pPr>
    <w:rPr>
      <w:rFonts w:ascii="宋体" w:hAnsi="宋体" w:eastAsiaTheme="minorEastAsia" w:cstheme="minorBidi"/>
      <w:sz w:val="24"/>
      <w:szCs w:val="22"/>
    </w:rPr>
  </w:style>
  <w:style w:type="character" w:customStyle="1" w:styleId="138">
    <w:name w:val="日期 Char"/>
    <w:autoRedefine/>
    <w:qFormat/>
    <w:locked/>
    <w:uiPriority w:val="0"/>
    <w:rPr>
      <w:rFonts w:eastAsia="仿宋_GB2312"/>
      <w:color w:val="000000"/>
      <w:sz w:val="28"/>
      <w:szCs w:val="24"/>
    </w:rPr>
  </w:style>
  <w:style w:type="character" w:customStyle="1" w:styleId="139">
    <w:name w:val="缩进 Char"/>
    <w:link w:val="140"/>
    <w:autoRedefine/>
    <w:qFormat/>
    <w:uiPriority w:val="0"/>
    <w:rPr>
      <w:color w:val="0000FF"/>
      <w:szCs w:val="18"/>
    </w:rPr>
  </w:style>
  <w:style w:type="paragraph" w:customStyle="1" w:styleId="140">
    <w:name w:val="缩进"/>
    <w:link w:val="139"/>
    <w:autoRedefine/>
    <w:qFormat/>
    <w:uiPriority w:val="0"/>
    <w:pPr>
      <w:spacing w:beforeLines="50" w:afterLines="50" w:line="320" w:lineRule="exact"/>
      <w:ind w:left="630" w:leftChars="300" w:firstLine="420" w:firstLineChars="200"/>
      <w:jc w:val="both"/>
    </w:pPr>
    <w:rPr>
      <w:rFonts w:asciiTheme="minorHAnsi" w:hAnsiTheme="minorHAnsi" w:eastAsiaTheme="minorEastAsia" w:cstheme="minorBidi"/>
      <w:color w:val="0000FF"/>
      <w:kern w:val="2"/>
      <w:sz w:val="21"/>
      <w:szCs w:val="18"/>
      <w:lang w:val="en-US" w:eastAsia="zh-CN" w:bidi="ar-SA"/>
    </w:rPr>
  </w:style>
  <w:style w:type="character" w:customStyle="1" w:styleId="141">
    <w:name w:val="font41"/>
    <w:autoRedefine/>
    <w:qFormat/>
    <w:uiPriority w:val="0"/>
    <w:rPr>
      <w:rFonts w:hint="eastAsia" w:ascii="宋体" w:hAnsi="宋体" w:eastAsia="宋体" w:cs="宋体"/>
      <w:color w:val="000000"/>
      <w:sz w:val="20"/>
      <w:szCs w:val="20"/>
      <w:u w:val="none"/>
    </w:rPr>
  </w:style>
  <w:style w:type="character" w:customStyle="1" w:styleId="142">
    <w:name w:val="txt"/>
    <w:basedOn w:val="62"/>
    <w:autoRedefine/>
    <w:qFormat/>
    <w:uiPriority w:val="0"/>
  </w:style>
  <w:style w:type="character" w:customStyle="1" w:styleId="143">
    <w:name w:val="首行缩进 Char Char1"/>
    <w:link w:val="144"/>
    <w:autoRedefine/>
    <w:qFormat/>
    <w:locked/>
    <w:uiPriority w:val="0"/>
    <w:rPr>
      <w:sz w:val="24"/>
      <w:szCs w:val="24"/>
    </w:rPr>
  </w:style>
  <w:style w:type="paragraph" w:customStyle="1" w:styleId="144">
    <w:name w:val="首行缩进 Char"/>
    <w:basedOn w:val="1"/>
    <w:next w:val="17"/>
    <w:link w:val="143"/>
    <w:autoRedefine/>
    <w:qFormat/>
    <w:uiPriority w:val="0"/>
    <w:pPr>
      <w:spacing w:line="300" w:lineRule="auto"/>
      <w:ind w:firstLine="420"/>
    </w:pPr>
    <w:rPr>
      <w:rFonts w:asciiTheme="minorHAnsi" w:hAnsiTheme="minorHAnsi" w:eastAsiaTheme="minorEastAsia" w:cstheme="minorBidi"/>
      <w:sz w:val="24"/>
    </w:rPr>
  </w:style>
  <w:style w:type="character" w:customStyle="1" w:styleId="145">
    <w:name w:val="ca-131"/>
    <w:autoRedefine/>
    <w:qFormat/>
    <w:uiPriority w:val="0"/>
    <w:rPr>
      <w:rFonts w:hint="default" w:ascii="Times New Roman" w:hAnsi="Times New Roman" w:cs="Times New Roman"/>
      <w:sz w:val="21"/>
      <w:szCs w:val="21"/>
    </w:rPr>
  </w:style>
  <w:style w:type="character" w:customStyle="1" w:styleId="146">
    <w:name w:val="标题 Char"/>
    <w:autoRedefine/>
    <w:qFormat/>
    <w:uiPriority w:val="0"/>
    <w:rPr>
      <w:rFonts w:ascii="Arial" w:hAnsi="Arial"/>
      <w:b/>
      <w:bCs/>
      <w:sz w:val="32"/>
      <w:szCs w:val="32"/>
    </w:rPr>
  </w:style>
  <w:style w:type="character" w:customStyle="1" w:styleId="147">
    <w:name w:val="悬挂22 Char"/>
    <w:link w:val="148"/>
    <w:autoRedefine/>
    <w:qFormat/>
    <w:uiPriority w:val="0"/>
    <w:rPr>
      <w:color w:val="FF0000"/>
      <w:szCs w:val="28"/>
    </w:rPr>
  </w:style>
  <w:style w:type="paragraph" w:customStyle="1" w:styleId="148">
    <w:name w:val="悬挂22"/>
    <w:link w:val="147"/>
    <w:autoRedefine/>
    <w:qFormat/>
    <w:uiPriority w:val="0"/>
    <w:pPr>
      <w:spacing w:beforeLines="50" w:afterLines="50" w:line="320" w:lineRule="exact"/>
      <w:ind w:left="988" w:hanging="420"/>
      <w:jc w:val="both"/>
    </w:pPr>
    <w:rPr>
      <w:rFonts w:asciiTheme="minorHAnsi" w:hAnsiTheme="minorHAnsi" w:eastAsiaTheme="minorEastAsia" w:cstheme="minorBidi"/>
      <w:color w:val="FF0000"/>
      <w:kern w:val="2"/>
      <w:sz w:val="21"/>
      <w:szCs w:val="28"/>
      <w:lang w:val="en-US" w:eastAsia="zh-CN" w:bidi="ar-SA"/>
    </w:rPr>
  </w:style>
  <w:style w:type="character" w:customStyle="1" w:styleId="149">
    <w:name w:val="正文文本 Char1"/>
    <w:autoRedefine/>
    <w:qFormat/>
    <w:uiPriority w:val="0"/>
    <w:rPr>
      <w:rFonts w:ascii="楷体_GB2312" w:eastAsia="楷体_GB2312"/>
      <w:kern w:val="2"/>
      <w:sz w:val="28"/>
    </w:rPr>
  </w:style>
  <w:style w:type="character" w:customStyle="1" w:styleId="150">
    <w:name w:val="纯文本 Char"/>
    <w:autoRedefine/>
    <w:qFormat/>
    <w:uiPriority w:val="0"/>
    <w:rPr>
      <w:rFonts w:ascii="宋体" w:hAnsi="Courier New" w:cs="Courier New"/>
      <w:szCs w:val="21"/>
    </w:rPr>
  </w:style>
  <w:style w:type="character" w:customStyle="1" w:styleId="151">
    <w:name w:val="正文文本缩进 3 Char"/>
    <w:autoRedefine/>
    <w:qFormat/>
    <w:locked/>
    <w:uiPriority w:val="0"/>
    <w:rPr>
      <w:rFonts w:ascii="幼圆" w:eastAsia="幼圆"/>
      <w:sz w:val="24"/>
      <w:szCs w:val="32"/>
    </w:rPr>
  </w:style>
  <w:style w:type="character" w:customStyle="1" w:styleId="152">
    <w:name w:val="悬挂2 Char"/>
    <w:link w:val="153"/>
    <w:autoRedefine/>
    <w:qFormat/>
    <w:uiPriority w:val="0"/>
    <w:rPr>
      <w:rFonts w:asciiTheme="minorHAnsi" w:hAnsiTheme="minorHAnsi" w:eastAsiaTheme="minorEastAsia" w:cstheme="minorBidi"/>
      <w:kern w:val="2"/>
      <w:sz w:val="21"/>
      <w:szCs w:val="21"/>
    </w:rPr>
  </w:style>
  <w:style w:type="paragraph" w:customStyle="1" w:styleId="153">
    <w:name w:val="悬挂2"/>
    <w:link w:val="152"/>
    <w:autoRedefine/>
    <w:qFormat/>
    <w:uiPriority w:val="0"/>
    <w:pPr>
      <w:numPr>
        <w:ilvl w:val="0"/>
        <w:numId w:val="2"/>
      </w:numPr>
      <w:spacing w:beforeLines="50" w:afterLines="50" w:line="320" w:lineRule="exact"/>
      <w:jc w:val="both"/>
    </w:pPr>
    <w:rPr>
      <w:rFonts w:asciiTheme="minorHAnsi" w:hAnsiTheme="minorHAnsi" w:eastAsiaTheme="minorEastAsia" w:cstheme="minorBidi"/>
      <w:kern w:val="2"/>
      <w:sz w:val="21"/>
      <w:szCs w:val="21"/>
      <w:lang w:val="en-US" w:eastAsia="zh-CN" w:bidi="ar-SA"/>
    </w:rPr>
  </w:style>
  <w:style w:type="character" w:customStyle="1" w:styleId="154">
    <w:name w:val="Char Char5"/>
    <w:autoRedefine/>
    <w:qFormat/>
    <w:uiPriority w:val="0"/>
    <w:rPr>
      <w:rFonts w:ascii="Times New Roman" w:hAnsi="Times New Roman" w:eastAsia="宋体"/>
      <w:sz w:val="18"/>
    </w:rPr>
  </w:style>
  <w:style w:type="character" w:customStyle="1" w:styleId="155">
    <w:name w:val="prod_content_font_011"/>
    <w:autoRedefine/>
    <w:qFormat/>
    <w:uiPriority w:val="0"/>
    <w:rPr>
      <w:rFonts w:hint="default" w:ascii="Verdana" w:hAnsi="Verdana"/>
      <w:color w:val="5E5E5E"/>
      <w:sz w:val="17"/>
      <w:szCs w:val="17"/>
    </w:rPr>
  </w:style>
  <w:style w:type="character" w:customStyle="1" w:styleId="156">
    <w:name w:val="尾注文本 Char1"/>
    <w:autoRedefine/>
    <w:qFormat/>
    <w:uiPriority w:val="99"/>
    <w:rPr>
      <w:kern w:val="2"/>
      <w:sz w:val="21"/>
      <w:szCs w:val="24"/>
    </w:rPr>
  </w:style>
  <w:style w:type="character" w:customStyle="1" w:styleId="157">
    <w:name w:val="普通 (Web) Char"/>
    <w:link w:val="158"/>
    <w:autoRedefine/>
    <w:qFormat/>
    <w:uiPriority w:val="99"/>
    <w:rPr>
      <w:rFonts w:ascii="宋体" w:hAnsi="宋体"/>
      <w:sz w:val="24"/>
      <w:szCs w:val="24"/>
    </w:rPr>
  </w:style>
  <w:style w:type="paragraph" w:customStyle="1" w:styleId="158">
    <w:name w:val="普通 (Web)"/>
    <w:basedOn w:val="1"/>
    <w:link w:val="157"/>
    <w:autoRedefine/>
    <w:qFormat/>
    <w:uiPriority w:val="99"/>
    <w:pPr>
      <w:widowControl/>
      <w:spacing w:before="100" w:beforeAutospacing="1" w:after="100" w:afterAutospacing="1"/>
      <w:jc w:val="left"/>
    </w:pPr>
    <w:rPr>
      <w:rFonts w:ascii="宋体" w:hAnsi="宋体" w:eastAsiaTheme="minorEastAsia" w:cstheme="minorBidi"/>
      <w:sz w:val="24"/>
    </w:rPr>
  </w:style>
  <w:style w:type="character" w:customStyle="1" w:styleId="159">
    <w:name w:val="标题 Char1"/>
    <w:autoRedefine/>
    <w:qFormat/>
    <w:uiPriority w:val="0"/>
    <w:rPr>
      <w:rFonts w:ascii="Cambria" w:hAnsi="Cambria" w:cs="Times New Roman"/>
      <w:b/>
      <w:bCs/>
      <w:kern w:val="2"/>
      <w:sz w:val="32"/>
      <w:szCs w:val="32"/>
    </w:rPr>
  </w:style>
  <w:style w:type="character" w:customStyle="1" w:styleId="160">
    <w:name w:val="正文缩进 Char1"/>
    <w:autoRedefine/>
    <w:qFormat/>
    <w:uiPriority w:val="0"/>
    <w:rPr>
      <w:rFonts w:eastAsia="宋体"/>
      <w:kern w:val="2"/>
      <w:sz w:val="21"/>
      <w:szCs w:val="24"/>
      <w:lang w:val="en-US" w:eastAsia="zh-CN" w:bidi="ar-SA"/>
    </w:rPr>
  </w:style>
  <w:style w:type="character" w:customStyle="1" w:styleId="161">
    <w:name w:val="正文文本缩进 Char"/>
    <w:autoRedefine/>
    <w:qFormat/>
    <w:uiPriority w:val="0"/>
    <w:rPr>
      <w:rFonts w:ascii="宋体"/>
      <w:color w:val="000000"/>
      <w:sz w:val="32"/>
      <w:szCs w:val="32"/>
    </w:rPr>
  </w:style>
  <w:style w:type="character" w:customStyle="1" w:styleId="162">
    <w:name w:val="Table Text Char"/>
    <w:link w:val="163"/>
    <w:autoRedefine/>
    <w:qFormat/>
    <w:uiPriority w:val="0"/>
    <w:rPr>
      <w:rFonts w:ascii="Arial" w:hAnsi="Arial"/>
      <w:sz w:val="18"/>
    </w:rPr>
  </w:style>
  <w:style w:type="paragraph" w:customStyle="1" w:styleId="163">
    <w:name w:val="Table Text"/>
    <w:link w:val="162"/>
    <w:autoRedefine/>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164">
    <w:name w:val="批注框文本 Char"/>
    <w:autoRedefine/>
    <w:qFormat/>
    <w:uiPriority w:val="99"/>
    <w:rPr>
      <w:rFonts w:ascii="Times New Roman" w:hAnsi="Times New Roman"/>
      <w:kern w:val="2"/>
      <w:sz w:val="18"/>
      <w:szCs w:val="18"/>
    </w:rPr>
  </w:style>
  <w:style w:type="character" w:customStyle="1" w:styleId="165">
    <w:name w:val="Table Heading Char"/>
    <w:link w:val="166"/>
    <w:autoRedefine/>
    <w:qFormat/>
    <w:uiPriority w:val="0"/>
    <w:rPr>
      <w:rFonts w:ascii="Arial" w:hAnsi="Arial" w:eastAsia="黑体" w:cs="Book Antiqua"/>
      <w:bCs/>
      <w:snapToGrid w:val="0"/>
      <w:szCs w:val="21"/>
    </w:rPr>
  </w:style>
  <w:style w:type="paragraph" w:customStyle="1" w:styleId="166">
    <w:name w:val="Table Heading"/>
    <w:basedOn w:val="1"/>
    <w:link w:val="165"/>
    <w:autoRedefine/>
    <w:qFormat/>
    <w:uiPriority w:val="0"/>
    <w:pPr>
      <w:keepNext/>
      <w:topLinePunct/>
      <w:adjustRightInd w:val="0"/>
      <w:snapToGrid w:val="0"/>
      <w:spacing w:before="80" w:after="80" w:line="240" w:lineRule="atLeast"/>
      <w:jc w:val="left"/>
    </w:pPr>
    <w:rPr>
      <w:rFonts w:ascii="Arial" w:hAnsi="Arial" w:eastAsia="黑体" w:cs="Book Antiqua"/>
      <w:bCs/>
      <w:snapToGrid w:val="0"/>
      <w:szCs w:val="21"/>
    </w:rPr>
  </w:style>
  <w:style w:type="character" w:customStyle="1" w:styleId="167">
    <w:name w:val="样式 宋体"/>
    <w:autoRedefine/>
    <w:qFormat/>
    <w:uiPriority w:val="0"/>
    <w:rPr>
      <w:rFonts w:ascii="宋体" w:hAnsi="宋体" w:eastAsia="宋体"/>
      <w:sz w:val="24"/>
      <w:szCs w:val="24"/>
    </w:rPr>
  </w:style>
  <w:style w:type="character" w:customStyle="1" w:styleId="168">
    <w:name w:val="正文文本 2 Char"/>
    <w:autoRedefine/>
    <w:qFormat/>
    <w:uiPriority w:val="0"/>
    <w:rPr>
      <w:rFonts w:ascii="宋体" w:hAnsi="宋体"/>
      <w:sz w:val="24"/>
      <w:szCs w:val="24"/>
    </w:rPr>
  </w:style>
  <w:style w:type="character" w:customStyle="1" w:styleId="169">
    <w:name w:val="myp1111"/>
    <w:autoRedefine/>
    <w:qFormat/>
    <w:uiPriority w:val="0"/>
    <w:rPr>
      <w:rFonts w:hint="default" w:ascii="ˎ̥" w:hAnsi="ˎ̥"/>
      <w:color w:val="000000"/>
      <w:sz w:val="15"/>
      <w:szCs w:val="15"/>
      <w:u w:val="none"/>
    </w:rPr>
  </w:style>
  <w:style w:type="character" w:customStyle="1" w:styleId="170">
    <w:name w:val="hang1"/>
    <w:basedOn w:val="62"/>
    <w:autoRedefine/>
    <w:qFormat/>
    <w:uiPriority w:val="0"/>
  </w:style>
  <w:style w:type="character" w:customStyle="1" w:styleId="171">
    <w:name w:val="段 Char Char"/>
    <w:autoRedefine/>
    <w:qFormat/>
    <w:uiPriority w:val="0"/>
    <w:rPr>
      <w:rFonts w:ascii="宋体"/>
      <w:sz w:val="21"/>
      <w:lang w:val="en-US" w:eastAsia="zh-CN" w:bidi="ar-SA"/>
    </w:rPr>
  </w:style>
  <w:style w:type="character" w:customStyle="1" w:styleId="172">
    <w:name w:val="悬挂1 Char"/>
    <w:link w:val="173"/>
    <w:autoRedefine/>
    <w:qFormat/>
    <w:uiPriority w:val="0"/>
    <w:rPr>
      <w:szCs w:val="21"/>
    </w:rPr>
  </w:style>
  <w:style w:type="paragraph" w:customStyle="1" w:styleId="173">
    <w:name w:val="悬挂1"/>
    <w:link w:val="172"/>
    <w:autoRedefine/>
    <w:qFormat/>
    <w:uiPriority w:val="0"/>
    <w:pPr>
      <w:spacing w:beforeLines="50" w:afterLines="50" w:line="360" w:lineRule="auto"/>
      <w:ind w:left="420" w:hanging="420"/>
      <w:jc w:val="both"/>
    </w:pPr>
    <w:rPr>
      <w:rFonts w:asciiTheme="minorHAnsi" w:hAnsiTheme="minorHAnsi" w:eastAsiaTheme="minorEastAsia" w:cstheme="minorBidi"/>
      <w:kern w:val="2"/>
      <w:sz w:val="21"/>
      <w:szCs w:val="21"/>
      <w:lang w:val="en-US" w:eastAsia="zh-CN" w:bidi="ar-SA"/>
    </w:rPr>
  </w:style>
  <w:style w:type="character" w:customStyle="1" w:styleId="174">
    <w:name w:val="text_12_black1"/>
    <w:autoRedefine/>
    <w:qFormat/>
    <w:uiPriority w:val="0"/>
    <w:rPr>
      <w:rFonts w:hint="default" w:ascii="ˎ̥" w:hAnsi="ˎ̥"/>
      <w:color w:val="333333"/>
      <w:sz w:val="18"/>
      <w:szCs w:val="18"/>
      <w:u w:val="none"/>
    </w:rPr>
  </w:style>
  <w:style w:type="character" w:customStyle="1" w:styleId="175">
    <w:name w:val="font11"/>
    <w:autoRedefine/>
    <w:qFormat/>
    <w:uiPriority w:val="0"/>
    <w:rPr>
      <w:rFonts w:hint="eastAsia" w:ascii="宋体" w:hAnsi="宋体" w:eastAsia="宋体" w:cs="宋体"/>
      <w:color w:val="000000"/>
      <w:sz w:val="20"/>
      <w:szCs w:val="20"/>
      <w:u w:val="none"/>
    </w:rPr>
  </w:style>
  <w:style w:type="character" w:customStyle="1" w:styleId="176">
    <w:name w:val="正文缩进(ALT+Z) Char"/>
    <w:link w:val="177"/>
    <w:autoRedefine/>
    <w:qFormat/>
    <w:uiPriority w:val="0"/>
    <w:rPr>
      <w:sz w:val="24"/>
      <w:szCs w:val="24"/>
    </w:rPr>
  </w:style>
  <w:style w:type="paragraph" w:customStyle="1" w:styleId="177">
    <w:name w:val="正文缩进(ALT+Z)"/>
    <w:basedOn w:val="1"/>
    <w:link w:val="176"/>
    <w:autoRedefine/>
    <w:qFormat/>
    <w:uiPriority w:val="0"/>
    <w:pPr>
      <w:spacing w:line="360" w:lineRule="auto"/>
      <w:ind w:firstLine="200" w:firstLineChars="200"/>
    </w:pPr>
    <w:rPr>
      <w:rFonts w:asciiTheme="minorHAnsi" w:hAnsiTheme="minorHAnsi" w:eastAsiaTheme="minorEastAsia" w:cstheme="minorBidi"/>
      <w:sz w:val="24"/>
    </w:rPr>
  </w:style>
  <w:style w:type="character" w:customStyle="1" w:styleId="178">
    <w:name w:val="font21"/>
    <w:autoRedefine/>
    <w:qFormat/>
    <w:uiPriority w:val="0"/>
    <w:rPr>
      <w:rFonts w:hint="eastAsia" w:ascii="宋体" w:hAnsi="宋体" w:eastAsia="宋体" w:cs="宋体"/>
      <w:color w:val="000000"/>
      <w:sz w:val="24"/>
      <w:szCs w:val="24"/>
      <w:u w:val="none"/>
    </w:rPr>
  </w:style>
  <w:style w:type="character" w:customStyle="1" w:styleId="179">
    <w:name w:val="标题 3 Char1"/>
    <w:autoRedefine/>
    <w:qFormat/>
    <w:uiPriority w:val="0"/>
    <w:rPr>
      <w:b/>
      <w:bCs/>
      <w:kern w:val="2"/>
      <w:sz w:val="32"/>
      <w:szCs w:val="32"/>
    </w:rPr>
  </w:style>
  <w:style w:type="character" w:customStyle="1" w:styleId="180">
    <w:name w:val="页脚 Char1"/>
    <w:autoRedefine/>
    <w:semiHidden/>
    <w:qFormat/>
    <w:uiPriority w:val="0"/>
    <w:rPr>
      <w:rFonts w:ascii="Times New Roman" w:hAnsi="Times New Roman" w:eastAsia="宋体" w:cs="Times New Roman"/>
      <w:sz w:val="18"/>
      <w:szCs w:val="18"/>
    </w:rPr>
  </w:style>
  <w:style w:type="character" w:customStyle="1" w:styleId="181">
    <w:name w:val="z71"/>
    <w:autoRedefine/>
    <w:qFormat/>
    <w:uiPriority w:val="0"/>
    <w:rPr>
      <w:spacing w:val="300"/>
      <w:sz w:val="18"/>
      <w:szCs w:val="18"/>
    </w:rPr>
  </w:style>
  <w:style w:type="character" w:customStyle="1" w:styleId="182">
    <w:name w:val="四级大纲 Char"/>
    <w:link w:val="183"/>
    <w:autoRedefine/>
    <w:qFormat/>
    <w:uiPriority w:val="0"/>
    <w:rPr>
      <w:rFonts w:ascii="Calibri" w:hAnsi="Calibri" w:eastAsiaTheme="minorEastAsia" w:cstheme="minorBidi"/>
      <w:b/>
      <w:kern w:val="2"/>
      <w:sz w:val="30"/>
      <w:szCs w:val="22"/>
    </w:rPr>
  </w:style>
  <w:style w:type="paragraph" w:customStyle="1" w:styleId="183">
    <w:name w:val="四级大纲"/>
    <w:next w:val="104"/>
    <w:link w:val="182"/>
    <w:autoRedefine/>
    <w:qFormat/>
    <w:uiPriority w:val="0"/>
    <w:pPr>
      <w:numPr>
        <w:ilvl w:val="3"/>
        <w:numId w:val="3"/>
      </w:numPr>
      <w:outlineLvl w:val="3"/>
    </w:pPr>
    <w:rPr>
      <w:rFonts w:ascii="Calibri" w:hAnsi="Calibri" w:eastAsiaTheme="minorEastAsia" w:cstheme="minorBidi"/>
      <w:b/>
      <w:kern w:val="2"/>
      <w:sz w:val="30"/>
      <w:szCs w:val="22"/>
      <w:lang w:val="en-US" w:eastAsia="zh-CN" w:bidi="ar-SA"/>
    </w:rPr>
  </w:style>
  <w:style w:type="character" w:customStyle="1" w:styleId="184">
    <w:name w:val="文档正文 Char"/>
    <w:link w:val="185"/>
    <w:autoRedefine/>
    <w:qFormat/>
    <w:uiPriority w:val="0"/>
    <w:rPr>
      <w:rFonts w:ascii="Arial" w:eastAsia="长城仿宋"/>
      <w:sz w:val="28"/>
    </w:rPr>
  </w:style>
  <w:style w:type="paragraph" w:customStyle="1" w:styleId="185">
    <w:name w:val="文档正文"/>
    <w:basedOn w:val="1"/>
    <w:link w:val="184"/>
    <w:autoRedefine/>
    <w:qFormat/>
    <w:uiPriority w:val="0"/>
    <w:pPr>
      <w:adjustRightInd w:val="0"/>
      <w:spacing w:line="312" w:lineRule="atLeast"/>
      <w:ind w:firstLine="567"/>
      <w:textAlignment w:val="baseline"/>
    </w:pPr>
    <w:rPr>
      <w:rFonts w:ascii="Arial" w:eastAsia="长城仿宋" w:hAnsiTheme="minorHAnsi" w:cstheme="minorBidi"/>
      <w:sz w:val="28"/>
      <w:szCs w:val="22"/>
    </w:rPr>
  </w:style>
  <w:style w:type="character" w:customStyle="1" w:styleId="186">
    <w:name w:val="15"/>
    <w:autoRedefine/>
    <w:qFormat/>
    <w:uiPriority w:val="0"/>
    <w:rPr>
      <w:rFonts w:hint="default" w:ascii="Times New Roman" w:hAnsi="Times New Roman" w:cs="Times New Roman"/>
      <w:color w:val="0000FF"/>
      <w:u w:val="single"/>
    </w:rPr>
  </w:style>
  <w:style w:type="character" w:customStyle="1" w:styleId="187">
    <w:name w:val="批注主题 Char"/>
    <w:autoRedefine/>
    <w:qFormat/>
    <w:uiPriority w:val="99"/>
    <w:rPr>
      <w:b/>
      <w:szCs w:val="24"/>
    </w:rPr>
  </w:style>
  <w:style w:type="character" w:customStyle="1" w:styleId="188">
    <w:name w:val="纯文本 Char1"/>
    <w:autoRedefine/>
    <w:qFormat/>
    <w:uiPriority w:val="0"/>
    <w:rPr>
      <w:rFonts w:ascii="宋体" w:hAnsi="Courier New" w:cs="Courier New"/>
      <w:kern w:val="2"/>
      <w:sz w:val="21"/>
      <w:szCs w:val="21"/>
    </w:rPr>
  </w:style>
  <w:style w:type="character" w:customStyle="1" w:styleId="189">
    <w:name w:val="批注框文本 Char1"/>
    <w:autoRedefine/>
    <w:qFormat/>
    <w:locked/>
    <w:uiPriority w:val="0"/>
    <w:rPr>
      <w:sz w:val="18"/>
      <w:szCs w:val="18"/>
    </w:rPr>
  </w:style>
  <w:style w:type="character" w:customStyle="1" w:styleId="190">
    <w:name w:val="结束语 Char"/>
    <w:autoRedefine/>
    <w:qFormat/>
    <w:uiPriority w:val="0"/>
    <w:rPr>
      <w:rFonts w:ascii="宋体" w:hAnsi="宋体"/>
      <w:b/>
      <w:sz w:val="24"/>
      <w:szCs w:val="24"/>
    </w:rPr>
  </w:style>
  <w:style w:type="character" w:customStyle="1" w:styleId="191">
    <w:name w:val="正文文本 Char2"/>
    <w:autoRedefine/>
    <w:qFormat/>
    <w:uiPriority w:val="0"/>
    <w:rPr>
      <w:rFonts w:ascii="宋体"/>
      <w:color w:val="000000"/>
      <w:sz w:val="28"/>
      <w:szCs w:val="32"/>
    </w:rPr>
  </w:style>
  <w:style w:type="character" w:customStyle="1" w:styleId="192">
    <w:name w:val="文档结构图 Char"/>
    <w:autoRedefine/>
    <w:qFormat/>
    <w:uiPriority w:val="99"/>
    <w:rPr>
      <w:szCs w:val="24"/>
      <w:shd w:val="clear" w:color="auto" w:fill="000080"/>
    </w:rPr>
  </w:style>
  <w:style w:type="character" w:customStyle="1" w:styleId="193">
    <w:name w:val="contentheaderrev1"/>
    <w:autoRedefine/>
    <w:qFormat/>
    <w:uiPriority w:val="0"/>
    <w:rPr>
      <w:rFonts w:hint="default" w:ascii="Arial" w:hAnsi="Arial" w:cs="Arial"/>
      <w:b/>
      <w:bCs/>
      <w:color w:val="FFFFFF"/>
      <w:sz w:val="18"/>
      <w:szCs w:val="18"/>
      <w:u w:val="none"/>
    </w:rPr>
  </w:style>
  <w:style w:type="character" w:customStyle="1" w:styleId="194">
    <w:name w:val="z-窗体底端 Char1"/>
    <w:autoRedefine/>
    <w:qFormat/>
    <w:uiPriority w:val="0"/>
    <w:rPr>
      <w:rFonts w:ascii="Arial" w:hAnsi="Arial" w:cs="Arial"/>
      <w:vanish/>
      <w:kern w:val="2"/>
      <w:sz w:val="16"/>
      <w:szCs w:val="16"/>
    </w:rPr>
  </w:style>
  <w:style w:type="character" w:customStyle="1" w:styleId="195">
    <w:name w:val="content021"/>
    <w:autoRedefine/>
    <w:qFormat/>
    <w:uiPriority w:val="0"/>
    <w:rPr>
      <w:color w:val="444444"/>
      <w:spacing w:val="330"/>
      <w:sz w:val="21"/>
      <w:szCs w:val="21"/>
      <w:u w:val="none"/>
    </w:rPr>
  </w:style>
  <w:style w:type="character" w:customStyle="1" w:styleId="196">
    <w:name w:val="abcde1"/>
    <w:autoRedefine/>
    <w:qFormat/>
    <w:uiPriority w:val="0"/>
    <w:rPr>
      <w:spacing w:val="400"/>
      <w:sz w:val="26"/>
      <w:szCs w:val="26"/>
    </w:rPr>
  </w:style>
  <w:style w:type="character" w:customStyle="1" w:styleId="197">
    <w:name w:val="HTML 预设格式 Char"/>
    <w:autoRedefine/>
    <w:qFormat/>
    <w:uiPriority w:val="99"/>
    <w:rPr>
      <w:rFonts w:ascii="宋体" w:hAnsi="宋体" w:cs="宋体"/>
      <w:sz w:val="24"/>
      <w:szCs w:val="24"/>
    </w:rPr>
  </w:style>
  <w:style w:type="character" w:customStyle="1" w:styleId="198">
    <w:name w:val="结束语 Char1"/>
    <w:autoRedefine/>
    <w:qFormat/>
    <w:uiPriority w:val="0"/>
    <w:rPr>
      <w:kern w:val="2"/>
      <w:sz w:val="21"/>
      <w:szCs w:val="24"/>
    </w:rPr>
  </w:style>
  <w:style w:type="character" w:customStyle="1" w:styleId="199">
    <w:name w:val="常规 Char"/>
    <w:link w:val="200"/>
    <w:autoRedefine/>
    <w:qFormat/>
    <w:uiPriority w:val="0"/>
    <w:rPr>
      <w:rFonts w:ascii="Tahoma" w:hAnsi="Tahoma"/>
      <w:color w:val="000000"/>
      <w:sz w:val="28"/>
      <w:szCs w:val="21"/>
    </w:rPr>
  </w:style>
  <w:style w:type="paragraph" w:customStyle="1" w:styleId="200">
    <w:name w:val="常规"/>
    <w:basedOn w:val="1"/>
    <w:link w:val="199"/>
    <w:autoRedefine/>
    <w:qFormat/>
    <w:uiPriority w:val="0"/>
    <w:pPr>
      <w:spacing w:beforeLines="100" w:afterLines="100" w:line="360" w:lineRule="auto"/>
      <w:ind w:firstLine="560" w:firstLineChars="200"/>
      <w:jc w:val="center"/>
    </w:pPr>
    <w:rPr>
      <w:rFonts w:ascii="Tahoma" w:hAnsi="Tahoma" w:eastAsiaTheme="minorEastAsia" w:cstheme="minorBidi"/>
      <w:color w:val="000000"/>
      <w:sz w:val="28"/>
      <w:szCs w:val="21"/>
    </w:rPr>
  </w:style>
  <w:style w:type="character" w:customStyle="1" w:styleId="201">
    <w:name w:val="正文首行缩进 2 Char"/>
    <w:autoRedefine/>
    <w:qFormat/>
    <w:uiPriority w:val="0"/>
    <w:rPr>
      <w:rFonts w:ascii="仿宋_GB2312" w:eastAsia="仿宋_GB2312"/>
      <w:color w:val="000000"/>
      <w:sz w:val="24"/>
      <w:szCs w:val="24"/>
    </w:rPr>
  </w:style>
  <w:style w:type="character" w:customStyle="1" w:styleId="202">
    <w:name w:val="unnamed11"/>
    <w:autoRedefine/>
    <w:qFormat/>
    <w:uiPriority w:val="0"/>
    <w:rPr>
      <w:sz w:val="20"/>
      <w:szCs w:val="20"/>
    </w:rPr>
  </w:style>
  <w:style w:type="character" w:customStyle="1" w:styleId="203">
    <w:name w:val="题注 Char"/>
    <w:link w:val="19"/>
    <w:autoRedefine/>
    <w:qFormat/>
    <w:locked/>
    <w:uiPriority w:val="0"/>
    <w:rPr>
      <w:rFonts w:ascii="Arial" w:hAnsi="Arial" w:eastAsia="黑体"/>
    </w:rPr>
  </w:style>
  <w:style w:type="character" w:customStyle="1" w:styleId="204">
    <w:name w:val="text_12_subject1"/>
    <w:autoRedefine/>
    <w:qFormat/>
    <w:uiPriority w:val="0"/>
    <w:rPr>
      <w:rFonts w:hint="default" w:ascii="ˎ̥" w:hAnsi="ˎ̥"/>
      <w:b/>
      <w:bCs/>
      <w:color w:val="006699"/>
      <w:sz w:val="18"/>
      <w:szCs w:val="18"/>
      <w:u w:val="none"/>
    </w:rPr>
  </w:style>
  <w:style w:type="character" w:customStyle="1" w:styleId="205">
    <w:name w:val="正文文本 3 Char1"/>
    <w:autoRedefine/>
    <w:qFormat/>
    <w:uiPriority w:val="0"/>
    <w:rPr>
      <w:kern w:val="2"/>
      <w:sz w:val="16"/>
      <w:szCs w:val="16"/>
    </w:rPr>
  </w:style>
  <w:style w:type="character" w:customStyle="1" w:styleId="206">
    <w:name w:val="正文文本缩进 Char2"/>
    <w:autoRedefine/>
    <w:qFormat/>
    <w:uiPriority w:val="0"/>
    <w:rPr>
      <w:rFonts w:ascii="宋体"/>
      <w:color w:val="000000"/>
      <w:sz w:val="32"/>
      <w:szCs w:val="32"/>
    </w:rPr>
  </w:style>
  <w:style w:type="character" w:customStyle="1" w:styleId="207">
    <w:name w:val="z21"/>
    <w:autoRedefine/>
    <w:qFormat/>
    <w:uiPriority w:val="0"/>
    <w:rPr>
      <w:color w:val="000000"/>
      <w:spacing w:val="255"/>
      <w:sz w:val="18"/>
      <w:szCs w:val="18"/>
    </w:rPr>
  </w:style>
  <w:style w:type="character" w:customStyle="1" w:styleId="208">
    <w:name w:val="段 Char"/>
    <w:link w:val="209"/>
    <w:autoRedefine/>
    <w:qFormat/>
    <w:locked/>
    <w:uiPriority w:val="0"/>
    <w:rPr>
      <w:rFonts w:ascii="宋体" w:hAnsi="宋体"/>
    </w:rPr>
  </w:style>
  <w:style w:type="paragraph" w:customStyle="1" w:styleId="209">
    <w:name w:val="段"/>
    <w:link w:val="208"/>
    <w:autoRedefine/>
    <w:qFormat/>
    <w:uiPriority w:val="0"/>
    <w:pPr>
      <w:tabs>
        <w:tab w:val="center" w:pos="4201"/>
        <w:tab w:val="right" w:leader="dot" w:pos="9298"/>
      </w:tabs>
      <w:autoSpaceDE w:val="0"/>
      <w:autoSpaceDN w:val="0"/>
      <w:ind w:firstLine="420" w:firstLineChars="200"/>
      <w:jc w:val="both"/>
    </w:pPr>
    <w:rPr>
      <w:rFonts w:ascii="宋体" w:hAnsi="宋体" w:eastAsiaTheme="minorEastAsia" w:cstheme="minorBidi"/>
      <w:kern w:val="2"/>
      <w:sz w:val="21"/>
      <w:szCs w:val="22"/>
      <w:lang w:val="en-US" w:eastAsia="zh-CN" w:bidi="ar-SA"/>
    </w:rPr>
  </w:style>
  <w:style w:type="character" w:customStyle="1" w:styleId="210">
    <w:name w:val="line14pj"/>
    <w:basedOn w:val="62"/>
    <w:autoRedefine/>
    <w:qFormat/>
    <w:uiPriority w:val="0"/>
  </w:style>
  <w:style w:type="character" w:customStyle="1" w:styleId="211">
    <w:name w:val="ca-121"/>
    <w:autoRedefine/>
    <w:qFormat/>
    <w:uiPriority w:val="0"/>
    <w:rPr>
      <w:rFonts w:hint="eastAsia" w:ascii="宋体" w:hAnsi="宋体" w:eastAsia="宋体"/>
      <w:sz w:val="21"/>
      <w:szCs w:val="21"/>
    </w:rPr>
  </w:style>
  <w:style w:type="character" w:customStyle="1" w:styleId="212">
    <w:name w:val="页脚 Char2"/>
    <w:basedOn w:val="62"/>
    <w:autoRedefine/>
    <w:semiHidden/>
    <w:qFormat/>
    <w:uiPriority w:val="99"/>
    <w:rPr>
      <w:rFonts w:ascii="Times New Roman" w:hAnsi="Times New Roman" w:eastAsia="宋体" w:cs="Times New Roman"/>
      <w:sz w:val="18"/>
      <w:szCs w:val="18"/>
    </w:rPr>
  </w:style>
  <w:style w:type="paragraph" w:customStyle="1" w:styleId="213">
    <w:name w:val="样式 标题 + 段前: 0.5 行 段后: 0.5 行"/>
    <w:basedOn w:val="55"/>
    <w:autoRedefine/>
    <w:qFormat/>
    <w:uiPriority w:val="0"/>
  </w:style>
  <w:style w:type="paragraph" w:customStyle="1" w:styleId="214">
    <w:name w:val="xl10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215">
    <w:name w:val="编号1级"/>
    <w:autoRedefine/>
    <w:qFormat/>
    <w:uiPriority w:val="0"/>
    <w:pPr>
      <w:spacing w:afterLines="30" w:line="400" w:lineRule="exact"/>
      <w:outlineLvl w:val="8"/>
    </w:pPr>
    <w:rPr>
      <w:rFonts w:ascii="Times New Roman" w:hAnsi="Times New Roman" w:eastAsia="宋体" w:cs="Times New Roman"/>
      <w:b/>
      <w:kern w:val="2"/>
      <w:sz w:val="24"/>
      <w:szCs w:val="28"/>
      <w:lang w:val="en-US" w:eastAsia="zh-CN" w:bidi="ar-SA"/>
    </w:rPr>
  </w:style>
  <w:style w:type="paragraph" w:customStyle="1" w:styleId="216">
    <w:name w:val="xl12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character" w:customStyle="1" w:styleId="217">
    <w:name w:val="正文文本缩进 2 Char1"/>
    <w:basedOn w:val="62"/>
    <w:link w:val="36"/>
    <w:autoRedefine/>
    <w:qFormat/>
    <w:uiPriority w:val="0"/>
    <w:rPr>
      <w:rFonts w:ascii="Times New Roman" w:hAnsi="Times New Roman" w:eastAsia="宋体" w:cs="Times New Roman"/>
      <w:szCs w:val="24"/>
    </w:rPr>
  </w:style>
  <w:style w:type="paragraph" w:customStyle="1" w:styleId="218">
    <w:name w:val="表2"/>
    <w:basedOn w:val="219"/>
    <w:autoRedefine/>
    <w:qFormat/>
    <w:uiPriority w:val="0"/>
    <w:pPr>
      <w:numPr>
        <w:ilvl w:val="0"/>
        <w:numId w:val="4"/>
      </w:numPr>
    </w:pPr>
  </w:style>
  <w:style w:type="paragraph" w:customStyle="1" w:styleId="219">
    <w:name w:val="表1"/>
    <w:basedOn w:val="220"/>
    <w:autoRedefine/>
    <w:qFormat/>
    <w:uiPriority w:val="0"/>
  </w:style>
  <w:style w:type="paragraph" w:customStyle="1" w:styleId="220">
    <w:name w:val="表格样式"/>
    <w:basedOn w:val="1"/>
    <w:autoRedefine/>
    <w:qFormat/>
    <w:uiPriority w:val="0"/>
    <w:pPr>
      <w:spacing w:before="156" w:after="156"/>
      <w:jc w:val="center"/>
    </w:pPr>
    <w:rPr>
      <w:rFonts w:ascii="宋体" w:hAnsi="宋体" w:cs="宋体"/>
      <w:b/>
      <w:bCs/>
      <w:kern w:val="0"/>
      <w:szCs w:val="20"/>
    </w:rPr>
  </w:style>
  <w:style w:type="paragraph" w:customStyle="1" w:styleId="221">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222">
    <w:name w:val="首行缩进:  2 字符2"/>
    <w:basedOn w:val="1"/>
    <w:autoRedefine/>
    <w:qFormat/>
    <w:uiPriority w:val="0"/>
    <w:pPr>
      <w:adjustRightInd w:val="0"/>
      <w:snapToGrid w:val="0"/>
      <w:spacing w:line="360" w:lineRule="auto"/>
      <w:ind w:firstLine="480" w:firstLineChars="200"/>
    </w:pPr>
    <w:rPr>
      <w:rFonts w:ascii="宋体" w:hAnsi="宋体" w:cs="宋体"/>
      <w:sz w:val="24"/>
    </w:rPr>
  </w:style>
  <w:style w:type="paragraph" w:customStyle="1" w:styleId="223">
    <w:name w:val="xl8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8"/>
      <w:szCs w:val="28"/>
    </w:rPr>
  </w:style>
  <w:style w:type="character" w:customStyle="1" w:styleId="224">
    <w:name w:val="正文文本缩进 Char3"/>
    <w:basedOn w:val="62"/>
    <w:link w:val="28"/>
    <w:autoRedefine/>
    <w:qFormat/>
    <w:uiPriority w:val="0"/>
    <w:rPr>
      <w:rFonts w:ascii="Times New Roman" w:hAnsi="Times New Roman" w:eastAsia="宋体" w:cs="Times New Roman"/>
      <w:szCs w:val="24"/>
    </w:rPr>
  </w:style>
  <w:style w:type="paragraph" w:customStyle="1" w:styleId="225">
    <w:name w:val="表格正文（5号）"/>
    <w:basedOn w:val="1"/>
    <w:autoRedefine/>
    <w:qFormat/>
    <w:uiPriority w:val="0"/>
    <w:pPr>
      <w:adjustRightInd w:val="0"/>
      <w:snapToGrid w:val="0"/>
      <w:spacing w:line="264" w:lineRule="auto"/>
      <w:jc w:val="center"/>
      <w:textAlignment w:val="baseline"/>
    </w:pPr>
    <w:rPr>
      <w:snapToGrid w:val="0"/>
      <w:kern w:val="0"/>
      <w:sz w:val="24"/>
      <w:szCs w:val="20"/>
    </w:rPr>
  </w:style>
  <w:style w:type="paragraph" w:customStyle="1" w:styleId="226">
    <w:name w:val="一级条标题"/>
    <w:next w:val="1"/>
    <w:autoRedefine/>
    <w:qFormat/>
    <w:uiPriority w:val="0"/>
    <w:pPr>
      <w:spacing w:beforeLines="50" w:afterLines="50"/>
      <w:outlineLvl w:val="2"/>
    </w:pPr>
    <w:rPr>
      <w:rFonts w:ascii="黑体" w:hAnsi="Times New Roman" w:eastAsia="黑体" w:cs="Times New Roman"/>
      <w:sz w:val="21"/>
      <w:szCs w:val="21"/>
      <w:lang w:val="en-US" w:eastAsia="zh-CN" w:bidi="ar-SA"/>
    </w:rPr>
  </w:style>
  <w:style w:type="character" w:customStyle="1" w:styleId="227">
    <w:name w:val="正文文本 3 Char2"/>
    <w:basedOn w:val="62"/>
    <w:link w:val="25"/>
    <w:autoRedefine/>
    <w:qFormat/>
    <w:uiPriority w:val="0"/>
    <w:rPr>
      <w:rFonts w:ascii="Times New Roman" w:hAnsi="Times New Roman" w:eastAsia="宋体" w:cs="Times New Roman"/>
      <w:sz w:val="16"/>
      <w:szCs w:val="16"/>
    </w:rPr>
  </w:style>
  <w:style w:type="paragraph" w:customStyle="1" w:styleId="228">
    <w:name w:val="样式 标题 4 + 段前: 0.5 行 段后: 0.5 行"/>
    <w:basedOn w:val="6"/>
    <w:autoRedefine/>
    <w:qFormat/>
    <w:uiPriority w:val="0"/>
    <w:pPr>
      <w:tabs>
        <w:tab w:val="left" w:pos="360"/>
        <w:tab w:val="left" w:pos="1620"/>
      </w:tabs>
      <w:spacing w:before="100" w:beforeAutospacing="1" w:after="100" w:afterAutospacing="1" w:line="360" w:lineRule="auto"/>
      <w:ind w:left="1620" w:leftChars="600" w:hanging="360" w:hangingChars="200"/>
    </w:pPr>
    <w:rPr>
      <w:rFonts w:ascii="Arial" w:hAnsi="Arial" w:eastAsia="黑体" w:cs="宋体"/>
      <w:b w:val="0"/>
      <w:kern w:val="0"/>
      <w:sz w:val="24"/>
      <w:szCs w:val="20"/>
    </w:rPr>
  </w:style>
  <w:style w:type="paragraph" w:customStyle="1" w:styleId="229">
    <w:name w:val="xl38"/>
    <w:basedOn w:val="1"/>
    <w:autoRedefine/>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character" w:customStyle="1" w:styleId="230">
    <w:name w:val="标题 Char2"/>
    <w:basedOn w:val="62"/>
    <w:link w:val="55"/>
    <w:autoRedefine/>
    <w:qFormat/>
    <w:uiPriority w:val="0"/>
    <w:rPr>
      <w:rFonts w:eastAsia="宋体" w:asciiTheme="majorHAnsi" w:hAnsiTheme="majorHAnsi" w:cstheme="majorBidi"/>
      <w:b/>
      <w:bCs/>
      <w:sz w:val="32"/>
      <w:szCs w:val="32"/>
    </w:rPr>
  </w:style>
  <w:style w:type="paragraph" w:customStyle="1" w:styleId="231">
    <w:name w:val="正文1级"/>
    <w:autoRedefine/>
    <w:qFormat/>
    <w:uiPriority w:val="0"/>
    <w:pPr>
      <w:widowControl w:val="0"/>
      <w:tabs>
        <w:tab w:val="left" w:pos="420"/>
      </w:tabs>
      <w:spacing w:after="60" w:line="400" w:lineRule="exact"/>
      <w:ind w:left="839" w:hanging="419"/>
      <w:jc w:val="both"/>
    </w:pPr>
    <w:rPr>
      <w:rFonts w:ascii="Times New Roman" w:hAnsi="Times New Roman" w:eastAsia="宋体" w:cs="Times New Roman"/>
      <w:bCs/>
      <w:kern w:val="44"/>
      <w:sz w:val="24"/>
      <w:szCs w:val="44"/>
      <w:lang w:val="en-US" w:eastAsia="zh-CN" w:bidi="ar-SA"/>
    </w:rPr>
  </w:style>
  <w:style w:type="paragraph" w:customStyle="1" w:styleId="232">
    <w:name w:val="表格2"/>
    <w:basedOn w:val="1"/>
    <w:autoRedefine/>
    <w:qFormat/>
    <w:uiPriority w:val="0"/>
    <w:pPr>
      <w:snapToGrid w:val="0"/>
      <w:jc w:val="center"/>
    </w:pPr>
    <w:rPr>
      <w:rFonts w:ascii="Arial" w:hAnsi="Arial" w:cs="Arial"/>
      <w:snapToGrid w:val="0"/>
      <w:kern w:val="0"/>
      <w:sz w:val="24"/>
    </w:rPr>
  </w:style>
  <w:style w:type="paragraph" w:customStyle="1" w:styleId="233">
    <w:name w:val="xl127"/>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34">
    <w:name w:val="xl1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character" w:customStyle="1" w:styleId="235">
    <w:name w:val="正文首行缩进 2 Char2"/>
    <w:basedOn w:val="224"/>
    <w:link w:val="58"/>
    <w:autoRedefine/>
    <w:qFormat/>
    <w:uiPriority w:val="0"/>
    <w:rPr>
      <w:rFonts w:ascii="Times New Roman" w:hAnsi="Times New Roman" w:eastAsia="宋体" w:cs="Times New Roman"/>
      <w:szCs w:val="24"/>
    </w:rPr>
  </w:style>
  <w:style w:type="paragraph" w:customStyle="1" w:styleId="236">
    <w:name w:val="xl1062"/>
    <w:basedOn w:val="1"/>
    <w:autoRedefine/>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237">
    <w:name w:val="Step"/>
    <w:basedOn w:val="1"/>
    <w:autoRedefine/>
    <w:qFormat/>
    <w:uiPriority w:val="0"/>
    <w:pPr>
      <w:widowControl/>
      <w:tabs>
        <w:tab w:val="left" w:pos="1701"/>
      </w:tabs>
      <w:topLinePunct/>
      <w:adjustRightInd w:val="0"/>
      <w:snapToGrid w:val="0"/>
      <w:spacing w:before="160" w:after="160" w:line="240" w:lineRule="atLeast"/>
      <w:ind w:left="1701" w:hanging="159"/>
      <w:jc w:val="left"/>
      <w:outlineLvl w:val="5"/>
    </w:pPr>
    <w:rPr>
      <w:rFonts w:ascii="Arial" w:hAnsi="Arial" w:cs="Arial"/>
      <w:snapToGrid w:val="0"/>
      <w:kern w:val="0"/>
      <w:szCs w:val="21"/>
    </w:rPr>
  </w:style>
  <w:style w:type="paragraph" w:customStyle="1" w:styleId="238">
    <w:name w:val="说明正文"/>
    <w:basedOn w:val="1"/>
    <w:autoRedefine/>
    <w:qFormat/>
    <w:uiPriority w:val="0"/>
    <w:pPr>
      <w:spacing w:line="360" w:lineRule="auto"/>
      <w:ind w:firstLine="480" w:firstLineChars="200"/>
    </w:pPr>
    <w:rPr>
      <w:rFonts w:ascii="宋体" w:hAnsi="宋体"/>
      <w:sz w:val="24"/>
    </w:rPr>
  </w:style>
  <w:style w:type="character" w:customStyle="1" w:styleId="239">
    <w:name w:val="纯文本 Char2"/>
    <w:basedOn w:val="62"/>
    <w:link w:val="33"/>
    <w:autoRedefine/>
    <w:qFormat/>
    <w:uiPriority w:val="0"/>
    <w:rPr>
      <w:rFonts w:ascii="宋体" w:hAnsi="Courier New" w:eastAsia="宋体" w:cs="Courier New"/>
      <w:szCs w:val="21"/>
    </w:rPr>
  </w:style>
  <w:style w:type="paragraph" w:customStyle="1" w:styleId="240">
    <w:name w:val="xl107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241">
    <w:name w:val="font17"/>
    <w:basedOn w:val="1"/>
    <w:autoRedefine/>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242">
    <w:name w:val="lgh排序1"/>
    <w:basedOn w:val="33"/>
    <w:autoRedefine/>
    <w:qFormat/>
    <w:uiPriority w:val="0"/>
    <w:pPr>
      <w:tabs>
        <w:tab w:val="left" w:pos="360"/>
      </w:tabs>
      <w:spacing w:line="360" w:lineRule="auto"/>
      <w:ind w:firstLine="480" w:firstLineChars="200"/>
    </w:pPr>
    <w:rPr>
      <w:rFonts w:hAnsi="宋体" w:cs="Times New Roman"/>
      <w:kern w:val="0"/>
      <w:sz w:val="24"/>
      <w:szCs w:val="20"/>
    </w:rPr>
  </w:style>
  <w:style w:type="paragraph" w:customStyle="1" w:styleId="243">
    <w:name w:val="_Style 255"/>
    <w:autoRedefine/>
    <w:semiHidden/>
    <w:qFormat/>
    <w:uiPriority w:val="99"/>
    <w:rPr>
      <w:rFonts w:ascii="Times New Roman" w:hAnsi="Times New Roman" w:eastAsia="宋体" w:cs="Times New Roman"/>
      <w:kern w:val="2"/>
      <w:sz w:val="21"/>
      <w:szCs w:val="24"/>
      <w:lang w:val="en-US" w:eastAsia="zh-CN" w:bidi="ar-SA"/>
    </w:rPr>
  </w:style>
  <w:style w:type="paragraph" w:customStyle="1" w:styleId="244">
    <w:name w:val="xl107"/>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character" w:customStyle="1" w:styleId="245">
    <w:name w:val="批注框文本 Char2"/>
    <w:basedOn w:val="62"/>
    <w:link w:val="38"/>
    <w:autoRedefine/>
    <w:qFormat/>
    <w:uiPriority w:val="99"/>
    <w:rPr>
      <w:rFonts w:ascii="Times New Roman" w:hAnsi="Times New Roman" w:eastAsia="宋体" w:cs="Times New Roman"/>
      <w:sz w:val="18"/>
      <w:szCs w:val="18"/>
    </w:rPr>
  </w:style>
  <w:style w:type="paragraph" w:customStyle="1" w:styleId="246">
    <w:name w:val="xl162"/>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247">
    <w:name w:val="批注文字 Char1"/>
    <w:basedOn w:val="62"/>
    <w:link w:val="23"/>
    <w:autoRedefine/>
    <w:qFormat/>
    <w:uiPriority w:val="99"/>
    <w:rPr>
      <w:rFonts w:ascii="Times New Roman" w:hAnsi="Times New Roman" w:eastAsia="宋体" w:cs="Times New Roman"/>
      <w:szCs w:val="24"/>
    </w:rPr>
  </w:style>
  <w:style w:type="character" w:customStyle="1" w:styleId="248">
    <w:name w:val="批注主题 Char1"/>
    <w:basedOn w:val="247"/>
    <w:link w:val="56"/>
    <w:autoRedefine/>
    <w:qFormat/>
    <w:uiPriority w:val="99"/>
    <w:rPr>
      <w:rFonts w:ascii="Times New Roman" w:hAnsi="Times New Roman" w:eastAsia="宋体" w:cs="Times New Roman"/>
      <w:b/>
      <w:bCs/>
      <w:szCs w:val="24"/>
    </w:rPr>
  </w:style>
  <w:style w:type="character" w:customStyle="1" w:styleId="249">
    <w:name w:val="正文文本缩进 3 Char1"/>
    <w:basedOn w:val="62"/>
    <w:link w:val="47"/>
    <w:autoRedefine/>
    <w:qFormat/>
    <w:uiPriority w:val="0"/>
    <w:rPr>
      <w:rFonts w:ascii="Times New Roman" w:hAnsi="Times New Roman" w:eastAsia="宋体" w:cs="Times New Roman"/>
      <w:sz w:val="16"/>
      <w:szCs w:val="16"/>
    </w:rPr>
  </w:style>
  <w:style w:type="paragraph" w:customStyle="1" w:styleId="250">
    <w:name w:val="CM2"/>
    <w:basedOn w:val="70"/>
    <w:next w:val="70"/>
    <w:autoRedefine/>
    <w:qFormat/>
    <w:uiPriority w:val="0"/>
    <w:pPr>
      <w:spacing w:line="623" w:lineRule="atLeast"/>
    </w:pPr>
    <w:rPr>
      <w:rFonts w:ascii=".a..DD.." w:eastAsia=".a..DD.."/>
      <w:color w:val="auto"/>
      <w:szCs w:val="24"/>
    </w:rPr>
  </w:style>
  <w:style w:type="paragraph" w:customStyle="1" w:styleId="251">
    <w:name w:val="样式 首行缩进:  0.85 厘米 段前: 2.5 磅 段后: 6 磅 行距: 1.5 倍行距"/>
    <w:basedOn w:val="1"/>
    <w:autoRedefine/>
    <w:qFormat/>
    <w:uiPriority w:val="0"/>
    <w:pPr>
      <w:spacing w:before="50" w:after="120" w:line="360" w:lineRule="auto"/>
      <w:ind w:firstLine="480"/>
    </w:pPr>
    <w:rPr>
      <w:rFonts w:cs="宋体"/>
      <w:sz w:val="24"/>
      <w:szCs w:val="20"/>
    </w:rPr>
  </w:style>
  <w:style w:type="paragraph" w:customStyle="1" w:styleId="252">
    <w:name w:val="复选框1"/>
    <w:basedOn w:val="1"/>
    <w:autoRedefine/>
    <w:qFormat/>
    <w:uiPriority w:val="0"/>
    <w:pPr>
      <w:widowControl/>
      <w:spacing w:before="360" w:after="360"/>
      <w:jc w:val="left"/>
    </w:pPr>
    <w:rPr>
      <w:kern w:val="0"/>
      <w:sz w:val="20"/>
      <w:szCs w:val="20"/>
    </w:rPr>
  </w:style>
  <w:style w:type="character" w:customStyle="1" w:styleId="253">
    <w:name w:val="正文文本 Char3"/>
    <w:basedOn w:val="62"/>
    <w:link w:val="2"/>
    <w:autoRedefine/>
    <w:qFormat/>
    <w:uiPriority w:val="0"/>
    <w:rPr>
      <w:rFonts w:ascii="Times New Roman" w:hAnsi="Times New Roman" w:eastAsia="宋体" w:cs="Times New Roman"/>
      <w:szCs w:val="24"/>
    </w:rPr>
  </w:style>
  <w:style w:type="paragraph" w:customStyle="1" w:styleId="254">
    <w:name w:val="yd正文"/>
    <w:basedOn w:val="1"/>
    <w:autoRedefine/>
    <w:qFormat/>
    <w:uiPriority w:val="0"/>
    <w:pPr>
      <w:widowControl/>
      <w:spacing w:line="360" w:lineRule="auto"/>
      <w:ind w:firstLine="482"/>
    </w:pPr>
    <w:rPr>
      <w:rFonts w:ascii="宋体" w:hAnsi="Arial Unicode MS"/>
      <w:bCs/>
      <w:kern w:val="0"/>
      <w:sz w:val="24"/>
    </w:rPr>
  </w:style>
  <w:style w:type="paragraph" w:customStyle="1" w:styleId="255">
    <w:name w:val="(1)"/>
    <w:basedOn w:val="1"/>
    <w:autoRedefine/>
    <w:qFormat/>
    <w:uiPriority w:val="0"/>
    <w:pPr>
      <w:tabs>
        <w:tab w:val="left" w:pos="573"/>
      </w:tabs>
      <w:adjustRightInd w:val="0"/>
      <w:snapToGrid w:val="0"/>
      <w:spacing w:before="80" w:after="100" w:line="240" w:lineRule="atLeast"/>
      <w:textAlignment w:val="baseline"/>
    </w:pPr>
    <w:rPr>
      <w:rFonts w:ascii="Arial" w:hAnsi="Arial"/>
      <w:kern w:val="44"/>
      <w:sz w:val="24"/>
    </w:rPr>
  </w:style>
  <w:style w:type="character" w:customStyle="1" w:styleId="256">
    <w:name w:val="称呼 Char1"/>
    <w:basedOn w:val="62"/>
    <w:link w:val="24"/>
    <w:autoRedefine/>
    <w:qFormat/>
    <w:uiPriority w:val="0"/>
    <w:rPr>
      <w:rFonts w:ascii="Times New Roman" w:hAnsi="Times New Roman" w:eastAsia="宋体" w:cs="Times New Roman"/>
      <w:szCs w:val="24"/>
    </w:rPr>
  </w:style>
  <w:style w:type="paragraph" w:customStyle="1" w:styleId="257">
    <w:name w:val="xl11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58">
    <w:name w:val="xl1063"/>
    <w:basedOn w:val="1"/>
    <w:autoRedefine/>
    <w:qFormat/>
    <w:uiPriority w:val="0"/>
    <w:pPr>
      <w:widowControl/>
      <w:spacing w:before="100" w:beforeAutospacing="1" w:after="100" w:afterAutospacing="1"/>
      <w:jc w:val="center"/>
    </w:pPr>
    <w:rPr>
      <w:rFonts w:ascii="宋体" w:hAnsi="宋体" w:cs="宋体"/>
      <w:b/>
      <w:bCs/>
      <w:kern w:val="0"/>
      <w:sz w:val="24"/>
    </w:rPr>
  </w:style>
  <w:style w:type="character" w:customStyle="1" w:styleId="259">
    <w:name w:val="文档结构图 Char1"/>
    <w:basedOn w:val="62"/>
    <w:link w:val="22"/>
    <w:autoRedefine/>
    <w:qFormat/>
    <w:uiPriority w:val="99"/>
    <w:rPr>
      <w:rFonts w:ascii="宋体" w:hAnsi="Times New Roman" w:eastAsia="宋体" w:cs="Times New Roman"/>
      <w:sz w:val="18"/>
      <w:szCs w:val="18"/>
    </w:rPr>
  </w:style>
  <w:style w:type="paragraph" w:customStyle="1" w:styleId="260">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261">
    <w:name w:val="xl11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rPr>
  </w:style>
  <w:style w:type="character" w:customStyle="1" w:styleId="262">
    <w:name w:val="页眉 Char2"/>
    <w:basedOn w:val="62"/>
    <w:autoRedefine/>
    <w:semiHidden/>
    <w:qFormat/>
    <w:uiPriority w:val="99"/>
    <w:rPr>
      <w:rFonts w:ascii="Times New Roman" w:hAnsi="Times New Roman" w:eastAsia="宋体" w:cs="Times New Roman"/>
      <w:sz w:val="18"/>
      <w:szCs w:val="18"/>
    </w:rPr>
  </w:style>
  <w:style w:type="character" w:customStyle="1" w:styleId="263">
    <w:name w:val="日期 Char1"/>
    <w:basedOn w:val="62"/>
    <w:link w:val="35"/>
    <w:autoRedefine/>
    <w:qFormat/>
    <w:uiPriority w:val="0"/>
    <w:rPr>
      <w:rFonts w:ascii="Times New Roman" w:hAnsi="Times New Roman" w:eastAsia="宋体" w:cs="Times New Roman"/>
      <w:szCs w:val="24"/>
    </w:rPr>
  </w:style>
  <w:style w:type="paragraph" w:customStyle="1" w:styleId="264">
    <w:name w:val="xl27"/>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265">
    <w:name w:val="xl51"/>
    <w:basedOn w:val="1"/>
    <w:autoRedefine/>
    <w:qFormat/>
    <w:uiPriority w:val="0"/>
    <w:pPr>
      <w:widowControl/>
      <w:pBdr>
        <w:top w:val="single" w:color="auto" w:sz="4" w:space="0"/>
        <w:lef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266">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267">
    <w:name w:val="样式5"/>
    <w:basedOn w:val="144"/>
    <w:autoRedefine/>
    <w:qFormat/>
    <w:uiPriority w:val="0"/>
    <w:pPr>
      <w:snapToGrid w:val="0"/>
      <w:spacing w:line="360" w:lineRule="auto"/>
      <w:ind w:firstLine="456" w:firstLineChars="200"/>
      <w:jc w:val="left"/>
    </w:pPr>
    <w:rPr>
      <w:rFonts w:ascii="楷体_GB2312" w:hAnsi="楷体_GB2312" w:eastAsia="楷体_GB2312" w:cs="宋体"/>
      <w:b/>
      <w:spacing w:val="-6"/>
    </w:rPr>
  </w:style>
  <w:style w:type="paragraph" w:customStyle="1" w:styleId="268">
    <w:name w:val="五级条标题"/>
    <w:basedOn w:val="269"/>
    <w:next w:val="1"/>
    <w:autoRedefine/>
    <w:qFormat/>
    <w:uiPriority w:val="0"/>
    <w:pPr>
      <w:outlineLvl w:val="6"/>
    </w:pPr>
  </w:style>
  <w:style w:type="paragraph" w:customStyle="1" w:styleId="269">
    <w:name w:val="四级条标题"/>
    <w:basedOn w:val="270"/>
    <w:next w:val="1"/>
    <w:autoRedefine/>
    <w:qFormat/>
    <w:uiPriority w:val="0"/>
    <w:pPr>
      <w:outlineLvl w:val="5"/>
    </w:pPr>
  </w:style>
  <w:style w:type="paragraph" w:customStyle="1" w:styleId="270">
    <w:name w:val="三级条标题"/>
    <w:basedOn w:val="271"/>
    <w:next w:val="1"/>
    <w:autoRedefine/>
    <w:qFormat/>
    <w:uiPriority w:val="0"/>
    <w:pPr>
      <w:outlineLvl w:val="4"/>
    </w:pPr>
  </w:style>
  <w:style w:type="paragraph" w:customStyle="1" w:styleId="271">
    <w:name w:val="二级条标题"/>
    <w:basedOn w:val="226"/>
    <w:next w:val="1"/>
    <w:autoRedefine/>
    <w:qFormat/>
    <w:uiPriority w:val="0"/>
    <w:pPr>
      <w:outlineLvl w:val="3"/>
    </w:pPr>
  </w:style>
  <w:style w:type="paragraph" w:customStyle="1" w:styleId="272">
    <w:name w:val="xl786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A5A5A5"/>
      <w:spacing w:before="100" w:beforeAutospacing="1" w:after="100" w:afterAutospacing="1"/>
      <w:jc w:val="center"/>
    </w:pPr>
    <w:rPr>
      <w:rFonts w:ascii="宋体" w:hAnsi="宋体" w:cs="宋体"/>
      <w:b/>
      <w:bCs/>
      <w:color w:val="000000"/>
      <w:kern w:val="0"/>
      <w:sz w:val="20"/>
      <w:szCs w:val="20"/>
    </w:rPr>
  </w:style>
  <w:style w:type="paragraph" w:customStyle="1" w:styleId="273">
    <w:name w:val="CM3"/>
    <w:basedOn w:val="70"/>
    <w:next w:val="70"/>
    <w:autoRedefine/>
    <w:qFormat/>
    <w:uiPriority w:val="0"/>
    <w:pPr>
      <w:spacing w:line="626" w:lineRule="atLeast"/>
    </w:pPr>
    <w:rPr>
      <w:rFonts w:ascii=".a..DD.." w:eastAsia=".a..DD.."/>
      <w:color w:val="auto"/>
      <w:szCs w:val="24"/>
    </w:rPr>
  </w:style>
  <w:style w:type="paragraph" w:customStyle="1" w:styleId="274">
    <w:name w:val="xl107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275">
    <w:name w:val="Char Char Char Char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76">
    <w:name w:val="xl1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77">
    <w:name w:val="样式 标题 3标题 3 Char Char Char Char(A-3)sect1.2.3h3H3 + 加粗 段前:..."/>
    <w:basedOn w:val="5"/>
    <w:autoRedefine/>
    <w:qFormat/>
    <w:uiPriority w:val="0"/>
    <w:pPr>
      <w:keepNext w:val="0"/>
      <w:tabs>
        <w:tab w:val="left" w:pos="1080"/>
      </w:tabs>
      <w:spacing w:before="120" w:after="0" w:line="415" w:lineRule="auto"/>
    </w:pPr>
    <w:rPr>
      <w:rFonts w:eastAsia="黑体" w:cs="宋体"/>
      <w:b w:val="0"/>
      <w:bCs/>
      <w:sz w:val="24"/>
    </w:rPr>
  </w:style>
  <w:style w:type="character" w:customStyle="1" w:styleId="278">
    <w:name w:val="z-窗体底端 Char2"/>
    <w:basedOn w:val="62"/>
    <w:link w:val="92"/>
    <w:autoRedefine/>
    <w:qFormat/>
    <w:uiPriority w:val="99"/>
    <w:rPr>
      <w:rFonts w:ascii="Arial" w:hAnsi="Arial" w:eastAsia="宋体" w:cs="Arial"/>
      <w:vanish/>
      <w:sz w:val="16"/>
      <w:szCs w:val="16"/>
    </w:rPr>
  </w:style>
  <w:style w:type="character" w:customStyle="1" w:styleId="279">
    <w:name w:val="HTML 预设格式 Char2"/>
    <w:basedOn w:val="62"/>
    <w:link w:val="52"/>
    <w:autoRedefine/>
    <w:qFormat/>
    <w:uiPriority w:val="99"/>
    <w:rPr>
      <w:rFonts w:ascii="Courier New" w:hAnsi="Courier New" w:eastAsia="宋体" w:cs="Courier New"/>
      <w:sz w:val="20"/>
      <w:szCs w:val="20"/>
    </w:rPr>
  </w:style>
  <w:style w:type="paragraph" w:customStyle="1" w:styleId="280">
    <w:name w:val="Char Char1 Char Char Char Char Char Char 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81">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character" w:customStyle="1" w:styleId="282">
    <w:name w:val="正文首行缩进 Char1"/>
    <w:basedOn w:val="253"/>
    <w:link w:val="57"/>
    <w:autoRedefine/>
    <w:qFormat/>
    <w:uiPriority w:val="0"/>
    <w:rPr>
      <w:rFonts w:ascii="Times New Roman" w:hAnsi="Times New Roman" w:eastAsia="宋体" w:cs="Times New Roman"/>
      <w:szCs w:val="24"/>
    </w:rPr>
  </w:style>
  <w:style w:type="character" w:customStyle="1" w:styleId="283">
    <w:name w:val="正文文本 2 Char1"/>
    <w:basedOn w:val="62"/>
    <w:link w:val="51"/>
    <w:autoRedefine/>
    <w:qFormat/>
    <w:uiPriority w:val="0"/>
    <w:rPr>
      <w:rFonts w:ascii="Times New Roman" w:hAnsi="Times New Roman" w:eastAsia="宋体" w:cs="Times New Roman"/>
      <w:szCs w:val="24"/>
    </w:rPr>
  </w:style>
  <w:style w:type="paragraph" w:customStyle="1" w:styleId="284">
    <w:name w:val="小标题 1"/>
    <w:basedOn w:val="1"/>
    <w:autoRedefine/>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85">
    <w:name w:val="正文缩进1"/>
    <w:basedOn w:val="1"/>
    <w:autoRedefine/>
    <w:qFormat/>
    <w:uiPriority w:val="0"/>
    <w:pPr>
      <w:spacing w:line="360" w:lineRule="auto"/>
      <w:ind w:firstLine="200" w:firstLineChars="200"/>
      <w:jc w:val="left"/>
    </w:pPr>
    <w:rPr>
      <w:rFonts w:ascii="宋体" w:hAnsi="宋体"/>
      <w:sz w:val="24"/>
      <w:szCs w:val="22"/>
    </w:rPr>
  </w:style>
  <w:style w:type="paragraph" w:customStyle="1" w:styleId="286">
    <w:name w:val="font12"/>
    <w:basedOn w:val="1"/>
    <w:autoRedefine/>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287">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288">
    <w:name w:val="结束语 Char2"/>
    <w:basedOn w:val="62"/>
    <w:link w:val="26"/>
    <w:autoRedefine/>
    <w:qFormat/>
    <w:uiPriority w:val="0"/>
    <w:rPr>
      <w:rFonts w:ascii="Times New Roman" w:hAnsi="Times New Roman" w:eastAsia="宋体" w:cs="Times New Roman"/>
      <w:szCs w:val="24"/>
    </w:rPr>
  </w:style>
  <w:style w:type="character" w:customStyle="1" w:styleId="289">
    <w:name w:val="副标题 Char2"/>
    <w:basedOn w:val="62"/>
    <w:link w:val="43"/>
    <w:autoRedefine/>
    <w:qFormat/>
    <w:uiPriority w:val="0"/>
    <w:rPr>
      <w:rFonts w:eastAsia="宋体" w:asciiTheme="majorHAnsi" w:hAnsiTheme="majorHAnsi" w:cstheme="majorBidi"/>
      <w:b/>
      <w:bCs/>
      <w:kern w:val="28"/>
      <w:sz w:val="32"/>
      <w:szCs w:val="32"/>
    </w:rPr>
  </w:style>
  <w:style w:type="paragraph" w:customStyle="1" w:styleId="290">
    <w:name w:val="xl1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291">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eastAsia="Arial Unicode MS"/>
      <w:kern w:val="0"/>
      <w:sz w:val="20"/>
      <w:szCs w:val="20"/>
    </w:rPr>
  </w:style>
  <w:style w:type="character" w:customStyle="1" w:styleId="292">
    <w:name w:val="尾注文本 Char2"/>
    <w:basedOn w:val="62"/>
    <w:link w:val="37"/>
    <w:autoRedefine/>
    <w:qFormat/>
    <w:uiPriority w:val="0"/>
    <w:rPr>
      <w:rFonts w:ascii="Times New Roman" w:hAnsi="Times New Roman" w:eastAsia="宋体" w:cs="Times New Roman"/>
      <w:szCs w:val="24"/>
    </w:rPr>
  </w:style>
  <w:style w:type="paragraph" w:customStyle="1" w:styleId="293">
    <w:name w:val="正文(首行缩进）"/>
    <w:basedOn w:val="1"/>
    <w:autoRedefine/>
    <w:qFormat/>
    <w:uiPriority w:val="0"/>
    <w:pPr>
      <w:adjustRightInd w:val="0"/>
      <w:snapToGrid w:val="0"/>
      <w:spacing w:line="288" w:lineRule="auto"/>
      <w:ind w:firstLine="200"/>
      <w:jc w:val="left"/>
      <w:textAlignment w:val="baseline"/>
    </w:pPr>
    <w:rPr>
      <w:rFonts w:ascii="宋体" w:hAnsi="宋体"/>
      <w:kern w:val="0"/>
      <w:sz w:val="24"/>
    </w:rPr>
  </w:style>
  <w:style w:type="paragraph" w:customStyle="1" w:styleId="294">
    <w:name w:val="样式3"/>
    <w:autoRedefine/>
    <w:qFormat/>
    <w:uiPriority w:val="0"/>
    <w:pPr>
      <w:spacing w:line="300" w:lineRule="auto"/>
    </w:pPr>
    <w:rPr>
      <w:rFonts w:ascii="Times New Roman" w:hAnsi="Times New Roman" w:eastAsia="宋体" w:cs="Times New Roman"/>
      <w:lang w:val="en-US" w:eastAsia="zh-CN" w:bidi="ar-SA"/>
    </w:rPr>
  </w:style>
  <w:style w:type="paragraph" w:customStyle="1" w:styleId="295">
    <w:name w:val="Char11"/>
    <w:basedOn w:val="1"/>
    <w:autoRedefine/>
    <w:qFormat/>
    <w:uiPriority w:val="0"/>
  </w:style>
  <w:style w:type="paragraph" w:customStyle="1" w:styleId="296">
    <w:name w:val="xl11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297">
    <w:name w:val="不缩进"/>
    <w:basedOn w:val="1"/>
    <w:autoRedefine/>
    <w:qFormat/>
    <w:uiPriority w:val="0"/>
    <w:pPr>
      <w:spacing w:line="360" w:lineRule="auto"/>
      <w:jc w:val="center"/>
    </w:pPr>
    <w:rPr>
      <w:b/>
      <w:bCs/>
      <w:sz w:val="28"/>
      <w:szCs w:val="21"/>
    </w:rPr>
  </w:style>
  <w:style w:type="paragraph" w:customStyle="1" w:styleId="298">
    <w:name w:val="xl10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299">
    <w:name w:val="标题2"/>
    <w:basedOn w:val="1"/>
    <w:autoRedefine/>
    <w:qFormat/>
    <w:uiPriority w:val="0"/>
    <w:pPr>
      <w:spacing w:beforeLines="50" w:afterLines="50" w:line="300" w:lineRule="exact"/>
    </w:pPr>
    <w:rPr>
      <w:b/>
      <w:bCs/>
    </w:rPr>
  </w:style>
  <w:style w:type="paragraph" w:customStyle="1" w:styleId="300">
    <w:name w:val="表格1"/>
    <w:basedOn w:val="1"/>
    <w:autoRedefine/>
    <w:qFormat/>
    <w:uiPriority w:val="0"/>
    <w:pPr>
      <w:tabs>
        <w:tab w:val="left" w:pos="203"/>
      </w:tabs>
      <w:spacing w:before="40" w:after="40"/>
      <w:jc w:val="center"/>
    </w:pPr>
    <w:rPr>
      <w:b/>
      <w:sz w:val="28"/>
      <w:szCs w:val="20"/>
    </w:rPr>
  </w:style>
  <w:style w:type="paragraph" w:customStyle="1" w:styleId="301">
    <w:name w:val="xl156"/>
    <w:basedOn w:val="1"/>
    <w:autoRedefine/>
    <w:qFormat/>
    <w:uiPriority w:val="0"/>
    <w:pPr>
      <w:widowControl/>
      <w:spacing w:before="100" w:beforeAutospacing="1" w:after="100" w:afterAutospacing="1"/>
      <w:jc w:val="center"/>
    </w:pPr>
    <w:rPr>
      <w:rFonts w:ascii="宋体" w:hAnsi="宋体" w:cs="宋体"/>
      <w:color w:val="FF0000"/>
      <w:kern w:val="0"/>
      <w:sz w:val="20"/>
      <w:szCs w:val="20"/>
    </w:rPr>
  </w:style>
  <w:style w:type="paragraph" w:customStyle="1" w:styleId="302">
    <w:name w:val="xl1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03">
    <w:name w:val="xl149"/>
    <w:basedOn w:val="1"/>
    <w:autoRedefine/>
    <w:qFormat/>
    <w:uiPriority w:val="0"/>
    <w:pPr>
      <w:widowControl/>
      <w:spacing w:before="100" w:beforeAutospacing="1" w:after="100" w:afterAutospacing="1"/>
      <w:jc w:val="center"/>
    </w:pPr>
    <w:rPr>
      <w:rFonts w:ascii="宋体" w:hAnsi="宋体" w:cs="宋体"/>
      <w:color w:val="FF0000"/>
      <w:kern w:val="0"/>
      <w:sz w:val="20"/>
      <w:szCs w:val="20"/>
    </w:rPr>
  </w:style>
  <w:style w:type="paragraph" w:customStyle="1" w:styleId="304">
    <w:name w:val="样式 标题 1 + 段前: 0.5 行 段后: 0.5 行"/>
    <w:basedOn w:val="3"/>
    <w:autoRedefine/>
    <w:qFormat/>
    <w:uiPriority w:val="0"/>
    <w:pPr>
      <w:pageBreakBefore/>
      <w:tabs>
        <w:tab w:val="left" w:pos="840"/>
      </w:tabs>
      <w:adjustRightInd/>
      <w:spacing w:beforeLines="50" w:afterLines="50" w:line="480" w:lineRule="auto"/>
      <w:ind w:left="840" w:hanging="360"/>
      <w:textAlignment w:val="auto"/>
    </w:pPr>
    <w:rPr>
      <w:rFonts w:eastAsia="黑体" w:cs="宋体"/>
      <w:b w:val="0"/>
      <w:bCs/>
      <w:sz w:val="44"/>
    </w:rPr>
  </w:style>
  <w:style w:type="paragraph" w:customStyle="1" w:styleId="305">
    <w:name w:val="缺省文本"/>
    <w:autoRedefine/>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306">
    <w:name w:val="项目编号一级"/>
    <w:basedOn w:val="1"/>
    <w:autoRedefine/>
    <w:qFormat/>
    <w:uiPriority w:val="0"/>
    <w:pPr>
      <w:tabs>
        <w:tab w:val="left" w:pos="900"/>
      </w:tabs>
      <w:spacing w:line="360" w:lineRule="auto"/>
      <w:ind w:left="900" w:hanging="420"/>
    </w:pPr>
  </w:style>
  <w:style w:type="paragraph" w:customStyle="1" w:styleId="307">
    <w:name w:val="xl1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08">
    <w:name w:val="xl1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9">
    <w:name w:val="样式 标题 1l1I1heading 1h11st levell1+toc 1Chapter title1He..."/>
    <w:basedOn w:val="3"/>
    <w:autoRedefine/>
    <w:qFormat/>
    <w:uiPriority w:val="0"/>
    <w:pPr>
      <w:tabs>
        <w:tab w:val="left" w:pos="525"/>
      </w:tabs>
      <w:adjustRightInd/>
      <w:spacing w:before="340" w:after="330" w:line="360" w:lineRule="auto"/>
      <w:jc w:val="both"/>
      <w:textAlignment w:val="auto"/>
    </w:pPr>
    <w:rPr>
      <w:rFonts w:eastAsia="黑体"/>
      <w:bCs/>
      <w:sz w:val="28"/>
      <w:szCs w:val="32"/>
    </w:rPr>
  </w:style>
  <w:style w:type="paragraph" w:customStyle="1" w:styleId="310">
    <w:name w:val="xl11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11">
    <w:name w:val="Paragraphe 3"/>
    <w:autoRedefine/>
    <w:qFormat/>
    <w:uiPriority w:val="0"/>
    <w:pPr>
      <w:keepLines/>
      <w:overflowPunct w:val="0"/>
      <w:autoSpaceDE w:val="0"/>
      <w:autoSpaceDN w:val="0"/>
      <w:adjustRightInd w:val="0"/>
      <w:spacing w:before="141"/>
      <w:ind w:left="980"/>
    </w:pPr>
    <w:rPr>
      <w:rFonts w:ascii="Tms Rmn" w:hAnsi="Tms Rmn" w:eastAsia="宋体" w:cs="Times New Roman"/>
      <w:b/>
      <w:color w:val="000000"/>
      <w:sz w:val="24"/>
      <w:u w:val="single"/>
      <w:lang w:val="en-US" w:eastAsia="en-US" w:bidi="ar-SA"/>
    </w:rPr>
  </w:style>
  <w:style w:type="paragraph" w:customStyle="1" w:styleId="312">
    <w:name w:val="图"/>
    <w:basedOn w:val="1"/>
    <w:next w:val="1"/>
    <w:autoRedefine/>
    <w:qFormat/>
    <w:uiPriority w:val="0"/>
    <w:pPr>
      <w:tabs>
        <w:tab w:val="left" w:pos="209"/>
      </w:tabs>
      <w:adjustRightInd w:val="0"/>
      <w:spacing w:before="60" w:after="60" w:line="360" w:lineRule="atLeast"/>
      <w:ind w:left="432" w:hanging="432"/>
      <w:jc w:val="center"/>
      <w:textAlignment w:val="baseline"/>
    </w:pPr>
    <w:rPr>
      <w:rFonts w:eastAsia="仿宋_GB2312"/>
      <w:b/>
      <w:kern w:val="0"/>
      <w:szCs w:val="20"/>
    </w:rPr>
  </w:style>
  <w:style w:type="paragraph" w:customStyle="1" w:styleId="313">
    <w:name w:val="xl78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14">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15">
    <w:name w:val="DLP正文"/>
    <w:basedOn w:val="1"/>
    <w:autoRedefine/>
    <w:qFormat/>
    <w:uiPriority w:val="0"/>
    <w:pPr>
      <w:snapToGrid w:val="0"/>
      <w:spacing w:line="360" w:lineRule="auto"/>
      <w:ind w:firstLine="473"/>
    </w:pPr>
    <w:rPr>
      <w:rFonts w:hAnsi="宋体"/>
      <w:sz w:val="24"/>
      <w:szCs w:val="22"/>
    </w:rPr>
  </w:style>
  <w:style w:type="paragraph" w:customStyle="1" w:styleId="316">
    <w:name w:val="CM19"/>
    <w:basedOn w:val="70"/>
    <w:next w:val="70"/>
    <w:autoRedefine/>
    <w:qFormat/>
    <w:uiPriority w:val="0"/>
    <w:pPr>
      <w:spacing w:line="440" w:lineRule="atLeast"/>
    </w:pPr>
    <w:rPr>
      <w:rFonts w:ascii="方正小标宋简体" w:eastAsia="方正小标宋简体"/>
      <w:color w:val="auto"/>
      <w:szCs w:val="24"/>
    </w:rPr>
  </w:style>
  <w:style w:type="paragraph" w:customStyle="1" w:styleId="317">
    <w:name w:val="xl10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318">
    <w:name w:val="Block Label"/>
    <w:basedOn w:val="1"/>
    <w:next w:val="1"/>
    <w:autoRedefine/>
    <w:qFormat/>
    <w:uiPriority w:val="0"/>
    <w:pPr>
      <w:keepNext/>
      <w:keepLines/>
      <w:widowControl/>
      <w:topLinePunct/>
      <w:adjustRightInd w:val="0"/>
      <w:snapToGrid w:val="0"/>
      <w:spacing w:before="300" w:after="80" w:line="240" w:lineRule="atLeast"/>
      <w:jc w:val="left"/>
      <w:outlineLvl w:val="3"/>
    </w:pPr>
    <w:rPr>
      <w:rFonts w:ascii="Arial" w:hAnsi="Arial" w:eastAsia="黑体" w:cs="Book Antiqua"/>
      <w:bCs/>
      <w:kern w:val="0"/>
      <w:sz w:val="26"/>
      <w:szCs w:val="26"/>
    </w:rPr>
  </w:style>
  <w:style w:type="paragraph" w:customStyle="1" w:styleId="319">
    <w:name w:val="Bullet 1"/>
    <w:autoRedefine/>
    <w:qFormat/>
    <w:uiPriority w:val="0"/>
    <w:pPr>
      <w:widowControl w:val="0"/>
      <w:autoSpaceDE w:val="0"/>
      <w:autoSpaceDN w:val="0"/>
      <w:adjustRightInd w:val="0"/>
      <w:spacing w:line="288" w:lineRule="auto"/>
      <w:ind w:left="1026" w:hanging="425"/>
      <w:textAlignment w:val="baseline"/>
    </w:pPr>
    <w:rPr>
      <w:rFonts w:ascii="楷体" w:hAnsi="Times New Roman" w:eastAsia="楷体" w:cs="Times New Roman"/>
      <w:color w:val="000000"/>
      <w:spacing w:val="20"/>
      <w:sz w:val="24"/>
      <w:lang w:val="en-US" w:eastAsia="zh-CN" w:bidi="ar-SA"/>
    </w:rPr>
  </w:style>
  <w:style w:type="paragraph" w:customStyle="1" w:styleId="320">
    <w:name w:val="默认段落字体 Para Char Char Char Char Char Char Char Char Char Char Char Char Char"/>
    <w:basedOn w:val="22"/>
    <w:autoRedefine/>
    <w:qFormat/>
    <w:uiPriority w:val="0"/>
    <w:pPr>
      <w:adjustRightInd w:val="0"/>
      <w:spacing w:line="436" w:lineRule="exact"/>
      <w:ind w:left="357"/>
      <w:jc w:val="left"/>
      <w:outlineLvl w:val="3"/>
    </w:pPr>
    <w:rPr>
      <w:rFonts w:ascii="宋体" w:hAnsi="宋体"/>
      <w:kern w:val="0"/>
      <w:szCs w:val="21"/>
    </w:rPr>
  </w:style>
  <w:style w:type="paragraph" w:customStyle="1" w:styleId="321">
    <w:name w:val="±í¸ñÎÄ±¾"/>
    <w:basedOn w:val="1"/>
    <w:autoRedefine/>
    <w:qFormat/>
    <w:uiPriority w:val="0"/>
    <w:pPr>
      <w:widowControl/>
      <w:tabs>
        <w:tab w:val="decimal" w:pos="0"/>
      </w:tabs>
      <w:overflowPunct w:val="0"/>
      <w:autoSpaceDE w:val="0"/>
      <w:autoSpaceDN w:val="0"/>
      <w:adjustRightInd w:val="0"/>
      <w:textAlignment w:val="baseline"/>
    </w:pPr>
    <w:rPr>
      <w:kern w:val="0"/>
      <w:sz w:val="24"/>
      <w:szCs w:val="20"/>
    </w:rPr>
  </w:style>
  <w:style w:type="paragraph" w:customStyle="1" w:styleId="322">
    <w:name w:val="样式11"/>
    <w:basedOn w:val="1"/>
    <w:autoRedefine/>
    <w:qFormat/>
    <w:uiPriority w:val="0"/>
    <w:pPr>
      <w:keepNext/>
      <w:keepLines/>
      <w:spacing w:before="100" w:beforeAutospacing="1" w:after="100" w:afterAutospacing="1" w:line="360" w:lineRule="auto"/>
      <w:outlineLvl w:val="1"/>
    </w:pPr>
    <w:rPr>
      <w:rFonts w:ascii="Arial" w:hAnsi="Arial" w:eastAsia="黑体" w:cs="宋体"/>
      <w:bCs/>
      <w:sz w:val="32"/>
      <w:szCs w:val="20"/>
    </w:rPr>
  </w:style>
  <w:style w:type="paragraph" w:customStyle="1" w:styleId="323">
    <w:name w:val="样式 标题 2 + 段前: 0.5 行 段后: 0.5 行2"/>
    <w:basedOn w:val="4"/>
    <w:autoRedefine/>
    <w:qFormat/>
    <w:uiPriority w:val="0"/>
    <w:pPr>
      <w:tabs>
        <w:tab w:val="left" w:pos="1320"/>
      </w:tabs>
      <w:spacing w:beforeLines="50" w:afterLines="50" w:line="360" w:lineRule="auto"/>
      <w:jc w:val="left"/>
    </w:pPr>
    <w:rPr>
      <w:rFonts w:cs="宋体"/>
      <w:kern w:val="0"/>
      <w:sz w:val="36"/>
      <w:szCs w:val="20"/>
    </w:rPr>
  </w:style>
  <w:style w:type="paragraph" w:customStyle="1" w:styleId="324">
    <w:name w:val="xl106"/>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325">
    <w:name w:val="xl33"/>
    <w:basedOn w:val="1"/>
    <w:autoRedefine/>
    <w:qFormat/>
    <w:uiPriority w:val="0"/>
    <w:pPr>
      <w:widowControl/>
      <w:pBdr>
        <w:top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326">
    <w:name w:val="xl10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微软雅黑" w:hAnsi="微软雅黑" w:eastAsia="微软雅黑" w:cs="宋体"/>
      <w:kern w:val="0"/>
      <w:sz w:val="20"/>
      <w:szCs w:val="20"/>
    </w:rPr>
  </w:style>
  <w:style w:type="paragraph" w:customStyle="1" w:styleId="327">
    <w:name w:val="Block"/>
    <w:basedOn w:val="1"/>
    <w:next w:val="200"/>
    <w:autoRedefine/>
    <w:qFormat/>
    <w:uiPriority w:val="0"/>
    <w:pPr>
      <w:tabs>
        <w:tab w:val="left" w:pos="0"/>
      </w:tabs>
    </w:pPr>
    <w:rPr>
      <w:rFonts w:ascii="Arial" w:hAnsi="Arial" w:eastAsia="楷体_GB2312"/>
      <w:color w:val="000080"/>
      <w:sz w:val="28"/>
      <w:szCs w:val="28"/>
    </w:rPr>
  </w:style>
  <w:style w:type="paragraph" w:customStyle="1" w:styleId="328">
    <w:name w:val="_Style 20"/>
    <w:basedOn w:val="1"/>
    <w:autoRedefine/>
    <w:qFormat/>
    <w:uiPriority w:val="0"/>
    <w:rPr>
      <w:rFonts w:ascii="Tahoma" w:hAnsi="Tahoma"/>
      <w:sz w:val="24"/>
      <w:szCs w:val="20"/>
    </w:rPr>
  </w:style>
  <w:style w:type="paragraph" w:customStyle="1" w:styleId="329">
    <w:name w:val="xl15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330">
    <w:name w:val="text_12_black"/>
    <w:basedOn w:val="1"/>
    <w:autoRedefine/>
    <w:qFormat/>
    <w:uiPriority w:val="0"/>
    <w:pPr>
      <w:widowControl/>
      <w:spacing w:before="100" w:beforeAutospacing="1" w:after="100" w:afterAutospacing="1" w:line="300" w:lineRule="atLeast"/>
      <w:jc w:val="left"/>
    </w:pPr>
    <w:rPr>
      <w:rFonts w:ascii="ˎ̥" w:hAnsi="ˎ̥" w:cs="宋体"/>
      <w:color w:val="333333"/>
      <w:kern w:val="0"/>
      <w:sz w:val="18"/>
      <w:szCs w:val="18"/>
    </w:rPr>
  </w:style>
  <w:style w:type="paragraph" w:customStyle="1" w:styleId="331">
    <w:name w:val="xl10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332">
    <w:name w:val="xl150"/>
    <w:basedOn w:val="1"/>
    <w:autoRedefine/>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333">
    <w:name w:val="修订1"/>
    <w:autoRedefine/>
    <w:semiHidden/>
    <w:qFormat/>
    <w:uiPriority w:val="99"/>
    <w:rPr>
      <w:rFonts w:ascii="Times New Roman" w:hAnsi="Times New Roman" w:eastAsia="宋体" w:cs="Times New Roman"/>
      <w:kern w:val="2"/>
      <w:sz w:val="21"/>
      <w:szCs w:val="24"/>
      <w:lang w:val="en-US" w:eastAsia="zh-CN" w:bidi="ar-SA"/>
    </w:rPr>
  </w:style>
  <w:style w:type="paragraph" w:customStyle="1" w:styleId="334">
    <w:name w:val="Notes Heading in Table"/>
    <w:next w:val="1"/>
    <w:autoRedefine/>
    <w:qFormat/>
    <w:uiPriority w:val="0"/>
    <w:pPr>
      <w:keepNext/>
      <w:adjustRightInd w:val="0"/>
      <w:snapToGrid w:val="0"/>
      <w:spacing w:before="80" w:after="40" w:line="240" w:lineRule="atLeast"/>
    </w:pPr>
    <w:rPr>
      <w:rFonts w:ascii="Arial" w:hAnsi="Arial" w:eastAsia="黑体" w:cs="Arial"/>
      <w:bCs/>
      <w:kern w:val="2"/>
      <w:sz w:val="18"/>
      <w:szCs w:val="18"/>
      <w:lang w:val="en-US" w:eastAsia="zh-CN" w:bidi="ar-SA"/>
    </w:rPr>
  </w:style>
  <w:style w:type="paragraph" w:customStyle="1" w:styleId="335">
    <w:name w:val="样式 首行缩进: 0.85 厘米 段前: 2.5 磅 段后: 6 磅 行距: 1.5 倍行距"/>
    <w:basedOn w:val="1"/>
    <w:autoRedefine/>
    <w:qFormat/>
    <w:uiPriority w:val="0"/>
    <w:pPr>
      <w:spacing w:before="50" w:after="120" w:line="360" w:lineRule="auto"/>
      <w:ind w:firstLine="480"/>
    </w:pPr>
    <w:rPr>
      <w:sz w:val="24"/>
    </w:rPr>
  </w:style>
  <w:style w:type="paragraph" w:customStyle="1" w:styleId="336">
    <w:name w:val="xl109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337">
    <w:name w:val="xl108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38">
    <w:name w:val="xl57"/>
    <w:basedOn w:val="1"/>
    <w:autoRedefine/>
    <w:qFormat/>
    <w:uiPriority w:val="0"/>
    <w:pPr>
      <w:widowControl/>
      <w:pBdr>
        <w:top w:val="single" w:color="auto" w:sz="4" w:space="0"/>
        <w:bottom w:val="single" w:color="auto" w:sz="8"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339">
    <w:name w:val="GP正文(首行缩进)"/>
    <w:basedOn w:val="1"/>
    <w:autoRedefine/>
    <w:qFormat/>
    <w:uiPriority w:val="0"/>
    <w:pPr>
      <w:spacing w:line="360" w:lineRule="auto"/>
      <w:ind w:firstLine="200" w:firstLineChars="200"/>
      <w:jc w:val="left"/>
    </w:pPr>
    <w:rPr>
      <w:sz w:val="24"/>
      <w:szCs w:val="21"/>
    </w:rPr>
  </w:style>
  <w:style w:type="paragraph" w:customStyle="1" w:styleId="340">
    <w:name w:val="目录"/>
    <w:basedOn w:val="1"/>
    <w:autoRedefine/>
    <w:qFormat/>
    <w:uiPriority w:val="0"/>
    <w:pPr>
      <w:widowControl/>
      <w:jc w:val="center"/>
    </w:pPr>
    <w:rPr>
      <w:rFonts w:ascii="宋体"/>
      <w:b/>
      <w:kern w:val="0"/>
      <w:sz w:val="36"/>
      <w:szCs w:val="20"/>
    </w:rPr>
  </w:style>
  <w:style w:type="paragraph" w:customStyle="1" w:styleId="341">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42">
    <w:name w:val="样式 小四 行距: 1.5 倍行距"/>
    <w:basedOn w:val="1"/>
    <w:autoRedefine/>
    <w:qFormat/>
    <w:uiPriority w:val="0"/>
    <w:pPr>
      <w:tabs>
        <w:tab w:val="left" w:pos="740"/>
      </w:tabs>
      <w:ind w:left="1081" w:hanging="1081"/>
    </w:pPr>
  </w:style>
  <w:style w:type="paragraph" w:customStyle="1" w:styleId="343">
    <w:name w:val="xl7875"/>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44">
    <w:name w:val="large"/>
    <w:basedOn w:val="1"/>
    <w:autoRedefine/>
    <w:qFormat/>
    <w:uiPriority w:val="0"/>
    <w:pPr>
      <w:widowControl/>
      <w:spacing w:before="100" w:beforeAutospacing="1" w:after="100" w:afterAutospacing="1" w:line="360" w:lineRule="atLeast"/>
      <w:ind w:firstLine="400"/>
      <w:jc w:val="left"/>
    </w:pPr>
    <w:rPr>
      <w:rFonts w:ascii="宋体" w:hAnsi="宋体" w:cs="宋体"/>
      <w:color w:val="808080"/>
      <w:kern w:val="0"/>
      <w:sz w:val="24"/>
    </w:rPr>
  </w:style>
  <w:style w:type="paragraph" w:customStyle="1" w:styleId="345">
    <w:name w:val="xl1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46">
    <w:name w:val="font0"/>
    <w:basedOn w:val="1"/>
    <w:autoRedefine/>
    <w:qFormat/>
    <w:uiPriority w:val="0"/>
    <w:pPr>
      <w:widowControl/>
      <w:spacing w:before="100" w:beforeAutospacing="1" w:after="100" w:afterAutospacing="1"/>
      <w:jc w:val="left"/>
    </w:pPr>
    <w:rPr>
      <w:rFonts w:ascii="宋体" w:hAnsi="宋体" w:cs="Arial Unicode MS"/>
      <w:kern w:val="0"/>
      <w:sz w:val="24"/>
    </w:rPr>
  </w:style>
  <w:style w:type="paragraph" w:customStyle="1" w:styleId="347">
    <w:name w:val="英文标号正文"/>
    <w:basedOn w:val="1"/>
    <w:autoRedefine/>
    <w:qFormat/>
    <w:uiPriority w:val="0"/>
    <w:pPr>
      <w:widowControl/>
      <w:tabs>
        <w:tab w:val="left" w:pos="425"/>
        <w:tab w:val="left" w:pos="1620"/>
      </w:tabs>
      <w:autoSpaceDE w:val="0"/>
      <w:autoSpaceDN w:val="0"/>
      <w:ind w:left="1620" w:leftChars="600" w:hanging="360" w:hangingChars="200"/>
    </w:pPr>
    <w:rPr>
      <w:kern w:val="0"/>
      <w:sz w:val="24"/>
      <w:szCs w:val="20"/>
    </w:rPr>
  </w:style>
  <w:style w:type="paragraph" w:customStyle="1" w:styleId="348">
    <w:name w:val="xl1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jc w:val="left"/>
    </w:pPr>
    <w:rPr>
      <w:rFonts w:ascii="宋体" w:hAnsi="宋体" w:cs="宋体"/>
      <w:b/>
      <w:bCs/>
      <w:kern w:val="0"/>
      <w:sz w:val="20"/>
      <w:szCs w:val="20"/>
    </w:rPr>
  </w:style>
  <w:style w:type="paragraph" w:customStyle="1" w:styleId="349">
    <w:name w:val="text_12_subject"/>
    <w:basedOn w:val="1"/>
    <w:autoRedefine/>
    <w:qFormat/>
    <w:uiPriority w:val="0"/>
    <w:pPr>
      <w:widowControl/>
      <w:spacing w:before="100" w:beforeAutospacing="1" w:after="100" w:afterAutospacing="1"/>
      <w:jc w:val="left"/>
    </w:pPr>
    <w:rPr>
      <w:rFonts w:ascii="ˎ̥" w:hAnsi="ˎ̥" w:cs="宋体"/>
      <w:b/>
      <w:bCs/>
      <w:color w:val="006699"/>
      <w:kern w:val="0"/>
      <w:sz w:val="18"/>
      <w:szCs w:val="18"/>
    </w:rPr>
  </w:style>
  <w:style w:type="paragraph" w:customStyle="1" w:styleId="350">
    <w:name w:val="样式 标题 3h:33H3Kop 3Vl3Level 3 Headh3sect1.2.3Alt+31.1.1..."/>
    <w:basedOn w:val="5"/>
    <w:autoRedefine/>
    <w:qFormat/>
    <w:uiPriority w:val="0"/>
    <w:pPr>
      <w:tabs>
        <w:tab w:val="left" w:pos="1800"/>
      </w:tabs>
      <w:spacing w:before="312" w:after="312" w:line="415" w:lineRule="auto"/>
      <w:ind w:left="1800" w:leftChars="0" w:hanging="720"/>
    </w:pPr>
    <w:rPr>
      <w:rFonts w:eastAsia="宋体" w:cs="宋体"/>
      <w:bCs/>
      <w:sz w:val="30"/>
    </w:rPr>
  </w:style>
  <w:style w:type="paragraph" w:customStyle="1" w:styleId="351">
    <w:name w:val="Char Char Char Char Char Char Char1"/>
    <w:basedOn w:val="1"/>
    <w:autoRedefine/>
    <w:qFormat/>
    <w:uiPriority w:val="0"/>
  </w:style>
  <w:style w:type="paragraph" w:customStyle="1" w:styleId="352">
    <w:name w:val="xl9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53">
    <w:name w:val="样式1"/>
    <w:basedOn w:val="1"/>
    <w:autoRedefine/>
    <w:qFormat/>
    <w:uiPriority w:val="0"/>
    <w:pPr>
      <w:keepNext/>
      <w:keepLines/>
      <w:tabs>
        <w:tab w:val="left" w:pos="839"/>
      </w:tabs>
      <w:spacing w:before="100" w:beforeAutospacing="1" w:after="100" w:afterAutospacing="1" w:line="360" w:lineRule="auto"/>
      <w:ind w:left="839" w:hanging="419"/>
      <w:outlineLvl w:val="1"/>
    </w:pPr>
    <w:rPr>
      <w:rFonts w:ascii="Arial" w:hAnsi="Arial" w:eastAsia="黑体" w:cs="宋体"/>
      <w:b/>
      <w:sz w:val="32"/>
      <w:szCs w:val="20"/>
    </w:rPr>
  </w:style>
  <w:style w:type="paragraph" w:customStyle="1" w:styleId="354">
    <w:name w:val="xl5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355">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56">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7">
    <w:name w:val="xl10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58">
    <w:name w:val="样式 标题 4 + 段前: 0.5 行 段后: 0.5 行1"/>
    <w:basedOn w:val="6"/>
    <w:autoRedefine/>
    <w:qFormat/>
    <w:uiPriority w:val="0"/>
    <w:pPr>
      <w:tabs>
        <w:tab w:val="left" w:pos="864"/>
      </w:tabs>
      <w:autoSpaceDE w:val="0"/>
      <w:spacing w:beforeLines="50" w:afterLines="50" w:line="360" w:lineRule="auto"/>
      <w:ind w:left="864" w:hanging="864"/>
    </w:pPr>
    <w:rPr>
      <w:rFonts w:ascii="仿宋_GB2312" w:hAnsi="Arial" w:eastAsia="仿宋_GB2312" w:cs="宋体"/>
      <w:kern w:val="0"/>
      <w:sz w:val="30"/>
      <w:szCs w:val="20"/>
    </w:rPr>
  </w:style>
  <w:style w:type="paragraph" w:customStyle="1" w:styleId="359">
    <w:name w:val="xl10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60">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61">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62">
    <w:name w:val="xl12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b/>
      <w:bCs/>
      <w:kern w:val="0"/>
      <w:sz w:val="20"/>
      <w:szCs w:val="20"/>
    </w:rPr>
  </w:style>
  <w:style w:type="paragraph" w:customStyle="1" w:styleId="363">
    <w:name w:val="节标题"/>
    <w:basedOn w:val="1"/>
    <w:autoRedefine/>
    <w:qFormat/>
    <w:uiPriority w:val="0"/>
    <w:pPr>
      <w:widowControl/>
      <w:spacing w:line="289" w:lineRule="atLeast"/>
      <w:jc w:val="center"/>
      <w:textAlignment w:val="baseline"/>
    </w:pPr>
    <w:rPr>
      <w:color w:val="000000"/>
      <w:kern w:val="0"/>
      <w:sz w:val="28"/>
      <w:szCs w:val="20"/>
      <w:u w:color="000000"/>
    </w:rPr>
  </w:style>
  <w:style w:type="paragraph" w:customStyle="1" w:styleId="364">
    <w:name w:val="xl32"/>
    <w:basedOn w:val="1"/>
    <w:autoRedefine/>
    <w:qFormat/>
    <w:uiPriority w:val="0"/>
    <w:pPr>
      <w:widowControl/>
      <w:pBdr>
        <w:top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65">
    <w:name w:val="列表 21"/>
    <w:basedOn w:val="1"/>
    <w:autoRedefine/>
    <w:qFormat/>
    <w:uiPriority w:val="0"/>
    <w:pPr>
      <w:ind w:left="100" w:leftChars="200" w:hanging="200" w:hangingChars="200"/>
    </w:pPr>
  </w:style>
  <w:style w:type="paragraph" w:customStyle="1" w:styleId="366">
    <w:name w:val="Char Char Char Char Char Char Char"/>
    <w:basedOn w:val="1"/>
    <w:autoRedefine/>
    <w:qFormat/>
    <w:uiPriority w:val="0"/>
  </w:style>
  <w:style w:type="paragraph" w:customStyle="1" w:styleId="367">
    <w:name w:val="zw_12_25"/>
    <w:basedOn w:val="1"/>
    <w:autoRedefine/>
    <w:qFormat/>
    <w:uiPriority w:val="0"/>
    <w:pPr>
      <w:widowControl/>
      <w:spacing w:before="100" w:beforeAutospacing="1" w:after="100" w:afterAutospacing="1" w:line="300" w:lineRule="atLeast"/>
      <w:jc w:val="left"/>
    </w:pPr>
    <w:rPr>
      <w:color w:val="333399"/>
      <w:kern w:val="0"/>
      <w:sz w:val="23"/>
      <w:szCs w:val="23"/>
    </w:rPr>
  </w:style>
  <w:style w:type="paragraph" w:customStyle="1" w:styleId="368">
    <w:name w:val="一级无"/>
    <w:basedOn w:val="226"/>
    <w:autoRedefine/>
    <w:qFormat/>
    <w:uiPriority w:val="0"/>
    <w:pPr>
      <w:spacing w:beforeLines="0" w:afterLines="0"/>
    </w:pPr>
    <w:rPr>
      <w:rFonts w:ascii="宋体" w:eastAsia="宋体"/>
    </w:rPr>
  </w:style>
  <w:style w:type="paragraph" w:customStyle="1" w:styleId="369">
    <w:name w:val="xl9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MingLiU" w:hAnsi="MingLiU" w:eastAsia="MingLiU" w:cs="宋体"/>
      <w:kern w:val="0"/>
      <w:sz w:val="24"/>
    </w:rPr>
  </w:style>
  <w:style w:type="paragraph" w:customStyle="1" w:styleId="370">
    <w:name w:val="手动目录"/>
    <w:basedOn w:val="1"/>
    <w:autoRedefine/>
    <w:qFormat/>
    <w:uiPriority w:val="0"/>
    <w:pPr>
      <w:numPr>
        <w:ilvl w:val="0"/>
        <w:numId w:val="3"/>
      </w:numPr>
      <w:spacing w:line="360" w:lineRule="auto"/>
    </w:pPr>
    <w:rPr>
      <w:sz w:val="24"/>
    </w:rPr>
  </w:style>
  <w:style w:type="paragraph" w:customStyle="1" w:styleId="371">
    <w:name w:val="xl83"/>
    <w:basedOn w:val="1"/>
    <w:autoRedefine/>
    <w:qFormat/>
    <w:uiPriority w:val="0"/>
    <w:pPr>
      <w:widowControl/>
      <w:pBdr>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372">
    <w:name w:val="默认段落字体 Para Char Char Char Char"/>
    <w:basedOn w:val="1"/>
    <w:autoRedefine/>
    <w:qFormat/>
    <w:uiPriority w:val="0"/>
    <w:rPr>
      <w:szCs w:val="20"/>
    </w:rPr>
  </w:style>
  <w:style w:type="paragraph" w:customStyle="1" w:styleId="373">
    <w:name w:val="xl123"/>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74">
    <w:name w:val="表样式"/>
    <w:basedOn w:val="1"/>
    <w:autoRedefine/>
    <w:qFormat/>
    <w:uiPriority w:val="0"/>
    <w:pPr>
      <w:autoSpaceDE w:val="0"/>
      <w:autoSpaceDN w:val="0"/>
      <w:adjustRightInd w:val="0"/>
      <w:spacing w:before="90" w:after="90"/>
      <w:jc w:val="center"/>
    </w:pPr>
    <w:rPr>
      <w:rFonts w:ascii="Arial" w:hAnsi="Arial"/>
      <w:kern w:val="0"/>
      <w:sz w:val="18"/>
    </w:rPr>
  </w:style>
  <w:style w:type="paragraph" w:customStyle="1" w:styleId="375">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rPr>
  </w:style>
  <w:style w:type="paragraph" w:customStyle="1" w:styleId="376">
    <w:name w:val="xl8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377">
    <w:name w:val="xl10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378">
    <w:name w:val="xl67"/>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379">
    <w:name w:val="xl78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80">
    <w:name w:val="xl96"/>
    <w:basedOn w:val="1"/>
    <w:autoRedefine/>
    <w:qFormat/>
    <w:uiPriority w:val="0"/>
    <w:pPr>
      <w:widowControl/>
      <w:pBdr>
        <w:right w:val="single" w:color="auto" w:sz="4" w:space="0"/>
      </w:pBdr>
      <w:shd w:val="clear" w:color="auto" w:fill="FFFF00"/>
      <w:spacing w:before="100" w:beforeAutospacing="1" w:after="100" w:afterAutospacing="1"/>
      <w:jc w:val="center"/>
    </w:pPr>
    <w:rPr>
      <w:rFonts w:ascii="宋体" w:hAnsi="宋体" w:cs="宋体"/>
      <w:kern w:val="0"/>
      <w:sz w:val="24"/>
    </w:rPr>
  </w:style>
  <w:style w:type="paragraph" w:customStyle="1" w:styleId="381">
    <w:name w:val="CM20"/>
    <w:basedOn w:val="70"/>
    <w:next w:val="70"/>
    <w:autoRedefine/>
    <w:qFormat/>
    <w:uiPriority w:val="0"/>
    <w:pPr>
      <w:spacing w:after="115"/>
    </w:pPr>
    <w:rPr>
      <w:rFonts w:ascii=".a..DD.." w:eastAsia=".a..DD.."/>
      <w:color w:val="auto"/>
      <w:szCs w:val="24"/>
    </w:rPr>
  </w:style>
  <w:style w:type="paragraph" w:customStyle="1" w:styleId="382">
    <w:name w:val="font10"/>
    <w:basedOn w:val="1"/>
    <w:autoRedefine/>
    <w:qFormat/>
    <w:uiPriority w:val="0"/>
    <w:pPr>
      <w:widowControl/>
      <w:spacing w:before="100" w:beforeAutospacing="1" w:after="100" w:afterAutospacing="1"/>
      <w:jc w:val="left"/>
    </w:pPr>
    <w:rPr>
      <w:rFonts w:eastAsia="Arial Unicode MS"/>
      <w:kern w:val="0"/>
      <w:sz w:val="28"/>
      <w:szCs w:val="28"/>
    </w:rPr>
  </w:style>
  <w:style w:type="paragraph" w:customStyle="1" w:styleId="383">
    <w:name w:val="xl8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4">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85">
    <w:name w:val="xl1075"/>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386">
    <w:name w:val="书目1"/>
    <w:basedOn w:val="1"/>
    <w:next w:val="1"/>
    <w:autoRedefine/>
    <w:unhideWhenUsed/>
    <w:qFormat/>
    <w:uiPriority w:val="37"/>
    <w:pPr>
      <w:spacing w:line="360" w:lineRule="auto"/>
      <w:ind w:firstLine="200" w:firstLineChars="200"/>
      <w:jc w:val="left"/>
    </w:pPr>
    <w:rPr>
      <w:sz w:val="24"/>
    </w:rPr>
  </w:style>
  <w:style w:type="paragraph" w:customStyle="1" w:styleId="387">
    <w:name w:val="style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88">
    <w:name w:val="表文"/>
    <w:basedOn w:val="1"/>
    <w:autoRedefine/>
    <w:qFormat/>
    <w:uiPriority w:val="0"/>
    <w:pPr>
      <w:spacing w:line="300" w:lineRule="auto"/>
      <w:jc w:val="center"/>
      <w:textAlignment w:val="baseline"/>
    </w:pPr>
    <w:rPr>
      <w:kern w:val="0"/>
      <w:szCs w:val="20"/>
    </w:rPr>
  </w:style>
  <w:style w:type="paragraph" w:customStyle="1" w:styleId="389">
    <w:name w:val="内文"/>
    <w:autoRedefine/>
    <w:qFormat/>
    <w:uiPriority w:val="0"/>
    <w:pPr>
      <w:widowControl w:val="0"/>
      <w:autoSpaceDE w:val="0"/>
      <w:autoSpaceDN w:val="0"/>
      <w:adjustRightInd w:val="0"/>
      <w:jc w:val="both"/>
    </w:pPr>
    <w:rPr>
      <w:rFonts w:hint="eastAsia" w:ascii="宋体" w:hAnsi="Times New Roman" w:eastAsia="宋体" w:cs="Times New Roman"/>
      <w:color w:val="000000"/>
      <w:sz w:val="24"/>
      <w:lang w:val="en-US" w:eastAsia="zh-CN" w:bidi="ar-SA"/>
    </w:rPr>
  </w:style>
  <w:style w:type="paragraph" w:customStyle="1" w:styleId="390">
    <w:name w:val="xl10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391">
    <w:name w:val="样式 标题 1章节标题b1 + 段前: 6 磅"/>
    <w:basedOn w:val="3"/>
    <w:autoRedefine/>
    <w:qFormat/>
    <w:uiPriority w:val="0"/>
    <w:pPr>
      <w:tabs>
        <w:tab w:val="left" w:pos="1320"/>
        <w:tab w:val="left" w:pos="1740"/>
      </w:tabs>
      <w:adjustRightInd/>
      <w:spacing w:line="360" w:lineRule="auto"/>
      <w:jc w:val="both"/>
      <w:textAlignment w:val="auto"/>
    </w:pPr>
    <w:rPr>
      <w:rFonts w:ascii="宋体" w:hAnsi="宋体" w:cs="宋体"/>
      <w:bCs/>
      <w:color w:val="000000"/>
      <w:kern w:val="2"/>
      <w:sz w:val="28"/>
      <w:szCs w:val="21"/>
    </w:rPr>
  </w:style>
  <w:style w:type="paragraph" w:customStyle="1" w:styleId="392">
    <w:name w:val="xl41"/>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93">
    <w:name w:val="xl1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9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95">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96">
    <w:name w:val="xl45"/>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97">
    <w:name w:val="样式 样式 标题 2 + 段前: 0.5 行 段后: 0.5 行 + 段前: 0.5 行 段后: 0.5 行"/>
    <w:basedOn w:val="398"/>
    <w:autoRedefine/>
    <w:qFormat/>
    <w:uiPriority w:val="0"/>
    <w:pPr>
      <w:tabs>
        <w:tab w:val="left" w:pos="1320"/>
      </w:tabs>
      <w:spacing w:beforeLines="0" w:beforeAutospacing="1" w:afterLines="0" w:afterAutospacing="1"/>
      <w:ind w:left="576" w:hanging="576"/>
    </w:pPr>
    <w:rPr>
      <w:bCs w:val="0"/>
    </w:rPr>
  </w:style>
  <w:style w:type="paragraph" w:customStyle="1" w:styleId="398">
    <w:name w:val="样式 标题 2 + 段前: 0.5 行 段后: 0.5 行"/>
    <w:basedOn w:val="4"/>
    <w:autoRedefine/>
    <w:qFormat/>
    <w:uiPriority w:val="0"/>
    <w:pPr>
      <w:tabs>
        <w:tab w:val="left" w:pos="1320"/>
      </w:tabs>
      <w:spacing w:beforeLines="50" w:afterLines="50" w:line="360" w:lineRule="auto"/>
      <w:jc w:val="left"/>
    </w:pPr>
    <w:rPr>
      <w:rFonts w:cs="宋体"/>
      <w:b w:val="0"/>
      <w:kern w:val="0"/>
      <w:szCs w:val="20"/>
    </w:rPr>
  </w:style>
  <w:style w:type="paragraph" w:customStyle="1" w:styleId="399">
    <w:name w:val="编号3级"/>
    <w:autoRedefine/>
    <w:qFormat/>
    <w:uiPriority w:val="0"/>
    <w:pPr>
      <w:tabs>
        <w:tab w:val="left" w:pos="1259"/>
      </w:tabs>
      <w:spacing w:line="400" w:lineRule="exact"/>
      <w:ind w:left="1678" w:hanging="419"/>
    </w:pPr>
    <w:rPr>
      <w:rFonts w:ascii="Times New Roman" w:hAnsi="Times New Roman" w:eastAsia="宋体" w:cs="Times New Roman"/>
      <w:kern w:val="2"/>
      <w:sz w:val="24"/>
      <w:szCs w:val="24"/>
      <w:lang w:val="en-US" w:eastAsia="zh-CN" w:bidi="ar-SA"/>
    </w:rPr>
  </w:style>
  <w:style w:type="paragraph" w:customStyle="1" w:styleId="400">
    <w:name w:val="xl5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pPr>
    <w:rPr>
      <w:rFonts w:ascii="Arial Unicode MS" w:hAnsi="Arial Unicode MS" w:eastAsia="Arial Unicode MS" w:cs="Arial Unicode MS"/>
      <w:kern w:val="0"/>
      <w:sz w:val="24"/>
    </w:rPr>
  </w:style>
  <w:style w:type="paragraph" w:customStyle="1" w:styleId="401">
    <w:name w:val="标准"/>
    <w:basedOn w:val="1"/>
    <w:autoRedefine/>
    <w:qFormat/>
    <w:uiPriority w:val="0"/>
    <w:pPr>
      <w:autoSpaceDE w:val="0"/>
      <w:autoSpaceDN w:val="0"/>
      <w:adjustRightInd w:val="0"/>
      <w:ind w:firstLine="600"/>
      <w:textAlignment w:val="baseline"/>
    </w:pPr>
    <w:rPr>
      <w:kern w:val="0"/>
      <w:sz w:val="28"/>
      <w:szCs w:val="20"/>
    </w:rPr>
  </w:style>
  <w:style w:type="paragraph" w:customStyle="1" w:styleId="402">
    <w:name w:val="xl118"/>
    <w:basedOn w:val="1"/>
    <w:autoRedefine/>
    <w:qFormat/>
    <w:uiPriority w:val="0"/>
    <w:pPr>
      <w:widowControl/>
      <w:pBdr>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403">
    <w:name w:val="样式 标题 3 + 四号 段前: 7.8 磅 段后: 0 磅 行距: 单倍行距"/>
    <w:basedOn w:val="5"/>
    <w:autoRedefine/>
    <w:qFormat/>
    <w:uiPriority w:val="0"/>
    <w:pPr>
      <w:tabs>
        <w:tab w:val="left" w:pos="673"/>
      </w:tabs>
      <w:spacing w:before="156" w:after="0"/>
      <w:ind w:left="720" w:hanging="720"/>
    </w:pPr>
    <w:rPr>
      <w:rFonts w:ascii="宋体" w:hAnsi="宋体" w:eastAsia="宋体"/>
      <w:b w:val="0"/>
      <w:sz w:val="28"/>
    </w:rPr>
  </w:style>
  <w:style w:type="paragraph" w:customStyle="1" w:styleId="404">
    <w:name w:val="xl106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05">
    <w:name w:val="表项"/>
    <w:next w:val="406"/>
    <w:autoRedefine/>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406">
    <w:name w:val="表身（左）"/>
    <w:autoRedefine/>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407">
    <w:name w:val="font13"/>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408">
    <w:name w:val="xl1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09">
    <w:name w:val="Default Text:1"/>
    <w:basedOn w:val="1"/>
    <w:autoRedefine/>
    <w:qFormat/>
    <w:uiPriority w:val="0"/>
    <w:pPr>
      <w:widowControl/>
      <w:overflowPunct w:val="0"/>
      <w:autoSpaceDE w:val="0"/>
      <w:autoSpaceDN w:val="0"/>
      <w:adjustRightInd w:val="0"/>
      <w:jc w:val="left"/>
      <w:textAlignment w:val="baseline"/>
    </w:pPr>
    <w:rPr>
      <w:kern w:val="0"/>
      <w:sz w:val="24"/>
      <w:szCs w:val="20"/>
    </w:rPr>
  </w:style>
  <w:style w:type="paragraph" w:customStyle="1" w:styleId="410">
    <w:name w:val="Char2"/>
    <w:basedOn w:val="1"/>
    <w:autoRedefine/>
    <w:qFormat/>
    <w:uiPriority w:val="0"/>
    <w:pPr>
      <w:jc w:val="center"/>
    </w:pPr>
    <w:rPr>
      <w:rFonts w:ascii="宋体" w:hAnsi="宋体"/>
      <w:b/>
      <w:szCs w:val="21"/>
    </w:rPr>
  </w:style>
  <w:style w:type="paragraph" w:customStyle="1" w:styleId="411">
    <w:name w:val="xl1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12">
    <w:name w:val="xl35"/>
    <w:basedOn w:val="1"/>
    <w:autoRedefine/>
    <w:qFormat/>
    <w:uiPriority w:val="0"/>
    <w:pPr>
      <w:widowControl/>
      <w:pBdr>
        <w:top w:val="single" w:color="auto" w:sz="4" w:space="0"/>
        <w:bottom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13">
    <w:name w:val="xl1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14">
    <w:name w:val="表格标题文字"/>
    <w:autoRedefine/>
    <w:qFormat/>
    <w:uiPriority w:val="0"/>
    <w:pPr>
      <w:snapToGrid w:val="0"/>
      <w:spacing w:before="120" w:line="240" w:lineRule="exact"/>
    </w:pPr>
    <w:rPr>
      <w:rFonts w:ascii="Arial" w:hAnsi="Arial" w:eastAsia="黑体" w:cs="Times New Roman"/>
      <w:kern w:val="2"/>
      <w:sz w:val="18"/>
      <w:szCs w:val="21"/>
      <w:lang w:val="en-US" w:eastAsia="zh-CN" w:bidi="ar-SA"/>
    </w:rPr>
  </w:style>
  <w:style w:type="paragraph" w:customStyle="1" w:styleId="415">
    <w:name w:val="样式 样式 标题 2 + 段前: 0.5 行 段后: 0.5 行2 + 段前: 0.5 行 段后: 0.5 行"/>
    <w:basedOn w:val="323"/>
    <w:autoRedefine/>
    <w:qFormat/>
    <w:uiPriority w:val="0"/>
    <w:rPr>
      <w:b w:val="0"/>
    </w:rPr>
  </w:style>
  <w:style w:type="paragraph" w:customStyle="1" w:styleId="416">
    <w:name w:val="表格标题2"/>
    <w:basedOn w:val="1"/>
    <w:autoRedefine/>
    <w:qFormat/>
    <w:uiPriority w:val="0"/>
    <w:pPr>
      <w:tabs>
        <w:tab w:val="left" w:pos="1620"/>
      </w:tabs>
      <w:adjustRightInd w:val="0"/>
      <w:spacing w:before="60" w:after="60"/>
      <w:ind w:left="1620" w:leftChars="600" w:hanging="360" w:hangingChars="200"/>
      <w:textAlignment w:val="bottom"/>
    </w:pPr>
    <w:rPr>
      <w:kern w:val="0"/>
      <w:szCs w:val="21"/>
    </w:rPr>
  </w:style>
  <w:style w:type="paragraph" w:customStyle="1" w:styleId="417">
    <w:name w:val="Figure Description"/>
    <w:basedOn w:val="1"/>
    <w:next w:val="200"/>
    <w:autoRedefine/>
    <w:qFormat/>
    <w:uiPriority w:val="0"/>
    <w:pPr>
      <w:keepNext/>
      <w:keepLines/>
      <w:spacing w:afterLines="100" w:line="360" w:lineRule="auto"/>
      <w:jc w:val="center"/>
    </w:pPr>
    <w:rPr>
      <w:rFonts w:ascii="Tahoma" w:hAnsi="Tahoma"/>
      <w:sz w:val="24"/>
    </w:rPr>
  </w:style>
  <w:style w:type="paragraph" w:customStyle="1" w:styleId="418">
    <w:name w:val="xl1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FF0000"/>
      <w:kern w:val="0"/>
      <w:sz w:val="20"/>
      <w:szCs w:val="20"/>
    </w:rPr>
  </w:style>
  <w:style w:type="paragraph" w:customStyle="1" w:styleId="419">
    <w:name w:val="pa-13"/>
    <w:basedOn w:val="1"/>
    <w:autoRedefine/>
    <w:qFormat/>
    <w:uiPriority w:val="0"/>
    <w:pPr>
      <w:widowControl/>
      <w:spacing w:line="240" w:lineRule="atLeast"/>
    </w:pPr>
    <w:rPr>
      <w:rFonts w:ascii="宋体" w:hAnsi="宋体" w:cs="宋体"/>
      <w:kern w:val="0"/>
      <w:sz w:val="24"/>
    </w:rPr>
  </w:style>
  <w:style w:type="paragraph" w:customStyle="1" w:styleId="420">
    <w:name w:val="xl5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421">
    <w:name w:val="size12"/>
    <w:basedOn w:val="1"/>
    <w:autoRedefine/>
    <w:qFormat/>
    <w:uiPriority w:val="0"/>
    <w:pPr>
      <w:widowControl/>
      <w:spacing w:before="100" w:beforeAutospacing="1" w:after="100" w:afterAutospacing="1" w:line="360" w:lineRule="auto"/>
      <w:jc w:val="left"/>
    </w:pPr>
    <w:rPr>
      <w:color w:val="000000"/>
      <w:kern w:val="0"/>
      <w:sz w:val="20"/>
      <w:szCs w:val="20"/>
    </w:rPr>
  </w:style>
  <w:style w:type="paragraph" w:customStyle="1" w:styleId="422">
    <w:name w:val="xl2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23">
    <w:name w:val="样式 小四 首行缩进:  2 字符"/>
    <w:basedOn w:val="1"/>
    <w:autoRedefine/>
    <w:qFormat/>
    <w:uiPriority w:val="0"/>
    <w:pPr>
      <w:spacing w:line="300" w:lineRule="auto"/>
      <w:ind w:firstLine="480" w:firstLineChars="200"/>
    </w:pPr>
    <w:rPr>
      <w:sz w:val="24"/>
      <w:szCs w:val="20"/>
    </w:rPr>
  </w:style>
  <w:style w:type="paragraph" w:customStyle="1" w:styleId="424">
    <w:name w:val="font9"/>
    <w:basedOn w:val="1"/>
    <w:autoRedefine/>
    <w:qFormat/>
    <w:uiPriority w:val="0"/>
    <w:pPr>
      <w:widowControl/>
      <w:spacing w:before="100" w:beforeAutospacing="1" w:after="100" w:afterAutospacing="1"/>
      <w:jc w:val="left"/>
    </w:pPr>
    <w:rPr>
      <w:rFonts w:eastAsia="Arial Unicode MS"/>
      <w:b/>
      <w:bCs/>
      <w:kern w:val="0"/>
      <w:sz w:val="32"/>
      <w:szCs w:val="32"/>
    </w:rPr>
  </w:style>
  <w:style w:type="paragraph" w:customStyle="1" w:styleId="425">
    <w:name w:val="just"/>
    <w:basedOn w:val="1"/>
    <w:autoRedefine/>
    <w:qFormat/>
    <w:uiPriority w:val="0"/>
    <w:pPr>
      <w:widowControl/>
      <w:spacing w:before="100" w:beforeAutospacing="1" w:after="100" w:afterAutospacing="1" w:line="360" w:lineRule="auto"/>
      <w:ind w:firstLine="510"/>
    </w:pPr>
    <w:rPr>
      <w:rFonts w:ascii="Geneva" w:hAnsi="Geneva"/>
      <w:kern w:val="0"/>
      <w:sz w:val="24"/>
    </w:rPr>
  </w:style>
  <w:style w:type="paragraph" w:customStyle="1" w:styleId="426">
    <w:name w:val="列出段落2"/>
    <w:basedOn w:val="1"/>
    <w:autoRedefine/>
    <w:qFormat/>
    <w:uiPriority w:val="0"/>
    <w:pPr>
      <w:ind w:firstLine="420" w:firstLineChars="200"/>
    </w:pPr>
  </w:style>
  <w:style w:type="paragraph" w:customStyle="1" w:styleId="427">
    <w:name w:val="编号4级"/>
    <w:autoRedefine/>
    <w:qFormat/>
    <w:uiPriority w:val="0"/>
    <w:pPr>
      <w:tabs>
        <w:tab w:val="left" w:pos="1843"/>
      </w:tabs>
      <w:spacing w:line="360" w:lineRule="auto"/>
      <w:ind w:left="1843" w:hanging="284"/>
    </w:pPr>
    <w:rPr>
      <w:rFonts w:ascii="Times New Roman" w:hAnsi="Times New Roman" w:eastAsia="宋体" w:cs="Times New Roman"/>
      <w:kern w:val="24"/>
      <w:sz w:val="24"/>
      <w:szCs w:val="18"/>
      <w:lang w:val="en-US" w:eastAsia="zh-CN" w:bidi="ar-SA"/>
    </w:rPr>
  </w:style>
  <w:style w:type="paragraph" w:customStyle="1" w:styleId="428">
    <w:name w:val="xl103"/>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29">
    <w:name w:val="xl85"/>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30">
    <w:name w:val="xl3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431">
    <w:name w:val="样式 样式 标题 3H3h3h31Heading 3 - old3Heading 3 hidden2hh32Sect... + ..."/>
    <w:basedOn w:val="1"/>
    <w:autoRedefine/>
    <w:qFormat/>
    <w:uiPriority w:val="0"/>
    <w:pPr>
      <w:keepNext/>
      <w:keepLines/>
      <w:tabs>
        <w:tab w:val="left" w:pos="1931"/>
      </w:tabs>
      <w:spacing w:before="100" w:beforeAutospacing="1" w:afterLines="100"/>
      <w:ind w:left="1418" w:hanging="567"/>
      <w:outlineLvl w:val="2"/>
    </w:pPr>
    <w:rPr>
      <w:rFonts w:ascii="Arial Unicode MS" w:hAnsi="Arial Unicode MS" w:eastAsia="楷体_GB2312" w:cs="宋体"/>
      <w:b/>
      <w:bCs/>
      <w:sz w:val="30"/>
      <w:szCs w:val="20"/>
    </w:rPr>
  </w:style>
  <w:style w:type="paragraph" w:customStyle="1" w:styleId="432">
    <w:name w:val="Notes Text List in Table"/>
    <w:autoRedefine/>
    <w:qFormat/>
    <w:uiPriority w:val="0"/>
    <w:pPr>
      <w:numPr>
        <w:ilvl w:val="0"/>
        <w:numId w:val="5"/>
      </w:numPr>
      <w:spacing w:before="40" w:after="80" w:line="200" w:lineRule="atLeast"/>
      <w:jc w:val="both"/>
    </w:pPr>
    <w:rPr>
      <w:rFonts w:ascii="Arial" w:hAnsi="Arial" w:eastAsia="楷体_GB2312" w:cs="楷体_GB2312"/>
      <w:sz w:val="18"/>
      <w:szCs w:val="18"/>
      <w:lang w:val="en-US" w:eastAsia="zh-CN" w:bidi="ar-SA"/>
    </w:rPr>
  </w:style>
  <w:style w:type="paragraph" w:customStyle="1" w:styleId="433">
    <w:name w:val="xl10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434">
    <w:name w:val="Char Char Char"/>
    <w:basedOn w:val="1"/>
    <w:autoRedefine/>
    <w:qFormat/>
    <w:uiPriority w:val="0"/>
    <w:rPr>
      <w:rFonts w:ascii="Tahoma" w:hAnsi="Tahoma" w:cs="Angsana New"/>
      <w:sz w:val="24"/>
      <w:szCs w:val="20"/>
    </w:rPr>
  </w:style>
  <w:style w:type="paragraph" w:customStyle="1" w:styleId="435">
    <w:name w:val="xl78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436">
    <w:name w:val="xl10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37">
    <w:name w:val="样式 标题 1章H11. heading 1标准章Alt+1h1Huvudrubrikh11h12h13h..."/>
    <w:basedOn w:val="1"/>
    <w:autoRedefine/>
    <w:qFormat/>
    <w:uiPriority w:val="0"/>
  </w:style>
  <w:style w:type="paragraph" w:customStyle="1" w:styleId="438">
    <w:name w:val="公司名称"/>
    <w:basedOn w:val="1"/>
    <w:autoRedefine/>
    <w:qFormat/>
    <w:uiPriority w:val="0"/>
    <w:pPr>
      <w:keepLines/>
      <w:widowControl/>
      <w:shd w:val="solid" w:color="auto" w:fill="auto"/>
      <w:spacing w:line="320" w:lineRule="atLeast"/>
      <w:jc w:val="left"/>
    </w:pPr>
    <w:rPr>
      <w:rFonts w:ascii="Arial Black" w:hAnsi="Arial Black" w:eastAsia="黑体"/>
      <w:color w:val="FFFFFF"/>
      <w:spacing w:val="-15"/>
      <w:kern w:val="0"/>
      <w:sz w:val="32"/>
      <w:szCs w:val="20"/>
    </w:rPr>
  </w:style>
  <w:style w:type="paragraph" w:customStyle="1" w:styleId="439">
    <w:name w:val="xl97"/>
    <w:basedOn w:val="1"/>
    <w:autoRedefine/>
    <w:qFormat/>
    <w:uiPriority w:val="0"/>
    <w:pPr>
      <w:widowControl/>
      <w:pBdr>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4"/>
    </w:rPr>
  </w:style>
  <w:style w:type="paragraph" w:customStyle="1" w:styleId="440">
    <w:name w:val="xl78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441">
    <w:name w:val="正文居中小5"/>
    <w:basedOn w:val="1"/>
    <w:autoRedefine/>
    <w:qFormat/>
    <w:uiPriority w:val="0"/>
    <w:pPr>
      <w:spacing w:line="360" w:lineRule="auto"/>
      <w:jc w:val="center"/>
    </w:pPr>
    <w:rPr>
      <w:rFonts w:ascii="Arial" w:hAnsi="Arial"/>
      <w:sz w:val="18"/>
    </w:rPr>
  </w:style>
  <w:style w:type="paragraph" w:customStyle="1" w:styleId="442">
    <w:name w:val="xl148"/>
    <w:basedOn w:val="1"/>
    <w:autoRedefine/>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43">
    <w:name w:val="default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44">
    <w:name w:val="xl65"/>
    <w:basedOn w:val="1"/>
    <w:autoRedefine/>
    <w:qFormat/>
    <w:uiPriority w:val="0"/>
    <w:pPr>
      <w:widowControl/>
      <w:pBdr>
        <w:top w:val="single" w:color="auto" w:sz="4" w:space="0"/>
        <w:right w:val="single" w:color="auto" w:sz="8" w:space="0"/>
      </w:pBdr>
      <w:spacing w:before="100" w:beforeAutospacing="1" w:after="100" w:afterAutospacing="1"/>
      <w:jc w:val="right"/>
    </w:pPr>
    <w:rPr>
      <w:rFonts w:ascii="Arial Unicode MS" w:hAnsi="Arial Unicode MS" w:eastAsia="Arial Unicode MS" w:cs="Arial Unicode MS"/>
      <w:b/>
      <w:bCs/>
      <w:kern w:val="0"/>
      <w:sz w:val="28"/>
      <w:szCs w:val="28"/>
    </w:rPr>
  </w:style>
  <w:style w:type="paragraph" w:customStyle="1" w:styleId="445">
    <w:name w:val="二级大纲"/>
    <w:next w:val="104"/>
    <w:autoRedefine/>
    <w:qFormat/>
    <w:uiPriority w:val="0"/>
    <w:pPr>
      <w:numPr>
        <w:ilvl w:val="1"/>
        <w:numId w:val="3"/>
      </w:numPr>
      <w:tabs>
        <w:tab w:val="left" w:pos="840"/>
      </w:tabs>
      <w:ind w:left="840" w:hanging="420"/>
      <w:outlineLvl w:val="1"/>
    </w:pPr>
    <w:rPr>
      <w:rFonts w:ascii="Calibri" w:hAnsi="Calibri" w:eastAsia="宋体" w:cs="Times New Roman"/>
      <w:b/>
      <w:kern w:val="2"/>
      <w:sz w:val="36"/>
      <w:szCs w:val="22"/>
      <w:lang w:val="en-US" w:eastAsia="zh-CN" w:bidi="ar-SA"/>
    </w:rPr>
  </w:style>
  <w:style w:type="paragraph" w:customStyle="1" w:styleId="446">
    <w:name w:val="xl47"/>
    <w:basedOn w:val="1"/>
    <w:autoRedefine/>
    <w:qFormat/>
    <w:uiPriority w:val="0"/>
    <w:pPr>
      <w:widowControl/>
      <w:spacing w:before="100" w:beforeAutospacing="1" w:after="100" w:afterAutospacing="1"/>
      <w:jc w:val="left"/>
    </w:pPr>
    <w:rPr>
      <w:rFonts w:ascii="Arial Unicode MS" w:hAnsi="Arial Unicode MS" w:eastAsia="Arial Unicode MS" w:cs="Arial Unicode MS"/>
      <w:b/>
      <w:bCs/>
      <w:kern w:val="0"/>
      <w:sz w:val="32"/>
      <w:szCs w:val="32"/>
    </w:rPr>
  </w:style>
  <w:style w:type="paragraph" w:customStyle="1" w:styleId="447">
    <w:name w:val="xl70"/>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448">
    <w:name w:val="xl15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449">
    <w:name w:val="纯文本1"/>
    <w:basedOn w:val="1"/>
    <w:autoRedefine/>
    <w:qFormat/>
    <w:uiPriority w:val="0"/>
    <w:pPr>
      <w:autoSpaceDE w:val="0"/>
      <w:autoSpaceDN w:val="0"/>
      <w:adjustRightInd w:val="0"/>
    </w:pPr>
    <w:rPr>
      <w:rFonts w:hint="eastAsia" w:ascii="宋体" w:hAnsi="宋体" w:cs="宋体"/>
      <w:kern w:val="0"/>
      <w:szCs w:val="20"/>
    </w:rPr>
  </w:style>
  <w:style w:type="paragraph" w:customStyle="1" w:styleId="450">
    <w:name w:val="xl10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51">
    <w:name w:val="tll"/>
    <w:basedOn w:val="1"/>
    <w:autoRedefine/>
    <w:qFormat/>
    <w:uiPriority w:val="0"/>
    <w:pPr>
      <w:autoSpaceDE w:val="0"/>
      <w:autoSpaceDN w:val="0"/>
      <w:adjustRightInd w:val="0"/>
      <w:jc w:val="left"/>
      <w:textAlignment w:val="baseline"/>
    </w:pPr>
    <w:rPr>
      <w:rFonts w:ascii="仿宋_GB2312" w:hAnsi="Arial" w:eastAsia="仿宋_GB2312"/>
      <w:kern w:val="0"/>
      <w:szCs w:val="21"/>
    </w:rPr>
  </w:style>
  <w:style w:type="paragraph" w:customStyle="1" w:styleId="452">
    <w:name w:val="编号2级"/>
    <w:autoRedefine/>
    <w:qFormat/>
    <w:uiPriority w:val="0"/>
    <w:pPr>
      <w:spacing w:afterLines="20" w:line="400" w:lineRule="exact"/>
    </w:pPr>
    <w:rPr>
      <w:rFonts w:ascii="Times New Roman" w:hAnsi="Times New Roman" w:eastAsia="Times New Roman" w:cs="Times New Roman"/>
      <w:kern w:val="2"/>
      <w:sz w:val="24"/>
      <w:szCs w:val="24"/>
      <w:lang w:val="en-US" w:eastAsia="zh-CN" w:bidi="ar-SA"/>
    </w:rPr>
  </w:style>
  <w:style w:type="paragraph" w:customStyle="1" w:styleId="453">
    <w:name w:val="xl1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54">
    <w:name w:val="xl109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55">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56">
    <w:name w:val="样式 样式 标题 + 段前: 0.5 行 段后: 0.5 行 + 段前: 0.5 行 段后: 0.5 行"/>
    <w:basedOn w:val="213"/>
    <w:autoRedefine/>
    <w:qFormat/>
    <w:uiPriority w:val="0"/>
    <w:pPr>
      <w:spacing w:beforeLines="50" w:afterLines="50" w:line="360" w:lineRule="auto"/>
    </w:pPr>
    <w:rPr>
      <w:rFonts w:eastAsia="黑体" w:cs="宋体"/>
      <w:sz w:val="72"/>
      <w:szCs w:val="20"/>
      <w:u w:val="double"/>
    </w:rPr>
  </w:style>
  <w:style w:type="paragraph" w:customStyle="1" w:styleId="457">
    <w:name w:val="正文居中"/>
    <w:basedOn w:val="1"/>
    <w:next w:val="36"/>
    <w:autoRedefine/>
    <w:qFormat/>
    <w:uiPriority w:val="0"/>
    <w:pPr>
      <w:adjustRightInd w:val="0"/>
      <w:snapToGrid w:val="0"/>
      <w:ind w:firstLine="480" w:firstLineChars="200"/>
    </w:pPr>
    <w:rPr>
      <w:rFonts w:ascii="宋体" w:hAnsi="宋体"/>
      <w:sz w:val="24"/>
    </w:rPr>
  </w:style>
  <w:style w:type="paragraph" w:customStyle="1" w:styleId="458">
    <w:name w:val="文档控制号等"/>
    <w:basedOn w:val="1"/>
    <w:autoRedefine/>
    <w:qFormat/>
    <w:uiPriority w:val="0"/>
    <w:pPr>
      <w:spacing w:line="360" w:lineRule="auto"/>
      <w:jc w:val="left"/>
    </w:pPr>
  </w:style>
  <w:style w:type="paragraph" w:customStyle="1" w:styleId="459">
    <w:name w:val="小四 段落 宋体 Char Char"/>
    <w:basedOn w:val="460"/>
    <w:autoRedefine/>
    <w:qFormat/>
    <w:uiPriority w:val="0"/>
    <w:pPr>
      <w:tabs>
        <w:tab w:val="left" w:pos="360"/>
        <w:tab w:val="left" w:pos="840"/>
      </w:tabs>
    </w:pPr>
  </w:style>
  <w:style w:type="paragraph" w:customStyle="1" w:styleId="460">
    <w:name w:val="小四 段落 宋体 Char Char Char"/>
    <w:basedOn w:val="16"/>
    <w:autoRedefine/>
    <w:qFormat/>
    <w:uiPriority w:val="0"/>
    <w:pPr>
      <w:numPr>
        <w:ilvl w:val="0"/>
        <w:numId w:val="0"/>
      </w:numPr>
      <w:spacing w:line="360" w:lineRule="auto"/>
      <w:ind w:right="-33" w:firstLine="480" w:firstLineChars="200"/>
      <w:jc w:val="left"/>
    </w:pPr>
    <w:rPr>
      <w:rFonts w:ascii="Times New Roman" w:hAnsi="Times New Roman"/>
      <w:sz w:val="24"/>
      <w:szCs w:val="20"/>
    </w:rPr>
  </w:style>
  <w:style w:type="paragraph" w:customStyle="1" w:styleId="461">
    <w:name w:val="font16"/>
    <w:basedOn w:val="1"/>
    <w:autoRedefine/>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462">
    <w:name w:val="xl1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63">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64">
    <w:name w:val="表格内容五号(V1)"/>
    <w:basedOn w:val="1"/>
    <w:autoRedefine/>
    <w:qFormat/>
    <w:uiPriority w:val="0"/>
    <w:pPr>
      <w:jc w:val="center"/>
    </w:pPr>
    <w:rPr>
      <w:rFonts w:cs="Arial Unicode MS"/>
      <w:kern w:val="0"/>
      <w:szCs w:val="21"/>
    </w:rPr>
  </w:style>
  <w:style w:type="paragraph" w:customStyle="1" w:styleId="465">
    <w:name w:val="xl10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FF0000"/>
      <w:kern w:val="0"/>
      <w:sz w:val="20"/>
      <w:szCs w:val="20"/>
    </w:rPr>
  </w:style>
  <w:style w:type="paragraph" w:customStyle="1" w:styleId="466">
    <w:name w:val="10"/>
    <w:basedOn w:val="1"/>
    <w:autoRedefine/>
    <w:qFormat/>
    <w:uiPriority w:val="0"/>
    <w:pPr>
      <w:spacing w:line="360" w:lineRule="auto"/>
      <w:ind w:firstLine="454"/>
    </w:pPr>
    <w:rPr>
      <w:rFonts w:ascii="Tahoma" w:hAnsi="Tahoma"/>
      <w:sz w:val="24"/>
      <w:szCs w:val="20"/>
    </w:rPr>
  </w:style>
  <w:style w:type="paragraph" w:customStyle="1" w:styleId="467">
    <w:name w:val="xl6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4"/>
    </w:rPr>
  </w:style>
  <w:style w:type="paragraph" w:customStyle="1" w:styleId="468">
    <w:name w:val="Char Char2 Char"/>
    <w:basedOn w:val="1"/>
    <w:autoRedefine/>
    <w:semiHidden/>
    <w:qFormat/>
    <w:uiPriority w:val="0"/>
    <w:pPr>
      <w:widowControl/>
      <w:spacing w:after="160" w:line="240" w:lineRule="exact"/>
      <w:jc w:val="left"/>
    </w:pPr>
    <w:rPr>
      <w:rFonts w:ascii="Arial" w:hAnsi="Arial"/>
      <w:kern w:val="0"/>
      <w:sz w:val="22"/>
      <w:szCs w:val="22"/>
      <w:lang w:eastAsia="en-US"/>
    </w:rPr>
  </w:style>
  <w:style w:type="paragraph" w:customStyle="1" w:styleId="469">
    <w:name w:val="xl78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70">
    <w:name w:val="xl10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71">
    <w:name w:val="xl29"/>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72">
    <w:name w:val="样式 日期 + 行距: 1.5 倍行距"/>
    <w:basedOn w:val="35"/>
    <w:autoRedefine/>
    <w:qFormat/>
    <w:uiPriority w:val="0"/>
    <w:pPr>
      <w:widowControl/>
      <w:spacing w:line="360" w:lineRule="auto"/>
      <w:ind w:left="0" w:leftChars="0" w:firstLine="540"/>
    </w:pPr>
    <w:rPr>
      <w:rFonts w:ascii="宋体" w:eastAsia="宋体" w:cs="宋体"/>
      <w:color w:val="auto"/>
      <w:sz w:val="24"/>
      <w:szCs w:val="20"/>
    </w:rPr>
  </w:style>
  <w:style w:type="paragraph" w:customStyle="1" w:styleId="473">
    <w:name w:val="模版正文"/>
    <w:basedOn w:val="1"/>
    <w:autoRedefine/>
    <w:qFormat/>
    <w:uiPriority w:val="0"/>
    <w:pPr>
      <w:widowControl/>
      <w:adjustRightInd w:val="0"/>
      <w:snapToGrid w:val="0"/>
      <w:spacing w:line="440" w:lineRule="exact"/>
      <w:ind w:firstLine="200" w:firstLineChars="200"/>
      <w:jc w:val="left"/>
    </w:pPr>
    <w:rPr>
      <w:rFonts w:ascii="仿宋" w:hAnsi="仿宋" w:cs="宋体"/>
      <w:sz w:val="28"/>
      <w:szCs w:val="20"/>
    </w:rPr>
  </w:style>
  <w:style w:type="paragraph" w:customStyle="1" w:styleId="474">
    <w:name w:val="编号列项（三级）"/>
    <w:autoRedefine/>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475">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76">
    <w:name w:val="fou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77">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rPr>
  </w:style>
  <w:style w:type="paragraph" w:customStyle="1" w:styleId="478">
    <w:name w:val="三级无"/>
    <w:basedOn w:val="270"/>
    <w:autoRedefine/>
    <w:qFormat/>
    <w:uiPriority w:val="0"/>
    <w:pPr>
      <w:spacing w:beforeLines="0" w:afterLines="0"/>
    </w:pPr>
    <w:rPr>
      <w:rFonts w:ascii="宋体" w:eastAsia="宋体"/>
    </w:rPr>
  </w:style>
  <w:style w:type="paragraph" w:customStyle="1" w:styleId="479">
    <w:name w:val="È±Ê¡ÎÄ±¾"/>
    <w:basedOn w:val="1"/>
    <w:autoRedefine/>
    <w:qFormat/>
    <w:uiPriority w:val="0"/>
    <w:pPr>
      <w:widowControl/>
      <w:overflowPunct w:val="0"/>
      <w:autoSpaceDE w:val="0"/>
      <w:autoSpaceDN w:val="0"/>
      <w:adjustRightInd w:val="0"/>
      <w:jc w:val="left"/>
      <w:textAlignment w:val="baseline"/>
    </w:pPr>
    <w:rPr>
      <w:kern w:val="0"/>
      <w:sz w:val="24"/>
      <w:szCs w:val="20"/>
    </w:rPr>
  </w:style>
  <w:style w:type="paragraph" w:customStyle="1" w:styleId="480">
    <w:name w:val="xl10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81">
    <w:name w:val="xl94"/>
    <w:basedOn w:val="1"/>
    <w:autoRedefine/>
    <w:qFormat/>
    <w:uiPriority w:val="0"/>
    <w:pPr>
      <w:widowControl/>
      <w:pBdr>
        <w:right w:val="single" w:color="auto" w:sz="4" w:space="0"/>
      </w:pBdr>
      <w:spacing w:before="100" w:beforeAutospacing="1" w:after="100" w:afterAutospacing="1"/>
      <w:jc w:val="center"/>
    </w:pPr>
    <w:rPr>
      <w:rFonts w:ascii="宋体" w:hAnsi="宋体" w:cs="宋体"/>
      <w:kern w:val="0"/>
      <w:sz w:val="24"/>
    </w:rPr>
  </w:style>
  <w:style w:type="paragraph" w:customStyle="1" w:styleId="482">
    <w:name w:val="Figure"/>
    <w:basedOn w:val="1"/>
    <w:next w:val="417"/>
    <w:autoRedefine/>
    <w:qFormat/>
    <w:uiPriority w:val="0"/>
    <w:pPr>
      <w:keepNext/>
      <w:ind w:left="1701"/>
    </w:pPr>
  </w:style>
  <w:style w:type="paragraph" w:customStyle="1" w:styleId="483">
    <w:name w:val="xl99"/>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84">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85">
    <w:name w:val="xl10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86">
    <w:name w:val="正文悬挂缩进4"/>
    <w:basedOn w:val="1"/>
    <w:autoRedefine/>
    <w:qFormat/>
    <w:uiPriority w:val="0"/>
    <w:pPr>
      <w:spacing w:line="360" w:lineRule="auto"/>
      <w:ind w:left="839"/>
    </w:pPr>
  </w:style>
  <w:style w:type="paragraph" w:customStyle="1" w:styleId="487">
    <w:name w:val="表格标题小四"/>
    <w:basedOn w:val="1"/>
    <w:next w:val="1"/>
    <w:autoRedefine/>
    <w:qFormat/>
    <w:uiPriority w:val="0"/>
    <w:pPr>
      <w:adjustRightInd w:val="0"/>
      <w:snapToGrid w:val="0"/>
      <w:spacing w:line="288" w:lineRule="auto"/>
      <w:jc w:val="center"/>
    </w:pPr>
    <w:rPr>
      <w:rFonts w:eastAsia="黑体"/>
      <w:bCs/>
      <w:snapToGrid w:val="0"/>
      <w:sz w:val="24"/>
    </w:rPr>
  </w:style>
  <w:style w:type="paragraph" w:customStyle="1" w:styleId="488">
    <w:name w:val="报告正文"/>
    <w:basedOn w:val="1"/>
    <w:autoRedefine/>
    <w:qFormat/>
    <w:uiPriority w:val="0"/>
    <w:pPr>
      <w:widowControl/>
      <w:overflowPunct w:val="0"/>
      <w:autoSpaceDE w:val="0"/>
      <w:autoSpaceDN w:val="0"/>
      <w:adjustRightInd w:val="0"/>
      <w:spacing w:after="80" w:line="360" w:lineRule="auto"/>
      <w:ind w:left="570"/>
      <w:textAlignment w:val="baseline"/>
    </w:pPr>
    <w:rPr>
      <w:kern w:val="0"/>
      <w:sz w:val="24"/>
      <w:szCs w:val="20"/>
    </w:rPr>
  </w:style>
  <w:style w:type="paragraph" w:customStyle="1" w:styleId="489">
    <w:name w:val="样式 标题 4Alt+4项h4H41.1.1.1 Heading 4Heading FourHead44bul...1"/>
    <w:basedOn w:val="6"/>
    <w:autoRedefine/>
    <w:qFormat/>
    <w:uiPriority w:val="0"/>
    <w:pPr>
      <w:numPr>
        <w:ilvl w:val="3"/>
        <w:numId w:val="6"/>
      </w:numPr>
      <w:tabs>
        <w:tab w:val="left" w:pos="1931"/>
        <w:tab w:val="clear" w:pos="851"/>
      </w:tabs>
      <w:spacing w:before="120" w:after="0" w:line="360" w:lineRule="auto"/>
      <w:ind w:left="1931"/>
      <w:jc w:val="left"/>
    </w:pPr>
    <w:rPr>
      <w:rFonts w:ascii="Times New Roman" w:hAnsi="Times New Roman" w:eastAsia="黑体" w:cs="宋体"/>
      <w:b w:val="0"/>
      <w:bCs w:val="0"/>
      <w:sz w:val="24"/>
      <w:szCs w:val="20"/>
    </w:rPr>
  </w:style>
  <w:style w:type="paragraph" w:customStyle="1" w:styleId="490">
    <w:name w:val="xl9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91">
    <w:name w:val="font5"/>
    <w:basedOn w:val="1"/>
    <w:autoRedefine/>
    <w:qFormat/>
    <w:uiPriority w:val="0"/>
    <w:pPr>
      <w:widowControl/>
      <w:spacing w:before="100" w:beforeAutospacing="1" w:after="100" w:afterAutospacing="1"/>
      <w:jc w:val="left"/>
    </w:pPr>
    <w:rPr>
      <w:rFonts w:ascii="宋体" w:hAnsi="宋体" w:cs="Arial Unicode MS"/>
      <w:kern w:val="0"/>
      <w:sz w:val="18"/>
      <w:szCs w:val="18"/>
    </w:rPr>
  </w:style>
  <w:style w:type="paragraph" w:customStyle="1" w:styleId="492">
    <w:name w:val="Normal1"/>
    <w:next w:val="1"/>
    <w:autoRedefine/>
    <w:qFormat/>
    <w:uiPriority w:val="0"/>
    <w:pPr>
      <w:overflowPunct w:val="0"/>
      <w:autoSpaceDE w:val="0"/>
      <w:autoSpaceDN w:val="0"/>
      <w:adjustRightInd w:val="0"/>
      <w:textAlignment w:val="baseline"/>
    </w:pPr>
    <w:rPr>
      <w:rFonts w:ascii="Times" w:hAnsi="Times" w:eastAsia="宋体" w:cs="Times New Roman"/>
      <w:sz w:val="24"/>
      <w:lang w:val="en-US" w:eastAsia="zh-CN" w:bidi="ar-SA"/>
    </w:rPr>
  </w:style>
  <w:style w:type="paragraph" w:customStyle="1" w:styleId="493">
    <w:name w:val="TOC 标题1"/>
    <w:basedOn w:val="3"/>
    <w:next w:val="1"/>
    <w:autoRedefine/>
    <w:unhideWhenUsed/>
    <w:qFormat/>
    <w:uiPriority w:val="39"/>
    <w:pPr>
      <w:widowControl/>
      <w:spacing w:before="240" w:line="259" w:lineRule="auto"/>
      <w:outlineLvl w:val="9"/>
    </w:pPr>
    <w:rPr>
      <w:rFonts w:ascii="Cambria" w:hAnsi="Cambria"/>
      <w:b w:val="0"/>
      <w:color w:val="366091"/>
      <w:kern w:val="0"/>
      <w:szCs w:val="32"/>
    </w:rPr>
  </w:style>
  <w:style w:type="paragraph" w:customStyle="1" w:styleId="494">
    <w:name w:val="项目编号1级"/>
    <w:basedOn w:val="495"/>
    <w:autoRedefine/>
    <w:qFormat/>
    <w:uiPriority w:val="0"/>
    <w:pPr>
      <w:tabs>
        <w:tab w:val="left" w:pos="840"/>
      </w:tabs>
      <w:ind w:left="840" w:hanging="420" w:firstLineChars="0"/>
    </w:pPr>
  </w:style>
  <w:style w:type="paragraph" w:customStyle="1" w:styleId="495">
    <w:name w:val="正文缩进2"/>
    <w:basedOn w:val="1"/>
    <w:autoRedefine/>
    <w:qFormat/>
    <w:uiPriority w:val="0"/>
    <w:pPr>
      <w:spacing w:line="360" w:lineRule="auto"/>
      <w:ind w:firstLine="200" w:firstLineChars="200"/>
    </w:pPr>
  </w:style>
  <w:style w:type="paragraph" w:customStyle="1" w:styleId="496">
    <w:name w:val="xl13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b/>
      <w:bCs/>
      <w:kern w:val="0"/>
      <w:sz w:val="20"/>
      <w:szCs w:val="20"/>
    </w:rPr>
  </w:style>
  <w:style w:type="paragraph" w:customStyle="1" w:styleId="497">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rPr>
  </w:style>
  <w:style w:type="paragraph" w:customStyle="1" w:styleId="498">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99">
    <w:name w:val="xl10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500">
    <w:name w:val="样式 标题 3 + 段前: 0.5 行 段后: 0.5 行"/>
    <w:basedOn w:val="5"/>
    <w:autoRedefine/>
    <w:qFormat/>
    <w:uiPriority w:val="0"/>
    <w:pPr>
      <w:tabs>
        <w:tab w:val="left" w:pos="720"/>
      </w:tabs>
      <w:spacing w:before="100" w:beforeAutospacing="1" w:after="100" w:afterAutospacing="1"/>
      <w:ind w:left="0" w:leftChars="0"/>
    </w:pPr>
    <w:rPr>
      <w:rFonts w:ascii="Arial" w:hAnsi="Arial" w:eastAsia="黑体" w:cs="宋体"/>
      <w:b w:val="0"/>
      <w:bCs/>
      <w:kern w:val="0"/>
      <w:sz w:val="28"/>
    </w:rPr>
  </w:style>
  <w:style w:type="paragraph" w:customStyle="1" w:styleId="501">
    <w:name w:val="xl110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502">
    <w:name w:val="样式6"/>
    <w:basedOn w:val="1"/>
    <w:autoRedefine/>
    <w:qFormat/>
    <w:uiPriority w:val="0"/>
    <w:pPr>
      <w:widowControl/>
      <w:tabs>
        <w:tab w:val="left" w:pos="1800"/>
      </w:tabs>
      <w:spacing w:beforeLines="50" w:afterLines="50"/>
      <w:ind w:left="1800" w:firstLine="899" w:firstLineChars="428"/>
    </w:pPr>
    <w:rPr>
      <w:kern w:val="0"/>
    </w:rPr>
  </w:style>
  <w:style w:type="paragraph" w:customStyle="1" w:styleId="503">
    <w:name w:val="样式 标题 6 + 段前: 0.5 行 段后: 0.5 行"/>
    <w:basedOn w:val="8"/>
    <w:autoRedefine/>
    <w:qFormat/>
    <w:uiPriority w:val="0"/>
    <w:pPr>
      <w:widowControl w:val="0"/>
      <w:tabs>
        <w:tab w:val="left" w:pos="3000"/>
        <w:tab w:val="clear" w:pos="1320"/>
        <w:tab w:val="clear" w:pos="1440"/>
        <w:tab w:val="clear" w:pos="3480"/>
      </w:tabs>
      <w:spacing w:beforeLines="50" w:afterLines="50" w:line="360" w:lineRule="auto"/>
      <w:jc w:val="both"/>
    </w:pPr>
    <w:rPr>
      <w:rFonts w:cs="宋体"/>
      <w:b w:val="0"/>
      <w:szCs w:val="20"/>
    </w:rPr>
  </w:style>
  <w:style w:type="paragraph" w:customStyle="1" w:styleId="504">
    <w:name w:val="列出段落1"/>
    <w:basedOn w:val="1"/>
    <w:autoRedefine/>
    <w:qFormat/>
    <w:uiPriority w:val="34"/>
    <w:pPr>
      <w:ind w:firstLine="420" w:firstLineChars="200"/>
    </w:pPr>
    <w:rPr>
      <w:szCs w:val="20"/>
    </w:rPr>
  </w:style>
  <w:style w:type="paragraph" w:customStyle="1" w:styleId="505">
    <w:name w:val="xl91"/>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506">
    <w:name w:val="xl1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507">
    <w:name w:val="xl58"/>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eastAsia="Arial Unicode MS"/>
      <w:kern w:val="0"/>
      <w:sz w:val="28"/>
      <w:szCs w:val="28"/>
    </w:rPr>
  </w:style>
  <w:style w:type="paragraph" w:customStyle="1" w:styleId="508">
    <w:name w:val="字母编号列项（一级）"/>
    <w:autoRedefine/>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509">
    <w:name w:val="一级"/>
    <w:basedOn w:val="104"/>
    <w:next w:val="104"/>
    <w:autoRedefine/>
    <w:qFormat/>
    <w:uiPriority w:val="0"/>
    <w:pPr>
      <w:tabs>
        <w:tab w:val="left" w:pos="360"/>
        <w:tab w:val="left" w:pos="780"/>
      </w:tabs>
      <w:ind w:left="780" w:hanging="360" w:firstLineChars="0"/>
      <w:jc w:val="center"/>
      <w:outlineLvl w:val="0"/>
    </w:pPr>
    <w:rPr>
      <w:b/>
      <w:sz w:val="44"/>
    </w:rPr>
  </w:style>
  <w:style w:type="paragraph" w:customStyle="1" w:styleId="510">
    <w:name w:val="警告"/>
    <w:basedOn w:val="1"/>
    <w:next w:val="200"/>
    <w:autoRedefine/>
    <w:qFormat/>
    <w:uiPriority w:val="0"/>
    <w:pPr>
      <w:numPr>
        <w:ilvl w:val="0"/>
        <w:numId w:val="7"/>
      </w:numPr>
      <w:shd w:val="clear" w:color="auto" w:fill="FFD1D1"/>
      <w:spacing w:beforeLines="100" w:afterLines="100"/>
      <w:ind w:left="425" w:hanging="425" w:firstLineChars="200"/>
      <w:jc w:val="left"/>
    </w:pPr>
    <w:rPr>
      <w:rFonts w:ascii="Tahoma" w:hAnsi="Tahoma" w:eastAsia="楷体_GB2312"/>
      <w:color w:val="000000"/>
      <w:sz w:val="28"/>
      <w:szCs w:val="21"/>
    </w:rPr>
  </w:style>
  <w:style w:type="paragraph" w:customStyle="1" w:styleId="511">
    <w:name w:val="xl10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12">
    <w:name w:val="样式 标题 3H3h3h31第二层条3Bold Headbh章标题1小标题level_3PIM 3Lev..."/>
    <w:basedOn w:val="5"/>
    <w:autoRedefine/>
    <w:qFormat/>
    <w:uiPriority w:val="0"/>
    <w:pPr>
      <w:tabs>
        <w:tab w:val="left" w:pos="1931"/>
      </w:tabs>
      <w:spacing w:before="156" w:after="156"/>
      <w:ind w:left="1418" w:leftChars="0" w:hanging="567"/>
    </w:pPr>
    <w:rPr>
      <w:rFonts w:eastAsia="楷体_GB2312" w:cs="宋体"/>
      <w:bCs/>
      <w:kern w:val="0"/>
      <w:sz w:val="44"/>
    </w:rPr>
  </w:style>
  <w:style w:type="paragraph" w:customStyle="1" w:styleId="513">
    <w:name w:val="Sub Item List"/>
    <w:basedOn w:val="1"/>
    <w:autoRedefine/>
    <w:qFormat/>
    <w:uiPriority w:val="0"/>
    <w:pPr>
      <w:widowControl/>
      <w:numPr>
        <w:ilvl w:val="0"/>
        <w:numId w:val="8"/>
      </w:numPr>
      <w:topLinePunct/>
      <w:adjustRightInd w:val="0"/>
      <w:snapToGrid w:val="0"/>
      <w:spacing w:before="80" w:after="80" w:line="240" w:lineRule="atLeast"/>
      <w:jc w:val="left"/>
    </w:pPr>
    <w:rPr>
      <w:rFonts w:ascii="Arial" w:hAnsi="Arial" w:cs="Arial"/>
      <w:szCs w:val="21"/>
    </w:rPr>
  </w:style>
  <w:style w:type="paragraph" w:customStyle="1" w:styleId="514">
    <w:name w:val="样式 标题 4 + 段前: 0.5 行 段后: 0.5 行 行距: 多倍行距 1.57 字行"/>
    <w:basedOn w:val="6"/>
    <w:autoRedefine/>
    <w:qFormat/>
    <w:uiPriority w:val="0"/>
    <w:pPr>
      <w:tabs>
        <w:tab w:val="left" w:pos="2160"/>
      </w:tabs>
      <w:spacing w:beforeLines="50" w:afterLines="50" w:line="374" w:lineRule="auto"/>
      <w:ind w:left="2160" w:hanging="420"/>
    </w:pPr>
    <w:rPr>
      <w:rFonts w:ascii="Arial" w:hAnsi="Arial" w:eastAsia="黑体" w:cs="宋体"/>
      <w:b w:val="0"/>
      <w:kern w:val="0"/>
      <w:sz w:val="30"/>
      <w:szCs w:val="30"/>
    </w:rPr>
  </w:style>
  <w:style w:type="paragraph" w:customStyle="1" w:styleId="515">
    <w:name w:val="日期1"/>
    <w:basedOn w:val="1"/>
    <w:next w:val="1"/>
    <w:autoRedefine/>
    <w:qFormat/>
    <w:uiPriority w:val="0"/>
    <w:pPr>
      <w:adjustRightInd w:val="0"/>
      <w:spacing w:line="360" w:lineRule="atLeast"/>
      <w:textAlignment w:val="baseline"/>
    </w:pPr>
    <w:rPr>
      <w:rFonts w:ascii="宋体"/>
      <w:kern w:val="0"/>
      <w:sz w:val="28"/>
      <w:szCs w:val="20"/>
    </w:rPr>
  </w:style>
  <w:style w:type="paragraph" w:customStyle="1" w:styleId="516">
    <w:name w:val="xl1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17">
    <w:name w:val="xl56"/>
    <w:basedOn w:val="1"/>
    <w:autoRedefine/>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518">
    <w:name w:val="正文(单倍行距)"/>
    <w:basedOn w:val="1"/>
    <w:autoRedefine/>
    <w:qFormat/>
    <w:uiPriority w:val="0"/>
    <w:pPr>
      <w:adjustRightInd w:val="0"/>
      <w:snapToGrid w:val="0"/>
      <w:jc w:val="center"/>
    </w:pPr>
  </w:style>
  <w:style w:type="paragraph" w:customStyle="1" w:styleId="519">
    <w:name w:val="xl46"/>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520">
    <w:name w:val="二级无"/>
    <w:basedOn w:val="271"/>
    <w:autoRedefine/>
    <w:qFormat/>
    <w:uiPriority w:val="0"/>
    <w:pPr>
      <w:spacing w:beforeLines="0" w:afterLines="0"/>
    </w:pPr>
    <w:rPr>
      <w:rFonts w:ascii="宋体" w:eastAsia="宋体"/>
    </w:rPr>
  </w:style>
  <w:style w:type="paragraph" w:customStyle="1" w:styleId="521">
    <w:name w:val="表中5"/>
    <w:autoRedefine/>
    <w:qFormat/>
    <w:uiPriority w:val="0"/>
    <w:pPr>
      <w:jc w:val="center"/>
    </w:pPr>
    <w:rPr>
      <w:rFonts w:ascii="Times New Roman" w:hAnsi="Times New Roman" w:eastAsia="宋体" w:cs="Times New Roman"/>
      <w:kern w:val="2"/>
      <w:sz w:val="21"/>
      <w:szCs w:val="28"/>
      <w:lang w:val="en-US" w:eastAsia="zh-CN" w:bidi="ar-SA"/>
    </w:rPr>
  </w:style>
  <w:style w:type="paragraph" w:customStyle="1" w:styleId="522">
    <w:name w:val="xl100"/>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23">
    <w:name w:val="pa-10"/>
    <w:basedOn w:val="1"/>
    <w:autoRedefine/>
    <w:qFormat/>
    <w:uiPriority w:val="0"/>
    <w:pPr>
      <w:widowControl/>
      <w:spacing w:line="280" w:lineRule="atLeast"/>
    </w:pPr>
    <w:rPr>
      <w:rFonts w:ascii="宋体" w:hAnsi="宋体" w:cs="宋体"/>
      <w:kern w:val="0"/>
      <w:sz w:val="24"/>
    </w:rPr>
  </w:style>
  <w:style w:type="paragraph" w:customStyle="1" w:styleId="524">
    <w:name w:val="WPS Plain"/>
    <w:autoRedefine/>
    <w:qFormat/>
    <w:uiPriority w:val="0"/>
    <w:rPr>
      <w:rFonts w:ascii="Times New Roman" w:hAnsi="Times New Roman" w:eastAsia="宋体" w:cs="Times New Roman"/>
      <w:lang w:val="en-US" w:eastAsia="zh-CN" w:bidi="ar-SA"/>
    </w:rPr>
  </w:style>
  <w:style w:type="paragraph" w:customStyle="1" w:styleId="525">
    <w:name w:val="xl68"/>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526">
    <w:name w:val="样式2"/>
    <w:basedOn w:val="1"/>
    <w:autoRedefine/>
    <w:qFormat/>
    <w:uiPriority w:val="0"/>
    <w:pPr>
      <w:tabs>
        <w:tab w:val="left" w:pos="360"/>
      </w:tabs>
      <w:spacing w:line="360" w:lineRule="auto"/>
      <w:ind w:firstLine="174" w:firstLineChars="174"/>
      <w:jc w:val="left"/>
    </w:pPr>
    <w:rPr>
      <w:rFonts w:eastAsia="楷体_GB2312"/>
      <w:sz w:val="24"/>
      <w:szCs w:val="28"/>
    </w:rPr>
  </w:style>
  <w:style w:type="paragraph" w:customStyle="1" w:styleId="527">
    <w:name w:val="xl31"/>
    <w:basedOn w:val="1"/>
    <w:autoRedefine/>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kern w:val="0"/>
      <w:sz w:val="24"/>
    </w:rPr>
  </w:style>
  <w:style w:type="paragraph" w:customStyle="1" w:styleId="528">
    <w:name w:val="xl110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529">
    <w:name w:val="xl37"/>
    <w:basedOn w:val="1"/>
    <w:autoRedefine/>
    <w:qFormat/>
    <w:uiPriority w:val="0"/>
    <w:pPr>
      <w:widowControl/>
      <w:pBdr>
        <w:top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530">
    <w:name w:val="xl10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表身（中）"/>
    <w:basedOn w:val="406"/>
    <w:autoRedefine/>
    <w:qFormat/>
    <w:uiPriority w:val="0"/>
    <w:pPr>
      <w:jc w:val="center"/>
    </w:pPr>
  </w:style>
  <w:style w:type="paragraph" w:customStyle="1" w:styleId="532">
    <w:name w:val="xl10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533">
    <w:name w:val="表格文字"/>
    <w:basedOn w:val="1"/>
    <w:autoRedefine/>
    <w:qFormat/>
    <w:uiPriority w:val="0"/>
    <w:pPr>
      <w:adjustRightInd w:val="0"/>
      <w:spacing w:line="240" w:lineRule="atLeast"/>
      <w:jc w:val="center"/>
      <w:textAlignment w:val="baseline"/>
    </w:pPr>
    <w:rPr>
      <w:rFonts w:ascii="宋体"/>
      <w:kern w:val="0"/>
      <w:szCs w:val="20"/>
    </w:rPr>
  </w:style>
  <w:style w:type="paragraph" w:customStyle="1" w:styleId="534">
    <w:name w:val="标题1"/>
    <w:basedOn w:val="3"/>
    <w:autoRedefine/>
    <w:qFormat/>
    <w:uiPriority w:val="0"/>
    <w:pPr>
      <w:tabs>
        <w:tab w:val="left" w:pos="839"/>
      </w:tabs>
      <w:spacing w:line="360" w:lineRule="auto"/>
      <w:ind w:left="1276" w:hanging="425"/>
    </w:pPr>
    <w:rPr>
      <w:rFonts w:ascii="黑体" w:hAnsi="宋体" w:eastAsia="黑体"/>
      <w:kern w:val="11"/>
      <w:sz w:val="28"/>
    </w:rPr>
  </w:style>
  <w:style w:type="paragraph" w:customStyle="1" w:styleId="535">
    <w:name w:val="xl49"/>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536">
    <w:name w:val="xl8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37">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8"/>
      <w:szCs w:val="28"/>
    </w:rPr>
  </w:style>
  <w:style w:type="paragraph" w:customStyle="1" w:styleId="538">
    <w:name w:val="表格正文2"/>
    <w:basedOn w:val="1"/>
    <w:autoRedefine/>
    <w:qFormat/>
    <w:uiPriority w:val="0"/>
    <w:pPr>
      <w:adjustRightInd w:val="0"/>
      <w:snapToGrid w:val="0"/>
      <w:spacing w:line="400" w:lineRule="atLeast"/>
      <w:jc w:val="left"/>
    </w:pPr>
    <w:rPr>
      <w:sz w:val="24"/>
      <w:szCs w:val="20"/>
    </w:rPr>
  </w:style>
  <w:style w:type="paragraph" w:customStyle="1" w:styleId="539">
    <w:name w:val="xl8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40">
    <w:name w:val="样式 首行缩进:  2 字符2 + 居中"/>
    <w:basedOn w:val="222"/>
    <w:autoRedefine/>
    <w:qFormat/>
    <w:uiPriority w:val="0"/>
    <w:pPr>
      <w:adjustRightInd/>
      <w:snapToGrid/>
      <w:ind w:firstLine="0" w:firstLineChars="0"/>
      <w:jc w:val="center"/>
    </w:pPr>
    <w:rPr>
      <w:sz w:val="28"/>
      <w:szCs w:val="20"/>
    </w:rPr>
  </w:style>
  <w:style w:type="paragraph" w:customStyle="1" w:styleId="541">
    <w:name w:val="Absatz2AL"/>
    <w:basedOn w:val="2"/>
    <w:next w:val="1"/>
    <w:autoRedefine/>
    <w:qFormat/>
    <w:uiPriority w:val="0"/>
    <w:pPr>
      <w:widowControl/>
      <w:overflowPunct w:val="0"/>
      <w:spacing w:line="240" w:lineRule="auto"/>
      <w:jc w:val="both"/>
      <w:textAlignment w:val="baseline"/>
    </w:pPr>
    <w:rPr>
      <w:rFonts w:ascii="Times New Roman" w:eastAsia="楷体_GB2312"/>
      <w:color w:val="auto"/>
      <w:sz w:val="24"/>
      <w:szCs w:val="20"/>
    </w:rPr>
  </w:style>
  <w:style w:type="paragraph" w:customStyle="1" w:styleId="542">
    <w:name w:val="xl7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43">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b/>
      <w:bCs/>
      <w:kern w:val="0"/>
      <w:sz w:val="20"/>
      <w:szCs w:val="20"/>
    </w:rPr>
  </w:style>
  <w:style w:type="paragraph" w:customStyle="1" w:styleId="544">
    <w:name w:val="xl78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545">
    <w:name w:val="封面中部"/>
    <w:basedOn w:val="1"/>
    <w:autoRedefine/>
    <w:qFormat/>
    <w:uiPriority w:val="0"/>
    <w:pPr>
      <w:tabs>
        <w:tab w:val="left" w:pos="5040"/>
      </w:tabs>
      <w:adjustRightInd w:val="0"/>
      <w:spacing w:line="300" w:lineRule="auto"/>
      <w:ind w:firstLine="899" w:firstLineChars="281"/>
      <w:textAlignment w:val="baseline"/>
    </w:pPr>
    <w:rPr>
      <w:rFonts w:ascii="黑体" w:eastAsia="黑体"/>
      <w:kern w:val="0"/>
      <w:sz w:val="32"/>
      <w:szCs w:val="32"/>
    </w:rPr>
  </w:style>
  <w:style w:type="paragraph" w:customStyle="1" w:styleId="546">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47">
    <w:name w:val="正文2"/>
    <w:autoRedefine/>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548">
    <w:name w:val="xl6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kern w:val="0"/>
      <w:sz w:val="28"/>
      <w:szCs w:val="28"/>
    </w:rPr>
  </w:style>
  <w:style w:type="paragraph" w:customStyle="1" w:styleId="549">
    <w:name w:val="xl64"/>
    <w:basedOn w:val="1"/>
    <w:autoRedefine/>
    <w:qFormat/>
    <w:uiPriority w:val="0"/>
    <w:pPr>
      <w:widowControl/>
      <w:pBdr>
        <w:top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8"/>
      <w:szCs w:val="28"/>
    </w:rPr>
  </w:style>
  <w:style w:type="paragraph" w:customStyle="1" w:styleId="550">
    <w:name w:val="def正文"/>
    <w:basedOn w:val="2"/>
    <w:autoRedefine/>
    <w:qFormat/>
    <w:uiPriority w:val="0"/>
    <w:pPr>
      <w:widowControl/>
      <w:autoSpaceDE/>
      <w:autoSpaceDN/>
      <w:adjustRightInd/>
      <w:ind w:firstLine="482"/>
      <w:jc w:val="both"/>
    </w:pPr>
    <w:rPr>
      <w:rFonts w:ascii="Times New Roman"/>
      <w:b/>
      <w:sz w:val="24"/>
      <w:szCs w:val="24"/>
    </w:rPr>
  </w:style>
  <w:style w:type="paragraph" w:customStyle="1" w:styleId="551">
    <w:name w:val="xl36"/>
    <w:basedOn w:val="1"/>
    <w:autoRedefine/>
    <w:qFormat/>
    <w:uiPriority w:val="0"/>
    <w:pPr>
      <w:widowControl/>
      <w:pBdr>
        <w:top w:val="single" w:color="auto" w:sz="4" w:space="0"/>
        <w:bottom w:val="single" w:color="auto" w:sz="8"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552">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53">
    <w:name w:val="三级大纲"/>
    <w:next w:val="104"/>
    <w:autoRedefine/>
    <w:qFormat/>
    <w:uiPriority w:val="0"/>
    <w:pPr>
      <w:numPr>
        <w:ilvl w:val="2"/>
        <w:numId w:val="3"/>
      </w:numPr>
      <w:tabs>
        <w:tab w:val="left" w:pos="1260"/>
      </w:tabs>
      <w:ind w:left="1260" w:hanging="420"/>
      <w:outlineLvl w:val="2"/>
    </w:pPr>
    <w:rPr>
      <w:rFonts w:ascii="Calibri" w:hAnsi="Calibri" w:eastAsia="宋体" w:cs="Times New Roman"/>
      <w:b/>
      <w:kern w:val="2"/>
      <w:sz w:val="32"/>
      <w:szCs w:val="22"/>
      <w:lang w:val="en-US" w:eastAsia="zh-CN" w:bidi="ar-SA"/>
    </w:rPr>
  </w:style>
  <w:style w:type="paragraph" w:customStyle="1" w:styleId="554">
    <w:name w:val="xl109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555">
    <w:name w:val="1"/>
    <w:basedOn w:val="40"/>
    <w:autoRedefine/>
    <w:qFormat/>
    <w:uiPriority w:val="0"/>
    <w:pPr>
      <w:pBdr>
        <w:bottom w:val="none" w:color="auto" w:sz="0" w:space="0"/>
      </w:pBdr>
    </w:pPr>
    <w:rPr>
      <w:rFonts w:ascii="Calibri" w:hAnsi="Calibri" w:eastAsia="华文新魏"/>
      <w:kern w:val="0"/>
      <w:sz w:val="21"/>
      <w:szCs w:val="20"/>
    </w:rPr>
  </w:style>
  <w:style w:type="paragraph" w:customStyle="1" w:styleId="556">
    <w:name w:val="xl52"/>
    <w:basedOn w:val="1"/>
    <w:autoRedefine/>
    <w:qFormat/>
    <w:uiPriority w:val="0"/>
    <w:pPr>
      <w:widowControl/>
      <w:pBdr>
        <w:lef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557">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558">
    <w:name w:val="Char Char Char Char Char Char Char Char Char Char Char Char Char Char Char Char"/>
    <w:basedOn w:val="1"/>
    <w:autoRedefine/>
    <w:qFormat/>
    <w:uiPriority w:val="0"/>
    <w:pPr>
      <w:tabs>
        <w:tab w:val="left" w:pos="360"/>
      </w:tabs>
      <w:spacing w:line="360" w:lineRule="auto"/>
      <w:ind w:left="482" w:firstLine="200" w:firstLineChars="200"/>
    </w:pPr>
    <w:rPr>
      <w:rFonts w:ascii="Tahoma" w:hAnsi="Tahoma"/>
      <w:sz w:val="24"/>
      <w:szCs w:val="20"/>
    </w:rPr>
  </w:style>
  <w:style w:type="paragraph" w:customStyle="1" w:styleId="559">
    <w:name w:val="Item Step in Table"/>
    <w:basedOn w:val="1"/>
    <w:autoRedefine/>
    <w:qFormat/>
    <w:uiPriority w:val="0"/>
    <w:pPr>
      <w:tabs>
        <w:tab w:val="left" w:pos="420"/>
      </w:tabs>
      <w:ind w:left="420" w:hanging="420"/>
      <w:jc w:val="left"/>
    </w:pPr>
    <w:rPr>
      <w:rFonts w:ascii="Tahoma" w:hAnsi="Tahoma"/>
      <w:sz w:val="28"/>
      <w:szCs w:val="21"/>
    </w:rPr>
  </w:style>
  <w:style w:type="paragraph" w:customStyle="1" w:styleId="560">
    <w:name w:val="xl14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61">
    <w:name w:val="xl1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562">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563">
    <w:name w:val="正文悬挂缩进6"/>
    <w:basedOn w:val="486"/>
    <w:autoRedefine/>
    <w:qFormat/>
    <w:uiPriority w:val="0"/>
    <w:pPr>
      <w:tabs>
        <w:tab w:val="left" w:pos="1259"/>
      </w:tabs>
      <w:ind w:left="600" w:leftChars="600"/>
    </w:pPr>
  </w:style>
  <w:style w:type="paragraph" w:customStyle="1" w:styleId="564">
    <w:name w:val="xl10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565">
    <w:name w:val="xl11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MingLiU" w:hAnsi="MingLiU" w:eastAsia="MingLiU" w:cs="宋体"/>
      <w:kern w:val="0"/>
      <w:sz w:val="24"/>
    </w:rPr>
  </w:style>
  <w:style w:type="paragraph" w:customStyle="1" w:styleId="566">
    <w:name w:val="文档结构图1"/>
    <w:basedOn w:val="1"/>
    <w:autoRedefine/>
    <w:qFormat/>
    <w:uiPriority w:val="0"/>
    <w:pPr>
      <w:shd w:val="clear" w:color="auto" w:fill="000080"/>
      <w:autoSpaceDE w:val="0"/>
      <w:autoSpaceDN w:val="0"/>
      <w:adjustRightInd w:val="0"/>
      <w:spacing w:line="312" w:lineRule="atLeast"/>
      <w:textAlignment w:val="baseline"/>
    </w:pPr>
    <w:rPr>
      <w:rFonts w:ascii="宋体" w:hAnsi="Tms Rmn"/>
      <w:kern w:val="0"/>
      <w:szCs w:val="20"/>
    </w:rPr>
  </w:style>
  <w:style w:type="paragraph" w:customStyle="1" w:styleId="567">
    <w:name w:val="Char Char Char Char"/>
    <w:basedOn w:val="1"/>
    <w:autoRedefine/>
    <w:qFormat/>
    <w:uiPriority w:val="0"/>
    <w:pPr>
      <w:tabs>
        <w:tab w:val="left" w:pos="360"/>
      </w:tabs>
      <w:ind w:firstLine="420" w:firstLineChars="150"/>
    </w:pPr>
    <w:rPr>
      <w:rFonts w:ascii="Arial" w:hAnsi="Arial" w:cs="Arial"/>
      <w:sz w:val="20"/>
      <w:szCs w:val="20"/>
    </w:rPr>
  </w:style>
  <w:style w:type="paragraph" w:customStyle="1" w:styleId="568">
    <w:name w:val="xl15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69">
    <w:name w:val="样式4"/>
    <w:basedOn w:val="1"/>
    <w:autoRedefine/>
    <w:qFormat/>
    <w:uiPriority w:val="0"/>
    <w:pPr>
      <w:tabs>
        <w:tab w:val="left" w:pos="420"/>
      </w:tabs>
      <w:spacing w:line="440" w:lineRule="exact"/>
      <w:ind w:left="420" w:hanging="420"/>
      <w:jc w:val="left"/>
    </w:pPr>
    <w:rPr>
      <w:rFonts w:eastAsia="楷体_GB2312"/>
      <w:b/>
      <w:sz w:val="24"/>
    </w:rPr>
  </w:style>
  <w:style w:type="paragraph" w:customStyle="1" w:styleId="570">
    <w:name w:val="xl78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A5A5A5"/>
      <w:spacing w:before="100" w:beforeAutospacing="1" w:after="100" w:afterAutospacing="1"/>
      <w:jc w:val="center"/>
    </w:pPr>
    <w:rPr>
      <w:rFonts w:ascii="仿宋_GB2312" w:hAnsi="宋体" w:eastAsia="仿宋_GB2312" w:cs="宋体"/>
      <w:b/>
      <w:bCs/>
      <w:color w:val="000000"/>
      <w:kern w:val="0"/>
      <w:sz w:val="20"/>
      <w:szCs w:val="20"/>
    </w:rPr>
  </w:style>
  <w:style w:type="paragraph" w:customStyle="1" w:styleId="571">
    <w:name w:val="表3"/>
    <w:basedOn w:val="218"/>
    <w:autoRedefine/>
    <w:qFormat/>
    <w:uiPriority w:val="0"/>
    <w:pPr>
      <w:numPr>
        <w:numId w:val="0"/>
      </w:numPr>
      <w:ind w:left="902" w:hanging="420"/>
    </w:pPr>
  </w:style>
  <w:style w:type="paragraph" w:customStyle="1" w:styleId="572">
    <w:name w:val="xl4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573">
    <w:name w:val="样式 左  4 字符 首行缩进:  2 字符"/>
    <w:basedOn w:val="1"/>
    <w:autoRedefine/>
    <w:qFormat/>
    <w:uiPriority w:val="0"/>
    <w:pPr>
      <w:spacing w:beforeLines="50" w:afterLines="50"/>
      <w:ind w:left="400" w:leftChars="400" w:firstLine="200" w:firstLineChars="200"/>
    </w:pPr>
    <w:rPr>
      <w:rFonts w:cs="宋体"/>
      <w:szCs w:val="20"/>
    </w:rPr>
  </w:style>
  <w:style w:type="paragraph" w:customStyle="1" w:styleId="574">
    <w:name w:val="Char21"/>
    <w:basedOn w:val="1"/>
    <w:autoRedefine/>
    <w:qFormat/>
    <w:uiPriority w:val="0"/>
  </w:style>
  <w:style w:type="paragraph" w:customStyle="1" w:styleId="575">
    <w:name w:val="正文1"/>
    <w:basedOn w:val="1"/>
    <w:next w:val="57"/>
    <w:autoRedefine/>
    <w:qFormat/>
    <w:uiPriority w:val="0"/>
    <w:pPr>
      <w:spacing w:line="360" w:lineRule="auto"/>
      <w:ind w:firstLine="200" w:firstLineChars="200"/>
    </w:pPr>
  </w:style>
  <w:style w:type="paragraph" w:customStyle="1" w:styleId="576">
    <w:name w:val="Char1"/>
    <w:basedOn w:val="1"/>
    <w:autoRedefine/>
    <w:qFormat/>
    <w:uiPriority w:val="0"/>
  </w:style>
  <w:style w:type="paragraph" w:customStyle="1" w:styleId="577">
    <w:name w:val="样式 标题 2 + 段前: 0.5 行 段后: 0.5 行1"/>
    <w:basedOn w:val="4"/>
    <w:autoRedefine/>
    <w:qFormat/>
    <w:uiPriority w:val="0"/>
    <w:pPr>
      <w:tabs>
        <w:tab w:val="left" w:pos="576"/>
      </w:tabs>
      <w:spacing w:beforeLines="50" w:afterLines="50" w:line="360" w:lineRule="auto"/>
      <w:ind w:left="576" w:hanging="576"/>
      <w:jc w:val="left"/>
    </w:pPr>
    <w:rPr>
      <w:rFonts w:ascii="仿宋_GB2312" w:eastAsia="仿宋_GB2312" w:cs="宋体"/>
      <w:kern w:val="0"/>
      <w:sz w:val="36"/>
      <w:szCs w:val="20"/>
    </w:rPr>
  </w:style>
  <w:style w:type="paragraph" w:customStyle="1" w:styleId="578">
    <w:name w:val="xl63"/>
    <w:basedOn w:val="1"/>
    <w:autoRedefine/>
    <w:qFormat/>
    <w:uiPriority w:val="0"/>
    <w:pPr>
      <w:widowControl/>
      <w:pBdr>
        <w:top w:val="single" w:color="auto" w:sz="4" w:space="0"/>
      </w:pBdr>
      <w:spacing w:before="100" w:beforeAutospacing="1" w:after="100" w:afterAutospacing="1"/>
      <w:jc w:val="center"/>
    </w:pPr>
    <w:rPr>
      <w:rFonts w:ascii="Arial Unicode MS" w:hAnsi="Arial Unicode MS" w:eastAsia="Arial Unicode MS" w:cs="Arial Unicode MS"/>
      <w:b/>
      <w:bCs/>
      <w:kern w:val="0"/>
      <w:sz w:val="28"/>
      <w:szCs w:val="28"/>
    </w:rPr>
  </w:style>
  <w:style w:type="paragraph" w:customStyle="1" w:styleId="579">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80">
    <w:name w:val="xl151"/>
    <w:basedOn w:val="1"/>
    <w:autoRedefine/>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581">
    <w:name w:val="xl12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82">
    <w:name w:val="xl34"/>
    <w:basedOn w:val="1"/>
    <w:autoRedefine/>
    <w:qFormat/>
    <w:uiPriority w:val="0"/>
    <w:pPr>
      <w:widowControl/>
      <w:pBdr>
        <w:top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583">
    <w:name w:val="Char Char Char Char Char Char"/>
    <w:basedOn w:val="22"/>
    <w:autoRedefine/>
    <w:semiHidden/>
    <w:qFormat/>
    <w:uiPriority w:val="0"/>
    <w:pPr>
      <w:spacing w:line="360" w:lineRule="auto"/>
      <w:ind w:firstLine="200" w:firstLineChars="200"/>
      <w:jc w:val="left"/>
    </w:pPr>
    <w:rPr>
      <w:rFonts w:ascii="Tahoma" w:hAnsi="Tahoma" w:cs="Tahoma"/>
      <w:kern w:val="0"/>
      <w:sz w:val="18"/>
    </w:rPr>
  </w:style>
  <w:style w:type="paragraph" w:customStyle="1" w:styleId="584">
    <w:name w:val="xl7876"/>
    <w:basedOn w:val="1"/>
    <w:autoRedefine/>
    <w:qFormat/>
    <w:uiPriority w:val="0"/>
    <w:pPr>
      <w:widowControl/>
      <w:spacing w:before="100" w:beforeAutospacing="1" w:after="100" w:afterAutospacing="1"/>
      <w:jc w:val="center"/>
    </w:pPr>
    <w:rPr>
      <w:rFonts w:ascii="宋体" w:hAnsi="宋体" w:cs="宋体"/>
      <w:color w:val="000000"/>
      <w:kern w:val="0"/>
      <w:sz w:val="20"/>
      <w:szCs w:val="20"/>
    </w:rPr>
  </w:style>
  <w:style w:type="paragraph" w:customStyle="1" w:styleId="585">
    <w:name w:val="xl93"/>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86">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587">
    <w:name w:val="xl14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588">
    <w:name w:val="样式 标题 1 + 段前: 1 行 段后: 1 行1"/>
    <w:basedOn w:val="3"/>
    <w:autoRedefine/>
    <w:qFormat/>
    <w:uiPriority w:val="0"/>
    <w:pPr>
      <w:numPr>
        <w:ilvl w:val="0"/>
        <w:numId w:val="9"/>
      </w:numPr>
      <w:adjustRightInd/>
      <w:snapToGrid w:val="0"/>
      <w:spacing w:beforeLines="100" w:afterLines="100" w:line="360" w:lineRule="auto"/>
      <w:ind w:hanging="432"/>
      <w:jc w:val="both"/>
      <w:textAlignment w:val="auto"/>
    </w:pPr>
    <w:rPr>
      <w:rFonts w:cs="宋体"/>
      <w:bCs/>
    </w:rPr>
  </w:style>
  <w:style w:type="paragraph" w:customStyle="1" w:styleId="589">
    <w:name w:val="数字编号列项（二级）"/>
    <w:autoRedefine/>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590">
    <w:name w:val="正文 New New"/>
    <w:autoRedefine/>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591">
    <w:name w:val="xl7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92">
    <w:name w:val="biaoti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93">
    <w:name w:val="font1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594">
    <w:name w:val="xl1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95">
    <w:name w:val="表格"/>
    <w:basedOn w:val="1"/>
    <w:autoRedefine/>
    <w:qFormat/>
    <w:uiPriority w:val="0"/>
    <w:pPr>
      <w:adjustRightInd w:val="0"/>
      <w:spacing w:before="60" w:after="60"/>
      <w:jc w:val="center"/>
      <w:textAlignment w:val="baseline"/>
    </w:pPr>
    <w:rPr>
      <w:rFonts w:ascii="宋体"/>
      <w:kern w:val="0"/>
      <w:sz w:val="24"/>
      <w:szCs w:val="20"/>
    </w:rPr>
  </w:style>
  <w:style w:type="paragraph" w:customStyle="1" w:styleId="596">
    <w:name w:val="样式 标题 5 + 段前: 0.5 行 段后: 0.5 行"/>
    <w:basedOn w:val="7"/>
    <w:autoRedefine/>
    <w:qFormat/>
    <w:uiPriority w:val="0"/>
    <w:pPr>
      <w:tabs>
        <w:tab w:val="left" w:pos="2580"/>
      </w:tabs>
      <w:spacing w:beforeLines="50" w:afterLines="50" w:line="360" w:lineRule="auto"/>
      <w:ind w:left="2580" w:hanging="420"/>
    </w:pPr>
    <w:rPr>
      <w:rFonts w:ascii="Times New Roman" w:hAnsi="Times New Roman" w:eastAsia="黑体" w:cs="宋体"/>
      <w:b w:val="0"/>
      <w:kern w:val="0"/>
      <w:szCs w:val="20"/>
    </w:rPr>
  </w:style>
  <w:style w:type="paragraph" w:customStyle="1" w:styleId="597">
    <w:name w:val="Item List Char"/>
    <w:autoRedefine/>
    <w:qFormat/>
    <w:uiPriority w:val="0"/>
    <w:pPr>
      <w:tabs>
        <w:tab w:val="left" w:pos="360"/>
        <w:tab w:val="left" w:pos="2211"/>
      </w:tabs>
      <w:spacing w:line="300" w:lineRule="auto"/>
      <w:ind w:left="340" w:hanging="340"/>
      <w:jc w:val="both"/>
    </w:pPr>
    <w:rPr>
      <w:rFonts w:ascii="Arial" w:hAnsi="Arial" w:eastAsia="宋体" w:cs="Times New Roman"/>
      <w:sz w:val="21"/>
      <w:lang w:val="en-US" w:eastAsia="zh-CN" w:bidi="ar-SA"/>
    </w:rPr>
  </w:style>
  <w:style w:type="paragraph" w:customStyle="1" w:styleId="598">
    <w:name w:val="xl154"/>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599">
    <w:name w:val="font8"/>
    <w:basedOn w:val="1"/>
    <w:autoRedefine/>
    <w:qFormat/>
    <w:uiPriority w:val="0"/>
    <w:pPr>
      <w:widowControl/>
      <w:spacing w:before="100" w:beforeAutospacing="1" w:after="100" w:afterAutospacing="1"/>
      <w:jc w:val="left"/>
    </w:pPr>
    <w:rPr>
      <w:rFonts w:ascii="宋体" w:hAnsi="宋体" w:cs="Arial Unicode MS"/>
      <w:b/>
      <w:bCs/>
      <w:kern w:val="0"/>
      <w:sz w:val="32"/>
      <w:szCs w:val="32"/>
    </w:rPr>
  </w:style>
  <w:style w:type="paragraph" w:customStyle="1" w:styleId="600">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01">
    <w:name w:val="Char"/>
    <w:basedOn w:val="1"/>
    <w:autoRedefine/>
    <w:qFormat/>
    <w:uiPriority w:val="0"/>
    <w:rPr>
      <w:rFonts w:ascii="Tahoma" w:hAnsi="Tahoma" w:cs="仿宋_GB2312"/>
      <w:sz w:val="24"/>
      <w:szCs w:val="28"/>
    </w:rPr>
  </w:style>
  <w:style w:type="paragraph" w:customStyle="1" w:styleId="602">
    <w:name w:val="xl3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03">
    <w:name w:val="xl78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604">
    <w:name w:val="我的正文格式"/>
    <w:basedOn w:val="1"/>
    <w:next w:val="1"/>
    <w:autoRedefine/>
    <w:qFormat/>
    <w:uiPriority w:val="0"/>
    <w:pPr>
      <w:snapToGrid w:val="0"/>
      <w:spacing w:line="288" w:lineRule="auto"/>
      <w:ind w:left="540" w:hanging="540" w:hangingChars="225"/>
    </w:pPr>
    <w:rPr>
      <w:sz w:val="24"/>
    </w:rPr>
  </w:style>
  <w:style w:type="paragraph" w:customStyle="1" w:styleId="605">
    <w:name w:val="xl14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606">
    <w:name w:val="_Style 56"/>
    <w:basedOn w:val="1"/>
    <w:autoRedefine/>
    <w:qFormat/>
    <w:uiPriority w:val="0"/>
    <w:pPr>
      <w:ind w:firstLine="420" w:firstLineChars="200"/>
    </w:pPr>
    <w:rPr>
      <w:rFonts w:ascii="Calibri" w:hAnsi="Calibri"/>
      <w:szCs w:val="22"/>
    </w:rPr>
  </w:style>
  <w:style w:type="paragraph" w:styleId="607">
    <w:name w:val="List Paragraph"/>
    <w:basedOn w:val="1"/>
    <w:link w:val="717"/>
    <w:autoRedefine/>
    <w:qFormat/>
    <w:uiPriority w:val="99"/>
    <w:pPr>
      <w:ind w:firstLine="420" w:firstLineChars="200"/>
    </w:pPr>
    <w:rPr>
      <w:rFonts w:ascii="宋体" w:hAnsi="宋体" w:cs="宋体"/>
      <w:bCs/>
      <w:color w:val="000000"/>
      <w:kern w:val="0"/>
      <w:sz w:val="24"/>
      <w:u w:val="single"/>
    </w:rPr>
  </w:style>
  <w:style w:type="paragraph" w:customStyle="1" w:styleId="608">
    <w:name w:val="Char1 Char Char Char"/>
    <w:basedOn w:val="1"/>
    <w:autoRedefine/>
    <w:qFormat/>
    <w:uiPriority w:val="0"/>
    <w:rPr>
      <w:rFonts w:ascii="Tahoma" w:hAnsi="Tahoma"/>
      <w:sz w:val="24"/>
      <w:szCs w:val="20"/>
    </w:rPr>
  </w:style>
  <w:style w:type="paragraph" w:customStyle="1" w:styleId="609">
    <w:name w:val="Char Char Char Char1"/>
    <w:basedOn w:val="1"/>
    <w:autoRedefine/>
    <w:qFormat/>
    <w:uiPriority w:val="0"/>
    <w:rPr>
      <w:rFonts w:ascii="仿宋_GB2312" w:eastAsia="仿宋_GB2312"/>
      <w:b/>
      <w:sz w:val="32"/>
      <w:szCs w:val="32"/>
    </w:rPr>
  </w:style>
  <w:style w:type="paragraph" w:customStyle="1" w:styleId="610">
    <w:name w:val="xl106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611">
    <w:name w:val="xl8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612">
    <w:name w:val="标准小四"/>
    <w:basedOn w:val="1"/>
    <w:autoRedefine/>
    <w:qFormat/>
    <w:uiPriority w:val="0"/>
    <w:pPr>
      <w:spacing w:line="360" w:lineRule="auto"/>
      <w:ind w:firstLine="480" w:firstLineChars="200"/>
    </w:pPr>
    <w:rPr>
      <w:rFonts w:ascii="Arial" w:hAnsi="Arial"/>
      <w:sz w:val="24"/>
      <w:szCs w:val="21"/>
    </w:rPr>
  </w:style>
  <w:style w:type="paragraph" w:customStyle="1" w:styleId="613">
    <w:name w:val="xl48"/>
    <w:basedOn w:val="1"/>
    <w:autoRedefine/>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14">
    <w:name w:val="无间隔1"/>
    <w:autoRedefine/>
    <w:qFormat/>
    <w:uiPriority w:val="0"/>
    <w:pPr>
      <w:widowControl w:val="0"/>
      <w:ind w:firstLine="200" w:firstLineChars="200"/>
      <w:jc w:val="both"/>
    </w:pPr>
    <w:rPr>
      <w:rFonts w:ascii="Calibri" w:hAnsi="Calibri" w:eastAsia="宋体" w:cs="Times New Roman"/>
      <w:kern w:val="2"/>
      <w:sz w:val="24"/>
      <w:szCs w:val="22"/>
      <w:lang w:val="en-US" w:eastAsia="zh-CN" w:bidi="ar-SA"/>
    </w:rPr>
  </w:style>
  <w:style w:type="paragraph" w:customStyle="1" w:styleId="615">
    <w:name w:val="Item List in Table"/>
    <w:basedOn w:val="1"/>
    <w:autoRedefine/>
    <w:qFormat/>
    <w:uiPriority w:val="0"/>
    <w:pPr>
      <w:numPr>
        <w:ilvl w:val="0"/>
        <w:numId w:val="10"/>
      </w:numPr>
      <w:topLinePunct/>
      <w:adjustRightInd w:val="0"/>
      <w:snapToGrid w:val="0"/>
      <w:spacing w:before="80" w:after="80" w:line="240" w:lineRule="atLeast"/>
      <w:jc w:val="left"/>
    </w:pPr>
    <w:rPr>
      <w:rFonts w:ascii="Arial" w:hAnsi="Arial" w:cs="Arial"/>
      <w:kern w:val="0"/>
      <w:szCs w:val="21"/>
    </w:rPr>
  </w:style>
  <w:style w:type="paragraph" w:customStyle="1" w:styleId="616">
    <w:name w:val="书目11"/>
    <w:basedOn w:val="1"/>
    <w:next w:val="1"/>
    <w:autoRedefine/>
    <w:unhideWhenUsed/>
    <w:qFormat/>
    <w:uiPriority w:val="37"/>
    <w:pPr>
      <w:spacing w:line="360" w:lineRule="auto"/>
      <w:ind w:firstLine="200" w:firstLineChars="200"/>
      <w:jc w:val="left"/>
    </w:pPr>
    <w:rPr>
      <w:sz w:val="24"/>
    </w:rPr>
  </w:style>
  <w:style w:type="paragraph" w:customStyle="1" w:styleId="617">
    <w:name w:val="xl10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18">
    <w:name w:val="小标"/>
    <w:basedOn w:val="1"/>
    <w:autoRedefine/>
    <w:qFormat/>
    <w:uiPriority w:val="0"/>
    <w:rPr>
      <w:rFonts w:hint="eastAsia" w:ascii="黑体" w:eastAsia="黑体"/>
      <w:spacing w:val="20"/>
      <w:szCs w:val="20"/>
    </w:rPr>
  </w:style>
  <w:style w:type="paragraph" w:customStyle="1" w:styleId="619">
    <w:name w:val="表格标题3"/>
    <w:basedOn w:val="416"/>
    <w:autoRedefine/>
    <w:qFormat/>
    <w:uiPriority w:val="0"/>
    <w:pPr>
      <w:tabs>
        <w:tab w:val="left" w:pos="570"/>
        <w:tab w:val="left" w:pos="720"/>
        <w:tab w:val="clear" w:pos="1620"/>
      </w:tabs>
      <w:ind w:left="570" w:hanging="570"/>
    </w:pPr>
  </w:style>
  <w:style w:type="paragraph" w:customStyle="1" w:styleId="620">
    <w:name w:val="五级大纲"/>
    <w:next w:val="104"/>
    <w:autoRedefine/>
    <w:qFormat/>
    <w:uiPriority w:val="0"/>
    <w:pPr>
      <w:numPr>
        <w:ilvl w:val="4"/>
        <w:numId w:val="3"/>
      </w:numPr>
      <w:tabs>
        <w:tab w:val="left" w:pos="2100"/>
      </w:tabs>
      <w:ind w:left="2100" w:hanging="420"/>
      <w:outlineLvl w:val="4"/>
    </w:pPr>
    <w:rPr>
      <w:rFonts w:ascii="Calibri" w:hAnsi="Calibri" w:eastAsia="宋体" w:cs="Times New Roman"/>
      <w:b/>
      <w:kern w:val="2"/>
      <w:sz w:val="28"/>
      <w:szCs w:val="22"/>
      <w:lang w:val="en-US" w:eastAsia="zh-CN" w:bidi="ar-SA"/>
    </w:rPr>
  </w:style>
  <w:style w:type="paragraph" w:customStyle="1" w:styleId="621">
    <w:name w:val="默认段落字体 Para Char Char Char Char Char Char Char"/>
    <w:basedOn w:val="1"/>
    <w:autoRedefine/>
    <w:qFormat/>
    <w:uiPriority w:val="0"/>
    <w:pPr>
      <w:jc w:val="left"/>
    </w:pPr>
    <w:rPr>
      <w:rFonts w:ascii="Tahoma" w:hAnsi="Tahoma"/>
      <w:sz w:val="24"/>
      <w:szCs w:val="20"/>
    </w:rPr>
  </w:style>
  <w:style w:type="paragraph" w:customStyle="1" w:styleId="622">
    <w:name w:val="默认段落字体 Para Char Char Char Char Char Char Char Char Char Char Char Char Char Char"/>
    <w:basedOn w:val="22"/>
    <w:autoRedefine/>
    <w:qFormat/>
    <w:uiPriority w:val="0"/>
    <w:rPr>
      <w:rFonts w:ascii="Tahoma" w:hAnsi="Tahoma"/>
      <w:sz w:val="24"/>
    </w:rPr>
  </w:style>
  <w:style w:type="paragraph" w:customStyle="1" w:styleId="623">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24">
    <w:name w:val="样式 标题 2（x.x）节二级标题H2h2h212Header 2l2Level 2 HeadH2norm..."/>
    <w:basedOn w:val="4"/>
    <w:autoRedefine/>
    <w:qFormat/>
    <w:uiPriority w:val="0"/>
    <w:pPr>
      <w:tabs>
        <w:tab w:val="left" w:pos="992"/>
      </w:tabs>
      <w:spacing w:before="100" w:beforeAutospacing="1" w:line="415" w:lineRule="auto"/>
      <w:ind w:left="992" w:hanging="567"/>
      <w:jc w:val="left"/>
    </w:pPr>
    <w:rPr>
      <w:rFonts w:eastAsia="楷体_GB2312" w:cs="宋体"/>
      <w:kern w:val="0"/>
      <w:sz w:val="36"/>
      <w:szCs w:val="20"/>
    </w:rPr>
  </w:style>
  <w:style w:type="paragraph" w:customStyle="1" w:styleId="625">
    <w:name w:val="font14"/>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626">
    <w:name w:val="样式 标题 2 + 宋体 小三 段前: 0 磅 段后: 12 磅 行距: 1.5 倍行距"/>
    <w:basedOn w:val="4"/>
    <w:autoRedefine/>
    <w:qFormat/>
    <w:uiPriority w:val="0"/>
    <w:pPr>
      <w:numPr>
        <w:ilvl w:val="1"/>
        <w:numId w:val="5"/>
      </w:numPr>
      <w:spacing w:before="0" w:afterLines="100" w:line="360" w:lineRule="auto"/>
    </w:pPr>
    <w:rPr>
      <w:rFonts w:ascii="宋体" w:hAnsi="宋体" w:eastAsia="宋体" w:cs="宋体"/>
      <w:sz w:val="30"/>
      <w:szCs w:val="20"/>
    </w:rPr>
  </w:style>
  <w:style w:type="paragraph" w:customStyle="1" w:styleId="627">
    <w:name w:val="正文文本 21"/>
    <w:basedOn w:val="1"/>
    <w:autoRedefine/>
    <w:qFormat/>
    <w:uiPriority w:val="0"/>
    <w:pPr>
      <w:adjustRightInd w:val="0"/>
      <w:spacing w:line="312" w:lineRule="atLeast"/>
      <w:ind w:firstLine="600"/>
      <w:textAlignment w:val="baseline"/>
    </w:pPr>
    <w:rPr>
      <w:rFonts w:ascii="宋体"/>
      <w:kern w:val="0"/>
      <w:sz w:val="28"/>
      <w:szCs w:val="20"/>
    </w:rPr>
  </w:style>
  <w:style w:type="paragraph" w:customStyle="1" w:styleId="628">
    <w:name w:val="样式 样式 正文首行缩进 + 首行缩进:  2 字符 + 首行缩进:  2 字符"/>
    <w:basedOn w:val="1"/>
    <w:autoRedefine/>
    <w:qFormat/>
    <w:uiPriority w:val="0"/>
    <w:pPr>
      <w:adjustRightInd w:val="0"/>
      <w:snapToGrid w:val="0"/>
      <w:spacing w:line="440" w:lineRule="exact"/>
      <w:ind w:firstLine="200" w:firstLineChars="200"/>
    </w:pPr>
    <w:rPr>
      <w:szCs w:val="20"/>
    </w:rPr>
  </w:style>
  <w:style w:type="paragraph" w:customStyle="1" w:styleId="629">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30">
    <w:name w:val="章标题"/>
    <w:next w:val="1"/>
    <w:autoRedefine/>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631">
    <w:name w:val="xl131"/>
    <w:basedOn w:val="1"/>
    <w:autoRedefine/>
    <w:qFormat/>
    <w:uiPriority w:val="0"/>
    <w:pPr>
      <w:widowControl/>
      <w:pBdr>
        <w:top w:val="single" w:color="auto" w:sz="4" w:space="0"/>
        <w:left w:val="single" w:color="auto" w:sz="4" w:space="0"/>
        <w:bottom w:val="single" w:color="auto" w:sz="4" w:space="0"/>
        <w:right w:val="single" w:color="auto" w:sz="8" w:space="0"/>
      </w:pBdr>
      <w:shd w:val="clear" w:color="000000" w:fill="BFBFBF"/>
      <w:spacing w:before="100" w:beforeAutospacing="1" w:after="100" w:afterAutospacing="1"/>
      <w:jc w:val="center"/>
    </w:pPr>
    <w:rPr>
      <w:b/>
      <w:bCs/>
      <w:kern w:val="0"/>
      <w:sz w:val="20"/>
      <w:szCs w:val="20"/>
    </w:rPr>
  </w:style>
  <w:style w:type="paragraph" w:customStyle="1" w:styleId="632">
    <w:name w:val="xl43"/>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633">
    <w:name w:val="xl109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634">
    <w:name w:val="xl53"/>
    <w:basedOn w:val="1"/>
    <w:autoRedefine/>
    <w:qFormat/>
    <w:uiPriority w:val="0"/>
    <w:pPr>
      <w:widowControl/>
      <w:pBdr>
        <w:left w:val="single" w:color="auto" w:sz="8" w:space="0"/>
        <w:bottom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35">
    <w:name w:val="样式 标题 1H1Header1h1标题4L1bocLevel 1 Topic Heading标书1Secti..."/>
    <w:basedOn w:val="3"/>
    <w:autoRedefine/>
    <w:qFormat/>
    <w:uiPriority w:val="0"/>
    <w:pPr>
      <w:pageBreakBefore/>
      <w:tabs>
        <w:tab w:val="left" w:pos="425"/>
      </w:tabs>
      <w:adjustRightInd/>
      <w:spacing w:before="100" w:beforeAutospacing="1" w:afterLines="100" w:line="360" w:lineRule="auto"/>
      <w:ind w:left="425" w:hanging="425"/>
      <w:textAlignment w:val="auto"/>
    </w:pPr>
    <w:rPr>
      <w:rFonts w:eastAsia="黑体" w:cs="宋体"/>
      <w:bCs/>
      <w:sz w:val="44"/>
    </w:rPr>
  </w:style>
  <w:style w:type="paragraph" w:customStyle="1" w:styleId="636">
    <w:name w:val="Item Step"/>
    <w:basedOn w:val="1"/>
    <w:autoRedefine/>
    <w:qFormat/>
    <w:uiPriority w:val="0"/>
    <w:pPr>
      <w:widowControl/>
      <w:tabs>
        <w:tab w:val="left" w:pos="567"/>
      </w:tabs>
      <w:spacing w:afterLines="50"/>
      <w:ind w:left="987" w:hanging="420"/>
      <w:jc w:val="left"/>
    </w:pPr>
    <w:rPr>
      <w:rFonts w:ascii="Tahoma" w:hAnsi="Tahoma"/>
      <w:sz w:val="28"/>
      <w:szCs w:val="21"/>
    </w:rPr>
  </w:style>
  <w:style w:type="paragraph" w:customStyle="1" w:styleId="637">
    <w:name w:val="Char Char Char1 Char"/>
    <w:basedOn w:val="22"/>
    <w:autoRedefine/>
    <w:qFormat/>
    <w:uiPriority w:val="0"/>
    <w:pPr>
      <w:adjustRightInd w:val="0"/>
      <w:spacing w:line="436" w:lineRule="exact"/>
      <w:ind w:left="357"/>
      <w:jc w:val="left"/>
      <w:outlineLvl w:val="3"/>
    </w:pPr>
    <w:rPr>
      <w:kern w:val="0"/>
      <w:sz w:val="20"/>
      <w:szCs w:val="20"/>
    </w:rPr>
  </w:style>
  <w:style w:type="paragraph" w:customStyle="1" w:styleId="638">
    <w:name w:val="xl88"/>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639">
    <w:name w:val="版权所有"/>
    <w:basedOn w:val="1"/>
    <w:autoRedefine/>
    <w:qFormat/>
    <w:uiPriority w:val="0"/>
    <w:pPr>
      <w:spacing w:beforeLines="100" w:afterLines="100" w:line="360" w:lineRule="auto"/>
    </w:pPr>
    <w:rPr>
      <w:rFonts w:ascii="Arial" w:hAnsi="Arial" w:eastAsia="黑体"/>
      <w:b/>
      <w:sz w:val="30"/>
      <w:u w:val="single"/>
    </w:rPr>
  </w:style>
  <w:style w:type="paragraph" w:customStyle="1" w:styleId="640">
    <w:name w:val="xl10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641">
    <w:name w:val="项目编号2级"/>
    <w:basedOn w:val="494"/>
    <w:autoRedefine/>
    <w:qFormat/>
    <w:uiPriority w:val="0"/>
  </w:style>
  <w:style w:type="paragraph" w:customStyle="1" w:styleId="642">
    <w:name w:val="四级无"/>
    <w:basedOn w:val="269"/>
    <w:autoRedefine/>
    <w:qFormat/>
    <w:uiPriority w:val="0"/>
    <w:pPr>
      <w:tabs>
        <w:tab w:val="left" w:pos="360"/>
      </w:tabs>
      <w:spacing w:beforeLines="0" w:afterLines="0"/>
    </w:pPr>
    <w:rPr>
      <w:rFonts w:ascii="宋体" w:eastAsia="宋体"/>
    </w:rPr>
  </w:style>
  <w:style w:type="paragraph" w:customStyle="1" w:styleId="643">
    <w:name w:val="样式 标题 1 + 非加粗 段前: 0.5 行 段后: 0.5 行"/>
    <w:basedOn w:val="3"/>
    <w:autoRedefine/>
    <w:qFormat/>
    <w:uiPriority w:val="0"/>
    <w:pPr>
      <w:pageBreakBefore/>
      <w:tabs>
        <w:tab w:val="left" w:pos="840"/>
      </w:tabs>
      <w:adjustRightInd/>
      <w:spacing w:beforeLines="50" w:afterLines="50" w:line="480" w:lineRule="auto"/>
      <w:ind w:left="840" w:hanging="360"/>
      <w:textAlignment w:val="auto"/>
    </w:pPr>
    <w:rPr>
      <w:rFonts w:eastAsia="黑体" w:cs="宋体"/>
      <w:b w:val="0"/>
      <w:sz w:val="44"/>
    </w:rPr>
  </w:style>
  <w:style w:type="paragraph" w:customStyle="1" w:styleId="644">
    <w:name w:val="题头内容"/>
    <w:basedOn w:val="1"/>
    <w:autoRedefine/>
    <w:qFormat/>
    <w:uiPriority w:val="0"/>
    <w:pPr>
      <w:adjustRightInd w:val="0"/>
      <w:spacing w:before="120" w:after="120" w:line="312" w:lineRule="atLeast"/>
      <w:ind w:right="879" w:firstLine="839"/>
      <w:jc w:val="center"/>
      <w:textAlignment w:val="baseline"/>
    </w:pPr>
    <w:rPr>
      <w:rFonts w:ascii="黑体" w:eastAsia="黑体"/>
      <w:kern w:val="0"/>
      <w:sz w:val="32"/>
      <w:szCs w:val="21"/>
    </w:rPr>
  </w:style>
  <w:style w:type="paragraph" w:customStyle="1" w:styleId="645">
    <w:name w:val="正文3级"/>
    <w:autoRedefine/>
    <w:qFormat/>
    <w:uiPriority w:val="0"/>
    <w:pPr>
      <w:widowControl w:val="0"/>
      <w:tabs>
        <w:tab w:val="left" w:pos="1678"/>
      </w:tabs>
      <w:spacing w:after="60" w:line="400" w:lineRule="exact"/>
      <w:ind w:left="2098" w:hanging="420"/>
      <w:jc w:val="both"/>
    </w:pPr>
    <w:rPr>
      <w:rFonts w:ascii="Times New Roman" w:hAnsi="Times New Roman" w:eastAsia="宋体" w:cs="Times New Roman"/>
      <w:bCs/>
      <w:kern w:val="44"/>
      <w:sz w:val="24"/>
      <w:szCs w:val="44"/>
      <w:lang w:val="en-US" w:eastAsia="zh-CN" w:bidi="ar-SA"/>
    </w:rPr>
  </w:style>
  <w:style w:type="paragraph" w:customStyle="1" w:styleId="646">
    <w:name w:val="xl15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47">
    <w:name w:val="xl108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648">
    <w:name w:val="样式 标题 3H3h3h31第二层条3Bold Headbh章标题1小标题level_3PIM 3Lev...2"/>
    <w:basedOn w:val="5"/>
    <w:autoRedefine/>
    <w:qFormat/>
    <w:uiPriority w:val="0"/>
    <w:pPr>
      <w:tabs>
        <w:tab w:val="left" w:pos="1740"/>
      </w:tabs>
      <w:spacing w:beforeLines="50" w:afterLines="50" w:line="540" w:lineRule="auto"/>
      <w:ind w:left="1740" w:leftChars="0" w:hanging="420"/>
    </w:pPr>
    <w:rPr>
      <w:rFonts w:ascii="宋体" w:hAnsi="宋体" w:eastAsia="黑体" w:cs="宋体"/>
      <w:b w:val="0"/>
      <w:bCs/>
      <w:kern w:val="0"/>
      <w:sz w:val="32"/>
    </w:rPr>
  </w:style>
  <w:style w:type="paragraph" w:customStyle="1" w:styleId="649">
    <w:name w:val="font7"/>
    <w:basedOn w:val="1"/>
    <w:autoRedefine/>
    <w:qFormat/>
    <w:uiPriority w:val="0"/>
    <w:pPr>
      <w:widowControl/>
      <w:spacing w:before="100" w:beforeAutospacing="1" w:after="100" w:afterAutospacing="1"/>
      <w:jc w:val="left"/>
    </w:pPr>
    <w:rPr>
      <w:rFonts w:ascii="宋体" w:hAnsi="宋体" w:cs="Arial Unicode MS"/>
      <w:kern w:val="0"/>
      <w:sz w:val="28"/>
      <w:szCs w:val="28"/>
    </w:rPr>
  </w:style>
  <w:style w:type="paragraph" w:customStyle="1" w:styleId="650">
    <w:name w:val="xl23"/>
    <w:basedOn w:val="1"/>
    <w:autoRedefine/>
    <w:qFormat/>
    <w:uiPriority w:val="0"/>
    <w:pPr>
      <w:widowControl/>
      <w:spacing w:before="100" w:beforeAutospacing="1" w:after="100" w:afterAutospacing="1"/>
      <w:jc w:val="center"/>
    </w:pPr>
    <w:rPr>
      <w:rFonts w:eastAsia="Arial Unicode MS"/>
      <w:kern w:val="0"/>
      <w:szCs w:val="21"/>
    </w:rPr>
  </w:style>
  <w:style w:type="paragraph" w:customStyle="1" w:styleId="651">
    <w:name w:val="Default Text"/>
    <w:link w:val="702"/>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52">
    <w:name w:val="xl10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微软雅黑" w:hAnsi="微软雅黑" w:eastAsia="微软雅黑" w:cs="宋体"/>
      <w:kern w:val="0"/>
      <w:sz w:val="20"/>
      <w:szCs w:val="20"/>
    </w:rPr>
  </w:style>
  <w:style w:type="paragraph" w:customStyle="1" w:styleId="653">
    <w:name w:val="样式 标题 3H3h3h31第二层条3Bold Headbh章标题1小标题level_3PIM 3Lev...1"/>
    <w:basedOn w:val="5"/>
    <w:autoRedefine/>
    <w:qFormat/>
    <w:uiPriority w:val="0"/>
    <w:pPr>
      <w:tabs>
        <w:tab w:val="left" w:pos="1740"/>
      </w:tabs>
      <w:spacing w:beforeLines="50" w:afterLines="50"/>
      <w:ind w:left="1740" w:leftChars="0" w:hanging="420"/>
    </w:pPr>
    <w:rPr>
      <w:rFonts w:ascii="Arial" w:hAnsi="Arial" w:eastAsia="黑体" w:cs="宋体"/>
      <w:b w:val="0"/>
      <w:bCs/>
      <w:kern w:val="0"/>
      <w:sz w:val="32"/>
    </w:rPr>
  </w:style>
  <w:style w:type="paragraph" w:customStyle="1" w:styleId="654">
    <w:name w:val="xl7863"/>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655">
    <w:name w:val="xl7869"/>
    <w:basedOn w:val="1"/>
    <w:autoRedefine/>
    <w:qFormat/>
    <w:uiPriority w:val="0"/>
    <w:pPr>
      <w:widowControl/>
      <w:spacing w:before="100" w:beforeAutospacing="1" w:after="100" w:afterAutospacing="1"/>
      <w:jc w:val="left"/>
      <w:textAlignment w:val="bottom"/>
    </w:pPr>
    <w:rPr>
      <w:rFonts w:ascii="宋体" w:hAnsi="宋体" w:cs="宋体"/>
      <w:color w:val="000000"/>
      <w:kern w:val="0"/>
      <w:sz w:val="20"/>
      <w:szCs w:val="20"/>
    </w:rPr>
  </w:style>
  <w:style w:type="paragraph" w:customStyle="1" w:styleId="656">
    <w:name w:val="xl44"/>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657">
    <w:name w:val="TOC 标题2"/>
    <w:basedOn w:val="3"/>
    <w:next w:val="1"/>
    <w:autoRedefine/>
    <w:qFormat/>
    <w:uiPriority w:val="39"/>
    <w:pPr>
      <w:adjustRightInd/>
      <w:spacing w:before="340" w:after="330" w:line="578" w:lineRule="auto"/>
      <w:jc w:val="both"/>
      <w:textAlignment w:val="auto"/>
      <w:outlineLvl w:val="9"/>
    </w:pPr>
    <w:rPr>
      <w:bCs/>
      <w:sz w:val="44"/>
      <w:szCs w:val="44"/>
    </w:rPr>
  </w:style>
  <w:style w:type="paragraph" w:customStyle="1" w:styleId="658">
    <w:name w:val="font6"/>
    <w:basedOn w:val="1"/>
    <w:autoRedefine/>
    <w:qFormat/>
    <w:uiPriority w:val="0"/>
    <w:pPr>
      <w:widowControl/>
      <w:spacing w:before="100" w:beforeAutospacing="1" w:after="100" w:afterAutospacing="1"/>
      <w:jc w:val="left"/>
    </w:pPr>
    <w:rPr>
      <w:rFonts w:eastAsia="Arial Unicode MS"/>
      <w:kern w:val="0"/>
      <w:sz w:val="24"/>
    </w:rPr>
  </w:style>
  <w:style w:type="paragraph" w:customStyle="1" w:styleId="659">
    <w:name w:val="xl78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660">
    <w:name w:val="xl10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661">
    <w:name w:val="表头"/>
    <w:basedOn w:val="1"/>
    <w:autoRedefine/>
    <w:qFormat/>
    <w:uiPriority w:val="0"/>
    <w:pPr>
      <w:autoSpaceDE w:val="0"/>
      <w:autoSpaceDN w:val="0"/>
      <w:adjustRightInd w:val="0"/>
      <w:jc w:val="center"/>
    </w:pPr>
    <w:rPr>
      <w:rFonts w:ascii="Arial" w:hAnsi="Arial"/>
      <w:kern w:val="0"/>
      <w:sz w:val="18"/>
    </w:rPr>
  </w:style>
  <w:style w:type="paragraph" w:customStyle="1" w:styleId="662">
    <w:name w:val="表格侧编号"/>
    <w:next w:val="1"/>
    <w:autoRedefine/>
    <w:qFormat/>
    <w:uiPriority w:val="0"/>
    <w:pPr>
      <w:widowControl w:val="0"/>
      <w:adjustRightInd w:val="0"/>
      <w:snapToGrid w:val="0"/>
      <w:spacing w:before="40" w:after="20" w:line="240" w:lineRule="atLeast"/>
      <w:jc w:val="center"/>
      <w:textAlignment w:val="baseline"/>
    </w:pPr>
    <w:rPr>
      <w:rFonts w:ascii="Arial" w:hAnsi="Arial" w:eastAsia="宋体" w:cs="Times New Roman"/>
      <w:sz w:val="24"/>
      <w:szCs w:val="24"/>
      <w:lang w:val="en-US" w:eastAsia="zh-CN" w:bidi="ar-SA"/>
    </w:rPr>
  </w:style>
  <w:style w:type="paragraph" w:customStyle="1" w:styleId="663">
    <w:name w:val="表中小5"/>
    <w:autoRedefine/>
    <w:qFormat/>
    <w:uiPriority w:val="0"/>
    <w:pPr>
      <w:jc w:val="center"/>
    </w:pPr>
    <w:rPr>
      <w:rFonts w:ascii="Times New Roman" w:hAnsi="Times New Roman" w:eastAsia="宋体" w:cs="Times New Roman"/>
      <w:color w:val="0000FF"/>
      <w:sz w:val="18"/>
      <w:szCs w:val="18"/>
      <w:lang w:val="en-US" w:eastAsia="zh-CN" w:bidi="ar-SA"/>
    </w:rPr>
  </w:style>
  <w:style w:type="paragraph" w:customStyle="1" w:styleId="664">
    <w:name w:val="xl11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665">
    <w:name w:val="Body Text 21"/>
    <w:basedOn w:val="1"/>
    <w:autoRedefine/>
    <w:qFormat/>
    <w:uiPriority w:val="0"/>
    <w:pPr>
      <w:adjustRightInd w:val="0"/>
      <w:spacing w:line="240" w:lineRule="exact"/>
      <w:textAlignment w:val="baseline"/>
    </w:pPr>
    <w:rPr>
      <w:rFonts w:ascii="宋体"/>
      <w:kern w:val="0"/>
      <w:sz w:val="18"/>
      <w:szCs w:val="20"/>
    </w:rPr>
  </w:style>
  <w:style w:type="paragraph" w:customStyle="1" w:styleId="666">
    <w:name w:val="xl1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67">
    <w:name w:val="xl11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68">
    <w:name w:val="xl1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669">
    <w:name w:val="Document Map1"/>
    <w:basedOn w:val="1"/>
    <w:autoRedefine/>
    <w:qFormat/>
    <w:uiPriority w:val="0"/>
    <w:pPr>
      <w:shd w:val="clear" w:color="auto" w:fill="000080"/>
      <w:autoSpaceDE w:val="0"/>
      <w:autoSpaceDN w:val="0"/>
      <w:adjustRightInd w:val="0"/>
      <w:spacing w:line="312" w:lineRule="atLeast"/>
      <w:textAlignment w:val="baseline"/>
    </w:pPr>
    <w:rPr>
      <w:rFonts w:ascii="宋体" w:hAnsi="Tms Rmn"/>
      <w:kern w:val="0"/>
      <w:szCs w:val="20"/>
    </w:rPr>
  </w:style>
  <w:style w:type="paragraph" w:customStyle="1" w:styleId="670">
    <w:name w:val="样式 样式 标题 5 + 段前: 0.5 行 段后: 0.5 行 + 段前: 0.5 行 段后: 0.5 行"/>
    <w:basedOn w:val="596"/>
    <w:autoRedefine/>
    <w:qFormat/>
    <w:uiPriority w:val="0"/>
    <w:rPr>
      <w:bCs w:val="0"/>
    </w:rPr>
  </w:style>
  <w:style w:type="paragraph" w:customStyle="1" w:styleId="67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8"/>
      <w:szCs w:val="28"/>
    </w:rPr>
  </w:style>
  <w:style w:type="paragraph" w:customStyle="1" w:styleId="672">
    <w:name w:val="_Style 385"/>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3">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74">
    <w:name w:val="xl62"/>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8"/>
      <w:szCs w:val="28"/>
    </w:rPr>
  </w:style>
  <w:style w:type="paragraph" w:customStyle="1" w:styleId="675">
    <w:name w:val="xl10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676">
    <w:name w:val="打印正文1"/>
    <w:basedOn w:val="1"/>
    <w:autoRedefine/>
    <w:qFormat/>
    <w:uiPriority w:val="0"/>
    <w:pPr>
      <w:tabs>
        <w:tab w:val="left" w:pos="705"/>
        <w:tab w:val="left" w:pos="1440"/>
      </w:tabs>
      <w:spacing w:line="480" w:lineRule="atLeast"/>
      <w:ind w:left="1440" w:hanging="360"/>
    </w:pPr>
    <w:rPr>
      <w:rFonts w:ascii="宋体" w:hAnsi="宋体"/>
      <w:bCs/>
      <w:spacing w:val="10"/>
      <w:kern w:val="28"/>
      <w:szCs w:val="21"/>
    </w:rPr>
  </w:style>
  <w:style w:type="paragraph" w:customStyle="1" w:styleId="677">
    <w:name w:val="标书正文"/>
    <w:basedOn w:val="1"/>
    <w:autoRedefine/>
    <w:qFormat/>
    <w:uiPriority w:val="0"/>
    <w:pPr>
      <w:spacing w:line="360" w:lineRule="auto"/>
      <w:ind w:firstLine="497" w:firstLineChars="207"/>
    </w:pPr>
    <w:rPr>
      <w:sz w:val="24"/>
      <w:szCs w:val="20"/>
    </w:rPr>
  </w:style>
  <w:style w:type="paragraph" w:customStyle="1" w:styleId="678">
    <w:name w:val="标题3"/>
    <w:basedOn w:val="1"/>
    <w:autoRedefine/>
    <w:qFormat/>
    <w:uiPriority w:val="0"/>
    <w:pPr>
      <w:spacing w:beforeLines="50" w:afterLines="50" w:line="300" w:lineRule="exact"/>
    </w:pPr>
    <w:rPr>
      <w:b/>
      <w:bCs/>
    </w:rPr>
  </w:style>
  <w:style w:type="paragraph" w:customStyle="1" w:styleId="679">
    <w:name w:val="注×："/>
    <w:autoRedefine/>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680">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81">
    <w:name w:val="xl1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82">
    <w:name w:val="xl9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683">
    <w:name w:val="表格(五号)"/>
    <w:basedOn w:val="1"/>
    <w:autoRedefine/>
    <w:qFormat/>
    <w:uiPriority w:val="0"/>
    <w:pPr>
      <w:adjustRightInd w:val="0"/>
      <w:snapToGrid w:val="0"/>
      <w:spacing w:before="60" w:after="60"/>
      <w:ind w:left="11"/>
      <w:jc w:val="center"/>
    </w:pPr>
    <w:rPr>
      <w:kern w:val="0"/>
      <w:szCs w:val="20"/>
    </w:rPr>
  </w:style>
  <w:style w:type="paragraph" w:customStyle="1" w:styleId="684">
    <w:name w:val="表格标题1"/>
    <w:basedOn w:val="595"/>
    <w:autoRedefine/>
    <w:qFormat/>
    <w:uiPriority w:val="0"/>
    <w:pPr>
      <w:tabs>
        <w:tab w:val="left" w:pos="1620"/>
      </w:tabs>
      <w:ind w:left="1620" w:leftChars="600" w:hanging="360" w:hangingChars="200"/>
      <w:jc w:val="both"/>
      <w:textAlignment w:val="bottom"/>
    </w:pPr>
    <w:rPr>
      <w:rFonts w:ascii="Times New Roman"/>
      <w:sz w:val="21"/>
      <w:szCs w:val="21"/>
    </w:rPr>
  </w:style>
  <w:style w:type="paragraph" w:customStyle="1" w:styleId="685">
    <w:name w:val="默认段落字体 Para Char"/>
    <w:basedOn w:val="1"/>
    <w:autoRedefine/>
    <w:qFormat/>
    <w:uiPriority w:val="0"/>
  </w:style>
  <w:style w:type="paragraph" w:customStyle="1" w:styleId="686">
    <w:name w:val="正"/>
    <w:basedOn w:val="1"/>
    <w:autoRedefine/>
    <w:qFormat/>
    <w:uiPriority w:val="0"/>
    <w:pPr>
      <w:ind w:firstLine="525"/>
    </w:pPr>
    <w:rPr>
      <w:spacing w:val="20"/>
      <w:szCs w:val="20"/>
    </w:rPr>
  </w:style>
  <w:style w:type="paragraph" w:customStyle="1" w:styleId="687">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88">
    <w:name w:val="xl114"/>
    <w:basedOn w:val="1"/>
    <w:autoRedefine/>
    <w:qFormat/>
    <w:uiPriority w:val="0"/>
    <w:pPr>
      <w:widowControl/>
      <w:pBdr>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689">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690">
    <w:name w:val="xl50"/>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91">
    <w:name w:val="xl10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692">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character" w:customStyle="1" w:styleId="693">
    <w:name w:val="无间隔 Char"/>
    <w:basedOn w:val="62"/>
    <w:link w:val="694"/>
    <w:autoRedefine/>
    <w:qFormat/>
    <w:locked/>
    <w:uiPriority w:val="0"/>
    <w:rPr>
      <w:rFonts w:ascii="Calibri" w:hAnsi="Calibri" w:eastAsia="宋体" w:cs="Times New Roman"/>
    </w:rPr>
  </w:style>
  <w:style w:type="paragraph" w:styleId="694">
    <w:name w:val="No Spacing"/>
    <w:basedOn w:val="1"/>
    <w:link w:val="693"/>
    <w:autoRedefine/>
    <w:qFormat/>
    <w:uiPriority w:val="0"/>
    <w:rPr>
      <w:rFonts w:ascii="Calibri" w:hAnsi="Calibri"/>
      <w:szCs w:val="22"/>
    </w:rPr>
  </w:style>
  <w:style w:type="character" w:customStyle="1" w:styleId="695">
    <w:name w:val="short_text"/>
    <w:basedOn w:val="62"/>
    <w:autoRedefine/>
    <w:qFormat/>
    <w:uiPriority w:val="0"/>
  </w:style>
  <w:style w:type="character" w:customStyle="1" w:styleId="696">
    <w:name w:val="未处理的提及1"/>
    <w:basedOn w:val="62"/>
    <w:autoRedefine/>
    <w:semiHidden/>
    <w:unhideWhenUsed/>
    <w:qFormat/>
    <w:uiPriority w:val="99"/>
    <w:rPr>
      <w:color w:val="605E5C"/>
      <w:shd w:val="clear" w:color="auto" w:fill="E1DFDD"/>
    </w:rPr>
  </w:style>
  <w:style w:type="paragraph" w:customStyle="1" w:styleId="697">
    <w:name w:val="T文本"/>
    <w:basedOn w:val="1"/>
    <w:autoRedefine/>
    <w:qFormat/>
    <w:uiPriority w:val="0"/>
    <w:pPr>
      <w:widowControl/>
      <w:snapToGrid w:val="0"/>
      <w:spacing w:beforeLines="50" w:afterLines="50" w:line="360" w:lineRule="auto"/>
      <w:ind w:firstLine="200" w:firstLineChars="200"/>
    </w:pPr>
    <w:rPr>
      <w:rFonts w:eastAsia="Times New Roman"/>
      <w:kern w:val="0"/>
      <w:sz w:val="24"/>
    </w:rPr>
  </w:style>
  <w:style w:type="character" w:customStyle="1" w:styleId="698">
    <w:name w:val="未处理的提及2"/>
    <w:basedOn w:val="62"/>
    <w:autoRedefine/>
    <w:semiHidden/>
    <w:unhideWhenUsed/>
    <w:qFormat/>
    <w:uiPriority w:val="99"/>
    <w:rPr>
      <w:color w:val="605E5C"/>
      <w:shd w:val="clear" w:color="auto" w:fill="E1DFDD"/>
    </w:rPr>
  </w:style>
  <w:style w:type="paragraph" w:customStyle="1" w:styleId="699">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700">
    <w:name w:val="Normal_2"/>
    <w:autoRedefine/>
    <w:qFormat/>
    <w:uiPriority w:val="0"/>
    <w:rPr>
      <w:rFonts w:ascii="Calibri" w:hAnsi="Calibri" w:eastAsia="宋体" w:cs="Times New Roman"/>
      <w:sz w:val="24"/>
      <w:szCs w:val="24"/>
      <w:lang w:val="en-US" w:eastAsia="zh-CN" w:bidi="ar-SA"/>
    </w:rPr>
  </w:style>
  <w:style w:type="character" w:customStyle="1" w:styleId="701">
    <w:name w:val="7）页眉页脚"/>
    <w:autoRedefine/>
    <w:qFormat/>
    <w:uiPriority w:val="0"/>
    <w:rPr>
      <w:rFonts w:ascii="仿宋_GB2312" w:eastAsia="仿宋_GB2312"/>
      <w:b/>
      <w:i/>
      <w:sz w:val="18"/>
      <w:vertAlign w:val="baseline"/>
    </w:rPr>
  </w:style>
  <w:style w:type="character" w:customStyle="1" w:styleId="702">
    <w:name w:val="Default Text Char"/>
    <w:link w:val="651"/>
    <w:autoRedefine/>
    <w:qFormat/>
    <w:uiPriority w:val="0"/>
    <w:rPr>
      <w:rFonts w:ascii="Times New Roman" w:hAnsi="Times New Roman"/>
      <w:color w:val="000000"/>
      <w:sz w:val="24"/>
      <w:szCs w:val="24"/>
    </w:rPr>
  </w:style>
  <w:style w:type="paragraph" w:customStyle="1" w:styleId="703">
    <w:name w:val="5）标书正文 首行缩进2字符"/>
    <w:basedOn w:val="1"/>
    <w:autoRedefine/>
    <w:qFormat/>
    <w:uiPriority w:val="0"/>
    <w:pPr>
      <w:spacing w:line="480" w:lineRule="exact"/>
      <w:ind w:firstLine="200" w:firstLineChars="200"/>
    </w:pPr>
    <w:rPr>
      <w:rFonts w:ascii="仿宋_GB2312" w:eastAsia="仿宋_GB2312"/>
      <w:sz w:val="28"/>
      <w:szCs w:val="20"/>
    </w:rPr>
  </w:style>
  <w:style w:type="paragraph" w:customStyle="1" w:styleId="704">
    <w:name w:val="Normal_5"/>
    <w:autoRedefine/>
    <w:qFormat/>
    <w:uiPriority w:val="0"/>
    <w:rPr>
      <w:rFonts w:ascii="黑体" w:hAnsi="黑体" w:eastAsia="黑体" w:cs="Times New Roman"/>
      <w:b/>
      <w:sz w:val="32"/>
      <w:szCs w:val="24"/>
      <w:lang w:val="en-US" w:eastAsia="zh-CN" w:bidi="ar-SA"/>
    </w:rPr>
  </w:style>
  <w:style w:type="paragraph" w:customStyle="1" w:styleId="705">
    <w:name w:val="正文_1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6">
    <w:name w:val="正文文本缩进_3"/>
    <w:basedOn w:val="705"/>
    <w:link w:val="707"/>
    <w:autoRedefine/>
    <w:qFormat/>
    <w:uiPriority w:val="0"/>
    <w:pPr>
      <w:spacing w:line="500" w:lineRule="exact"/>
      <w:ind w:left="1588" w:leftChars="832" w:firstLine="433" w:firstLineChars="196"/>
    </w:pPr>
    <w:rPr>
      <w:rFonts w:ascii="Calibri" w:hAnsi="Calibri"/>
      <w:sz w:val="24"/>
    </w:rPr>
  </w:style>
  <w:style w:type="character" w:customStyle="1" w:styleId="707">
    <w:name w:val="正文文本缩进 Char_3"/>
    <w:link w:val="706"/>
    <w:autoRedefine/>
    <w:qFormat/>
    <w:uiPriority w:val="0"/>
    <w:rPr>
      <w:kern w:val="2"/>
      <w:sz w:val="24"/>
      <w:szCs w:val="24"/>
      <w:lang w:val="en-US" w:eastAsia="zh-CN"/>
    </w:rPr>
  </w:style>
  <w:style w:type="character" w:customStyle="1" w:styleId="708">
    <w:name w:val="12_hui11"/>
    <w:autoRedefine/>
    <w:qFormat/>
    <w:uiPriority w:val="0"/>
    <w:rPr>
      <w:color w:val="666666"/>
      <w:sz w:val="18"/>
      <w:szCs w:val="18"/>
    </w:rPr>
  </w:style>
  <w:style w:type="character" w:customStyle="1" w:styleId="709">
    <w:name w:val="dy_biao_content1"/>
    <w:autoRedefine/>
    <w:qFormat/>
    <w:uiPriority w:val="0"/>
    <w:rPr>
      <w:rFonts w:hint="eastAsia" w:ascii="宋体" w:hAnsi="宋体" w:eastAsia="宋体"/>
      <w:sz w:val="24"/>
      <w:szCs w:val="24"/>
    </w:rPr>
  </w:style>
  <w:style w:type="paragraph" w:customStyle="1" w:styleId="710">
    <w:name w:val="正文_1_0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1">
    <w:name w:val="正文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2">
    <w:name w:val="Char3"/>
    <w:basedOn w:val="1"/>
    <w:autoRedefine/>
    <w:qFormat/>
    <w:uiPriority w:val="0"/>
    <w:rPr>
      <w:rFonts w:ascii="Tahoma" w:hAnsi="Tahoma"/>
      <w:sz w:val="24"/>
      <w:szCs w:val="20"/>
    </w:rPr>
  </w:style>
  <w:style w:type="character" w:customStyle="1" w:styleId="713">
    <w:name w:val="脚注文本 Char"/>
    <w:basedOn w:val="62"/>
    <w:autoRedefine/>
    <w:qFormat/>
    <w:uiPriority w:val="0"/>
    <w:rPr>
      <w:lang w:val="de-DE"/>
    </w:rPr>
  </w:style>
  <w:style w:type="character" w:customStyle="1" w:styleId="714">
    <w:name w:val="脚注文本 Char1"/>
    <w:basedOn w:val="62"/>
    <w:link w:val="45"/>
    <w:autoRedefine/>
    <w:qFormat/>
    <w:uiPriority w:val="0"/>
    <w:rPr>
      <w:kern w:val="2"/>
      <w:sz w:val="18"/>
      <w:szCs w:val="18"/>
    </w:rPr>
  </w:style>
  <w:style w:type="paragraph" w:customStyle="1" w:styleId="715">
    <w:name w:val="Char4"/>
    <w:basedOn w:val="1"/>
    <w:autoRedefine/>
    <w:qFormat/>
    <w:uiPriority w:val="0"/>
    <w:rPr>
      <w:rFonts w:ascii="Tahoma" w:hAnsi="Tahoma"/>
      <w:sz w:val="24"/>
      <w:szCs w:val="20"/>
    </w:rPr>
  </w:style>
  <w:style w:type="paragraph" w:customStyle="1" w:styleId="716">
    <w:name w:val="Char1 Char"/>
    <w:basedOn w:val="1"/>
    <w:autoRedefine/>
    <w:qFormat/>
    <w:uiPriority w:val="0"/>
    <w:pPr>
      <w:tabs>
        <w:tab w:val="left" w:pos="360"/>
      </w:tabs>
    </w:pPr>
    <w:rPr>
      <w:kern w:val="0"/>
      <w:sz w:val="20"/>
      <w:szCs w:val="20"/>
    </w:rPr>
  </w:style>
  <w:style w:type="character" w:customStyle="1" w:styleId="717">
    <w:name w:val="列出段落 Char"/>
    <w:link w:val="607"/>
    <w:autoRedefine/>
    <w:qFormat/>
    <w:uiPriority w:val="34"/>
    <w:rPr>
      <w:rFonts w:ascii="宋体" w:hAnsi="宋体" w:cs="宋体"/>
      <w:bCs/>
      <w:color w:val="000000"/>
      <w:sz w:val="24"/>
      <w:szCs w:val="24"/>
      <w:u w:val="single"/>
    </w:rPr>
  </w:style>
  <w:style w:type="paragraph" w:customStyle="1" w:styleId="718">
    <w:name w:val="段落正文"/>
    <w:basedOn w:val="1"/>
    <w:link w:val="719"/>
    <w:autoRedefine/>
    <w:qFormat/>
    <w:uiPriority w:val="0"/>
    <w:pPr>
      <w:spacing w:before="140" w:after="140" w:line="401" w:lineRule="auto"/>
      <w:ind w:firstLine="200" w:firstLineChars="200"/>
    </w:pPr>
    <w:rPr>
      <w:rFonts w:ascii="宋体" w:hAnsi="宋体"/>
    </w:rPr>
  </w:style>
  <w:style w:type="character" w:customStyle="1" w:styleId="719">
    <w:name w:val="段落正文 Char"/>
    <w:link w:val="718"/>
    <w:autoRedefine/>
    <w:qFormat/>
    <w:uiPriority w:val="0"/>
    <w:rPr>
      <w:rFonts w:ascii="宋体" w:hAnsi="宋体"/>
      <w:kern w:val="2"/>
      <w:sz w:val="21"/>
      <w:szCs w:val="24"/>
    </w:rPr>
  </w:style>
  <w:style w:type="paragraph" w:customStyle="1" w:styleId="720">
    <w:name w:val="TOC 标题3"/>
    <w:basedOn w:val="3"/>
    <w:next w:val="1"/>
    <w:autoRedefine/>
    <w:unhideWhenUsed/>
    <w:qFormat/>
    <w:uiPriority w:val="39"/>
    <w:pPr>
      <w:widowControl/>
      <w:adjustRightInd/>
      <w:spacing w:before="240" w:line="259" w:lineRule="auto"/>
      <w:textAlignment w:val="auto"/>
      <w:outlineLvl w:val="9"/>
    </w:pPr>
    <w:rPr>
      <w:rFonts w:asciiTheme="majorHAnsi" w:hAnsiTheme="majorHAnsi" w:eastAsiaTheme="majorEastAsia" w:cstheme="majorBidi"/>
      <w:b w:val="0"/>
      <w:color w:val="366091" w:themeColor="accent1" w:themeShade="BF"/>
      <w:kern w:val="0"/>
      <w:szCs w:val="32"/>
    </w:rPr>
  </w:style>
  <w:style w:type="character" w:customStyle="1" w:styleId="721">
    <w:name w:val="本级2 Char"/>
    <w:link w:val="722"/>
    <w:autoRedefine/>
    <w:qFormat/>
    <w:uiPriority w:val="0"/>
    <w:rPr>
      <w:rFonts w:ascii="仿宋_GB2312" w:hAnsi="仿宋" w:eastAsia="仿宋_GB2312"/>
      <w:b/>
      <w:bCs/>
      <w:sz w:val="32"/>
      <w:szCs w:val="24"/>
    </w:rPr>
  </w:style>
  <w:style w:type="paragraph" w:customStyle="1" w:styleId="722">
    <w:name w:val="本级2"/>
    <w:basedOn w:val="4"/>
    <w:link w:val="721"/>
    <w:autoRedefine/>
    <w:qFormat/>
    <w:uiPriority w:val="0"/>
    <w:pPr>
      <w:tabs>
        <w:tab w:val="left" w:pos="567"/>
      </w:tabs>
      <w:spacing w:before="0" w:after="0" w:line="360" w:lineRule="auto"/>
      <w:ind w:left="567" w:hanging="567"/>
    </w:pPr>
    <w:rPr>
      <w:rFonts w:ascii="仿宋_GB2312" w:hAnsi="仿宋" w:eastAsia="仿宋_GB2312"/>
      <w:kern w:val="0"/>
      <w:szCs w:val="24"/>
    </w:rPr>
  </w:style>
  <w:style w:type="character" w:customStyle="1" w:styleId="723">
    <w:name w:val="标题 3 Char Char"/>
    <w:autoRedefine/>
    <w:qFormat/>
    <w:uiPriority w:val="0"/>
    <w:rPr>
      <w:rFonts w:eastAsia="宋体"/>
      <w:b/>
      <w:bCs/>
      <w:kern w:val="2"/>
      <w:sz w:val="32"/>
      <w:szCs w:val="32"/>
      <w:lang w:val="en-US" w:eastAsia="zh-CN" w:bidi="ar-SA"/>
    </w:rPr>
  </w:style>
  <w:style w:type="paragraph" w:customStyle="1" w:styleId="724">
    <w:name w:val="正文文本缩进2"/>
    <w:basedOn w:val="1"/>
    <w:autoRedefine/>
    <w:qFormat/>
    <w:uiPriority w:val="0"/>
    <w:pPr>
      <w:spacing w:after="120" w:line="480" w:lineRule="exact"/>
      <w:ind w:left="420" w:leftChars="200" w:firstLine="480" w:firstLineChars="200"/>
    </w:pPr>
    <w:rPr>
      <w:rFonts w:ascii="宋体" w:hAnsi="宋体"/>
    </w:rPr>
  </w:style>
  <w:style w:type="paragraph" w:customStyle="1" w:styleId="725">
    <w:name w:val="正文_0_0"/>
    <w:autoRedefine/>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726">
    <w:name w:val="Table Paragraph"/>
    <w:basedOn w:val="1"/>
    <w:autoRedefine/>
    <w:qFormat/>
    <w:uiPriority w:val="1"/>
    <w:rPr>
      <w:rFonts w:ascii="宋体" w:hAnsi="宋体" w:cs="宋体"/>
      <w:szCs w:val="22"/>
      <w:lang w:val="zh-CN" w:bidi="zh-CN"/>
    </w:rPr>
  </w:style>
  <w:style w:type="paragraph" w:customStyle="1" w:styleId="727">
    <w:name w:val="列表段落1"/>
    <w:basedOn w:val="1"/>
    <w:autoRedefine/>
    <w:qFormat/>
    <w:uiPriority w:val="99"/>
    <w:pPr>
      <w:ind w:firstLine="420" w:firstLineChars="200"/>
    </w:pPr>
    <w:rPr>
      <w:rFonts w:ascii="Calibri" w:hAnsi="Calibri"/>
    </w:rPr>
  </w:style>
  <w:style w:type="paragraph" w:customStyle="1" w:styleId="728">
    <w:name w:val="宋小四正文"/>
    <w:basedOn w:val="1"/>
    <w:autoRedefine/>
    <w:qFormat/>
    <w:uiPriority w:val="0"/>
    <w:pPr>
      <w:spacing w:line="360" w:lineRule="auto"/>
      <w:ind w:firstLine="1446" w:firstLineChars="200"/>
    </w:pPr>
    <w:rPr>
      <w:rFonts w:ascii="Calibri" w:hAnsi="Calibri"/>
      <w:snapToGrid w:val="0"/>
      <w:szCs w:val="22"/>
      <w:lang w:eastAsia="en-US"/>
    </w:rPr>
  </w:style>
  <w:style w:type="paragraph" w:customStyle="1" w:styleId="729">
    <w:name w:val="正文_0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0">
    <w:name w:val="正文_1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1">
    <w:name w:val="正文_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2">
    <w:name w:val="正文_1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3">
    <w:name w:val="二级标题_0"/>
    <w:basedOn w:val="1"/>
    <w:next w:val="1"/>
    <w:autoRedefine/>
    <w:qFormat/>
    <w:uiPriority w:val="0"/>
    <w:pPr>
      <w:tabs>
        <w:tab w:val="left" w:pos="360"/>
      </w:tabs>
      <w:spacing w:line="360" w:lineRule="auto"/>
      <w:outlineLvl w:val="1"/>
    </w:pPr>
    <w:rPr>
      <w:rFonts w:ascii="宋体" w:hAnsi="宋体"/>
      <w:b/>
      <w:sz w:val="24"/>
    </w:rPr>
  </w:style>
  <w:style w:type="paragraph" w:customStyle="1" w:styleId="734">
    <w:name w:val="正文_7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5">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sz w:val="24"/>
    </w:rPr>
  </w:style>
  <w:style w:type="paragraph" w:customStyle="1" w:styleId="736">
    <w:name w:val="正文_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37">
    <w:name w:val="首行缩进"/>
    <w:basedOn w:val="1"/>
    <w:autoRedefine/>
    <w:qFormat/>
    <w:uiPriority w:val="0"/>
    <w:pPr>
      <w:ind w:firstLine="480" w:firstLineChars="200"/>
    </w:pPr>
    <w:rPr>
      <w:lang w:val="zh-CN"/>
    </w:rPr>
  </w:style>
  <w:style w:type="character" w:customStyle="1" w:styleId="738">
    <w:name w:val="样式 小四 加粗"/>
    <w:autoRedefine/>
    <w:qFormat/>
    <w:uiPriority w:val="0"/>
    <w:rPr>
      <w:rFonts w:hint="eastAsia" w:ascii="黑体" w:hAnsi="黑体" w:eastAsia="黑体"/>
      <w:b/>
      <w:bCs/>
      <w:sz w:val="24"/>
    </w:rPr>
  </w:style>
  <w:style w:type="table" w:customStyle="1" w:styleId="739">
    <w:name w:val="Table Normal"/>
    <w:autoRedefine/>
    <w:semiHidden/>
    <w:unhideWhenUsed/>
    <w:qFormat/>
    <w:uiPriority w:val="0"/>
    <w:tblPr>
      <w:tblCellMar>
        <w:top w:w="0" w:type="dxa"/>
        <w:left w:w="0" w:type="dxa"/>
        <w:bottom w:w="0" w:type="dxa"/>
        <w:right w:w="0" w:type="dxa"/>
      </w:tblCellMar>
    </w:tblPr>
  </w:style>
  <w:style w:type="paragraph" w:customStyle="1" w:styleId="740">
    <w:name w:val="正文_16"/>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3"/>
    <customShpInfo spid="_x0000_s2052"/>
    <customShpInfo spid="_x0000_s1030"/>
    <customShpInfo spid="_x0000_s1031"/>
    <customShpInfo spid="_x0000_s1034"/>
    <customShpInfo spid="_x0000_s1035"/>
    <customShpInfo spid="_x0000_s1036"/>
    <customShpInfo spid="_x0000_s10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80</Pages>
  <Words>1688</Words>
  <Characters>1997</Characters>
  <Lines>434</Lines>
  <Paragraphs>122</Paragraphs>
  <TotalTime>28</TotalTime>
  <ScaleCrop>false</ScaleCrop>
  <LinksUpToDate>false</LinksUpToDate>
  <CharactersWithSpaces>2043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2018-09-26T02:09:00Z</dcterms:created>
  <dc:creator>China</dc:creator>
  <cp:lastModifiedBy>kobe</cp:lastModifiedBy>
  <cp:lastPrinted>2019-12-20T05:23:00Z</cp:lastPrinted>
  <dcterms:modified xsi:type="dcterms:W3CDTF">2025-07-17T11:30:46Z</dcterms:modified>
  <cp:revision>1165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C989E37BD65D41EBB7C2351DEB287E5C</vt:lpwstr>
  </property>
  <property fmtid="{D5CDD505-2E9C-101B-9397-08002B2CF9AE}" pid="4" name="KSOTemplateDocerSaveRecord">
    <vt:lpwstr>eyJoZGlkIjoiNzMzYjM1YzMzZDIzODJkODkwNmE2NTEwZTlmYzUyZGYiLCJ1c2VySWQiOiI4Njk1ODYxOTIifQ==</vt:lpwstr>
  </property>
</Properties>
</file>