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29858">
      <w:pPr>
        <w:autoSpaceDE w:val="0"/>
        <w:autoSpaceDN w:val="0"/>
        <w:adjustRightInd w:val="0"/>
        <w:spacing w:line="360" w:lineRule="auto"/>
        <w:jc w:val="right"/>
        <w:rPr>
          <w:rFonts w:hint="default" w:cs="宋体" w:eastAsiaTheme="minorEastAsia"/>
          <w:color w:val="000000"/>
          <w:sz w:val="44"/>
          <w:szCs w:val="44"/>
          <w:lang w:val="en-US" w:eastAsia="zh-CN"/>
        </w:rPr>
      </w:pPr>
      <w:r>
        <w:rPr>
          <w:rFonts w:hint="eastAsia" w:asciiTheme="minorEastAsia" w:hAnsiTheme="minorEastAsia" w:eastAsiaTheme="minorEastAsia" w:cstheme="minorEastAsia"/>
          <w:color w:val="000000"/>
          <w:sz w:val="24"/>
          <w:szCs w:val="24"/>
          <w:lang w:val="en-US" w:eastAsia="zh-CN"/>
        </w:rPr>
        <w:t>项目编号：金采招字[2025]XJJZC-089</w:t>
      </w:r>
    </w:p>
    <w:p w14:paraId="33C9CA28">
      <w:pPr>
        <w:autoSpaceDE w:val="0"/>
        <w:autoSpaceDN w:val="0"/>
        <w:adjustRightInd w:val="0"/>
        <w:spacing w:line="360" w:lineRule="auto"/>
        <w:rPr>
          <w:rFonts w:cs="宋体"/>
          <w:color w:val="000000"/>
          <w:sz w:val="44"/>
          <w:szCs w:val="44"/>
          <w:lang w:val="zh-CN"/>
        </w:rPr>
      </w:pPr>
    </w:p>
    <w:p w14:paraId="260192F1">
      <w:pPr>
        <w:autoSpaceDE w:val="0"/>
        <w:autoSpaceDN w:val="0"/>
        <w:adjustRightInd w:val="0"/>
        <w:spacing w:line="360" w:lineRule="auto"/>
        <w:jc w:val="center"/>
        <w:rPr>
          <w:rFonts w:cs="宋体"/>
          <w:b/>
          <w:bCs/>
          <w:color w:val="000000"/>
          <w:sz w:val="44"/>
          <w:szCs w:val="44"/>
          <w:highlight w:val="none"/>
          <w:lang w:val="zh-CN"/>
        </w:rPr>
      </w:pPr>
      <w:r>
        <w:rPr>
          <w:rFonts w:hint="eastAsia" w:cs="宋体"/>
          <w:b/>
          <w:bCs/>
          <w:color w:val="000000"/>
          <w:sz w:val="44"/>
          <w:szCs w:val="44"/>
          <w:highlight w:val="none"/>
          <w:lang w:val="zh-CN"/>
        </w:rPr>
        <w:t>新疆维吾尔自治区林业和草原局重点野生植物迁地保护项目</w:t>
      </w:r>
    </w:p>
    <w:p w14:paraId="21FA63D9">
      <w:pPr>
        <w:autoSpaceDE w:val="0"/>
        <w:autoSpaceDN w:val="0"/>
        <w:adjustRightInd w:val="0"/>
        <w:spacing w:line="360" w:lineRule="auto"/>
        <w:jc w:val="center"/>
        <w:rPr>
          <w:rFonts w:cs="宋体"/>
          <w:color w:val="000000"/>
          <w:sz w:val="44"/>
          <w:szCs w:val="44"/>
          <w:lang w:val="zh-CN"/>
        </w:rPr>
      </w:pPr>
    </w:p>
    <w:p w14:paraId="1B9EB791">
      <w:pPr>
        <w:autoSpaceDE w:val="0"/>
        <w:autoSpaceDN w:val="0"/>
        <w:adjustRightInd w:val="0"/>
        <w:spacing w:line="360" w:lineRule="auto"/>
        <w:jc w:val="center"/>
        <w:rPr>
          <w:rFonts w:cs="宋体"/>
          <w:color w:val="000000"/>
          <w:sz w:val="44"/>
          <w:szCs w:val="44"/>
          <w:lang w:val="zh-CN"/>
        </w:rPr>
      </w:pPr>
    </w:p>
    <w:p w14:paraId="52C4F5D1">
      <w:pPr>
        <w:autoSpaceDE w:val="0"/>
        <w:autoSpaceDN w:val="0"/>
        <w:adjustRightInd w:val="0"/>
        <w:spacing w:line="360" w:lineRule="auto"/>
        <w:jc w:val="center"/>
        <w:rPr>
          <w:rFonts w:cs="宋体"/>
          <w:color w:val="000000"/>
          <w:sz w:val="44"/>
          <w:szCs w:val="44"/>
          <w:lang w:val="zh-CN"/>
        </w:rPr>
      </w:pPr>
      <w:r>
        <w:rPr>
          <w:rFonts w:hint="eastAsia" w:cs="宋体"/>
          <w:color w:val="000000"/>
          <w:sz w:val="44"/>
          <w:szCs w:val="44"/>
          <w:lang w:val="zh-CN"/>
        </w:rPr>
        <w:t>采购文件</w:t>
      </w:r>
    </w:p>
    <w:p w14:paraId="14B55707">
      <w:pPr>
        <w:autoSpaceDE w:val="0"/>
        <w:autoSpaceDN w:val="0"/>
        <w:adjustRightInd w:val="0"/>
        <w:spacing w:line="360" w:lineRule="auto"/>
        <w:jc w:val="center"/>
        <w:rPr>
          <w:rFonts w:cs="宋体"/>
          <w:b/>
          <w:bCs/>
          <w:color w:val="000000"/>
          <w:szCs w:val="21"/>
          <w:lang w:val="zh-CN"/>
        </w:rPr>
      </w:pPr>
    </w:p>
    <w:p w14:paraId="6CABAF10">
      <w:pPr>
        <w:spacing w:line="360" w:lineRule="auto"/>
        <w:ind w:firstLine="600"/>
        <w:rPr>
          <w:rFonts w:cs="仿宋"/>
          <w:b/>
          <w:bCs/>
          <w:sz w:val="30"/>
        </w:rPr>
      </w:pPr>
    </w:p>
    <w:p w14:paraId="0B251DD8">
      <w:pPr>
        <w:spacing w:line="360" w:lineRule="auto"/>
        <w:rPr>
          <w:rFonts w:cs="宋体"/>
          <w:b/>
          <w:sz w:val="28"/>
          <w:szCs w:val="28"/>
        </w:rPr>
      </w:pPr>
      <w:r>
        <w:rPr>
          <w:rFonts w:hint="eastAsia" w:cs="宋体"/>
          <w:b/>
          <w:spacing w:val="91"/>
          <w:kern w:val="0"/>
          <w:sz w:val="28"/>
          <w:szCs w:val="28"/>
          <w:fitText w:val="1205" w:id="2039285499"/>
        </w:rPr>
        <w:t>采购</w:t>
      </w:r>
      <w:r>
        <w:rPr>
          <w:rFonts w:hint="eastAsia" w:cs="宋体"/>
          <w:b/>
          <w:spacing w:val="0"/>
          <w:kern w:val="0"/>
          <w:sz w:val="28"/>
          <w:szCs w:val="28"/>
          <w:fitText w:val="1205" w:id="2039285499"/>
        </w:rPr>
        <w:t>人</w:t>
      </w:r>
      <w:r>
        <w:rPr>
          <w:rFonts w:hint="eastAsia" w:cs="宋体"/>
          <w:b/>
          <w:sz w:val="28"/>
          <w:szCs w:val="28"/>
        </w:rPr>
        <w:t>（盖章）：新疆维吾尔自治区林业和草原局</w:t>
      </w:r>
    </w:p>
    <w:p w14:paraId="4A982189">
      <w:pPr>
        <w:spacing w:line="360" w:lineRule="auto"/>
        <w:rPr>
          <w:rFonts w:cs="宋体"/>
          <w:b/>
          <w:sz w:val="28"/>
          <w:szCs w:val="28"/>
        </w:rPr>
      </w:pPr>
      <w:r>
        <w:rPr>
          <w:rFonts w:hint="eastAsia" w:cs="宋体"/>
          <w:b/>
          <w:spacing w:val="0"/>
          <w:w w:val="90"/>
          <w:kern w:val="0"/>
          <w:sz w:val="28"/>
          <w:szCs w:val="28"/>
          <w:fitText w:val="1266" w:id="570497874"/>
        </w:rPr>
        <w:t>法定代表</w:t>
      </w:r>
      <w:r>
        <w:rPr>
          <w:rFonts w:hint="eastAsia" w:cs="宋体"/>
          <w:b/>
          <w:spacing w:val="-3"/>
          <w:w w:val="90"/>
          <w:kern w:val="0"/>
          <w:sz w:val="28"/>
          <w:szCs w:val="28"/>
          <w:fitText w:val="1266" w:id="570497874"/>
        </w:rPr>
        <w:t>人</w:t>
      </w:r>
      <w:r>
        <w:rPr>
          <w:rFonts w:hint="eastAsia" w:cs="宋体"/>
          <w:b/>
          <w:sz w:val="28"/>
          <w:szCs w:val="28"/>
        </w:rPr>
        <w:t>（盖章）：</w:t>
      </w:r>
    </w:p>
    <w:p w14:paraId="32CE9441">
      <w:pPr>
        <w:spacing w:line="360" w:lineRule="auto"/>
        <w:rPr>
          <w:rFonts w:cs="宋体"/>
          <w:b/>
          <w:sz w:val="28"/>
          <w:szCs w:val="28"/>
        </w:rPr>
      </w:pPr>
      <w:r>
        <w:rPr>
          <w:rFonts w:hint="eastAsia" w:cs="宋体"/>
          <w:b/>
          <w:spacing w:val="141"/>
          <w:kern w:val="0"/>
          <w:sz w:val="28"/>
          <w:szCs w:val="28"/>
          <w:fitText w:val="1405" w:id="678953132"/>
        </w:rPr>
        <w:t>联系</w:t>
      </w:r>
      <w:r>
        <w:rPr>
          <w:rFonts w:hint="eastAsia" w:cs="宋体"/>
          <w:b/>
          <w:spacing w:val="0"/>
          <w:kern w:val="0"/>
          <w:sz w:val="28"/>
          <w:szCs w:val="28"/>
          <w:fitText w:val="1405" w:id="678953132"/>
        </w:rPr>
        <w:t>人</w:t>
      </w:r>
      <w:r>
        <w:rPr>
          <w:rFonts w:hint="eastAsia" w:cs="宋体"/>
          <w:b/>
          <w:sz w:val="28"/>
          <w:szCs w:val="28"/>
        </w:rPr>
        <w:t>：王少杰</w:t>
      </w:r>
    </w:p>
    <w:p w14:paraId="07BD7B25">
      <w:pPr>
        <w:spacing w:line="360" w:lineRule="auto"/>
        <w:rPr>
          <w:rFonts w:cs="宋体"/>
          <w:b/>
          <w:sz w:val="28"/>
          <w:szCs w:val="28"/>
        </w:rPr>
      </w:pPr>
      <w:r>
        <w:rPr>
          <w:rFonts w:hint="eastAsia" w:cs="宋体"/>
          <w:b/>
          <w:spacing w:val="422"/>
          <w:kern w:val="0"/>
          <w:sz w:val="28"/>
          <w:szCs w:val="28"/>
          <w:fitText w:val="1405" w:id="1858556380"/>
        </w:rPr>
        <w:t>电</w:t>
      </w:r>
      <w:r>
        <w:rPr>
          <w:rFonts w:hint="eastAsia" w:cs="宋体"/>
          <w:b/>
          <w:spacing w:val="0"/>
          <w:kern w:val="0"/>
          <w:sz w:val="28"/>
          <w:szCs w:val="28"/>
          <w:fitText w:val="1405" w:id="1858556380"/>
        </w:rPr>
        <w:t>话</w:t>
      </w:r>
      <w:r>
        <w:rPr>
          <w:rFonts w:hint="eastAsia" w:cs="宋体"/>
          <w:b/>
          <w:sz w:val="28"/>
          <w:szCs w:val="28"/>
        </w:rPr>
        <w:t>：15099595390</w:t>
      </w:r>
    </w:p>
    <w:p w14:paraId="66F72953">
      <w:pPr>
        <w:spacing w:line="360" w:lineRule="auto"/>
        <w:rPr>
          <w:rFonts w:cs="宋体"/>
          <w:b/>
          <w:sz w:val="28"/>
          <w:szCs w:val="28"/>
        </w:rPr>
      </w:pPr>
      <w:r>
        <w:rPr>
          <w:rFonts w:hint="eastAsia" w:cs="宋体"/>
          <w:b/>
          <w:spacing w:val="47"/>
          <w:kern w:val="0"/>
          <w:sz w:val="28"/>
          <w:szCs w:val="28"/>
          <w:fitText w:val="1405" w:id="1731009135"/>
        </w:rPr>
        <w:t>详细地</w:t>
      </w:r>
      <w:r>
        <w:rPr>
          <w:rFonts w:hint="eastAsia" w:cs="宋体"/>
          <w:b/>
          <w:spacing w:val="1"/>
          <w:kern w:val="0"/>
          <w:sz w:val="28"/>
          <w:szCs w:val="28"/>
          <w:fitText w:val="1405" w:id="1731009135"/>
        </w:rPr>
        <w:t>址</w:t>
      </w:r>
      <w:r>
        <w:rPr>
          <w:rFonts w:hint="eastAsia" w:cs="宋体"/>
          <w:b/>
          <w:sz w:val="28"/>
          <w:szCs w:val="28"/>
        </w:rPr>
        <w:t>：黑龙江路69号</w:t>
      </w:r>
    </w:p>
    <w:p w14:paraId="34C83A45">
      <w:pPr>
        <w:spacing w:line="360" w:lineRule="auto"/>
        <w:rPr>
          <w:rFonts w:cs="宋体"/>
          <w:b/>
          <w:sz w:val="28"/>
          <w:szCs w:val="28"/>
        </w:rPr>
      </w:pPr>
      <w:r>
        <w:rPr>
          <w:rFonts w:hint="eastAsia" w:cs="宋体"/>
          <w:b/>
          <w:sz w:val="28"/>
          <w:szCs w:val="28"/>
          <w:vertAlign w:val="subscript"/>
        </w:rPr>
        <w:t>———————————————————————————————————————————————————</w:t>
      </w:r>
    </w:p>
    <w:p w14:paraId="234AFCA9">
      <w:pPr>
        <w:spacing w:line="360" w:lineRule="auto"/>
        <w:rPr>
          <w:rFonts w:cs="宋体"/>
          <w:b/>
          <w:sz w:val="28"/>
          <w:szCs w:val="28"/>
        </w:rPr>
      </w:pPr>
      <w:r>
        <w:rPr>
          <w:rFonts w:hint="eastAsia" w:cs="宋体"/>
          <w:b/>
          <w:sz w:val="28"/>
          <w:szCs w:val="28"/>
        </w:rPr>
        <w:t>采购代理机构（盖章）：新疆金正建设工程管理有限公司</w:t>
      </w:r>
    </w:p>
    <w:p w14:paraId="717E6276">
      <w:pPr>
        <w:spacing w:line="360" w:lineRule="auto"/>
        <w:rPr>
          <w:rFonts w:cs="宋体"/>
          <w:b/>
          <w:sz w:val="28"/>
          <w:szCs w:val="28"/>
        </w:rPr>
      </w:pPr>
      <w:r>
        <w:rPr>
          <w:rFonts w:hint="eastAsia" w:cs="宋体"/>
          <w:b/>
          <w:spacing w:val="5"/>
          <w:kern w:val="0"/>
          <w:sz w:val="28"/>
          <w:szCs w:val="28"/>
          <w:fitText w:val="1446" w:id="1170296066"/>
        </w:rPr>
        <w:t>法定代表</w:t>
      </w:r>
      <w:r>
        <w:rPr>
          <w:rFonts w:hint="eastAsia" w:cs="宋体"/>
          <w:b/>
          <w:spacing w:val="3"/>
          <w:kern w:val="0"/>
          <w:sz w:val="28"/>
          <w:szCs w:val="28"/>
          <w:fitText w:val="1446" w:id="1170296066"/>
        </w:rPr>
        <w:t>人</w:t>
      </w:r>
      <w:r>
        <w:rPr>
          <w:rFonts w:hint="eastAsia" w:cs="宋体"/>
          <w:b/>
          <w:sz w:val="28"/>
          <w:szCs w:val="28"/>
        </w:rPr>
        <w:t>（盖章）：</w:t>
      </w:r>
    </w:p>
    <w:p w14:paraId="7660266A">
      <w:pPr>
        <w:spacing w:line="360" w:lineRule="auto"/>
        <w:rPr>
          <w:rFonts w:cs="宋体"/>
          <w:b/>
          <w:sz w:val="28"/>
          <w:szCs w:val="28"/>
        </w:rPr>
      </w:pPr>
      <w:r>
        <w:rPr>
          <w:rFonts w:hint="eastAsia" w:cs="宋体"/>
          <w:b/>
          <w:spacing w:val="5"/>
          <w:kern w:val="0"/>
          <w:sz w:val="28"/>
          <w:szCs w:val="28"/>
          <w:fitText w:val="1446" w:id="777417083"/>
        </w:rPr>
        <w:t>文件编制</w:t>
      </w:r>
      <w:r>
        <w:rPr>
          <w:rFonts w:hint="eastAsia" w:cs="宋体"/>
          <w:b/>
          <w:spacing w:val="3"/>
          <w:kern w:val="0"/>
          <w:sz w:val="28"/>
          <w:szCs w:val="28"/>
          <w:fitText w:val="1446" w:id="777417083"/>
        </w:rPr>
        <w:t>人</w:t>
      </w:r>
      <w:r>
        <w:rPr>
          <w:rFonts w:hint="eastAsia" w:cs="宋体"/>
          <w:b/>
          <w:sz w:val="28"/>
          <w:szCs w:val="28"/>
        </w:rPr>
        <w:t xml:space="preserve">：牛晓娟 </w:t>
      </w:r>
    </w:p>
    <w:p w14:paraId="4D6E1B75">
      <w:pPr>
        <w:spacing w:line="360" w:lineRule="auto"/>
        <w:rPr>
          <w:rFonts w:cs="宋体"/>
          <w:b/>
          <w:sz w:val="28"/>
          <w:szCs w:val="28"/>
        </w:rPr>
      </w:pPr>
      <w:r>
        <w:rPr>
          <w:rFonts w:hint="eastAsia" w:cs="宋体"/>
          <w:b/>
          <w:spacing w:val="5"/>
          <w:kern w:val="0"/>
          <w:sz w:val="28"/>
          <w:szCs w:val="28"/>
          <w:fitText w:val="1446" w:id="1249669595"/>
        </w:rPr>
        <w:t>文件审核</w:t>
      </w:r>
      <w:r>
        <w:rPr>
          <w:rFonts w:hint="eastAsia" w:cs="宋体"/>
          <w:b/>
          <w:spacing w:val="3"/>
          <w:kern w:val="0"/>
          <w:sz w:val="28"/>
          <w:szCs w:val="28"/>
          <w:fitText w:val="1446" w:id="1249669595"/>
        </w:rPr>
        <w:t>人</w:t>
      </w:r>
      <w:r>
        <w:rPr>
          <w:rFonts w:hint="eastAsia" w:cs="宋体"/>
          <w:b/>
          <w:sz w:val="28"/>
          <w:szCs w:val="28"/>
        </w:rPr>
        <w:t>：刘力槟</w:t>
      </w:r>
    </w:p>
    <w:p w14:paraId="1D82A0EE">
      <w:pPr>
        <w:spacing w:line="360" w:lineRule="auto"/>
        <w:rPr>
          <w:rFonts w:cs="宋体"/>
          <w:b/>
          <w:sz w:val="28"/>
          <w:szCs w:val="28"/>
        </w:rPr>
      </w:pPr>
      <w:r>
        <w:rPr>
          <w:rFonts w:hint="eastAsia" w:cs="宋体"/>
          <w:b/>
          <w:spacing w:val="422"/>
          <w:kern w:val="0"/>
          <w:sz w:val="28"/>
          <w:szCs w:val="28"/>
          <w:fitText w:val="1405" w:id="1350853308"/>
        </w:rPr>
        <w:t>电</w:t>
      </w:r>
      <w:r>
        <w:rPr>
          <w:rFonts w:hint="eastAsia" w:cs="宋体"/>
          <w:b/>
          <w:spacing w:val="0"/>
          <w:kern w:val="0"/>
          <w:sz w:val="28"/>
          <w:szCs w:val="28"/>
          <w:fitText w:val="1405" w:id="1350853308"/>
        </w:rPr>
        <w:t>话</w:t>
      </w:r>
      <w:r>
        <w:rPr>
          <w:rFonts w:hint="eastAsia" w:cs="宋体"/>
          <w:b/>
          <w:sz w:val="28"/>
          <w:szCs w:val="28"/>
        </w:rPr>
        <w:t>：0991-4508367，17699941693</w:t>
      </w:r>
    </w:p>
    <w:p w14:paraId="7D9C1693">
      <w:pPr>
        <w:widowControl/>
        <w:spacing w:line="360" w:lineRule="auto"/>
        <w:jc w:val="left"/>
        <w:rPr>
          <w:rFonts w:cs="宋体"/>
          <w:b/>
          <w:sz w:val="28"/>
          <w:szCs w:val="28"/>
        </w:rPr>
      </w:pPr>
      <w:r>
        <w:rPr>
          <w:rFonts w:hint="eastAsia" w:cs="宋体"/>
          <w:b/>
          <w:spacing w:val="47"/>
          <w:kern w:val="0"/>
          <w:sz w:val="28"/>
          <w:szCs w:val="28"/>
          <w:fitText w:val="1405" w:id="196562114"/>
        </w:rPr>
        <w:t>详细地</w:t>
      </w:r>
      <w:r>
        <w:rPr>
          <w:rFonts w:hint="eastAsia" w:cs="宋体"/>
          <w:b/>
          <w:spacing w:val="1"/>
          <w:kern w:val="0"/>
          <w:sz w:val="28"/>
          <w:szCs w:val="28"/>
          <w:fitText w:val="1405" w:id="196562114"/>
        </w:rPr>
        <w:t>址</w:t>
      </w:r>
      <w:r>
        <w:rPr>
          <w:rFonts w:hint="eastAsia" w:cs="宋体"/>
          <w:b/>
          <w:sz w:val="28"/>
          <w:szCs w:val="28"/>
        </w:rPr>
        <w:t>：乌鲁木齐市水磨沟区南湖南路66号水清木华A栋6层</w:t>
      </w:r>
    </w:p>
    <w:p w14:paraId="57F298E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cs="仿宋"/>
          <w:sz w:val="32"/>
          <w:szCs w:val="32"/>
        </w:rPr>
        <w:t>2025年7月</w:t>
      </w:r>
    </w:p>
    <w:p w14:paraId="4DF7BF97">
      <w:pPr>
        <w:rPr>
          <w:rFonts w:hint="eastAsia" w:ascii="宋体" w:hAnsi="宋体" w:eastAsia="宋体" w:cs="宋体"/>
          <w:b/>
          <w:bCs/>
          <w:color w:val="000000" w:themeColor="text1"/>
          <w:kern w:val="0"/>
          <w:sz w:val="36"/>
          <w:szCs w:val="28"/>
          <w:lang w:val="zh-CN"/>
          <w14:textFill>
            <w14:solidFill>
              <w14:schemeClr w14:val="tx1"/>
            </w14:solidFill>
          </w14:textFill>
        </w:rPr>
      </w:pPr>
      <w:bookmarkStart w:id="0" w:name="_Toc30381"/>
      <w:r>
        <w:rPr>
          <w:rFonts w:hint="eastAsia" w:ascii="宋体" w:hAnsi="宋体" w:eastAsia="宋体" w:cs="宋体"/>
          <w:b/>
          <w:bCs/>
          <w:color w:val="000000" w:themeColor="text1"/>
          <w:kern w:val="0"/>
          <w:sz w:val="36"/>
          <w:szCs w:val="28"/>
          <w:lang w:val="zh-CN"/>
          <w14:textFill>
            <w14:solidFill>
              <w14:schemeClr w14:val="tx1"/>
            </w14:solidFill>
          </w14:textFill>
        </w:rPr>
        <w:br w:type="page"/>
      </w:r>
    </w:p>
    <w:p w14:paraId="67C536D1">
      <w:pPr>
        <w:keepNext/>
        <w:keepLines/>
        <w:widowControl/>
        <w:spacing w:line="360" w:lineRule="auto"/>
        <w:jc w:val="center"/>
        <w:rPr>
          <w:rFonts w:ascii="宋体" w:hAnsi="宋体" w:eastAsia="宋体" w:cs="宋体"/>
          <w:b/>
          <w:bCs/>
          <w:color w:val="000000" w:themeColor="text1"/>
          <w:kern w:val="0"/>
          <w:sz w:val="36"/>
          <w:szCs w:val="28"/>
          <w14:textFill>
            <w14:solidFill>
              <w14:schemeClr w14:val="tx1"/>
            </w14:solidFill>
          </w14:textFill>
        </w:rPr>
      </w:pPr>
      <w:r>
        <w:rPr>
          <w:rFonts w:hint="eastAsia" w:ascii="宋体" w:hAnsi="宋体" w:eastAsia="宋体" w:cs="宋体"/>
          <w:b/>
          <w:bCs/>
          <w:color w:val="000000" w:themeColor="text1"/>
          <w:kern w:val="0"/>
          <w:sz w:val="36"/>
          <w:szCs w:val="28"/>
          <w:lang w:val="zh-CN"/>
          <w14:textFill>
            <w14:solidFill>
              <w14:schemeClr w14:val="tx1"/>
            </w14:solidFill>
          </w14:textFill>
        </w:rPr>
        <w:t>目  录</w:t>
      </w:r>
      <w:bookmarkEnd w:id="0"/>
    </w:p>
    <w:p w14:paraId="009743B8">
      <w:pPr>
        <w:pStyle w:val="24"/>
        <w:tabs>
          <w:tab w:val="right" w:leader="dot" w:pos="8306"/>
        </w:tabs>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TOC \o "1-7" \h \z \u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p>
    <w:p w14:paraId="758E02FF">
      <w:pPr>
        <w:pStyle w:val="29"/>
        <w:tabs>
          <w:tab w:val="right" w:leader="dot" w:pos="8306"/>
        </w:tabs>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r>
        <w:fldChar w:fldCharType="begin"/>
      </w:r>
      <w:r>
        <w:instrText xml:space="preserve"> HYPERLINK \l "_Toc29049" </w:instrText>
      </w:r>
      <w:r>
        <w:fldChar w:fldCharType="separate"/>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第一章　投标邀请</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PAGEREF _Toc29049 \h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32EA25C7">
      <w:pPr>
        <w:pStyle w:val="29"/>
        <w:tabs>
          <w:tab w:val="right" w:leader="dot" w:pos="8306"/>
        </w:tabs>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r>
        <w:fldChar w:fldCharType="begin"/>
      </w:r>
      <w:r>
        <w:instrText xml:space="preserve"> HYPERLINK \l "_Toc13859" </w:instrText>
      </w:r>
      <w:r>
        <w:fldChar w:fldCharType="separate"/>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第二章　供应商须知</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PAGEREF _Toc13859 \h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6</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796C6566">
      <w:pPr>
        <w:pStyle w:val="29"/>
        <w:tabs>
          <w:tab w:val="right" w:leader="dot" w:pos="8306"/>
        </w:tabs>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r>
        <w:fldChar w:fldCharType="begin"/>
      </w:r>
      <w:r>
        <w:instrText xml:space="preserve"> HYPERLINK \l "_Toc7573" </w:instrText>
      </w:r>
      <w:r>
        <w:fldChar w:fldCharType="separate"/>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第三章　评标办法及标准</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PAGEREF _Toc7573 \h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25</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1FC68A83">
      <w:pPr>
        <w:pStyle w:val="29"/>
        <w:tabs>
          <w:tab w:val="right" w:leader="dot" w:pos="8306"/>
        </w:tabs>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r>
        <w:fldChar w:fldCharType="begin"/>
      </w:r>
      <w:r>
        <w:instrText xml:space="preserve"> HYPERLINK \l "_Toc19455" </w:instrText>
      </w:r>
      <w:r>
        <w:fldChar w:fldCharType="separate"/>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第四章　拟签订的合同文本</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PAGEREF _Toc19455 \h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33</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3EEDBCF4">
      <w:pPr>
        <w:pStyle w:val="29"/>
        <w:tabs>
          <w:tab w:val="right" w:leader="dot" w:pos="8306"/>
        </w:tabs>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r>
        <w:fldChar w:fldCharType="begin"/>
      </w:r>
      <w:r>
        <w:instrText xml:space="preserve"> HYPERLINK \l "_Toc28543" </w:instrText>
      </w:r>
      <w:r>
        <w:fldChar w:fldCharType="separate"/>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第五章　投标文件组成</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PAGEREF _Toc28543 \h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40</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6990A39C">
      <w:pPr>
        <w:pStyle w:val="17"/>
        <w:tabs>
          <w:tab w:val="right" w:leader="dot" w:pos="8306"/>
        </w:tabs>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r>
        <w:fldChar w:fldCharType="begin"/>
      </w:r>
      <w:r>
        <w:instrText xml:space="preserve"> HYPERLINK \l "_Toc15004" </w:instrText>
      </w:r>
      <w: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第六章 项目采购需求</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PAGEREF _Toc15004 \h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67</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14:paraId="009B34FE">
      <w:pPr>
        <w:pStyle w:val="24"/>
        <w:tabs>
          <w:tab w:val="right" w:leader="dot" w:pos="8306"/>
        </w:tabs>
        <w:spacing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p>
    <w:p w14:paraId="7481D4E8">
      <w:pPr>
        <w:spacing w:line="360" w:lineRule="auto"/>
        <w:ind w:firstLine="560" w:firstLineChars="200"/>
        <w:rPr>
          <w:rFonts w:ascii="宋体" w:hAnsi="宋体" w:eastAsia="宋体" w:cs="Times New Roman"/>
          <w:color w:val="000000" w:themeColor="text1"/>
          <w:kern w:val="0"/>
          <w:sz w:val="20"/>
          <w:szCs w:val="21"/>
          <w14:textFill>
            <w14:solidFill>
              <w14:schemeClr w14:val="tx1"/>
            </w14:solidFill>
          </w14:textFill>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eastAsia" w:asciiTheme="minorEastAsia" w:hAnsiTheme="minorEastAsia" w:cstheme="minorEastAsia"/>
          <w:color w:val="000000" w:themeColor="text1"/>
          <w:kern w:val="0"/>
          <w:sz w:val="28"/>
          <w:szCs w:val="28"/>
          <w14:textFill>
            <w14:solidFill>
              <w14:schemeClr w14:val="tx1"/>
            </w14:solidFill>
          </w14:textFill>
        </w:rPr>
        <w:fldChar w:fldCharType="end"/>
      </w:r>
    </w:p>
    <w:p w14:paraId="73AF97EF">
      <w:pPr>
        <w:keepNext/>
        <w:keepLines/>
        <w:spacing w:before="340" w:after="330" w:line="360" w:lineRule="auto"/>
        <w:jc w:val="center"/>
        <w:outlineLvl w:val="0"/>
        <w:rPr>
          <w:rFonts w:ascii="Calibri" w:hAnsi="Calibri" w:eastAsia="宋体" w:cs="Times New Roman"/>
          <w:b/>
          <w:bCs/>
          <w:color w:val="000000" w:themeColor="text1"/>
          <w:kern w:val="44"/>
          <w:sz w:val="28"/>
          <w:szCs w:val="44"/>
          <w14:textFill>
            <w14:solidFill>
              <w14:schemeClr w14:val="tx1"/>
            </w14:solidFill>
          </w14:textFill>
        </w:rPr>
      </w:pPr>
      <w:bookmarkStart w:id="1" w:name="_Toc21818"/>
      <w:r>
        <w:rPr>
          <w:rFonts w:hint="eastAsia" w:ascii="Calibri" w:hAnsi="Calibri" w:eastAsia="宋体" w:cs="Times New Roman"/>
          <w:b/>
          <w:bCs/>
          <w:color w:val="000000" w:themeColor="text1"/>
          <w:kern w:val="44"/>
          <w:sz w:val="28"/>
          <w:szCs w:val="44"/>
          <w14:textFill>
            <w14:solidFill>
              <w14:schemeClr w14:val="tx1"/>
            </w14:solidFill>
          </w14:textFill>
        </w:rPr>
        <w:t>第一部分　商务部分</w:t>
      </w:r>
      <w:bookmarkEnd w:id="1"/>
    </w:p>
    <w:p w14:paraId="6809379F">
      <w:pPr>
        <w:keepNext/>
        <w:keepLines/>
        <w:spacing w:before="260" w:after="260" w:line="360" w:lineRule="auto"/>
        <w:jc w:val="center"/>
        <w:outlineLvl w:val="1"/>
        <w:rPr>
          <w:rFonts w:ascii="Arial" w:hAnsi="Arial" w:eastAsia="黑体" w:cs="Times New Roman"/>
          <w:b/>
          <w:color w:val="000000" w:themeColor="text1"/>
          <w:kern w:val="0"/>
          <w:sz w:val="28"/>
          <w:szCs w:val="20"/>
          <w14:textFill>
            <w14:solidFill>
              <w14:schemeClr w14:val="tx1"/>
            </w14:solidFill>
          </w14:textFill>
        </w:rPr>
      </w:pPr>
      <w:bookmarkStart w:id="2" w:name="_Toc29049"/>
      <w:r>
        <w:rPr>
          <w:rFonts w:hint="eastAsia" w:ascii="Arial" w:hAnsi="Arial" w:eastAsia="黑体" w:cs="Times New Roman"/>
          <w:b/>
          <w:color w:val="000000" w:themeColor="text1"/>
          <w:kern w:val="0"/>
          <w:sz w:val="28"/>
          <w:szCs w:val="20"/>
          <w14:textFill>
            <w14:solidFill>
              <w14:schemeClr w14:val="tx1"/>
            </w14:solidFill>
          </w14:textFill>
        </w:rPr>
        <w:t>第一章　投标邀请</w:t>
      </w:r>
      <w:bookmarkEnd w:id="2"/>
    </w:p>
    <w:p w14:paraId="2F66EC01">
      <w:pPr>
        <w:spacing w:line="360" w:lineRule="auto"/>
        <w:jc w:val="center"/>
        <w:rPr>
          <w:rFonts w:ascii="Calibri" w:hAnsi="Calibri" w:eastAsia="宋体" w:cs="Times New Roman"/>
          <w:b/>
          <w:bCs/>
          <w:color w:val="000000" w:themeColor="text1"/>
          <w:sz w:val="24"/>
          <w:szCs w:val="28"/>
          <w14:textFill>
            <w14:solidFill>
              <w14:schemeClr w14:val="tx1"/>
            </w14:solidFill>
          </w14:textFill>
        </w:rPr>
      </w:pPr>
      <w:bookmarkStart w:id="3" w:name="_Toc101257165"/>
      <w:bookmarkStart w:id="4" w:name="_Toc101257202"/>
      <w:bookmarkStart w:id="5" w:name="_Toc101259560"/>
      <w:r>
        <w:rPr>
          <w:rFonts w:hint="eastAsia" w:ascii="Calibri" w:hAnsi="Calibri" w:eastAsia="宋体" w:cs="Times New Roman"/>
          <w:b/>
          <w:bCs/>
          <w:color w:val="000000" w:themeColor="text1"/>
          <w:sz w:val="24"/>
          <w:szCs w:val="28"/>
          <w14:textFill>
            <w14:solidFill>
              <w14:schemeClr w14:val="tx1"/>
            </w14:solidFill>
          </w14:textFill>
        </w:rPr>
        <w:t>新疆维吾尔自治区林业和草原局重点野生植物迁地保护项目的</w:t>
      </w:r>
      <w:bookmarkEnd w:id="3"/>
      <w:bookmarkEnd w:id="4"/>
      <w:bookmarkEnd w:id="5"/>
      <w:r>
        <w:rPr>
          <w:rFonts w:hint="eastAsia" w:ascii="Calibri" w:hAnsi="Calibri" w:eastAsia="宋体" w:cs="Times New Roman"/>
          <w:b/>
          <w:bCs/>
          <w:color w:val="000000" w:themeColor="text1"/>
          <w:sz w:val="24"/>
          <w:szCs w:val="28"/>
          <w14:textFill>
            <w14:solidFill>
              <w14:schemeClr w14:val="tx1"/>
            </w14:solidFill>
          </w14:textFill>
        </w:rPr>
        <w:t>投标邀请</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8"/>
      </w:tblGrid>
      <w:tr w14:paraId="210E1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06" w:type="dxa"/>
          </w:tcPr>
          <w:p w14:paraId="2843E400">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项目概况</w:t>
            </w:r>
          </w:p>
          <w:p w14:paraId="40062788">
            <w:pPr>
              <w:spacing w:line="360" w:lineRule="auto"/>
              <w:rPr>
                <w:rFonts w:ascii="Calibri" w:hAnsi="Calibri" w:eastAsia="宋体" w:cs="Times New Roman"/>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新疆维吾尔自治区林业和草原局重点野生植物迁地保护项目的潜在供应商应在新疆政府采购网政采云平台（http://www.ccgp-xinjiang.gov.cn/）线上获取招标文件，并</w:t>
            </w:r>
            <w:r>
              <w:rPr>
                <w:rFonts w:hint="eastAsia" w:ascii="宋体" w:hAnsi="宋体" w:eastAsia="宋体" w:cs="宋体"/>
                <w:color w:val="auto"/>
                <w:sz w:val="24"/>
                <w:szCs w:val="24"/>
              </w:rPr>
              <w:t>于2025年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日11:00（北京</w:t>
            </w:r>
            <w:r>
              <w:rPr>
                <w:rFonts w:hint="eastAsia" w:ascii="宋体" w:hAnsi="宋体" w:eastAsia="宋体" w:cs="宋体"/>
                <w:color w:val="000000" w:themeColor="text1"/>
                <w:sz w:val="24"/>
                <w:szCs w:val="24"/>
                <w14:textFill>
                  <w14:solidFill>
                    <w14:schemeClr w14:val="tx1"/>
                  </w14:solidFill>
                </w14:textFill>
              </w:rPr>
              <w:t>时间）前提交投标文件。</w:t>
            </w:r>
          </w:p>
        </w:tc>
      </w:tr>
    </w:tbl>
    <w:p w14:paraId="1AF2EC68">
      <w:pPr>
        <w:spacing w:line="360" w:lineRule="auto"/>
        <w:rPr>
          <w:rFonts w:ascii="Calibri" w:hAnsi="Calibri" w:eastAsia="宋体" w:cs="Times New Roman"/>
          <w:color w:val="000000" w:themeColor="text1"/>
          <w14:textFill>
            <w14:solidFill>
              <w14:schemeClr w14:val="tx1"/>
            </w14:solidFill>
          </w14:textFill>
        </w:rPr>
      </w:pPr>
    </w:p>
    <w:p w14:paraId="696561F5">
      <w:pPr>
        <w:widowControl/>
        <w:snapToGrid w:val="0"/>
        <w:spacing w:line="360" w:lineRule="auto"/>
        <w:jc w:val="left"/>
        <w:rPr>
          <w:rFonts w:ascii="黑体" w:hAnsi="黑体" w:eastAsia="黑体" w:cs="Times New Roman"/>
          <w:b/>
          <w:bCs/>
          <w:color w:val="000000" w:themeColor="text1"/>
          <w:sz w:val="25"/>
          <w14:textFill>
            <w14:solidFill>
              <w14:schemeClr w14:val="tx1"/>
            </w14:solidFill>
          </w14:textFill>
        </w:rPr>
      </w:pPr>
      <w:r>
        <w:rPr>
          <w:rFonts w:hint="eastAsia" w:ascii="黑体" w:hAnsi="黑体" w:eastAsia="黑体" w:cs="Times New Roman"/>
          <w:b/>
          <w:bCs/>
          <w:color w:val="000000" w:themeColor="text1"/>
          <w:sz w:val="25"/>
          <w14:textFill>
            <w14:solidFill>
              <w14:schemeClr w14:val="tx1"/>
            </w14:solidFill>
          </w14:textFill>
        </w:rPr>
        <w:t>一、项目基本情况</w:t>
      </w:r>
    </w:p>
    <w:p w14:paraId="6A3B8F6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项目编号：金采招字[2025]XJJZC-089</w:t>
      </w:r>
    </w:p>
    <w:p w14:paraId="72A5340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项目名称：</w:t>
      </w:r>
      <w:r>
        <w:rPr>
          <w:rFonts w:hint="eastAsia" w:ascii="宋体" w:hAnsi="宋体" w:eastAsia="宋体" w:cs="Times New Roman"/>
          <w:color w:val="000000" w:themeColor="text1"/>
          <w:kern w:val="0"/>
          <w:sz w:val="24"/>
          <w:szCs w:val="28"/>
          <w14:textFill>
            <w14:solidFill>
              <w14:schemeClr w14:val="tx1"/>
            </w14:solidFill>
          </w14:textFill>
        </w:rPr>
        <w:t>新疆维吾尔自治区林业和草原局重点野生植物迁地保护项目</w:t>
      </w:r>
    </w:p>
    <w:p w14:paraId="1D2D278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采购方式：</w:t>
      </w:r>
      <w:r>
        <w:rPr>
          <w:rFonts w:hint="eastAsia" w:ascii="宋体" w:hAnsi="宋体" w:eastAsia="宋体" w:cs="Times New Roman"/>
          <w:color w:val="000000" w:themeColor="text1"/>
          <w:kern w:val="0"/>
          <w:sz w:val="24"/>
          <w:szCs w:val="24"/>
          <w14:textFill>
            <w14:solidFill>
              <w14:schemeClr w14:val="tx1"/>
            </w14:solidFill>
          </w14:textFill>
        </w:rPr>
        <w:t>公开招标</w:t>
      </w:r>
    </w:p>
    <w:p w14:paraId="2369F7E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预算金额（元）：</w:t>
      </w:r>
      <w:r>
        <w:rPr>
          <w:rFonts w:hint="eastAsia" w:ascii="宋体" w:hAnsi="宋体" w:eastAsia="宋体" w:cs="Times New Roman"/>
          <w:color w:val="000000" w:themeColor="text1"/>
          <w:kern w:val="0"/>
          <w:sz w:val="24"/>
          <w:szCs w:val="24"/>
          <w14:textFill>
            <w14:solidFill>
              <w14:schemeClr w14:val="tx1"/>
            </w14:solidFill>
          </w14:textFill>
        </w:rPr>
        <w:t>3990000.00</w:t>
      </w:r>
    </w:p>
    <w:p w14:paraId="3BEF51E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最高限价（元）：3990000.00</w:t>
      </w:r>
    </w:p>
    <w:p w14:paraId="6DD3183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采购需求：</w:t>
      </w:r>
    </w:p>
    <w:p w14:paraId="0896F10A">
      <w:pPr>
        <w:spacing w:line="360" w:lineRule="auto"/>
        <w:rPr>
          <w:rFonts w:ascii="宋体" w:hAnsi="宋体" w:eastAsia="宋体" w:cs="Times New Roman"/>
          <w:color w:val="000000" w:themeColor="text1"/>
          <w:kern w:val="0"/>
          <w:sz w:val="24"/>
          <w:szCs w:val="24"/>
          <w14:textFill>
            <w14:solidFill>
              <w14:schemeClr w14:val="tx1"/>
            </w14:solidFill>
          </w14:textFill>
        </w:rPr>
      </w:pPr>
    </w:p>
    <w:p w14:paraId="2B7ADB1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标项名称:</w:t>
      </w:r>
      <w:r>
        <w:rPr>
          <w:rFonts w:hint="eastAsia" w:ascii="宋体" w:hAnsi="宋体" w:eastAsia="宋体" w:cs="Times New Roman"/>
          <w:color w:val="000000" w:themeColor="text1"/>
          <w:kern w:val="0"/>
          <w:sz w:val="24"/>
          <w:szCs w:val="28"/>
          <w14:textFill>
            <w14:solidFill>
              <w14:schemeClr w14:val="tx1"/>
            </w14:solidFill>
          </w14:textFill>
        </w:rPr>
        <w:t>新疆维吾尔自治区林业和草原局重点野生植物迁地保护项目</w:t>
      </w:r>
    </w:p>
    <w:p w14:paraId="510D924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数量：1</w:t>
      </w:r>
    </w:p>
    <w:p w14:paraId="426B93B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预算金额（元）：</w:t>
      </w:r>
      <w:r>
        <w:rPr>
          <w:rFonts w:hint="eastAsia" w:ascii="宋体" w:hAnsi="宋体" w:eastAsia="宋体" w:cs="Times New Roman"/>
          <w:color w:val="000000" w:themeColor="text1"/>
          <w:kern w:val="0"/>
          <w:sz w:val="24"/>
          <w:szCs w:val="24"/>
          <w14:textFill>
            <w14:solidFill>
              <w14:schemeClr w14:val="tx1"/>
            </w14:solidFill>
          </w14:textFill>
        </w:rPr>
        <w:t>3990000.00</w:t>
      </w:r>
    </w:p>
    <w:p w14:paraId="61AC9DB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单位：</w:t>
      </w:r>
      <w:r>
        <w:rPr>
          <w:rFonts w:hint="eastAsia" w:ascii="宋体" w:hAnsi="宋体" w:eastAsia="宋体" w:cs="Times New Roman"/>
          <w:color w:val="000000" w:themeColor="text1"/>
          <w:kern w:val="0"/>
          <w:sz w:val="24"/>
          <w:szCs w:val="24"/>
          <w14:textFill>
            <w14:solidFill>
              <w14:schemeClr w14:val="tx1"/>
            </w14:solidFill>
          </w14:textFill>
        </w:rPr>
        <w:t>批</w:t>
      </w:r>
    </w:p>
    <w:p w14:paraId="0AC3C9B3">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简要规格描述：</w:t>
      </w:r>
      <w:r>
        <w:rPr>
          <w:rFonts w:hint="eastAsia" w:ascii="宋体" w:hAnsi="宋体" w:eastAsia="宋体" w:cs="Times New Roman"/>
          <w:color w:val="000000" w:themeColor="text1"/>
          <w:kern w:val="0"/>
          <w:sz w:val="24"/>
          <w:szCs w:val="24"/>
          <w:highlight w:val="none"/>
          <w14:textFill>
            <w14:solidFill>
              <w14:schemeClr w14:val="tx1"/>
            </w14:solidFill>
          </w14:textFill>
        </w:rPr>
        <w:t>本项目旨在以迁地保育为核心，通过引种、繁育及科学管理，保护新疆重点保护野生植物种群，维护遗传多样性，并为生态修复和开发利用等提供种质资源。具体详见招标文件</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采购需求</w:t>
      </w:r>
      <w:r>
        <w:rPr>
          <w:rFonts w:hint="eastAsia" w:ascii="宋体" w:hAnsi="宋体" w:eastAsia="宋体" w:cs="Times New Roman"/>
          <w:color w:val="000000" w:themeColor="text1"/>
          <w:kern w:val="0"/>
          <w:sz w:val="24"/>
          <w:szCs w:val="24"/>
          <w:highlight w:val="none"/>
          <w14:textFill>
            <w14:solidFill>
              <w14:schemeClr w14:val="tx1"/>
            </w14:solidFill>
          </w14:textFill>
        </w:rPr>
        <w:t>。</w:t>
      </w:r>
    </w:p>
    <w:p w14:paraId="26F4C2DE">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备注：</w:t>
      </w:r>
    </w:p>
    <w:p w14:paraId="250DFC4C">
      <w:pPr>
        <w:spacing w:line="360" w:lineRule="auto"/>
        <w:rPr>
          <w:rFonts w:ascii="宋体" w:hAnsi="宋体" w:eastAsia="宋体" w:cs="Times New Roman"/>
          <w:color w:val="000000" w:themeColor="text1"/>
          <w:kern w:val="0"/>
          <w:sz w:val="24"/>
          <w:szCs w:val="24"/>
          <w14:textFill>
            <w14:solidFill>
              <w14:schemeClr w14:val="tx1"/>
            </w14:solidFill>
          </w14:textFill>
        </w:rPr>
      </w:pPr>
    </w:p>
    <w:p w14:paraId="1CE09DF2">
      <w:pPr>
        <w:spacing w:line="360" w:lineRule="auto"/>
        <w:rPr>
          <w:rFonts w:ascii="宋体" w:hAnsi="宋体" w:eastAsia="宋体" w:cs="Times New Roman"/>
          <w:color w:val="000000" w:themeColor="text1"/>
          <w:kern w:val="0"/>
          <w:sz w:val="24"/>
          <w:szCs w:val="24"/>
          <w:highlight w:val="none"/>
          <w14:textFill>
            <w14:solidFill>
              <w14:schemeClr w14:val="tx1"/>
            </w14:solidFill>
          </w14:textFill>
        </w:rPr>
      </w:pPr>
      <w:r>
        <w:rPr>
          <w:rFonts w:ascii="宋体" w:hAnsi="宋体" w:eastAsia="宋体" w:cs="Times New Roman"/>
          <w:color w:val="000000" w:themeColor="text1"/>
          <w:kern w:val="0"/>
          <w:sz w:val="24"/>
          <w:szCs w:val="24"/>
          <w:highlight w:val="none"/>
          <w14:textFill>
            <w14:solidFill>
              <w14:schemeClr w14:val="tx1"/>
            </w14:solidFill>
          </w14:textFill>
        </w:rPr>
        <w:t>合同履约期限：</w:t>
      </w:r>
      <w:r>
        <w:rPr>
          <w:rFonts w:hint="eastAsia" w:ascii="宋体" w:hAnsi="宋体" w:eastAsia="宋体" w:cs="Times New Roman"/>
          <w:color w:val="000000" w:themeColor="text1"/>
          <w:kern w:val="0"/>
          <w:sz w:val="24"/>
          <w:szCs w:val="24"/>
          <w:highlight w:val="none"/>
          <w14:textFill>
            <w14:solidFill>
              <w14:schemeClr w14:val="tx1"/>
            </w14:solidFill>
          </w14:textFill>
        </w:rPr>
        <w:t>自合同签订之日起至2026年6月</w:t>
      </w:r>
    </w:p>
    <w:p w14:paraId="35E6D270">
      <w:pPr>
        <w:spacing w:line="360" w:lineRule="auto"/>
        <w:rPr>
          <w:rFonts w:ascii="仿宋" w:hAnsi="仿宋" w:eastAsia="宋体" w:cs="宋体"/>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本项目（</w:t>
      </w:r>
      <w:r>
        <w:rPr>
          <w:rFonts w:hint="eastAsia" w:ascii="宋体" w:hAnsi="宋体" w:eastAsia="宋体" w:cs="Times New Roman"/>
          <w:color w:val="000000" w:themeColor="text1"/>
          <w:kern w:val="0"/>
          <w:sz w:val="24"/>
          <w:szCs w:val="24"/>
          <w14:textFill>
            <w14:solidFill>
              <w14:schemeClr w14:val="tx1"/>
            </w14:solidFill>
          </w14:textFill>
        </w:rPr>
        <w:t>否</w:t>
      </w:r>
      <w:r>
        <w:rPr>
          <w:rFonts w:ascii="宋体" w:hAnsi="宋体" w:eastAsia="宋体" w:cs="Times New Roman"/>
          <w:color w:val="000000" w:themeColor="text1"/>
          <w:kern w:val="0"/>
          <w:sz w:val="24"/>
          <w:szCs w:val="24"/>
          <w14:textFill>
            <w14:solidFill>
              <w14:schemeClr w14:val="tx1"/>
            </w14:solidFill>
          </w14:textFill>
        </w:rPr>
        <w:t>）接受联合体投标。</w:t>
      </w:r>
    </w:p>
    <w:p w14:paraId="38596022">
      <w:pPr>
        <w:widowControl/>
        <w:spacing w:line="360" w:lineRule="auto"/>
        <w:jc w:val="left"/>
        <w:rPr>
          <w:rFonts w:ascii="黑体" w:hAnsi="黑体" w:eastAsia="黑体" w:cs="Times New Roman"/>
          <w:b/>
          <w:bCs/>
          <w:color w:val="000000" w:themeColor="text1"/>
          <w:sz w:val="25"/>
          <w14:textFill>
            <w14:solidFill>
              <w14:schemeClr w14:val="tx1"/>
            </w14:solidFill>
          </w14:textFill>
        </w:rPr>
      </w:pPr>
      <w:r>
        <w:rPr>
          <w:rFonts w:hint="eastAsia" w:ascii="黑体" w:hAnsi="黑体" w:eastAsia="黑体" w:cs="Times New Roman"/>
          <w:b/>
          <w:bCs/>
          <w:color w:val="000000" w:themeColor="text1"/>
          <w:sz w:val="25"/>
          <w14:textFill>
            <w14:solidFill>
              <w14:schemeClr w14:val="tx1"/>
            </w14:solidFill>
          </w14:textFill>
        </w:rPr>
        <w:t>二、申请人的资格要求：</w:t>
      </w:r>
    </w:p>
    <w:p w14:paraId="705396EE">
      <w:pPr>
        <w:widowControl/>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1．供应商的资格要求：符合《中华人民共和国政府采购法》第二十二条规定条件；</w:t>
      </w:r>
    </w:p>
    <w:p w14:paraId="428ABF1C">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2．采购项目需要落实的政府采购政策:符合政府采购优先（节约能源、保护环境）采购政策及促进中小企业（监狱企业、残疾人福利性单位）发展政策的，依据规定给予评审优惠。</w:t>
      </w:r>
    </w:p>
    <w:p w14:paraId="67BD33EF">
      <w:pPr>
        <w:spacing w:line="360" w:lineRule="auto"/>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3.本项目的特定资格要求</w:t>
      </w:r>
      <w:r>
        <w:rPr>
          <w:rFonts w:ascii="Calibri" w:hAnsi="宋体" w:eastAsia="宋体" w:cs="Times New Roman"/>
          <w:color w:val="000000" w:themeColor="text1"/>
          <w:sz w:val="24"/>
          <w:szCs w:val="24"/>
          <w14:textFill>
            <w14:solidFill>
              <w14:schemeClr w14:val="tx1"/>
            </w14:solidFill>
          </w14:textFill>
        </w:rPr>
        <w:t>：</w:t>
      </w:r>
    </w:p>
    <w:p w14:paraId="160EA0BD">
      <w:pPr>
        <w:spacing w:line="360" w:lineRule="auto"/>
        <w:ind w:firstLine="480" w:firstLineChars="200"/>
        <w:rPr>
          <w:rFonts w:ascii="Calibri"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eastAsia="zh-CN"/>
          <w14:textFill>
            <w14:solidFill>
              <w14:schemeClr w14:val="tx1"/>
            </w14:solidFill>
          </w14:textFill>
        </w:rPr>
        <w:t>凡拟参加本次采购项目的供应商须具有良好的信誉，未在“信用中国”网站（www.creditchina.gov.cn）被列入重大税收违法失信主体、政府采购严重违法失信名单的（尚在处罚期内的）、未在“中国执行信息公开网”（http://zxgk.court.gov.cn/）网站被列入失信被执行人、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加本次招标活动</w:t>
      </w:r>
      <w:r>
        <w:rPr>
          <w:rFonts w:hint="eastAsia" w:ascii="宋体" w:hAnsi="宋体" w:eastAsia="宋体" w:cs="Times New Roman"/>
          <w:color w:val="000000" w:themeColor="text1"/>
          <w:sz w:val="24"/>
          <w:szCs w:val="24"/>
          <w14:textFill>
            <w14:solidFill>
              <w14:schemeClr w14:val="tx1"/>
            </w14:solidFill>
          </w14:textFill>
        </w:rPr>
        <w:t>将拒绝其参加本次招标活动；</w:t>
      </w:r>
    </w:p>
    <w:p w14:paraId="61012083">
      <w:pPr>
        <w:widowControl/>
        <w:spacing w:line="360" w:lineRule="auto"/>
        <w:jc w:val="left"/>
        <w:rPr>
          <w:rFonts w:ascii="黑体" w:hAnsi="黑体" w:eastAsia="黑体" w:cs="Times New Roman"/>
          <w:b/>
          <w:bCs/>
          <w:color w:val="auto"/>
          <w:sz w:val="25"/>
        </w:rPr>
      </w:pPr>
      <w:r>
        <w:rPr>
          <w:rFonts w:hint="eastAsia" w:ascii="黑体" w:hAnsi="黑体" w:eastAsia="黑体" w:cs="Times New Roman"/>
          <w:b/>
          <w:bCs/>
          <w:color w:val="000000" w:themeColor="text1"/>
          <w:sz w:val="25"/>
          <w14:textFill>
            <w14:solidFill>
              <w14:schemeClr w14:val="tx1"/>
            </w14:solidFill>
          </w14:textFill>
        </w:rPr>
        <w:t>三、</w:t>
      </w:r>
      <w:r>
        <w:rPr>
          <w:rFonts w:hint="eastAsia" w:ascii="黑体" w:hAnsi="黑体" w:eastAsia="黑体" w:cs="Times New Roman"/>
          <w:b/>
          <w:bCs/>
          <w:color w:val="auto"/>
          <w:sz w:val="25"/>
        </w:rPr>
        <w:t>获取招标文件</w:t>
      </w:r>
    </w:p>
    <w:p w14:paraId="5362FFFD">
      <w:pPr>
        <w:widowControl/>
        <w:spacing w:line="360" w:lineRule="auto"/>
        <w:jc w:val="left"/>
        <w:rPr>
          <w:rFonts w:ascii="宋体" w:hAnsi="宋体" w:eastAsia="宋体" w:cs="Courier New"/>
          <w:color w:val="auto"/>
          <w:sz w:val="24"/>
          <w:szCs w:val="24"/>
        </w:rPr>
      </w:pPr>
      <w:r>
        <w:rPr>
          <w:rFonts w:ascii="宋体" w:hAnsi="宋体" w:eastAsia="宋体" w:cs="Courier New"/>
          <w:color w:val="auto"/>
          <w:sz w:val="24"/>
          <w:szCs w:val="24"/>
        </w:rPr>
        <w:t>时间：</w:t>
      </w:r>
      <w:r>
        <w:rPr>
          <w:rFonts w:hint="eastAsia" w:ascii="宋体" w:hAnsi="宋体" w:eastAsia="宋体" w:cs="Courier New"/>
          <w:color w:val="auto"/>
          <w:sz w:val="24"/>
          <w:szCs w:val="24"/>
        </w:rPr>
        <w:t>2025年</w:t>
      </w:r>
      <w:r>
        <w:rPr>
          <w:rFonts w:hint="eastAsia" w:ascii="宋体" w:hAnsi="宋体" w:eastAsia="宋体" w:cs="Courier New"/>
          <w:color w:val="auto"/>
          <w:sz w:val="24"/>
          <w:szCs w:val="24"/>
          <w:lang w:val="en-US" w:eastAsia="zh-CN"/>
        </w:rPr>
        <w:t>7</w:t>
      </w:r>
      <w:r>
        <w:rPr>
          <w:rFonts w:ascii="宋体" w:hAnsi="宋体" w:eastAsia="宋体" w:cs="Courier New"/>
          <w:color w:val="auto"/>
          <w:sz w:val="24"/>
          <w:szCs w:val="24"/>
        </w:rPr>
        <w:t>月</w:t>
      </w:r>
      <w:r>
        <w:rPr>
          <w:rFonts w:hint="eastAsia" w:ascii="宋体" w:hAnsi="宋体" w:eastAsia="宋体" w:cs="Courier New"/>
          <w:color w:val="auto"/>
          <w:sz w:val="24"/>
          <w:szCs w:val="24"/>
          <w:lang w:val="en-US" w:eastAsia="zh-CN"/>
        </w:rPr>
        <w:t>15</w:t>
      </w:r>
      <w:r>
        <w:rPr>
          <w:rFonts w:ascii="宋体" w:hAnsi="宋体" w:eastAsia="宋体" w:cs="Courier New"/>
          <w:color w:val="auto"/>
          <w:sz w:val="24"/>
          <w:szCs w:val="24"/>
        </w:rPr>
        <w:t>日至</w:t>
      </w:r>
      <w:r>
        <w:rPr>
          <w:rFonts w:hint="eastAsia" w:ascii="宋体" w:hAnsi="宋体" w:eastAsia="宋体" w:cs="Courier New"/>
          <w:color w:val="auto"/>
          <w:sz w:val="24"/>
          <w:szCs w:val="24"/>
        </w:rPr>
        <w:t>2025年</w:t>
      </w:r>
      <w:r>
        <w:rPr>
          <w:rFonts w:hint="eastAsia" w:ascii="宋体" w:hAnsi="宋体" w:eastAsia="宋体" w:cs="Courier New"/>
          <w:color w:val="auto"/>
          <w:sz w:val="24"/>
          <w:szCs w:val="24"/>
          <w:lang w:val="en-US" w:eastAsia="zh-CN"/>
        </w:rPr>
        <w:t>7</w:t>
      </w:r>
      <w:r>
        <w:rPr>
          <w:rFonts w:ascii="宋体" w:hAnsi="宋体" w:eastAsia="宋体" w:cs="Courier New"/>
          <w:color w:val="auto"/>
          <w:sz w:val="24"/>
          <w:szCs w:val="24"/>
        </w:rPr>
        <w:t>月</w:t>
      </w:r>
      <w:r>
        <w:rPr>
          <w:rFonts w:hint="eastAsia" w:ascii="宋体" w:hAnsi="宋体" w:eastAsia="宋体" w:cs="Courier New"/>
          <w:color w:val="auto"/>
          <w:sz w:val="24"/>
          <w:szCs w:val="24"/>
          <w:lang w:val="en-US" w:eastAsia="zh-CN"/>
        </w:rPr>
        <w:t>22</w:t>
      </w:r>
      <w:r>
        <w:rPr>
          <w:rFonts w:ascii="宋体" w:hAnsi="宋体" w:eastAsia="宋体" w:cs="Courier New"/>
          <w:color w:val="auto"/>
          <w:sz w:val="24"/>
          <w:szCs w:val="24"/>
        </w:rPr>
        <w:t>日，</w:t>
      </w:r>
      <w:r>
        <w:rPr>
          <w:rFonts w:hint="eastAsia" w:ascii="宋体" w:hAnsi="宋体" w:eastAsia="宋体" w:cs="Courier New"/>
          <w:color w:val="auto"/>
          <w:sz w:val="24"/>
          <w:szCs w:val="24"/>
        </w:rPr>
        <w:t>每天上午00:00至14:00，下午14:00至23:59（北京时间）</w:t>
      </w:r>
    </w:p>
    <w:p w14:paraId="445F2AC1">
      <w:pPr>
        <w:widowControl/>
        <w:spacing w:line="360" w:lineRule="auto"/>
        <w:jc w:val="left"/>
        <w:rPr>
          <w:rFonts w:ascii="宋体" w:hAnsi="宋体" w:eastAsia="宋体" w:cs="Courier New"/>
          <w:color w:val="auto"/>
          <w:sz w:val="24"/>
          <w:szCs w:val="24"/>
        </w:rPr>
      </w:pPr>
      <w:r>
        <w:rPr>
          <w:rFonts w:ascii="宋体" w:hAnsi="宋体" w:eastAsia="宋体" w:cs="Courier New"/>
          <w:color w:val="auto"/>
          <w:sz w:val="24"/>
          <w:szCs w:val="24"/>
        </w:rPr>
        <w:t>地点：</w:t>
      </w:r>
      <w:r>
        <w:rPr>
          <w:rFonts w:hint="eastAsia" w:ascii="宋体" w:hAnsi="宋体" w:eastAsia="宋体" w:cs="Courier New"/>
          <w:color w:val="auto"/>
          <w:sz w:val="24"/>
          <w:szCs w:val="24"/>
        </w:rPr>
        <w:t>新疆政府采购网政采云平台：（http://www.ccgp-xinjiang.gov.cn/）</w:t>
      </w:r>
    </w:p>
    <w:p w14:paraId="70993D30">
      <w:pPr>
        <w:widowControl/>
        <w:spacing w:line="360" w:lineRule="auto"/>
        <w:jc w:val="left"/>
        <w:rPr>
          <w:rFonts w:ascii="宋体" w:hAnsi="宋体" w:eastAsia="宋体" w:cs="Courier New"/>
          <w:color w:val="auto"/>
          <w:sz w:val="24"/>
          <w:szCs w:val="24"/>
        </w:rPr>
      </w:pPr>
      <w:r>
        <w:rPr>
          <w:rFonts w:ascii="宋体" w:hAnsi="宋体" w:eastAsia="宋体" w:cs="Courier New"/>
          <w:color w:val="auto"/>
          <w:sz w:val="24"/>
          <w:szCs w:val="24"/>
        </w:rPr>
        <w:t>方式：</w:t>
      </w:r>
      <w:r>
        <w:rPr>
          <w:rFonts w:hint="eastAsia" w:ascii="宋体" w:hAnsi="宋体" w:eastAsia="宋体" w:cs="Courier New"/>
          <w:color w:val="auto"/>
          <w:sz w:val="24"/>
          <w:szCs w:val="24"/>
        </w:rPr>
        <w:t xml:space="preserve">供应商登录新疆政府采购网政采云平台（http://www.ccgp-xinjiang.gov.cn/）在线申请获取招标文件（进入“项目采购”应用，在获取招标文件菜单中选择项目，申请获取招标文件） </w:t>
      </w:r>
    </w:p>
    <w:p w14:paraId="6D9C875E">
      <w:pPr>
        <w:widowControl/>
        <w:spacing w:line="360" w:lineRule="auto"/>
        <w:jc w:val="left"/>
        <w:rPr>
          <w:rFonts w:ascii="黑体" w:hAnsi="黑体" w:eastAsia="黑体" w:cs="Times New Roman"/>
          <w:b/>
          <w:bCs/>
          <w:color w:val="auto"/>
          <w:sz w:val="25"/>
        </w:rPr>
      </w:pPr>
      <w:r>
        <w:rPr>
          <w:rFonts w:ascii="宋体" w:hAnsi="宋体" w:eastAsia="宋体" w:cs="Courier New"/>
          <w:color w:val="auto"/>
          <w:sz w:val="24"/>
          <w:szCs w:val="24"/>
        </w:rPr>
        <w:t>售价（元）：</w:t>
      </w:r>
      <w:r>
        <w:rPr>
          <w:rFonts w:hint="eastAsia" w:ascii="宋体" w:hAnsi="宋体" w:eastAsia="宋体" w:cs="Courier New"/>
          <w:color w:val="auto"/>
          <w:sz w:val="24"/>
          <w:szCs w:val="24"/>
        </w:rPr>
        <w:t>0</w:t>
      </w:r>
    </w:p>
    <w:p w14:paraId="585F87B6">
      <w:pPr>
        <w:spacing w:line="360" w:lineRule="auto"/>
        <w:rPr>
          <w:rFonts w:ascii="宋体" w:hAnsi="宋体" w:eastAsia="宋体" w:cs="Arial"/>
          <w:b/>
          <w:bCs/>
          <w:color w:val="auto"/>
          <w:kern w:val="0"/>
          <w:sz w:val="24"/>
          <w:szCs w:val="24"/>
        </w:rPr>
      </w:pPr>
      <w:r>
        <w:rPr>
          <w:rFonts w:hint="eastAsia" w:ascii="宋体" w:hAnsi="宋体" w:eastAsia="宋体" w:cs="Arial"/>
          <w:b/>
          <w:bCs/>
          <w:color w:val="auto"/>
          <w:kern w:val="0"/>
          <w:sz w:val="24"/>
          <w:szCs w:val="24"/>
        </w:rPr>
        <w:t>四、提交投标文件截止时间、开标时间和地点</w:t>
      </w:r>
    </w:p>
    <w:p w14:paraId="0D46DA62">
      <w:pPr>
        <w:spacing w:line="360" w:lineRule="auto"/>
        <w:rPr>
          <w:rFonts w:ascii="宋体" w:hAnsi="宋体" w:eastAsia="宋体" w:cs="Arial"/>
          <w:color w:val="auto"/>
          <w:kern w:val="0"/>
          <w:sz w:val="24"/>
          <w:szCs w:val="24"/>
        </w:rPr>
      </w:pPr>
      <w:r>
        <w:rPr>
          <w:rFonts w:hint="eastAsia" w:ascii="宋体" w:hAnsi="宋体" w:eastAsia="宋体" w:cs="Arial"/>
          <w:color w:val="auto"/>
          <w:kern w:val="0"/>
          <w:sz w:val="24"/>
          <w:szCs w:val="24"/>
        </w:rPr>
        <w:t>提交投标文件截止时间：2025年</w:t>
      </w:r>
      <w:r>
        <w:rPr>
          <w:rFonts w:hint="eastAsia" w:ascii="宋体" w:hAnsi="宋体" w:eastAsia="宋体" w:cs="Arial"/>
          <w:color w:val="auto"/>
          <w:kern w:val="0"/>
          <w:sz w:val="24"/>
          <w:szCs w:val="24"/>
          <w:lang w:val="en-US" w:eastAsia="zh-CN"/>
        </w:rPr>
        <w:t>8</w:t>
      </w:r>
      <w:r>
        <w:rPr>
          <w:rFonts w:hint="eastAsia" w:ascii="宋体" w:hAnsi="宋体" w:eastAsia="宋体" w:cs="Arial"/>
          <w:color w:val="auto"/>
          <w:kern w:val="0"/>
          <w:sz w:val="24"/>
          <w:szCs w:val="24"/>
        </w:rPr>
        <w:t>月</w:t>
      </w:r>
      <w:r>
        <w:rPr>
          <w:rFonts w:hint="eastAsia" w:ascii="宋体" w:hAnsi="宋体" w:eastAsia="宋体" w:cs="Arial"/>
          <w:color w:val="auto"/>
          <w:kern w:val="0"/>
          <w:sz w:val="24"/>
          <w:szCs w:val="24"/>
          <w:lang w:val="en-US" w:eastAsia="zh-CN"/>
        </w:rPr>
        <w:t>11</w:t>
      </w:r>
      <w:r>
        <w:rPr>
          <w:rFonts w:hint="eastAsia" w:ascii="宋体" w:hAnsi="宋体" w:eastAsia="宋体" w:cs="Arial"/>
          <w:color w:val="auto"/>
          <w:kern w:val="0"/>
          <w:sz w:val="24"/>
          <w:szCs w:val="24"/>
        </w:rPr>
        <w:t>日11:00（北京时间）</w:t>
      </w:r>
    </w:p>
    <w:p w14:paraId="53EABCFB">
      <w:pPr>
        <w:spacing w:line="360" w:lineRule="auto"/>
        <w:rPr>
          <w:rFonts w:ascii="宋体" w:hAnsi="宋体" w:eastAsia="宋体" w:cs="Arial"/>
          <w:color w:val="auto"/>
          <w:kern w:val="0"/>
          <w:sz w:val="24"/>
          <w:szCs w:val="24"/>
        </w:rPr>
      </w:pPr>
      <w:r>
        <w:rPr>
          <w:rFonts w:hint="eastAsia" w:ascii="宋体" w:hAnsi="宋体" w:eastAsia="宋体" w:cs="Arial"/>
          <w:color w:val="auto"/>
          <w:kern w:val="0"/>
          <w:sz w:val="24"/>
          <w:szCs w:val="24"/>
        </w:rPr>
        <w:t xml:space="preserve">投标地点（网址）：新疆政府采购网政采云平台不见面开标大厅（本项目采用远程不见面交易的模式。采购当日，供应商无需到达采购现场，仅需在任意地点登录政采云平台（http://www.ccgp-xinjiang.gov.cn/）不见面开标系统（进入“项目采购”应用，在开标评标菜单中选择进入开标大厅） </w:t>
      </w:r>
    </w:p>
    <w:p w14:paraId="66F53F03">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auto"/>
          <w:kern w:val="0"/>
          <w:sz w:val="24"/>
          <w:szCs w:val="24"/>
        </w:rPr>
        <w:t>开标时间：2025年</w:t>
      </w:r>
      <w:r>
        <w:rPr>
          <w:rFonts w:hint="eastAsia" w:ascii="宋体" w:hAnsi="宋体" w:eastAsia="宋体" w:cs="Arial"/>
          <w:color w:val="auto"/>
          <w:kern w:val="0"/>
          <w:sz w:val="24"/>
          <w:szCs w:val="24"/>
          <w:lang w:val="en-US" w:eastAsia="zh-CN"/>
        </w:rPr>
        <w:t>8</w:t>
      </w:r>
      <w:r>
        <w:rPr>
          <w:rFonts w:hint="eastAsia" w:ascii="宋体" w:hAnsi="宋体" w:eastAsia="宋体" w:cs="Arial"/>
          <w:color w:val="auto"/>
          <w:kern w:val="0"/>
          <w:sz w:val="24"/>
          <w:szCs w:val="24"/>
        </w:rPr>
        <w:t>月</w:t>
      </w:r>
      <w:r>
        <w:rPr>
          <w:rFonts w:hint="eastAsia" w:ascii="宋体" w:hAnsi="宋体" w:eastAsia="宋体" w:cs="Arial"/>
          <w:color w:val="auto"/>
          <w:kern w:val="0"/>
          <w:sz w:val="24"/>
          <w:szCs w:val="24"/>
          <w:lang w:val="en-US" w:eastAsia="zh-CN"/>
        </w:rPr>
        <w:t>11</w:t>
      </w:r>
      <w:r>
        <w:rPr>
          <w:rFonts w:hint="eastAsia" w:ascii="宋体" w:hAnsi="宋体" w:eastAsia="宋体" w:cs="Arial"/>
          <w:color w:val="auto"/>
          <w:kern w:val="0"/>
          <w:sz w:val="24"/>
          <w:szCs w:val="24"/>
        </w:rPr>
        <w:t>日11:00（北京</w:t>
      </w:r>
      <w:r>
        <w:rPr>
          <w:rFonts w:hint="eastAsia" w:ascii="宋体" w:hAnsi="宋体" w:eastAsia="宋体" w:cs="Arial"/>
          <w:color w:val="000000" w:themeColor="text1"/>
          <w:kern w:val="0"/>
          <w:sz w:val="24"/>
          <w:szCs w:val="24"/>
          <w14:textFill>
            <w14:solidFill>
              <w14:schemeClr w14:val="tx1"/>
            </w14:solidFill>
          </w14:textFill>
        </w:rPr>
        <w:t>时间）</w:t>
      </w:r>
    </w:p>
    <w:p w14:paraId="3AB83736">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 xml:space="preserve">开标地点：新疆政府采购网政采云平台（http://www.ccgp-xinjiang.gov.cn/）  </w:t>
      </w:r>
    </w:p>
    <w:p w14:paraId="77FFEE5D">
      <w:pPr>
        <w:spacing w:line="360" w:lineRule="auto"/>
        <w:rPr>
          <w:rFonts w:ascii="宋体" w:hAnsi="宋体" w:eastAsia="宋体" w:cs="Arial"/>
          <w:b/>
          <w:bCs/>
          <w:color w:val="000000" w:themeColor="text1"/>
          <w:kern w:val="0"/>
          <w:sz w:val="24"/>
          <w:szCs w:val="24"/>
          <w14:textFill>
            <w14:solidFill>
              <w14:schemeClr w14:val="tx1"/>
            </w14:solidFill>
          </w14:textFill>
        </w:rPr>
      </w:pPr>
      <w:r>
        <w:rPr>
          <w:rFonts w:hint="eastAsia" w:ascii="宋体" w:hAnsi="宋体" w:eastAsia="宋体" w:cs="Arial"/>
          <w:b/>
          <w:bCs/>
          <w:color w:val="000000" w:themeColor="text1"/>
          <w:kern w:val="0"/>
          <w:sz w:val="24"/>
          <w:szCs w:val="24"/>
          <w14:textFill>
            <w14:solidFill>
              <w14:schemeClr w14:val="tx1"/>
            </w14:solidFill>
          </w14:textFill>
        </w:rPr>
        <w:t>五、公告期限</w:t>
      </w:r>
    </w:p>
    <w:p w14:paraId="33FDDA0A">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自本公告发布之日起5个工作日。</w:t>
      </w:r>
    </w:p>
    <w:p w14:paraId="68D3ABE1">
      <w:pPr>
        <w:spacing w:line="360" w:lineRule="auto"/>
        <w:rPr>
          <w:rFonts w:ascii="宋体" w:hAnsi="宋体" w:eastAsia="宋体" w:cs="Arial"/>
          <w:b/>
          <w:bCs/>
          <w:color w:val="000000" w:themeColor="text1"/>
          <w:kern w:val="0"/>
          <w:sz w:val="24"/>
          <w:szCs w:val="24"/>
          <w14:textFill>
            <w14:solidFill>
              <w14:schemeClr w14:val="tx1"/>
            </w14:solidFill>
          </w14:textFill>
        </w:rPr>
      </w:pPr>
      <w:r>
        <w:rPr>
          <w:rFonts w:hint="eastAsia" w:ascii="宋体" w:hAnsi="宋体" w:eastAsia="宋体" w:cs="Arial"/>
          <w:b/>
          <w:bCs/>
          <w:color w:val="000000" w:themeColor="text1"/>
          <w:kern w:val="0"/>
          <w:sz w:val="24"/>
          <w:szCs w:val="24"/>
          <w14:textFill>
            <w14:solidFill>
              <w14:schemeClr w14:val="tx1"/>
            </w14:solidFill>
          </w14:textFill>
        </w:rPr>
        <w:t>六、其他补充事宜</w:t>
      </w:r>
    </w:p>
    <w:p w14:paraId="478B37DE">
      <w:pPr>
        <w:spacing w:line="360" w:lineRule="auto"/>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1.本项目实行网上投标，采用电子投标文件；</w:t>
      </w:r>
    </w:p>
    <w:p w14:paraId="3A87C6C9">
      <w:pPr>
        <w:spacing w:line="360" w:lineRule="auto"/>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有意向参与电子开评标的供应商，可访问新疆数字证书认证中心官方网站（https://www.xjca.com.cn/）或下载“新疆政务通”APP自行申领。</w:t>
      </w:r>
    </w:p>
    <w:p w14:paraId="54C818DF">
      <w:pPr>
        <w:spacing w:line="360" w:lineRule="auto"/>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5E2436AA">
      <w:pPr>
        <w:spacing w:line="360" w:lineRule="auto"/>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4.供应商应当在投标截止时间前,将生成的“电子加密投标文件”上传递交至“政府采购云平台”,投标截止时间以后上传递交的投标文件将被“政府采购云平台”拒收；</w:t>
      </w:r>
    </w:p>
    <w:p w14:paraId="33245CE4">
      <w:pPr>
        <w:spacing w:line="360" w:lineRule="auto"/>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00BD4C3B">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6.供应商登录政采云平台，在开标时间后30分钟内用“项目采购-开标评标”功能进行解密投标文件。若供应商在规定时间内未按时解密的，视为无效投标。解密与加密投标文件须使用同一个CA。</w:t>
      </w:r>
    </w:p>
    <w:p w14:paraId="431D2817">
      <w:pPr>
        <w:spacing w:line="360" w:lineRule="auto"/>
        <w:rPr>
          <w:rFonts w:ascii="宋体" w:hAnsi="宋体" w:eastAsia="宋体" w:cs="Arial"/>
          <w:color w:val="000000" w:themeColor="text1"/>
          <w:kern w:val="0"/>
          <w:sz w:val="24"/>
          <w:szCs w:val="24"/>
          <w14:textFill>
            <w14:solidFill>
              <w14:schemeClr w14:val="tx1"/>
            </w14:solidFill>
          </w14:textFill>
        </w:rPr>
      </w:pPr>
    </w:p>
    <w:p w14:paraId="19DFA265">
      <w:pPr>
        <w:spacing w:line="360" w:lineRule="auto"/>
        <w:rPr>
          <w:rFonts w:ascii="宋体" w:hAnsi="宋体" w:eastAsia="宋体" w:cs="Arial"/>
          <w:color w:val="000000" w:themeColor="text1"/>
          <w:kern w:val="0"/>
          <w:sz w:val="24"/>
          <w:szCs w:val="24"/>
          <w14:textFill>
            <w14:solidFill>
              <w14:schemeClr w14:val="tx1"/>
            </w14:solidFill>
          </w14:textFill>
        </w:rPr>
      </w:pPr>
    </w:p>
    <w:p w14:paraId="69ECC858">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特别提示：</w:t>
      </w:r>
    </w:p>
    <w:p w14:paraId="57F2F4CC">
      <w:pPr>
        <w:spacing w:line="360" w:lineRule="auto"/>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37666258">
      <w:pPr>
        <w:spacing w:line="360" w:lineRule="auto"/>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2、超过200万元的货物和服务采购项目，预留该部分采购项目预算总额的30%以上专门面向中小企业采购，其中预留给小微企业的比例不低于60%。</w:t>
      </w:r>
    </w:p>
    <w:p w14:paraId="7BC649B7">
      <w:pPr>
        <w:spacing w:line="360" w:lineRule="auto"/>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7912C8D8">
      <w:pPr>
        <w:spacing w:line="360" w:lineRule="auto"/>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AEF99BC">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D201344">
      <w:pPr>
        <w:spacing w:line="360" w:lineRule="auto"/>
        <w:rPr>
          <w:rFonts w:ascii="宋体" w:hAnsi="宋体" w:eastAsia="宋体" w:cs="Arial"/>
          <w:color w:val="000000" w:themeColor="text1"/>
          <w:kern w:val="0"/>
          <w:sz w:val="24"/>
          <w:szCs w:val="24"/>
          <w14:textFill>
            <w14:solidFill>
              <w14:schemeClr w14:val="tx1"/>
            </w14:solidFill>
          </w14:textFill>
        </w:rPr>
      </w:pPr>
    </w:p>
    <w:p w14:paraId="24C7E1E9">
      <w:pPr>
        <w:spacing w:line="360" w:lineRule="auto"/>
        <w:rPr>
          <w:rFonts w:ascii="宋体" w:hAnsi="宋体" w:eastAsia="宋体" w:cs="Arial"/>
          <w:b/>
          <w:bCs/>
          <w:color w:val="000000" w:themeColor="text1"/>
          <w:kern w:val="0"/>
          <w:sz w:val="24"/>
          <w:szCs w:val="24"/>
          <w14:textFill>
            <w14:solidFill>
              <w14:schemeClr w14:val="tx1"/>
            </w14:solidFill>
          </w14:textFill>
        </w:rPr>
      </w:pPr>
      <w:r>
        <w:rPr>
          <w:rFonts w:hint="eastAsia" w:ascii="宋体" w:hAnsi="宋体" w:eastAsia="宋体" w:cs="Arial"/>
          <w:b/>
          <w:bCs/>
          <w:color w:val="000000" w:themeColor="text1"/>
          <w:kern w:val="0"/>
          <w:sz w:val="24"/>
          <w:szCs w:val="24"/>
          <w14:textFill>
            <w14:solidFill>
              <w14:schemeClr w14:val="tx1"/>
            </w14:solidFill>
          </w14:textFill>
        </w:rPr>
        <w:t>七、凡对本次招标提出询问，请按以下方式联系</w:t>
      </w:r>
    </w:p>
    <w:p w14:paraId="472F6003">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1.采购人信息</w:t>
      </w:r>
    </w:p>
    <w:p w14:paraId="323856E3">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名称：</w:t>
      </w:r>
      <w:r>
        <w:rPr>
          <w:rFonts w:hint="eastAsia" w:ascii="宋体" w:hAnsi="宋体" w:eastAsia="宋体" w:cs="宋体"/>
          <w:color w:val="000000" w:themeColor="text1"/>
          <w:sz w:val="24"/>
          <w:szCs w:val="24"/>
          <w14:textFill>
            <w14:solidFill>
              <w14:schemeClr w14:val="tx1"/>
            </w14:solidFill>
          </w14:textFill>
        </w:rPr>
        <w:t>新疆维吾尔自治区林业和草原局</w:t>
      </w:r>
    </w:p>
    <w:p w14:paraId="21F769B5">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地址：</w:t>
      </w:r>
      <w:r>
        <w:rPr>
          <w:rFonts w:hint="eastAsia" w:ascii="宋体" w:hAnsi="宋体" w:eastAsia="宋体" w:cs="宋体"/>
          <w:color w:val="000000" w:themeColor="text1"/>
          <w:sz w:val="24"/>
          <w:szCs w:val="24"/>
          <w14:textFill>
            <w14:solidFill>
              <w14:schemeClr w14:val="tx1"/>
            </w14:solidFill>
          </w14:textFill>
        </w:rPr>
        <w:t>黑龙江路69号</w:t>
      </w:r>
    </w:p>
    <w:p w14:paraId="2D84A36F">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联系方式：</w:t>
      </w:r>
      <w:r>
        <w:rPr>
          <w:rFonts w:hint="eastAsia" w:ascii="宋体" w:hAnsi="宋体" w:eastAsia="宋体" w:cs="宋体"/>
          <w:color w:val="000000" w:themeColor="text1"/>
          <w:sz w:val="24"/>
          <w:szCs w:val="24"/>
          <w14:textFill>
            <w14:solidFill>
              <w14:schemeClr w14:val="tx1"/>
            </w14:solidFill>
          </w14:textFill>
        </w:rPr>
        <w:t>15099595390</w:t>
      </w:r>
    </w:p>
    <w:p w14:paraId="54FFCA4A">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2.采购代理机构信息</w:t>
      </w:r>
    </w:p>
    <w:p w14:paraId="2B64AD93">
      <w:pPr>
        <w:tabs>
          <w:tab w:val="left" w:pos="379"/>
        </w:tabs>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名称：新疆金正建设工程管理有限公司</w:t>
      </w:r>
    </w:p>
    <w:p w14:paraId="3511106F">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地址：乌鲁木齐市水磨沟区南湖南路66号水清木华A栋6层</w:t>
      </w:r>
    </w:p>
    <w:p w14:paraId="38A4BE06">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联系方式：0991-4508367、17699941693</w:t>
      </w:r>
    </w:p>
    <w:p w14:paraId="5F883C7C">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3.项目联系方式</w:t>
      </w:r>
    </w:p>
    <w:p w14:paraId="7168281A">
      <w:pPr>
        <w:spacing w:line="360" w:lineRule="auto"/>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项目联系人：牛晓娟、施霞、肖甜甜</w:t>
      </w:r>
    </w:p>
    <w:p w14:paraId="2A60B8C2">
      <w:pPr>
        <w:spacing w:line="360" w:lineRule="auto"/>
        <w:rPr>
          <w:rFonts w:ascii="Calibri" w:hAnsi="Calibri" w:eastAsia="宋体" w:cs="Times New Roman"/>
          <w:color w:val="000000" w:themeColor="text1"/>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电话：0991-4508367、17699941693</w:t>
      </w:r>
    </w:p>
    <w:p w14:paraId="6C5B68C2">
      <w:pPr>
        <w:keepNext/>
        <w:keepLines/>
        <w:spacing w:before="260" w:after="260" w:line="360" w:lineRule="auto"/>
        <w:jc w:val="center"/>
        <w:outlineLvl w:val="1"/>
        <w:rPr>
          <w:rFonts w:ascii="Arial" w:hAnsi="Arial" w:eastAsia="黑体" w:cs="Times New Roman"/>
          <w:b/>
          <w:color w:val="000000" w:themeColor="text1"/>
          <w:kern w:val="0"/>
          <w:sz w:val="28"/>
          <w:szCs w:val="20"/>
          <w14:textFill>
            <w14:solidFill>
              <w14:schemeClr w14:val="tx1"/>
            </w14:solidFill>
          </w14:textFill>
        </w:rPr>
      </w:pPr>
      <w:r>
        <w:rPr>
          <w:rFonts w:hint="eastAsia" w:ascii="Arial" w:hAnsi="Arial" w:eastAsia="黑体" w:cs="Times New Roman"/>
          <w:b/>
          <w:color w:val="000000" w:themeColor="text1"/>
          <w:kern w:val="0"/>
          <w:sz w:val="28"/>
          <w:szCs w:val="20"/>
          <w14:textFill>
            <w14:solidFill>
              <w14:schemeClr w14:val="tx1"/>
            </w14:solidFill>
          </w14:textFill>
        </w:rPr>
        <w:br w:type="page"/>
      </w:r>
      <w:bookmarkStart w:id="6" w:name="_Toc13859"/>
      <w:r>
        <w:rPr>
          <w:rFonts w:hint="eastAsia" w:ascii="Arial" w:hAnsi="Arial" w:eastAsia="黑体" w:cs="Times New Roman"/>
          <w:b/>
          <w:color w:val="000000" w:themeColor="text1"/>
          <w:kern w:val="0"/>
          <w:sz w:val="28"/>
          <w:szCs w:val="20"/>
          <w14:textFill>
            <w14:solidFill>
              <w14:schemeClr w14:val="tx1"/>
            </w14:solidFill>
          </w14:textFill>
        </w:rPr>
        <w:t>第二章　供应商须知</w:t>
      </w:r>
      <w:bookmarkEnd w:id="6"/>
    </w:p>
    <w:p w14:paraId="1C0603FE">
      <w:pPr>
        <w:pStyle w:val="4"/>
        <w:bidi w:val="0"/>
      </w:pPr>
      <w:r>
        <w:rPr>
          <w:rFonts w:hint="eastAsia"/>
          <w:lang w:eastAsia="zh-CN"/>
        </w:rPr>
        <w:t>（</w:t>
      </w:r>
      <w:r>
        <w:rPr>
          <w:rFonts w:hint="eastAsia"/>
          <w:lang w:val="en-US" w:eastAsia="zh-CN"/>
        </w:rPr>
        <w:t>一</w:t>
      </w:r>
      <w:r>
        <w:rPr>
          <w:rFonts w:hint="eastAsia"/>
          <w:lang w:eastAsia="zh-CN"/>
        </w:rPr>
        <w:t>）</w:t>
      </w:r>
      <w:r>
        <w:rPr>
          <w:rFonts w:hint="eastAsia"/>
        </w:rPr>
        <w:t>供应商须知前附表</w:t>
      </w:r>
    </w:p>
    <w:tbl>
      <w:tblPr>
        <w:tblStyle w:val="35"/>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519"/>
        <w:gridCol w:w="7441"/>
      </w:tblGrid>
      <w:tr w14:paraId="448F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2D7D86DD">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1519" w:type="dxa"/>
            <w:vAlign w:val="center"/>
          </w:tcPr>
          <w:p w14:paraId="02C216C6">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条款名称</w:t>
            </w:r>
          </w:p>
        </w:tc>
        <w:tc>
          <w:tcPr>
            <w:tcW w:w="7441" w:type="dxa"/>
            <w:vAlign w:val="center"/>
          </w:tcPr>
          <w:p w14:paraId="7A71F4BB">
            <w:pPr>
              <w:spacing w:line="360" w:lineRule="auto"/>
              <w:jc w:val="center"/>
              <w:rPr>
                <w:rFonts w:ascii="宋体" w:hAnsi="宋体" w:eastAsia="宋体" w:cs="MingLiU_HKSCS"/>
                <w:color w:val="auto"/>
                <w:sz w:val="24"/>
                <w:szCs w:val="24"/>
              </w:rPr>
            </w:pPr>
            <w:r>
              <w:rPr>
                <w:rFonts w:hint="eastAsia" w:ascii="宋体" w:hAnsi="宋体" w:eastAsia="宋体" w:cs="Times New Roman"/>
                <w:color w:val="auto"/>
                <w:sz w:val="24"/>
                <w:szCs w:val="24"/>
              </w:rPr>
              <w:t>编列内容规定</w:t>
            </w:r>
          </w:p>
        </w:tc>
      </w:tr>
      <w:tr w14:paraId="63EC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73" w:type="dxa"/>
            <w:vMerge w:val="restart"/>
            <w:vAlign w:val="center"/>
          </w:tcPr>
          <w:p w14:paraId="3E884EAC">
            <w:pPr>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1</w:t>
            </w:r>
          </w:p>
        </w:tc>
        <w:tc>
          <w:tcPr>
            <w:tcW w:w="1519" w:type="dxa"/>
            <w:vAlign w:val="center"/>
          </w:tcPr>
          <w:p w14:paraId="47B5C096">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采购项目</w:t>
            </w:r>
          </w:p>
        </w:tc>
        <w:tc>
          <w:tcPr>
            <w:tcW w:w="7441" w:type="dxa"/>
            <w:vAlign w:val="center"/>
          </w:tcPr>
          <w:p w14:paraId="2D9DA2E0">
            <w:pPr>
              <w:spacing w:line="360" w:lineRule="auto"/>
              <w:jc w:val="left"/>
              <w:rPr>
                <w:rFonts w:ascii="宋体" w:hAnsi="宋体" w:eastAsia="宋体" w:cs="MingLiU_HKSCS"/>
                <w:color w:val="auto"/>
                <w:sz w:val="24"/>
                <w:szCs w:val="24"/>
              </w:rPr>
            </w:pPr>
            <w:r>
              <w:rPr>
                <w:rFonts w:hint="eastAsia" w:ascii="宋体" w:hAnsi="宋体" w:eastAsia="宋体" w:cs="Courier New"/>
                <w:color w:val="auto"/>
                <w:kern w:val="0"/>
                <w:sz w:val="24"/>
                <w:szCs w:val="24"/>
              </w:rPr>
              <w:t>新疆维吾尔自治区林业和草原局重点野生植物迁地保护项目</w:t>
            </w:r>
          </w:p>
        </w:tc>
      </w:tr>
      <w:tr w14:paraId="0316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2868D8E7">
            <w:pPr>
              <w:spacing w:line="360" w:lineRule="auto"/>
              <w:jc w:val="center"/>
              <w:rPr>
                <w:rFonts w:ascii="宋体" w:hAnsi="宋体" w:eastAsia="宋体" w:cs="Times New Roman"/>
                <w:color w:val="auto"/>
                <w:sz w:val="24"/>
                <w:szCs w:val="24"/>
              </w:rPr>
            </w:pPr>
          </w:p>
        </w:tc>
        <w:tc>
          <w:tcPr>
            <w:tcW w:w="1519" w:type="dxa"/>
            <w:vAlign w:val="center"/>
          </w:tcPr>
          <w:p w14:paraId="33CF156A">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采购预算</w:t>
            </w:r>
          </w:p>
        </w:tc>
        <w:tc>
          <w:tcPr>
            <w:tcW w:w="7441" w:type="dxa"/>
            <w:vAlign w:val="center"/>
          </w:tcPr>
          <w:p w14:paraId="0666F56A">
            <w:pPr>
              <w:spacing w:line="360" w:lineRule="auto"/>
              <w:jc w:val="left"/>
              <w:rPr>
                <w:rFonts w:ascii="宋体" w:hAnsi="宋体" w:eastAsia="宋体" w:cs="Courier New"/>
                <w:color w:val="auto"/>
                <w:kern w:val="0"/>
                <w:sz w:val="24"/>
                <w:szCs w:val="24"/>
              </w:rPr>
            </w:pPr>
            <w:r>
              <w:rPr>
                <w:rFonts w:hint="eastAsia" w:ascii="宋体" w:hAnsi="宋体" w:eastAsia="宋体" w:cs="Courier New"/>
                <w:color w:val="auto"/>
                <w:kern w:val="0"/>
                <w:sz w:val="24"/>
                <w:szCs w:val="24"/>
              </w:rPr>
              <w:t>3990000.00元</w:t>
            </w:r>
          </w:p>
        </w:tc>
      </w:tr>
      <w:tr w14:paraId="1D92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0A223937">
            <w:pPr>
              <w:spacing w:line="360" w:lineRule="auto"/>
              <w:jc w:val="center"/>
              <w:rPr>
                <w:rFonts w:ascii="宋体" w:hAnsi="宋体" w:eastAsia="宋体" w:cs="Times New Roman"/>
                <w:color w:val="auto"/>
                <w:sz w:val="24"/>
                <w:szCs w:val="24"/>
              </w:rPr>
            </w:pPr>
          </w:p>
        </w:tc>
        <w:tc>
          <w:tcPr>
            <w:tcW w:w="1519" w:type="dxa"/>
            <w:vAlign w:val="center"/>
          </w:tcPr>
          <w:p w14:paraId="5FB5A163">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最高限价</w:t>
            </w:r>
          </w:p>
        </w:tc>
        <w:tc>
          <w:tcPr>
            <w:tcW w:w="7441" w:type="dxa"/>
            <w:vAlign w:val="center"/>
          </w:tcPr>
          <w:p w14:paraId="517CEA79">
            <w:pPr>
              <w:spacing w:line="360" w:lineRule="auto"/>
              <w:jc w:val="left"/>
              <w:rPr>
                <w:rFonts w:ascii="宋体" w:hAnsi="宋体" w:eastAsia="宋体" w:cs="Courier New"/>
                <w:color w:val="auto"/>
                <w:kern w:val="0"/>
                <w:sz w:val="24"/>
                <w:szCs w:val="24"/>
              </w:rPr>
            </w:pPr>
            <w:r>
              <w:rPr>
                <w:rFonts w:hint="eastAsia" w:ascii="宋体" w:hAnsi="宋体" w:eastAsia="宋体" w:cs="Courier New"/>
                <w:color w:val="auto"/>
                <w:kern w:val="0"/>
                <w:sz w:val="24"/>
                <w:szCs w:val="24"/>
              </w:rPr>
              <w:t>3990000.00元</w:t>
            </w:r>
          </w:p>
        </w:tc>
      </w:tr>
      <w:tr w14:paraId="6FE2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58AB360F">
            <w:pPr>
              <w:spacing w:line="360" w:lineRule="auto"/>
              <w:jc w:val="center"/>
              <w:rPr>
                <w:rFonts w:ascii="宋体" w:hAnsi="宋体" w:eastAsia="宋体" w:cs="Times New Roman"/>
                <w:color w:val="auto"/>
                <w:sz w:val="24"/>
                <w:szCs w:val="24"/>
              </w:rPr>
            </w:pPr>
          </w:p>
        </w:tc>
        <w:tc>
          <w:tcPr>
            <w:tcW w:w="1519" w:type="dxa"/>
            <w:vAlign w:val="center"/>
          </w:tcPr>
          <w:p w14:paraId="7DD8445A">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项目编号</w:t>
            </w:r>
          </w:p>
        </w:tc>
        <w:tc>
          <w:tcPr>
            <w:tcW w:w="7441" w:type="dxa"/>
            <w:vAlign w:val="center"/>
          </w:tcPr>
          <w:p w14:paraId="0A16EF93">
            <w:pPr>
              <w:spacing w:line="360" w:lineRule="auto"/>
              <w:jc w:val="left"/>
              <w:rPr>
                <w:rFonts w:ascii="宋体" w:hAnsi="宋体" w:eastAsia="宋体" w:cs="Courier New"/>
                <w:color w:val="auto"/>
                <w:kern w:val="0"/>
                <w:sz w:val="24"/>
                <w:szCs w:val="24"/>
              </w:rPr>
            </w:pPr>
            <w:r>
              <w:rPr>
                <w:rFonts w:hint="eastAsia" w:ascii="宋体" w:hAnsi="宋体" w:eastAsia="宋体" w:cs="Courier New"/>
                <w:color w:val="auto"/>
                <w:kern w:val="0"/>
                <w:sz w:val="24"/>
                <w:szCs w:val="24"/>
              </w:rPr>
              <w:t>金采招字[2025]XJJZC-089</w:t>
            </w:r>
          </w:p>
        </w:tc>
      </w:tr>
      <w:tr w14:paraId="604E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3" w:type="dxa"/>
            <w:vMerge w:val="continue"/>
            <w:vAlign w:val="center"/>
          </w:tcPr>
          <w:p w14:paraId="1744AB39">
            <w:pPr>
              <w:spacing w:line="360" w:lineRule="auto"/>
              <w:jc w:val="center"/>
              <w:rPr>
                <w:rFonts w:ascii="宋体" w:hAnsi="宋体" w:eastAsia="宋体" w:cs="MingLiU_HKSCS"/>
                <w:color w:val="auto"/>
                <w:sz w:val="24"/>
                <w:szCs w:val="24"/>
              </w:rPr>
            </w:pPr>
          </w:p>
        </w:tc>
        <w:tc>
          <w:tcPr>
            <w:tcW w:w="1519" w:type="dxa"/>
            <w:vAlign w:val="center"/>
          </w:tcPr>
          <w:p w14:paraId="346A8BF6">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公告媒体</w:t>
            </w:r>
          </w:p>
        </w:tc>
        <w:tc>
          <w:tcPr>
            <w:tcW w:w="7441" w:type="dxa"/>
            <w:vAlign w:val="center"/>
          </w:tcPr>
          <w:p w14:paraId="55AAFC49">
            <w:pPr>
              <w:spacing w:line="360" w:lineRule="auto"/>
              <w:jc w:val="left"/>
              <w:rPr>
                <w:rFonts w:ascii="宋体" w:hAnsi="宋体" w:eastAsia="宋体" w:cs="MingLiU_HKSCS"/>
                <w:color w:val="auto"/>
                <w:sz w:val="24"/>
                <w:szCs w:val="24"/>
              </w:rPr>
            </w:pPr>
            <w:r>
              <w:rPr>
                <w:rFonts w:hint="eastAsia" w:ascii="宋体" w:hAnsi="宋体" w:eastAsia="宋体" w:cs="Courier New"/>
                <w:color w:val="auto"/>
                <w:sz w:val="24"/>
                <w:szCs w:val="24"/>
              </w:rPr>
              <w:t>新疆政府采购网</w:t>
            </w:r>
          </w:p>
        </w:tc>
      </w:tr>
      <w:tr w14:paraId="23B9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73" w:type="dxa"/>
            <w:vAlign w:val="center"/>
          </w:tcPr>
          <w:p w14:paraId="7E589728">
            <w:pPr>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2</w:t>
            </w:r>
          </w:p>
        </w:tc>
        <w:tc>
          <w:tcPr>
            <w:tcW w:w="1519" w:type="dxa"/>
            <w:vAlign w:val="center"/>
          </w:tcPr>
          <w:p w14:paraId="7D088F78">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采购人</w:t>
            </w:r>
          </w:p>
        </w:tc>
        <w:tc>
          <w:tcPr>
            <w:tcW w:w="7441" w:type="dxa"/>
            <w:vAlign w:val="center"/>
          </w:tcPr>
          <w:p w14:paraId="612FEAAB">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名称：</w:t>
            </w:r>
            <w:r>
              <w:rPr>
                <w:rFonts w:hint="eastAsia" w:ascii="宋体" w:hAnsi="宋体" w:eastAsia="宋体" w:cs="Courier New"/>
                <w:color w:val="auto"/>
                <w:kern w:val="0"/>
                <w:sz w:val="24"/>
                <w:szCs w:val="24"/>
              </w:rPr>
              <w:t>新疆维吾尔自治区林业和草原局</w:t>
            </w:r>
          </w:p>
          <w:p w14:paraId="70D0F92A">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地址：</w:t>
            </w:r>
            <w:r>
              <w:rPr>
                <w:rFonts w:hint="eastAsia" w:ascii="宋体" w:hAnsi="宋体" w:eastAsia="宋体" w:cs="宋体"/>
                <w:color w:val="auto"/>
                <w:sz w:val="24"/>
                <w:szCs w:val="24"/>
              </w:rPr>
              <w:t>黑龙江路69号</w:t>
            </w:r>
          </w:p>
          <w:p w14:paraId="25EDC4C8">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电话：</w:t>
            </w:r>
            <w:r>
              <w:rPr>
                <w:rFonts w:hint="eastAsia" w:ascii="宋体" w:hAnsi="宋体" w:eastAsia="宋体" w:cs="Courier New"/>
                <w:color w:val="auto"/>
                <w:kern w:val="0"/>
                <w:sz w:val="24"/>
                <w:szCs w:val="24"/>
              </w:rPr>
              <w:t>15099595390</w:t>
            </w:r>
          </w:p>
          <w:p w14:paraId="79A224C6">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联系人：王少杰</w:t>
            </w:r>
          </w:p>
        </w:tc>
      </w:tr>
      <w:tr w14:paraId="07BF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973" w:type="dxa"/>
            <w:vAlign w:val="center"/>
          </w:tcPr>
          <w:p w14:paraId="2019AAB4">
            <w:pPr>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3</w:t>
            </w:r>
          </w:p>
        </w:tc>
        <w:tc>
          <w:tcPr>
            <w:tcW w:w="1519" w:type="dxa"/>
            <w:vAlign w:val="center"/>
          </w:tcPr>
          <w:p w14:paraId="5D333DA0">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采购代理机构</w:t>
            </w:r>
          </w:p>
        </w:tc>
        <w:tc>
          <w:tcPr>
            <w:tcW w:w="7441" w:type="dxa"/>
            <w:vAlign w:val="center"/>
          </w:tcPr>
          <w:p w14:paraId="7C6106E9">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名称：</w:t>
            </w:r>
            <w:r>
              <w:rPr>
                <w:rFonts w:hint="eastAsia" w:ascii="宋体" w:hAnsi="宋体" w:eastAsia="宋体" w:cs="Courier New"/>
                <w:color w:val="auto"/>
                <w:sz w:val="24"/>
                <w:szCs w:val="24"/>
              </w:rPr>
              <w:t>新疆金正建设工程管理有限公司</w:t>
            </w:r>
          </w:p>
          <w:p w14:paraId="32CA7880">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地址：</w:t>
            </w:r>
            <w:r>
              <w:rPr>
                <w:rFonts w:hint="eastAsia" w:ascii="宋体" w:hAnsi="宋体" w:eastAsia="宋体" w:cs="Courier New"/>
                <w:color w:val="auto"/>
                <w:sz w:val="24"/>
                <w:szCs w:val="24"/>
              </w:rPr>
              <w:t>乌鲁木齐市水磨沟区南湖南路66号水清木华A栋6层</w:t>
            </w:r>
          </w:p>
          <w:p w14:paraId="6ADA5B73">
            <w:pPr>
              <w:widowControl/>
              <w:spacing w:line="360" w:lineRule="auto"/>
              <w:jc w:val="left"/>
              <w:rPr>
                <w:rFonts w:ascii="宋体" w:hAnsi="宋体" w:eastAsia="宋体" w:cs="宋体"/>
                <w:color w:val="auto"/>
                <w:kern w:val="0"/>
                <w:sz w:val="24"/>
                <w:szCs w:val="24"/>
              </w:rPr>
            </w:pPr>
            <w:r>
              <w:rPr>
                <w:rFonts w:hint="eastAsia" w:ascii="宋体" w:hAnsi="宋体" w:eastAsia="宋体" w:cs="Times New Roman"/>
                <w:color w:val="auto"/>
                <w:sz w:val="24"/>
                <w:szCs w:val="24"/>
              </w:rPr>
              <w:t>电话：0991-4508367、17699941693</w:t>
            </w:r>
          </w:p>
          <w:p w14:paraId="0F8A6983">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联系人：牛晓娟</w:t>
            </w:r>
          </w:p>
        </w:tc>
      </w:tr>
      <w:tr w14:paraId="485B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14:paraId="466F15F2">
            <w:pPr>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4</w:t>
            </w:r>
          </w:p>
        </w:tc>
        <w:tc>
          <w:tcPr>
            <w:tcW w:w="1519" w:type="dxa"/>
            <w:vAlign w:val="center"/>
          </w:tcPr>
          <w:p w14:paraId="5DA46E38">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供应商资格条件</w:t>
            </w:r>
          </w:p>
        </w:tc>
        <w:tc>
          <w:tcPr>
            <w:tcW w:w="7441" w:type="dxa"/>
            <w:vAlign w:val="center"/>
          </w:tcPr>
          <w:p w14:paraId="4111236D">
            <w:pPr>
              <w:adjustRightInd w:val="0"/>
              <w:snapToGrid w:val="0"/>
              <w:spacing w:line="360" w:lineRule="auto"/>
              <w:rPr>
                <w:rFonts w:ascii="宋体" w:hAnsi="宋体" w:eastAsia="宋体" w:cs="Courier New"/>
                <w:color w:val="auto"/>
                <w:sz w:val="24"/>
                <w:szCs w:val="24"/>
              </w:rPr>
            </w:pPr>
            <w:r>
              <w:rPr>
                <w:rFonts w:hint="eastAsia" w:ascii="宋体" w:hAnsi="宋体" w:eastAsia="宋体" w:cs="Courier New"/>
                <w:color w:val="auto"/>
                <w:sz w:val="24"/>
                <w:szCs w:val="24"/>
              </w:rPr>
              <w:t>1.满足《中华人民共和国政府采购法》第二十二条规定；</w:t>
            </w:r>
          </w:p>
          <w:p w14:paraId="5C7BD4AA">
            <w:pPr>
              <w:adjustRightInd w:val="0"/>
              <w:snapToGrid w:val="0"/>
              <w:spacing w:line="360" w:lineRule="auto"/>
              <w:rPr>
                <w:rFonts w:ascii="宋体" w:hAnsi="宋体" w:eastAsia="宋体" w:cs="Courier New"/>
                <w:color w:val="auto"/>
                <w:sz w:val="24"/>
                <w:szCs w:val="24"/>
              </w:rPr>
            </w:pPr>
            <w:r>
              <w:rPr>
                <w:rFonts w:hint="eastAsia" w:ascii="宋体" w:hAnsi="宋体" w:eastAsia="宋体" w:cs="Courier New"/>
                <w:color w:val="auto"/>
                <w:sz w:val="24"/>
                <w:szCs w:val="24"/>
              </w:rPr>
              <w:t>2.落实政府采购政策需满足的资格要求：符合政府采购优先（节约能源、保护环境）采购政策及促进中小企业（监狱企业、残疾人福利性单位）发展政策的，依据规定给予评审优惠。</w:t>
            </w:r>
          </w:p>
          <w:p w14:paraId="3EDA9475">
            <w:pPr>
              <w:adjustRightInd w:val="0"/>
              <w:snapToGrid w:val="0"/>
              <w:spacing w:line="360" w:lineRule="auto"/>
              <w:rPr>
                <w:rFonts w:ascii="宋体" w:hAnsi="宋体" w:eastAsia="宋体" w:cs="Courier New"/>
                <w:color w:val="auto"/>
                <w:sz w:val="24"/>
                <w:szCs w:val="24"/>
              </w:rPr>
            </w:pPr>
            <w:r>
              <w:rPr>
                <w:rFonts w:hint="eastAsia" w:ascii="宋体" w:hAnsi="宋体" w:eastAsia="宋体" w:cs="Courier New"/>
                <w:color w:val="auto"/>
                <w:sz w:val="24"/>
                <w:szCs w:val="24"/>
              </w:rPr>
              <w:t>3.本项目的特定资格要求：</w:t>
            </w:r>
          </w:p>
          <w:p w14:paraId="122DB8EA">
            <w:pPr>
              <w:spacing w:line="360" w:lineRule="auto"/>
              <w:jc w:val="left"/>
              <w:rPr>
                <w:rFonts w:ascii="宋体" w:hAnsi="宋体" w:eastAsia="宋体" w:cs="Courier New"/>
                <w:color w:val="auto"/>
                <w:sz w:val="24"/>
                <w:szCs w:val="24"/>
              </w:rPr>
            </w:pPr>
            <w:r>
              <w:rPr>
                <w:rFonts w:hint="eastAsia" w:ascii="宋体" w:hAnsi="宋体" w:eastAsia="宋体" w:cs="Courier New"/>
                <w:color w:val="auto"/>
                <w:sz w:val="24"/>
                <w:szCs w:val="24"/>
                <w:lang w:eastAsia="zh-CN"/>
              </w:rPr>
              <w:t>凡拟参加本次采购项目的供应商须具有良好的信誉，未在“信用中国”网站（www.creditchina.gov.cn）被列入重大税收违法失信主体、政府采购严重违法失信名单的（尚在处罚期内的）、未在“中国执行信息公开网”（http://zxgk.court.gov.cn/）网站被列入失信被执行人、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加本次招标活动</w:t>
            </w:r>
            <w:r>
              <w:rPr>
                <w:rFonts w:hint="eastAsia" w:ascii="宋体" w:hAnsi="宋体" w:eastAsia="宋体" w:cs="Courier New"/>
                <w:color w:val="auto"/>
                <w:sz w:val="24"/>
                <w:szCs w:val="24"/>
              </w:rPr>
              <w:t>将拒绝其参加本次招标活动；</w:t>
            </w:r>
          </w:p>
        </w:tc>
      </w:tr>
      <w:tr w14:paraId="4A19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73" w:type="dxa"/>
            <w:vAlign w:val="center"/>
          </w:tcPr>
          <w:p w14:paraId="0E3C7B8F">
            <w:pPr>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5</w:t>
            </w:r>
          </w:p>
        </w:tc>
        <w:tc>
          <w:tcPr>
            <w:tcW w:w="1519" w:type="dxa"/>
            <w:vAlign w:val="center"/>
          </w:tcPr>
          <w:p w14:paraId="3D9F4282">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项目现场勘察</w:t>
            </w:r>
          </w:p>
        </w:tc>
        <w:tc>
          <w:tcPr>
            <w:tcW w:w="7441" w:type="dxa"/>
            <w:vAlign w:val="center"/>
          </w:tcPr>
          <w:p w14:paraId="3C078220">
            <w:pPr>
              <w:spacing w:line="360" w:lineRule="auto"/>
              <w:ind w:left="1440" w:hanging="1440" w:hangingChars="600"/>
              <w:jc w:val="left"/>
              <w:rPr>
                <w:rFonts w:ascii="宋体" w:hAnsi="宋体" w:eastAsia="宋体" w:cs="Times New Roman"/>
                <w:color w:val="auto"/>
                <w:sz w:val="24"/>
                <w:szCs w:val="24"/>
              </w:rPr>
            </w:pPr>
            <w:r>
              <w:rPr>
                <w:rFonts w:ascii="宋体" w:hAnsi="宋体" w:eastAsia="宋体" w:cs="Times New Roman"/>
                <w:color w:val="auto"/>
                <w:sz w:val="24"/>
                <w:szCs w:val="24"/>
              </w:rPr>
              <w:fldChar w:fldCharType="begin"/>
            </w:r>
            <w:r>
              <w:rPr>
                <w:rFonts w:hint="eastAsia" w:ascii="宋体" w:hAnsi="宋体" w:eastAsia="宋体" w:cs="Times New Roman"/>
                <w:color w:val="auto"/>
                <w:sz w:val="24"/>
                <w:szCs w:val="24"/>
              </w:rPr>
              <w:instrText xml:space="preserve">eq \o\ac(□,√)</w:instrText>
            </w:r>
            <w:r>
              <w:rPr>
                <w:rFonts w:ascii="宋体" w:hAnsi="宋体" w:eastAsia="宋体" w:cs="Times New Roman"/>
                <w:color w:val="auto"/>
                <w:sz w:val="24"/>
                <w:szCs w:val="24"/>
              </w:rPr>
              <w:fldChar w:fldCharType="end"/>
            </w:r>
            <w:r>
              <w:rPr>
                <w:rFonts w:hint="eastAsia" w:ascii="宋体" w:hAnsi="宋体" w:eastAsia="宋体" w:cs="Times New Roman"/>
                <w:color w:val="auto"/>
                <w:sz w:val="24"/>
                <w:szCs w:val="24"/>
              </w:rPr>
              <w:t>不组织</w:t>
            </w:r>
          </w:p>
          <w:p w14:paraId="0063F984">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□组织</w:t>
            </w:r>
          </w:p>
        </w:tc>
      </w:tr>
      <w:tr w14:paraId="6E35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73" w:type="dxa"/>
            <w:vAlign w:val="center"/>
          </w:tcPr>
          <w:p w14:paraId="51AC005C">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6</w:t>
            </w:r>
          </w:p>
        </w:tc>
        <w:tc>
          <w:tcPr>
            <w:tcW w:w="1519" w:type="dxa"/>
            <w:vAlign w:val="center"/>
          </w:tcPr>
          <w:p w14:paraId="3D11EC65">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联合体投标</w:t>
            </w:r>
          </w:p>
        </w:tc>
        <w:tc>
          <w:tcPr>
            <w:tcW w:w="7441" w:type="dxa"/>
            <w:vAlign w:val="center"/>
          </w:tcPr>
          <w:p w14:paraId="334B5D87">
            <w:pPr>
              <w:spacing w:line="360" w:lineRule="auto"/>
              <w:jc w:val="left"/>
              <w:rPr>
                <w:rFonts w:ascii="宋体" w:hAnsi="宋体" w:eastAsia="宋体" w:cs="Times New Roman"/>
                <w:color w:val="auto"/>
                <w:sz w:val="24"/>
                <w:szCs w:val="24"/>
              </w:rPr>
            </w:pPr>
            <w:r>
              <w:rPr>
                <w:rFonts w:ascii="宋体" w:hAnsi="宋体" w:eastAsia="宋体" w:cs="Courier New"/>
                <w:color w:val="auto"/>
                <w:sz w:val="24"/>
                <w:szCs w:val="24"/>
              </w:rPr>
              <w:fldChar w:fldCharType="begin"/>
            </w:r>
            <w:r>
              <w:rPr>
                <w:rFonts w:ascii="宋体" w:hAnsi="宋体" w:eastAsia="宋体" w:cs="Courier New"/>
                <w:color w:val="auto"/>
                <w:sz w:val="24"/>
                <w:szCs w:val="24"/>
              </w:rPr>
              <w:instrText xml:space="preserve">eq \o\ac(□</w:instrText>
            </w:r>
            <w:r>
              <w:rPr>
                <w:rFonts w:hint="eastAsia" w:ascii="宋体" w:hAnsi="宋体" w:eastAsia="宋体" w:cs="Courier New"/>
                <w:color w:val="auto"/>
                <w:sz w:val="24"/>
                <w:szCs w:val="24"/>
              </w:rPr>
              <w:instrText xml:space="preserve">,</w:instrText>
            </w:r>
            <w:r>
              <w:rPr>
                <w:rFonts w:hint="eastAsia" w:ascii="宋体" w:hAnsi="宋体" w:eastAsia="宋体" w:cs="Courier New"/>
                <w:color w:val="auto"/>
                <w:position w:val="2"/>
                <w:sz w:val="16"/>
                <w:szCs w:val="24"/>
              </w:rPr>
              <w:instrText xml:space="preserve">√</w:instrText>
            </w:r>
            <w:r>
              <w:rPr>
                <w:rFonts w:ascii="宋体" w:hAnsi="宋体" w:eastAsia="宋体" w:cs="Courier New"/>
                <w:color w:val="auto"/>
                <w:sz w:val="24"/>
                <w:szCs w:val="24"/>
              </w:rPr>
              <w:instrText xml:space="preserve">)</w:instrText>
            </w:r>
            <w:r>
              <w:rPr>
                <w:rFonts w:ascii="宋体" w:hAnsi="宋体" w:eastAsia="宋体" w:cs="Courier New"/>
                <w:color w:val="auto"/>
                <w:sz w:val="24"/>
                <w:szCs w:val="24"/>
              </w:rPr>
              <w:fldChar w:fldCharType="end"/>
            </w:r>
            <w:r>
              <w:rPr>
                <w:rFonts w:hint="eastAsia" w:ascii="宋体" w:hAnsi="宋体" w:eastAsia="宋体" w:cs="Times New Roman"/>
                <w:color w:val="auto"/>
                <w:sz w:val="24"/>
                <w:szCs w:val="24"/>
              </w:rPr>
              <w:t>不接受</w:t>
            </w:r>
          </w:p>
          <w:p w14:paraId="19B24955">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□接受</w:t>
            </w:r>
          </w:p>
          <w:p w14:paraId="41319CDF">
            <w:pPr>
              <w:spacing w:line="360" w:lineRule="auto"/>
              <w:jc w:val="left"/>
              <w:rPr>
                <w:rFonts w:ascii="宋体" w:hAnsi="宋体" w:eastAsia="宋体" w:cs="Times New Roman"/>
                <w:color w:val="auto"/>
                <w:sz w:val="24"/>
                <w:szCs w:val="24"/>
              </w:rPr>
            </w:pPr>
            <w:r>
              <w:rPr>
                <w:rFonts w:hint="eastAsia" w:ascii="宋体" w:hAnsi="宋体" w:eastAsia="宋体" w:cs="Times New Roman"/>
                <w:b/>
                <w:color w:val="auto"/>
                <w:sz w:val="24"/>
                <w:szCs w:val="24"/>
              </w:rPr>
              <w:t>注:</w:t>
            </w:r>
            <w:r>
              <w:rPr>
                <w:rFonts w:hint="eastAsia" w:ascii="宋体" w:hAnsi="Courier New" w:eastAsia="宋体" w:cs="Courier New"/>
                <w:b/>
                <w:color w:val="auto"/>
                <w:sz w:val="24"/>
                <w:szCs w:val="24"/>
              </w:rPr>
              <w:t>本</w:t>
            </w:r>
            <w:r>
              <w:rPr>
                <w:rFonts w:hint="eastAsia" w:ascii="宋体" w:hAnsi="宋体" w:eastAsia="宋体" w:cs="Times New Roman"/>
                <w:b/>
                <w:color w:val="auto"/>
                <w:sz w:val="24"/>
                <w:szCs w:val="24"/>
              </w:rPr>
              <w:t>项目不得分包、不得转包</w:t>
            </w:r>
          </w:p>
        </w:tc>
      </w:tr>
      <w:tr w14:paraId="55B7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73" w:type="dxa"/>
            <w:vAlign w:val="center"/>
          </w:tcPr>
          <w:p w14:paraId="0B33B86E">
            <w:pPr>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7</w:t>
            </w:r>
          </w:p>
        </w:tc>
        <w:tc>
          <w:tcPr>
            <w:tcW w:w="1519" w:type="dxa"/>
            <w:vAlign w:val="center"/>
          </w:tcPr>
          <w:p w14:paraId="49B30A28">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招标范围</w:t>
            </w:r>
          </w:p>
        </w:tc>
        <w:tc>
          <w:tcPr>
            <w:tcW w:w="7441" w:type="dxa"/>
            <w:vAlign w:val="center"/>
          </w:tcPr>
          <w:p w14:paraId="55163C56">
            <w:pPr>
              <w:spacing w:line="360" w:lineRule="auto"/>
              <w:jc w:val="left"/>
              <w:rPr>
                <w:rFonts w:ascii="宋体" w:hAnsi="宋体" w:eastAsia="宋体" w:cs="Times New Roman"/>
                <w:color w:val="auto"/>
                <w:sz w:val="24"/>
                <w:szCs w:val="24"/>
              </w:rPr>
            </w:pPr>
            <w:r>
              <w:rPr>
                <w:rFonts w:hint="eastAsia" w:ascii="宋体" w:hAnsi="宋体" w:eastAsia="宋体" w:cs="Courier New"/>
                <w:color w:val="auto"/>
                <w:sz w:val="24"/>
                <w:szCs w:val="24"/>
              </w:rPr>
              <w:t>招标文件及补充文件中所要求的全部要工作内容：包括住宿、餐饮及会议等。</w:t>
            </w:r>
          </w:p>
        </w:tc>
      </w:tr>
      <w:tr w14:paraId="00DA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73" w:type="dxa"/>
            <w:vAlign w:val="center"/>
          </w:tcPr>
          <w:p w14:paraId="4D604C8A">
            <w:pPr>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8</w:t>
            </w:r>
          </w:p>
        </w:tc>
        <w:tc>
          <w:tcPr>
            <w:tcW w:w="1519" w:type="dxa"/>
            <w:vAlign w:val="center"/>
          </w:tcPr>
          <w:p w14:paraId="02664DAE">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澄清或者修改时间</w:t>
            </w:r>
          </w:p>
        </w:tc>
        <w:tc>
          <w:tcPr>
            <w:tcW w:w="7441" w:type="dxa"/>
            <w:vAlign w:val="center"/>
          </w:tcPr>
          <w:p w14:paraId="3D918A02">
            <w:pPr>
              <w:spacing w:line="360" w:lineRule="auto"/>
              <w:jc w:val="left"/>
              <w:rPr>
                <w:rFonts w:ascii="宋体" w:hAnsi="宋体" w:eastAsia="宋体" w:cs="Times New Roman"/>
                <w:color w:val="auto"/>
                <w:sz w:val="24"/>
                <w:szCs w:val="24"/>
              </w:rPr>
            </w:pPr>
            <w:r>
              <w:rPr>
                <w:rFonts w:ascii="宋体" w:hAnsi="宋体" w:eastAsia="宋体" w:cs="Times New Roman"/>
                <w:color w:val="auto"/>
                <w:sz w:val="24"/>
                <w:szCs w:val="24"/>
              </w:rPr>
              <w:t>投标截止时间</w:t>
            </w:r>
            <w:r>
              <w:rPr>
                <w:rFonts w:hint="eastAsia" w:ascii="宋体" w:hAnsi="宋体" w:eastAsia="宋体" w:cs="Times New Roman"/>
                <w:color w:val="auto"/>
                <w:sz w:val="24"/>
                <w:szCs w:val="24"/>
              </w:rPr>
              <w:t>15日</w:t>
            </w:r>
            <w:r>
              <w:rPr>
                <w:rFonts w:ascii="宋体" w:hAnsi="宋体" w:eastAsia="宋体" w:cs="Times New Roman"/>
                <w:color w:val="auto"/>
                <w:sz w:val="24"/>
                <w:szCs w:val="24"/>
              </w:rPr>
              <w:t>前</w:t>
            </w:r>
          </w:p>
        </w:tc>
      </w:tr>
      <w:tr w14:paraId="4C4B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73" w:type="dxa"/>
            <w:vAlign w:val="center"/>
          </w:tcPr>
          <w:p w14:paraId="7CBAE0C7">
            <w:pPr>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9</w:t>
            </w:r>
          </w:p>
        </w:tc>
        <w:tc>
          <w:tcPr>
            <w:tcW w:w="1519" w:type="dxa"/>
            <w:vAlign w:val="center"/>
          </w:tcPr>
          <w:p w14:paraId="6E438E87">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提交投标文件的截止时间、地点</w:t>
            </w:r>
          </w:p>
        </w:tc>
        <w:tc>
          <w:tcPr>
            <w:tcW w:w="7441" w:type="dxa"/>
            <w:vAlign w:val="center"/>
          </w:tcPr>
          <w:p w14:paraId="489BF2AE">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时间：</w:t>
            </w:r>
            <w:r>
              <w:rPr>
                <w:rFonts w:hint="eastAsia" w:ascii="宋体" w:hAnsi="宋体" w:eastAsia="宋体" w:cs="Courier New"/>
                <w:color w:val="auto"/>
                <w:sz w:val="24"/>
                <w:szCs w:val="24"/>
              </w:rPr>
              <w:t>2025年</w:t>
            </w:r>
            <w:r>
              <w:rPr>
                <w:rFonts w:hint="eastAsia" w:ascii="宋体" w:hAnsi="宋体" w:eastAsia="宋体" w:cs="Courier New"/>
                <w:color w:val="auto"/>
                <w:sz w:val="24"/>
                <w:szCs w:val="24"/>
                <w:lang w:val="en-US" w:eastAsia="zh-CN"/>
              </w:rPr>
              <w:t>8</w:t>
            </w:r>
            <w:r>
              <w:rPr>
                <w:rFonts w:hint="eastAsia" w:ascii="宋体" w:hAnsi="宋体" w:eastAsia="宋体" w:cs="Courier New"/>
                <w:color w:val="auto"/>
                <w:sz w:val="24"/>
                <w:szCs w:val="24"/>
              </w:rPr>
              <w:t>月</w:t>
            </w:r>
            <w:r>
              <w:rPr>
                <w:rFonts w:hint="eastAsia" w:ascii="宋体" w:hAnsi="宋体" w:eastAsia="宋体" w:cs="Courier New"/>
                <w:color w:val="auto"/>
                <w:sz w:val="24"/>
                <w:szCs w:val="24"/>
                <w:lang w:val="en-US" w:eastAsia="zh-CN"/>
              </w:rPr>
              <w:t>11</w:t>
            </w:r>
            <w:r>
              <w:rPr>
                <w:rFonts w:hint="eastAsia" w:ascii="宋体" w:hAnsi="宋体" w:eastAsia="宋体" w:cs="Courier New"/>
                <w:color w:val="auto"/>
                <w:sz w:val="24"/>
                <w:szCs w:val="24"/>
              </w:rPr>
              <w:t>日11时00分</w:t>
            </w:r>
          </w:p>
          <w:p w14:paraId="429D492F">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地点：</w:t>
            </w:r>
            <w:r>
              <w:rPr>
                <w:rFonts w:hint="eastAsia" w:ascii="宋体" w:hAnsi="宋体" w:eastAsia="宋体" w:cs="Courier New"/>
                <w:color w:val="auto"/>
                <w:sz w:val="24"/>
                <w:szCs w:val="24"/>
              </w:rPr>
              <w:t>新疆政府采购网政采云平台（http://www.ccgp-xinjiang.gov.cn/）</w:t>
            </w:r>
          </w:p>
        </w:tc>
      </w:tr>
      <w:tr w14:paraId="5C6A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73" w:type="dxa"/>
            <w:vAlign w:val="center"/>
          </w:tcPr>
          <w:p w14:paraId="7A3F93F0">
            <w:pPr>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10</w:t>
            </w:r>
          </w:p>
        </w:tc>
        <w:tc>
          <w:tcPr>
            <w:tcW w:w="1519" w:type="dxa"/>
            <w:vAlign w:val="center"/>
          </w:tcPr>
          <w:p w14:paraId="650E8EC2">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开标时间、地点</w:t>
            </w:r>
          </w:p>
        </w:tc>
        <w:tc>
          <w:tcPr>
            <w:tcW w:w="7441" w:type="dxa"/>
            <w:vAlign w:val="center"/>
          </w:tcPr>
          <w:p w14:paraId="4900A0D8">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时间：</w:t>
            </w:r>
            <w:r>
              <w:rPr>
                <w:rFonts w:hint="eastAsia" w:ascii="宋体" w:hAnsi="宋体" w:eastAsia="宋体" w:cs="Courier New"/>
                <w:color w:val="auto"/>
                <w:sz w:val="24"/>
                <w:szCs w:val="24"/>
              </w:rPr>
              <w:t>2025年</w:t>
            </w:r>
            <w:r>
              <w:rPr>
                <w:rFonts w:hint="eastAsia" w:ascii="宋体" w:hAnsi="宋体" w:eastAsia="宋体" w:cs="Courier New"/>
                <w:color w:val="auto"/>
                <w:sz w:val="24"/>
                <w:szCs w:val="24"/>
                <w:lang w:val="en-US" w:eastAsia="zh-CN"/>
              </w:rPr>
              <w:t>8</w:t>
            </w:r>
            <w:r>
              <w:rPr>
                <w:rFonts w:hint="eastAsia" w:ascii="宋体" w:hAnsi="宋体" w:eastAsia="宋体" w:cs="Courier New"/>
                <w:color w:val="auto"/>
                <w:sz w:val="24"/>
                <w:szCs w:val="24"/>
              </w:rPr>
              <w:t>月</w:t>
            </w:r>
            <w:r>
              <w:rPr>
                <w:rFonts w:hint="eastAsia" w:ascii="宋体" w:hAnsi="宋体" w:eastAsia="宋体" w:cs="Courier New"/>
                <w:color w:val="auto"/>
                <w:sz w:val="24"/>
                <w:szCs w:val="24"/>
                <w:lang w:val="en-US" w:eastAsia="zh-CN"/>
              </w:rPr>
              <w:t>11</w:t>
            </w:r>
            <w:r>
              <w:rPr>
                <w:rFonts w:hint="eastAsia" w:ascii="宋体" w:hAnsi="宋体" w:eastAsia="宋体" w:cs="Courier New"/>
                <w:color w:val="auto"/>
                <w:sz w:val="24"/>
                <w:szCs w:val="24"/>
              </w:rPr>
              <w:t>日11时00分</w:t>
            </w:r>
          </w:p>
          <w:p w14:paraId="3022A847">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地点：</w:t>
            </w:r>
            <w:r>
              <w:rPr>
                <w:rFonts w:hint="eastAsia" w:ascii="宋体" w:hAnsi="宋体" w:eastAsia="宋体" w:cs="宋体"/>
                <w:color w:val="auto"/>
                <w:kern w:val="0"/>
                <w:sz w:val="24"/>
                <w:szCs w:val="24"/>
              </w:rPr>
              <w:t>新疆政府采购网政采云平台不见面开标大厅（本项目采用远程不见面交易的模式。采购当日，供应商无需到达采购现场，仅需在任意地点登录新疆政府采购网政采云平台（http://www.ccgp-xinjiang.gov.cn/）不见面开标系统（进入“项目采购”应用，在开标评标菜单中选择进入开标大厅）</w:t>
            </w:r>
          </w:p>
        </w:tc>
      </w:tr>
      <w:tr w14:paraId="6B15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14:paraId="47D420D6">
            <w:pPr>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11</w:t>
            </w:r>
          </w:p>
        </w:tc>
        <w:tc>
          <w:tcPr>
            <w:tcW w:w="1519" w:type="dxa"/>
            <w:vAlign w:val="center"/>
          </w:tcPr>
          <w:p w14:paraId="5729D8D1">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其他唱标内容</w:t>
            </w:r>
          </w:p>
        </w:tc>
        <w:tc>
          <w:tcPr>
            <w:tcW w:w="7441" w:type="dxa"/>
            <w:vAlign w:val="center"/>
          </w:tcPr>
          <w:p w14:paraId="4DD7814B">
            <w:pPr>
              <w:spacing w:line="360" w:lineRule="auto"/>
              <w:jc w:val="left"/>
              <w:rPr>
                <w:rFonts w:ascii="宋体" w:hAnsi="宋体" w:eastAsia="宋体" w:cs="MingLiU_HKSCS"/>
                <w:color w:val="auto"/>
                <w:sz w:val="24"/>
                <w:szCs w:val="24"/>
              </w:rPr>
            </w:pPr>
            <w:r>
              <w:rPr>
                <w:rFonts w:ascii="宋体" w:hAnsi="宋体" w:eastAsia="宋体" w:cs="MingLiU_HKSCS"/>
                <w:color w:val="auto"/>
                <w:sz w:val="24"/>
                <w:szCs w:val="24"/>
              </w:rPr>
              <w:t>投标报价、服务期限、服务地点</w:t>
            </w:r>
          </w:p>
        </w:tc>
      </w:tr>
      <w:tr w14:paraId="74F2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3" w:type="dxa"/>
            <w:vAlign w:val="center"/>
          </w:tcPr>
          <w:p w14:paraId="709EA15B">
            <w:pPr>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12</w:t>
            </w:r>
          </w:p>
        </w:tc>
        <w:tc>
          <w:tcPr>
            <w:tcW w:w="1519" w:type="dxa"/>
            <w:vAlign w:val="center"/>
          </w:tcPr>
          <w:p w14:paraId="4ECBAA0D">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投标保证金</w:t>
            </w:r>
          </w:p>
        </w:tc>
        <w:tc>
          <w:tcPr>
            <w:tcW w:w="7441" w:type="dxa"/>
            <w:vAlign w:val="center"/>
          </w:tcPr>
          <w:p w14:paraId="4768E3D7">
            <w:pPr>
              <w:spacing w:line="360" w:lineRule="auto"/>
              <w:jc w:val="left"/>
              <w:rPr>
                <w:rFonts w:ascii="宋体" w:hAnsi="宋体" w:eastAsia="宋体" w:cs="Times New Roman"/>
                <w:color w:val="auto"/>
                <w:sz w:val="24"/>
                <w:szCs w:val="24"/>
              </w:rPr>
            </w:pPr>
            <w:r>
              <w:rPr>
                <w:rFonts w:ascii="宋体" w:hAnsi="宋体" w:eastAsia="宋体" w:cs="Courier New"/>
                <w:color w:val="auto"/>
                <w:sz w:val="24"/>
                <w:szCs w:val="24"/>
              </w:rPr>
              <w:fldChar w:fldCharType="begin"/>
            </w:r>
            <w:r>
              <w:rPr>
                <w:rFonts w:hint="eastAsia" w:ascii="宋体" w:hAnsi="宋体" w:eastAsia="宋体" w:cs="Courier New"/>
                <w:color w:val="auto"/>
                <w:sz w:val="24"/>
                <w:szCs w:val="24"/>
              </w:rPr>
              <w:instrText xml:space="preserve">eq \o\ac(□,√)</w:instrText>
            </w:r>
            <w:r>
              <w:rPr>
                <w:rFonts w:ascii="宋体" w:hAnsi="宋体" w:eastAsia="宋体" w:cs="Courier New"/>
                <w:color w:val="auto"/>
                <w:sz w:val="24"/>
                <w:szCs w:val="24"/>
              </w:rPr>
              <w:fldChar w:fldCharType="end"/>
            </w:r>
            <w:r>
              <w:rPr>
                <w:rFonts w:hint="eastAsia" w:ascii="宋体" w:hAnsi="宋体" w:eastAsia="宋体" w:cs="Times New Roman"/>
                <w:color w:val="auto"/>
                <w:sz w:val="24"/>
                <w:szCs w:val="24"/>
              </w:rPr>
              <w:t>要求提供。数额不得超过招标项目预算金额的2</w:t>
            </w:r>
            <w:r>
              <w:rPr>
                <w:rFonts w:ascii="宋体" w:hAnsi="宋体" w:eastAsia="宋体" w:cs="Times New Roman"/>
                <w:color w:val="auto"/>
                <w:sz w:val="24"/>
                <w:szCs w:val="24"/>
              </w:rPr>
              <w:t>%</w:t>
            </w:r>
            <w:r>
              <w:rPr>
                <w:rFonts w:hint="eastAsia" w:ascii="宋体" w:hAnsi="宋体" w:eastAsia="宋体" w:cs="Times New Roman"/>
                <w:color w:val="auto"/>
                <w:sz w:val="24"/>
                <w:szCs w:val="24"/>
              </w:rPr>
              <w:t>，本项目的投标保证金为人民币：</w:t>
            </w:r>
          </w:p>
          <w:p w14:paraId="4DC990D8">
            <w:pPr>
              <w:spacing w:line="360" w:lineRule="auto"/>
              <w:jc w:val="left"/>
              <w:rPr>
                <w:rFonts w:ascii="宋体" w:hAnsi="宋体" w:eastAsia="宋体" w:cs="Courier New"/>
                <w:b/>
                <w:bCs/>
                <w:color w:val="auto"/>
                <w:kern w:val="0"/>
                <w:sz w:val="24"/>
                <w:szCs w:val="24"/>
              </w:rPr>
            </w:pPr>
            <w:r>
              <w:rPr>
                <w:rFonts w:hint="eastAsia" w:ascii="宋体" w:hAnsi="宋体" w:eastAsia="宋体" w:cs="Times New Roman"/>
                <w:b/>
                <w:bCs/>
                <w:color w:val="auto"/>
                <w:sz w:val="24"/>
                <w:szCs w:val="24"/>
              </w:rPr>
              <w:t>79800.00</w:t>
            </w:r>
            <w:r>
              <w:rPr>
                <w:rFonts w:hint="eastAsia" w:ascii="宋体" w:hAnsi="宋体" w:eastAsia="宋体" w:cs="Courier New"/>
                <w:b/>
                <w:bCs/>
                <w:color w:val="auto"/>
                <w:kern w:val="0"/>
                <w:sz w:val="24"/>
                <w:szCs w:val="24"/>
              </w:rPr>
              <w:t>元（柒万玖仟捌佰元整）</w:t>
            </w:r>
          </w:p>
          <w:p w14:paraId="20C0B6B9">
            <w:pPr>
              <w:spacing w:line="360" w:lineRule="auto"/>
              <w:jc w:val="left"/>
              <w:rPr>
                <w:rFonts w:ascii="宋体" w:hAnsi="宋体" w:eastAsia="宋体" w:cs="Times New Roman"/>
                <w:color w:val="auto"/>
                <w:sz w:val="24"/>
                <w:szCs w:val="24"/>
              </w:rPr>
            </w:pPr>
            <w:r>
              <w:rPr>
                <w:rFonts w:hint="eastAsia" w:ascii="宋体" w:hAnsi="宋体" w:eastAsia="宋体" w:cs="Courier New"/>
                <w:color w:val="auto"/>
                <w:sz w:val="24"/>
                <w:szCs w:val="24"/>
              </w:rPr>
              <w:t>投标保证金到账截止时间：同招标截止时间</w:t>
            </w:r>
          </w:p>
          <w:p w14:paraId="2367205E">
            <w:pPr>
              <w:spacing w:line="360" w:lineRule="auto"/>
              <w:jc w:val="left"/>
              <w:rPr>
                <w:rFonts w:ascii="宋体" w:hAnsi="宋体" w:eastAsia="宋体" w:cs="Courier New"/>
                <w:color w:val="auto"/>
                <w:sz w:val="24"/>
                <w:szCs w:val="24"/>
              </w:rPr>
            </w:pPr>
            <w:r>
              <w:rPr>
                <w:rFonts w:hint="eastAsia" w:ascii="宋体" w:hAnsi="宋体" w:eastAsia="宋体" w:cs="Courier New"/>
                <w:color w:val="auto"/>
                <w:sz w:val="24"/>
                <w:szCs w:val="24"/>
              </w:rPr>
              <w:t>提交方式：须从供应商账户转出或以网银、银行电汇等非现金形式缴纳。</w:t>
            </w:r>
          </w:p>
          <w:p w14:paraId="274CD43E">
            <w:pPr>
              <w:autoSpaceDE w:val="0"/>
              <w:autoSpaceDN w:val="0"/>
              <w:spacing w:line="360" w:lineRule="auto"/>
              <w:rPr>
                <w:rFonts w:ascii="宋体" w:hAnsi="宋体" w:eastAsia="宋体" w:cs="Courier New"/>
                <w:color w:val="auto"/>
                <w:sz w:val="24"/>
                <w:szCs w:val="24"/>
              </w:rPr>
            </w:pPr>
            <w:r>
              <w:rPr>
                <w:rFonts w:hint="eastAsia" w:ascii="宋体" w:hAnsi="宋体" w:eastAsia="宋体" w:cs="Courier New"/>
                <w:color w:val="auto"/>
                <w:sz w:val="24"/>
                <w:szCs w:val="24"/>
              </w:rPr>
              <w:t>账户信息：</w:t>
            </w:r>
          </w:p>
          <w:p w14:paraId="56C00049">
            <w:pPr>
              <w:autoSpaceDE w:val="0"/>
              <w:autoSpaceDN w:val="0"/>
              <w:spacing w:line="360" w:lineRule="auto"/>
              <w:rPr>
                <w:rFonts w:ascii="宋体" w:hAnsi="宋体" w:eastAsia="宋体" w:cs="Courier New"/>
                <w:color w:val="auto"/>
                <w:sz w:val="24"/>
                <w:szCs w:val="24"/>
              </w:rPr>
            </w:pPr>
            <w:r>
              <w:rPr>
                <w:rFonts w:hint="eastAsia" w:ascii="宋体" w:hAnsi="宋体" w:eastAsia="宋体" w:cs="Courier New"/>
                <w:color w:val="auto"/>
                <w:sz w:val="24"/>
                <w:szCs w:val="24"/>
              </w:rPr>
              <w:t>开户单位名称：新疆金正建设工程管理有限公司</w:t>
            </w:r>
          </w:p>
          <w:p w14:paraId="1E4848D1">
            <w:pPr>
              <w:autoSpaceDE w:val="0"/>
              <w:autoSpaceDN w:val="0"/>
              <w:spacing w:line="360" w:lineRule="auto"/>
              <w:ind w:left="1135" w:hanging="1135" w:hangingChars="473"/>
              <w:rPr>
                <w:rFonts w:ascii="宋体" w:hAnsi="宋体" w:eastAsia="宋体" w:cs="Courier New"/>
                <w:color w:val="auto"/>
                <w:sz w:val="24"/>
                <w:szCs w:val="24"/>
              </w:rPr>
            </w:pPr>
            <w:r>
              <w:rPr>
                <w:rFonts w:hint="eastAsia" w:ascii="宋体" w:hAnsi="宋体" w:eastAsia="宋体" w:cs="Courier New"/>
                <w:color w:val="auto"/>
                <w:sz w:val="24"/>
                <w:szCs w:val="24"/>
              </w:rPr>
              <w:t>开户行：中国银行股份有限公司乌鲁木齐市友好南路支行</w:t>
            </w:r>
          </w:p>
          <w:p w14:paraId="077E6704">
            <w:pPr>
              <w:autoSpaceDE w:val="0"/>
              <w:autoSpaceDN w:val="0"/>
              <w:spacing w:line="360" w:lineRule="auto"/>
              <w:rPr>
                <w:rFonts w:ascii="宋体" w:hAnsi="宋体" w:eastAsia="宋体" w:cs="Courier New"/>
                <w:color w:val="auto"/>
                <w:sz w:val="24"/>
                <w:szCs w:val="24"/>
              </w:rPr>
            </w:pPr>
            <w:r>
              <w:rPr>
                <w:rFonts w:hint="eastAsia" w:ascii="宋体" w:hAnsi="宋体" w:eastAsia="宋体" w:cs="Courier New"/>
                <w:color w:val="auto"/>
                <w:sz w:val="24"/>
                <w:szCs w:val="24"/>
              </w:rPr>
              <w:t>行号：104881005062</w:t>
            </w:r>
          </w:p>
          <w:p w14:paraId="2D323F26">
            <w:pPr>
              <w:autoSpaceDE w:val="0"/>
              <w:autoSpaceDN w:val="0"/>
              <w:spacing w:line="360" w:lineRule="auto"/>
              <w:rPr>
                <w:rFonts w:ascii="宋体" w:hAnsi="宋体" w:eastAsia="宋体" w:cs="Courier New"/>
                <w:color w:val="auto"/>
                <w:sz w:val="24"/>
                <w:szCs w:val="24"/>
              </w:rPr>
            </w:pPr>
            <w:r>
              <w:rPr>
                <w:rFonts w:hint="eastAsia" w:ascii="宋体" w:hAnsi="宋体" w:eastAsia="宋体" w:cs="Courier New"/>
                <w:color w:val="auto"/>
                <w:sz w:val="24"/>
                <w:szCs w:val="24"/>
              </w:rPr>
              <w:t>银行帐号：107601654453</w:t>
            </w:r>
          </w:p>
          <w:p w14:paraId="534F48F7">
            <w:pPr>
              <w:autoSpaceDE w:val="0"/>
              <w:autoSpaceDN w:val="0"/>
              <w:spacing w:line="360" w:lineRule="auto"/>
              <w:rPr>
                <w:rFonts w:ascii="宋体" w:hAnsi="宋体" w:eastAsia="宋体" w:cs="Courier New"/>
                <w:color w:val="auto"/>
                <w:sz w:val="24"/>
                <w:szCs w:val="24"/>
              </w:rPr>
            </w:pPr>
            <w:r>
              <w:rPr>
                <w:rFonts w:hint="eastAsia" w:ascii="宋体" w:hAnsi="宋体" w:eastAsia="宋体" w:cs="Courier New"/>
                <w:color w:val="auto"/>
                <w:sz w:val="24"/>
                <w:szCs w:val="24"/>
              </w:rPr>
              <w:t>联系电话：0991-4508736</w:t>
            </w:r>
          </w:p>
          <w:p w14:paraId="71E444B5">
            <w:pPr>
              <w:autoSpaceDE w:val="0"/>
              <w:autoSpaceDN w:val="0"/>
              <w:spacing w:line="360" w:lineRule="auto"/>
              <w:rPr>
                <w:rFonts w:ascii="宋体" w:hAnsi="宋体" w:eastAsia="宋体" w:cs="Courier New"/>
                <w:color w:val="auto"/>
                <w:sz w:val="24"/>
                <w:szCs w:val="24"/>
              </w:rPr>
            </w:pPr>
            <w:r>
              <w:rPr>
                <w:rFonts w:hint="eastAsia" w:ascii="宋体" w:hAnsi="宋体" w:eastAsia="宋体" w:cs="Courier New"/>
                <w:color w:val="auto"/>
                <w:sz w:val="24"/>
                <w:szCs w:val="24"/>
              </w:rPr>
              <w:t>联系人：杜香</w:t>
            </w:r>
          </w:p>
          <w:p w14:paraId="3BC20AE4">
            <w:pPr>
              <w:autoSpaceDE w:val="0"/>
              <w:autoSpaceDN w:val="0"/>
              <w:spacing w:line="360" w:lineRule="auto"/>
              <w:rPr>
                <w:rFonts w:ascii="宋体" w:hAnsi="宋体" w:eastAsia="宋体" w:cs="Times New Roman"/>
                <w:color w:val="auto"/>
                <w:sz w:val="24"/>
                <w:szCs w:val="24"/>
              </w:rPr>
            </w:pPr>
            <w:r>
              <w:rPr>
                <w:rFonts w:hint="eastAsia" w:ascii="宋体" w:hAnsi="宋体" w:eastAsia="宋体" w:cs="Courier New"/>
                <w:color w:val="auto"/>
                <w:sz w:val="24"/>
                <w:szCs w:val="24"/>
              </w:rPr>
              <w:t>投标</w:t>
            </w:r>
            <w:r>
              <w:rPr>
                <w:rFonts w:ascii="宋体" w:hAnsi="宋体" w:eastAsia="宋体" w:cs="Courier New"/>
                <w:color w:val="auto"/>
                <w:sz w:val="24"/>
                <w:szCs w:val="24"/>
              </w:rPr>
              <w:t>保证金</w:t>
            </w:r>
            <w:r>
              <w:rPr>
                <w:rFonts w:hint="eastAsia" w:ascii="宋体" w:hAnsi="宋体" w:eastAsia="宋体" w:cs="Courier New"/>
                <w:color w:val="auto"/>
                <w:sz w:val="24"/>
                <w:szCs w:val="24"/>
              </w:rPr>
              <w:t>以</w:t>
            </w:r>
            <w:r>
              <w:rPr>
                <w:rFonts w:ascii="宋体" w:hAnsi="宋体" w:eastAsia="宋体" w:cs="Courier New"/>
                <w:color w:val="auto"/>
                <w:sz w:val="24"/>
                <w:szCs w:val="24"/>
              </w:rPr>
              <w:t>到账信息为准</w:t>
            </w:r>
            <w:r>
              <w:rPr>
                <w:rFonts w:hint="eastAsia" w:ascii="宋体" w:hAnsi="宋体" w:eastAsia="宋体" w:cs="Courier New"/>
                <w:color w:val="auto"/>
                <w:sz w:val="24"/>
                <w:szCs w:val="24"/>
              </w:rPr>
              <w:t>，制造商</w:t>
            </w:r>
            <w:r>
              <w:rPr>
                <w:rFonts w:ascii="宋体" w:hAnsi="宋体" w:eastAsia="宋体" w:cs="Courier New"/>
                <w:color w:val="auto"/>
                <w:sz w:val="24"/>
                <w:szCs w:val="24"/>
              </w:rPr>
              <w:t>应充分考虑在途时间</w:t>
            </w:r>
            <w:r>
              <w:rPr>
                <w:rFonts w:hint="eastAsia" w:ascii="宋体" w:hAnsi="宋体" w:eastAsia="宋体" w:cs="Courier New"/>
                <w:color w:val="auto"/>
                <w:sz w:val="24"/>
                <w:szCs w:val="24"/>
              </w:rPr>
              <w:t>，制造</w:t>
            </w:r>
            <w:r>
              <w:rPr>
                <w:rFonts w:hint="eastAsia" w:ascii="宋体" w:hAnsi="宋体" w:eastAsia="宋体" w:cs="Times New Roman"/>
                <w:color w:val="auto"/>
                <w:sz w:val="24"/>
                <w:szCs w:val="24"/>
              </w:rPr>
              <w:t>商</w:t>
            </w:r>
            <w:r>
              <w:rPr>
                <w:rFonts w:ascii="宋体" w:hAnsi="宋体" w:eastAsia="宋体" w:cs="Times New Roman"/>
                <w:color w:val="auto"/>
                <w:sz w:val="24"/>
                <w:szCs w:val="24"/>
              </w:rPr>
              <w:t>未按照</w:t>
            </w:r>
            <w:r>
              <w:rPr>
                <w:rFonts w:hint="eastAsia" w:ascii="宋体" w:hAnsi="宋体" w:eastAsia="宋体" w:cs="Times New Roman"/>
                <w:color w:val="auto"/>
                <w:sz w:val="24"/>
                <w:szCs w:val="24"/>
              </w:rPr>
              <w:t>招标</w:t>
            </w:r>
            <w:r>
              <w:rPr>
                <w:rFonts w:ascii="宋体" w:hAnsi="宋体" w:eastAsia="宋体" w:cs="Times New Roman"/>
                <w:color w:val="auto"/>
                <w:sz w:val="24"/>
                <w:szCs w:val="24"/>
              </w:rPr>
              <w:t>文件要求提交</w:t>
            </w:r>
            <w:r>
              <w:rPr>
                <w:rFonts w:hint="eastAsia" w:ascii="宋体" w:hAnsi="宋体" w:eastAsia="宋体" w:cs="Times New Roman"/>
                <w:color w:val="auto"/>
                <w:sz w:val="24"/>
                <w:szCs w:val="24"/>
              </w:rPr>
              <w:t>投标</w:t>
            </w:r>
            <w:r>
              <w:rPr>
                <w:rFonts w:ascii="宋体" w:hAnsi="宋体" w:eastAsia="宋体" w:cs="Times New Roman"/>
                <w:color w:val="auto"/>
                <w:sz w:val="24"/>
                <w:szCs w:val="24"/>
              </w:rPr>
              <w:t>保证金的</w:t>
            </w:r>
            <w:r>
              <w:rPr>
                <w:rFonts w:hint="eastAsia" w:ascii="宋体" w:hAnsi="宋体" w:eastAsia="宋体" w:cs="Times New Roman"/>
                <w:color w:val="auto"/>
                <w:sz w:val="24"/>
                <w:szCs w:val="24"/>
              </w:rPr>
              <w:t>，投标</w:t>
            </w:r>
            <w:r>
              <w:rPr>
                <w:rFonts w:ascii="宋体" w:hAnsi="宋体" w:eastAsia="宋体" w:cs="Times New Roman"/>
                <w:color w:val="auto"/>
                <w:sz w:val="24"/>
                <w:szCs w:val="24"/>
              </w:rPr>
              <w:t>无效。</w:t>
            </w:r>
          </w:p>
          <w:p w14:paraId="1A80181A">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注：以电汇方式递交投标保证金须在电汇凭据附言栏中写明招标编号、包号及用途</w:t>
            </w:r>
            <w:r>
              <w:rPr>
                <w:rFonts w:ascii="宋体" w:hAnsi="宋体" w:eastAsia="宋体" w:cs="Times New Roman"/>
                <w:color w:val="auto"/>
                <w:sz w:val="24"/>
                <w:szCs w:val="24"/>
              </w:rPr>
              <w:t>(</w:t>
            </w:r>
            <w:r>
              <w:rPr>
                <w:rFonts w:hint="eastAsia" w:ascii="宋体" w:hAnsi="宋体" w:eastAsia="宋体" w:cs="Times New Roman"/>
                <w:color w:val="auto"/>
                <w:sz w:val="24"/>
                <w:szCs w:val="24"/>
              </w:rPr>
              <w:t>投标保证金</w:t>
            </w:r>
            <w:r>
              <w:rPr>
                <w:rFonts w:ascii="宋体" w:hAnsi="宋体" w:eastAsia="宋体" w:cs="Times New Roman"/>
                <w:color w:val="auto"/>
                <w:sz w:val="24"/>
                <w:szCs w:val="24"/>
              </w:rPr>
              <w:t>)</w:t>
            </w:r>
            <w:r>
              <w:rPr>
                <w:rFonts w:hint="eastAsia" w:ascii="宋体" w:hAnsi="宋体" w:eastAsia="宋体" w:cs="Times New Roman"/>
                <w:color w:val="auto"/>
                <w:sz w:val="24"/>
                <w:szCs w:val="24"/>
              </w:rPr>
              <w:t>。</w:t>
            </w:r>
          </w:p>
        </w:tc>
      </w:tr>
      <w:tr w14:paraId="4EFE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73" w:type="dxa"/>
            <w:vAlign w:val="center"/>
          </w:tcPr>
          <w:p w14:paraId="522B92C6">
            <w:pPr>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13</w:t>
            </w:r>
          </w:p>
        </w:tc>
        <w:tc>
          <w:tcPr>
            <w:tcW w:w="1519" w:type="dxa"/>
            <w:vAlign w:val="center"/>
          </w:tcPr>
          <w:p w14:paraId="5DF8B22E">
            <w:pPr>
              <w:spacing w:line="360" w:lineRule="auto"/>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投标有效期</w:t>
            </w:r>
          </w:p>
        </w:tc>
        <w:tc>
          <w:tcPr>
            <w:tcW w:w="7441" w:type="dxa"/>
            <w:vAlign w:val="center"/>
          </w:tcPr>
          <w:p w14:paraId="7F7EB7BB">
            <w:pPr>
              <w:spacing w:line="360" w:lineRule="auto"/>
              <w:jc w:val="left"/>
              <w:rPr>
                <w:rFonts w:ascii="宋体" w:hAnsi="宋体" w:eastAsia="宋体" w:cs="MingLiU_HKSCS"/>
                <w:b/>
                <w:bCs/>
                <w:color w:val="auto"/>
                <w:sz w:val="24"/>
                <w:szCs w:val="24"/>
              </w:rPr>
            </w:pPr>
            <w:r>
              <w:rPr>
                <w:rFonts w:hint="eastAsia" w:ascii="宋体" w:hAnsi="宋体" w:eastAsia="宋体" w:cs="Times New Roman"/>
                <w:b/>
                <w:bCs/>
                <w:color w:val="auto"/>
                <w:sz w:val="24"/>
                <w:szCs w:val="24"/>
              </w:rPr>
              <w:t>自投标文件截止时间起90日</w:t>
            </w:r>
            <w:r>
              <w:rPr>
                <w:rFonts w:ascii="宋体" w:hAnsi="宋体" w:eastAsia="宋体" w:cs="Times New Roman"/>
                <w:b/>
                <w:bCs/>
                <w:color w:val="auto"/>
                <w:sz w:val="24"/>
                <w:szCs w:val="24"/>
              </w:rPr>
              <w:t>(</w:t>
            </w:r>
            <w:r>
              <w:rPr>
                <w:rFonts w:hint="eastAsia" w:ascii="宋体" w:hAnsi="宋体" w:eastAsia="宋体" w:cs="Times New Roman"/>
                <w:b/>
                <w:bCs/>
                <w:color w:val="auto"/>
                <w:sz w:val="24"/>
                <w:szCs w:val="24"/>
              </w:rPr>
              <w:t>日历日</w:t>
            </w:r>
            <w:r>
              <w:rPr>
                <w:rFonts w:ascii="宋体" w:hAnsi="宋体" w:eastAsia="宋体" w:cs="Times New Roman"/>
                <w:b/>
                <w:bCs/>
                <w:color w:val="auto"/>
                <w:sz w:val="24"/>
                <w:szCs w:val="24"/>
              </w:rPr>
              <w:t>)</w:t>
            </w:r>
          </w:p>
        </w:tc>
      </w:tr>
      <w:tr w14:paraId="6D84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973" w:type="dxa"/>
            <w:vAlign w:val="center"/>
          </w:tcPr>
          <w:p w14:paraId="4A77F071">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r>
              <w:rPr>
                <w:rFonts w:ascii="宋体" w:hAnsi="宋体" w:eastAsia="宋体" w:cs="Times New Roman"/>
                <w:color w:val="auto"/>
                <w:sz w:val="24"/>
                <w:szCs w:val="24"/>
              </w:rPr>
              <w:t>4</w:t>
            </w:r>
          </w:p>
        </w:tc>
        <w:tc>
          <w:tcPr>
            <w:tcW w:w="1519" w:type="dxa"/>
            <w:vAlign w:val="center"/>
          </w:tcPr>
          <w:p w14:paraId="4BB6AAB8">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投标文件份数</w:t>
            </w:r>
          </w:p>
        </w:tc>
        <w:tc>
          <w:tcPr>
            <w:tcW w:w="7441" w:type="dxa"/>
            <w:vAlign w:val="center"/>
          </w:tcPr>
          <w:p w14:paraId="770DF1E6">
            <w:pPr>
              <w:adjustRightInd w:val="0"/>
              <w:snapToGrid w:val="0"/>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u w:val="single"/>
              </w:rPr>
              <w:sym w:font="Wingdings 2" w:char="00A3"/>
            </w:r>
            <w:r>
              <w:rPr>
                <w:rFonts w:hint="eastAsia" w:ascii="宋体" w:hAnsi="宋体" w:eastAsia="宋体" w:cs="宋体"/>
                <w:color w:val="auto"/>
                <w:sz w:val="24"/>
                <w:szCs w:val="24"/>
                <w:u w:val="single"/>
              </w:rPr>
              <w:t>采用见面开标</w:t>
            </w:r>
          </w:p>
          <w:p w14:paraId="627514C2">
            <w:pPr>
              <w:adjustRightInd w:val="0"/>
              <w:snapToGrid w:val="0"/>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u w:val="single"/>
              </w:rPr>
              <w:t>投标文件包括：</w:t>
            </w:r>
          </w:p>
          <w:p w14:paraId="66E235A6">
            <w:pPr>
              <w:adjustRightInd w:val="0"/>
              <w:snapToGrid w:val="0"/>
              <w:spacing w:line="360" w:lineRule="auto"/>
              <w:rPr>
                <w:rFonts w:ascii="宋体" w:hAnsi="宋体" w:eastAsia="宋体" w:cs="宋体"/>
                <w:color w:val="auto"/>
                <w:sz w:val="24"/>
                <w:szCs w:val="24"/>
                <w:u w:val="single"/>
              </w:rPr>
            </w:pPr>
            <w:r>
              <w:rPr>
                <w:rFonts w:hint="eastAsia" w:ascii="MS Mincho" w:hAnsi="MS Mincho" w:eastAsia="MS Mincho" w:cs="MS Mincho"/>
                <w:color w:val="auto"/>
                <w:sz w:val="24"/>
                <w:szCs w:val="24"/>
                <w:u w:val="single"/>
              </w:rPr>
              <w:t>☑</w:t>
            </w:r>
            <w:r>
              <w:rPr>
                <w:rFonts w:hint="eastAsia" w:ascii="宋体" w:hAnsi="宋体" w:eastAsia="宋体" w:cs="宋体"/>
                <w:color w:val="auto"/>
                <w:sz w:val="24"/>
                <w:szCs w:val="24"/>
                <w:u w:val="single"/>
              </w:rPr>
              <w:t xml:space="preserve"> 本项目采用不见面开标：</w:t>
            </w:r>
          </w:p>
          <w:p w14:paraId="13B02298">
            <w:pPr>
              <w:adjustRightInd w:val="0"/>
              <w:snapToGrid w:val="0"/>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u w:val="single"/>
              </w:rPr>
              <w:t>1．本项目采用不见面开标、供应商需要递交电子投标文件，加密的电子投标文件，在投标截止时间前通过政采云平台上传到指定位置。无需递交纸质文件。</w:t>
            </w:r>
          </w:p>
          <w:p w14:paraId="7EC5A18A">
            <w:pPr>
              <w:adjustRightInd w:val="0"/>
              <w:snapToGrid w:val="0"/>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u w:val="single"/>
              </w:rPr>
              <w:t>2.本项目采用远程不见面交易的模式。招标当日，供应商无需到达开标现场，仅需在任意地点通过政采云平台完成投标截止时间前签到、开标过程中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w:t>
            </w:r>
          </w:p>
          <w:p w14:paraId="59B41622">
            <w:pPr>
              <w:adjustRightInd w:val="0"/>
              <w:snapToGrid w:val="0"/>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u w:val="single"/>
              </w:rPr>
              <w:t>解密时长：30分钟。</w:t>
            </w:r>
          </w:p>
          <w:p w14:paraId="209CD57A">
            <w:pPr>
              <w:adjustRightInd w:val="0"/>
              <w:snapToGrid w:val="0"/>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u w:val="single"/>
              </w:rPr>
              <w:t>2.参与“不见面”开标的采购人或其委托代理机构、供应商等各交易主体，应当按照规定使用CA数字证书及电子签章。各方主体在系统中所有操作均具有法律效力，并承担法律责任。</w:t>
            </w:r>
          </w:p>
          <w:p w14:paraId="048B8EFC">
            <w:pPr>
              <w:adjustRightInd w:val="0"/>
              <w:snapToGrid w:val="0"/>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u w:val="single"/>
              </w:rPr>
              <w:t>3.供应商由于数字证书遗失、损坏、更换、续期等情况导致投标文件无法解密，由供应商自行承担责任。</w:t>
            </w:r>
          </w:p>
          <w:p w14:paraId="06597E66">
            <w:pPr>
              <w:adjustRightInd w:val="0"/>
              <w:snapToGrid w:val="0"/>
              <w:spacing w:line="360" w:lineRule="auto"/>
              <w:rPr>
                <w:rFonts w:ascii="宋体" w:hAnsi="宋体" w:eastAsia="宋体" w:cs="宋体"/>
                <w:color w:val="auto"/>
                <w:sz w:val="24"/>
                <w:szCs w:val="24"/>
                <w:u w:val="single"/>
              </w:rPr>
            </w:pPr>
            <w:r>
              <w:rPr>
                <w:rFonts w:hint="eastAsia" w:ascii="宋体" w:hAnsi="宋体" w:eastAsia="宋体" w:cs="宋体"/>
                <w:color w:val="auto"/>
                <w:sz w:val="24"/>
                <w:szCs w:val="24"/>
                <w:u w:val="single"/>
              </w:rPr>
              <w:t>4.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38BD76FD">
            <w:pPr>
              <w:spacing w:line="360" w:lineRule="auto"/>
              <w:jc w:val="left"/>
              <w:rPr>
                <w:rFonts w:ascii="宋体" w:hAnsi="宋体" w:eastAsia="宋体" w:cs="Times New Roman"/>
                <w:color w:val="auto"/>
                <w:sz w:val="24"/>
                <w:szCs w:val="24"/>
              </w:rPr>
            </w:pPr>
            <w:r>
              <w:rPr>
                <w:rFonts w:hint="eastAsia" w:ascii="宋体" w:hAnsi="宋体" w:eastAsia="宋体" w:cs="宋体"/>
                <w:color w:val="auto"/>
                <w:sz w:val="24"/>
                <w:szCs w:val="24"/>
                <w:u w:val="single"/>
              </w:rPr>
              <w:t>5.开标、评标过程中，供应商参与远程音视频交互（以下简称“交互”）的法人代表或授权委托人应始终为同一人，中途不得更换，并保持签到的通讯畅通。供应商端口操作人员均被视为供应商法人代表或授权委托人，供应商自行承担随意更换人员所导致的一切后果。</w:t>
            </w:r>
          </w:p>
        </w:tc>
      </w:tr>
      <w:tr w14:paraId="2990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73" w:type="dxa"/>
            <w:vAlign w:val="center"/>
          </w:tcPr>
          <w:p w14:paraId="29238473">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15</w:t>
            </w:r>
          </w:p>
        </w:tc>
        <w:tc>
          <w:tcPr>
            <w:tcW w:w="1519" w:type="dxa"/>
            <w:vAlign w:val="center"/>
          </w:tcPr>
          <w:p w14:paraId="24D1FFDA">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信用查询</w:t>
            </w:r>
          </w:p>
        </w:tc>
        <w:tc>
          <w:tcPr>
            <w:tcW w:w="7441" w:type="dxa"/>
            <w:vAlign w:val="center"/>
          </w:tcPr>
          <w:p w14:paraId="2BBFF343">
            <w:pPr>
              <w:spacing w:line="360" w:lineRule="auto"/>
              <w:jc w:val="left"/>
              <w:rPr>
                <w:rFonts w:ascii="宋体" w:hAnsi="宋体" w:eastAsia="宋体" w:cs="Courier New"/>
                <w:color w:val="auto"/>
                <w:sz w:val="24"/>
                <w:szCs w:val="24"/>
              </w:rPr>
            </w:pPr>
            <w:r>
              <w:rPr>
                <w:rFonts w:ascii="宋体" w:hAnsi="宋体" w:eastAsia="宋体" w:cs="Courier New"/>
                <w:color w:val="auto"/>
                <w:sz w:val="24"/>
                <w:szCs w:val="24"/>
              </w:rPr>
              <w:fldChar w:fldCharType="begin"/>
            </w:r>
            <w:r>
              <w:rPr>
                <w:rFonts w:hint="eastAsia" w:ascii="宋体" w:hAnsi="宋体" w:eastAsia="宋体" w:cs="Courier New"/>
                <w:color w:val="auto"/>
                <w:sz w:val="24"/>
                <w:szCs w:val="24"/>
              </w:rPr>
              <w:instrText xml:space="preserve">eq \o\ac(□,√)</w:instrText>
            </w:r>
            <w:r>
              <w:rPr>
                <w:rFonts w:ascii="宋体" w:hAnsi="宋体" w:eastAsia="宋体" w:cs="Courier New"/>
                <w:color w:val="auto"/>
                <w:sz w:val="24"/>
                <w:szCs w:val="24"/>
              </w:rPr>
              <w:fldChar w:fldCharType="end"/>
            </w:r>
            <w:r>
              <w:rPr>
                <w:rFonts w:hint="eastAsia" w:ascii="宋体" w:hAnsi="宋体" w:eastAsia="宋体" w:cs="Courier New"/>
                <w:color w:val="auto"/>
                <w:sz w:val="24"/>
                <w:szCs w:val="24"/>
              </w:rPr>
              <w:t>采购人或采购代理机构将通过“信用中国”网站</w:t>
            </w:r>
            <w:r>
              <w:rPr>
                <w:rFonts w:ascii="宋体" w:hAnsi="宋体" w:eastAsia="宋体" w:cs="Courier New"/>
                <w:color w:val="auto"/>
                <w:sz w:val="24"/>
                <w:szCs w:val="24"/>
              </w:rPr>
              <w:t>(www. creditchina. gov.cn)</w:t>
            </w:r>
            <w:r>
              <w:rPr>
                <w:rFonts w:hint="eastAsia" w:ascii="宋体" w:hAnsi="宋体" w:eastAsia="宋体" w:cs="Courier New"/>
                <w:color w:val="auto"/>
                <w:sz w:val="24"/>
                <w:szCs w:val="24"/>
              </w:rPr>
              <w:t>、“中国政府采购网”</w:t>
            </w:r>
            <w:r>
              <w:rPr>
                <w:rFonts w:ascii="宋体" w:hAnsi="宋体" w:eastAsia="宋体" w:cs="Courier New"/>
                <w:color w:val="auto"/>
                <w:sz w:val="24"/>
                <w:szCs w:val="24"/>
              </w:rPr>
              <w:t>(</w:t>
            </w:r>
            <w:r>
              <w:rPr>
                <w:color w:val="auto"/>
              </w:rPr>
              <w:fldChar w:fldCharType="begin"/>
            </w:r>
            <w:r>
              <w:rPr>
                <w:color w:val="auto"/>
              </w:rPr>
              <w:instrText xml:space="preserve"> HYPERLINK "http://www.ccgp.gov.cn" </w:instrText>
            </w:r>
            <w:r>
              <w:rPr>
                <w:color w:val="auto"/>
              </w:rPr>
              <w:fldChar w:fldCharType="separate"/>
            </w:r>
            <w:r>
              <w:rPr>
                <w:rFonts w:ascii="宋体" w:hAnsi="宋体" w:eastAsia="宋体" w:cs="Courier New"/>
                <w:color w:val="auto"/>
                <w:sz w:val="24"/>
                <w:u w:val="single"/>
              </w:rPr>
              <w:t>www.ccgp.gov.cn</w:t>
            </w:r>
            <w:r>
              <w:rPr>
                <w:rFonts w:ascii="宋体" w:hAnsi="宋体" w:eastAsia="宋体" w:cs="Courier New"/>
                <w:color w:val="auto"/>
                <w:sz w:val="24"/>
                <w:u w:val="single"/>
              </w:rPr>
              <w:fldChar w:fldCharType="end"/>
            </w:r>
            <w:r>
              <w:rPr>
                <w:rFonts w:ascii="宋体" w:hAnsi="宋体" w:eastAsia="宋体" w:cs="Courier New"/>
                <w:color w:val="auto"/>
                <w:sz w:val="24"/>
                <w:szCs w:val="24"/>
              </w:rPr>
              <w:t>)</w:t>
            </w:r>
            <w:r>
              <w:rPr>
                <w:rFonts w:hint="eastAsia" w:ascii="宋体" w:hAnsi="宋体" w:eastAsia="宋体" w:cs="Courier New"/>
                <w:color w:val="auto"/>
                <w:sz w:val="24"/>
                <w:szCs w:val="24"/>
              </w:rPr>
              <w:t>、“中国执行信息公开网”（http://zxgk.court.gov.cn/）”查询相关主体信用记录。</w:t>
            </w:r>
          </w:p>
          <w:p w14:paraId="5DBEFF64">
            <w:pPr>
              <w:spacing w:line="360" w:lineRule="auto"/>
              <w:jc w:val="left"/>
              <w:rPr>
                <w:rFonts w:ascii="宋体" w:hAnsi="宋体" w:eastAsia="宋体" w:cs="Times New Roman"/>
                <w:color w:val="auto"/>
                <w:sz w:val="24"/>
                <w:szCs w:val="24"/>
              </w:rPr>
            </w:pPr>
            <w:r>
              <w:rPr>
                <w:rFonts w:hint="eastAsia" w:ascii="宋体" w:hAnsi="宋体" w:eastAsia="宋体" w:cs="Courier New"/>
                <w:color w:val="auto"/>
                <w:sz w:val="24"/>
                <w:szCs w:val="24"/>
              </w:rPr>
              <w:t>□供应商自行查询上述记录，如实提供无不良信用记录承诺并加盖供应商公章。</w:t>
            </w:r>
          </w:p>
        </w:tc>
      </w:tr>
      <w:tr w14:paraId="3CF5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73" w:type="dxa"/>
            <w:vAlign w:val="center"/>
          </w:tcPr>
          <w:p w14:paraId="103E8893">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16</w:t>
            </w:r>
          </w:p>
        </w:tc>
        <w:tc>
          <w:tcPr>
            <w:tcW w:w="1519" w:type="dxa"/>
            <w:vAlign w:val="center"/>
          </w:tcPr>
          <w:p w14:paraId="1E2C2051">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定标原则</w:t>
            </w:r>
          </w:p>
        </w:tc>
        <w:tc>
          <w:tcPr>
            <w:tcW w:w="7441" w:type="dxa"/>
            <w:vAlign w:val="center"/>
          </w:tcPr>
          <w:p w14:paraId="0FCEF876">
            <w:pPr>
              <w:spacing w:line="360" w:lineRule="auto"/>
              <w:jc w:val="left"/>
              <w:rPr>
                <w:rFonts w:ascii="宋体" w:hAnsi="宋体" w:eastAsia="宋体" w:cs="Times New Roman"/>
                <w:color w:val="auto"/>
                <w:sz w:val="24"/>
                <w:szCs w:val="24"/>
              </w:rPr>
            </w:pPr>
            <w:r>
              <w:rPr>
                <w:rFonts w:hint="eastAsia" w:ascii="宋体" w:hAnsi="宋体" w:eastAsia="宋体" w:cs="Times New Roman"/>
                <w:color w:val="auto"/>
                <w:sz w:val="24"/>
                <w:szCs w:val="24"/>
              </w:rPr>
              <w:t>采购人在评标报告确定的中标候选人名单中按顺序确定中标人。</w:t>
            </w:r>
          </w:p>
        </w:tc>
      </w:tr>
      <w:tr w14:paraId="51F5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73" w:type="dxa"/>
            <w:vAlign w:val="center"/>
          </w:tcPr>
          <w:p w14:paraId="1943269E">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17</w:t>
            </w:r>
          </w:p>
        </w:tc>
        <w:tc>
          <w:tcPr>
            <w:tcW w:w="1519" w:type="dxa"/>
            <w:vAlign w:val="center"/>
          </w:tcPr>
          <w:p w14:paraId="483DDB55">
            <w:pPr>
              <w:spacing w:line="360" w:lineRule="auto"/>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服务期限、服务地点</w:t>
            </w:r>
          </w:p>
        </w:tc>
        <w:tc>
          <w:tcPr>
            <w:tcW w:w="7441" w:type="dxa"/>
            <w:vAlign w:val="center"/>
          </w:tcPr>
          <w:p w14:paraId="61DEAE5A">
            <w:pPr>
              <w:spacing w:line="360" w:lineRule="auto"/>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服务期限：自合同签订之日起至2026年6月</w:t>
            </w:r>
          </w:p>
          <w:p w14:paraId="0D98BC33">
            <w:pPr>
              <w:spacing w:line="360" w:lineRule="auto"/>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服务地点：采购人指定地点</w:t>
            </w:r>
          </w:p>
        </w:tc>
      </w:tr>
      <w:tr w14:paraId="6EA1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73" w:type="dxa"/>
            <w:vAlign w:val="center"/>
          </w:tcPr>
          <w:p w14:paraId="7604FB61">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18</w:t>
            </w:r>
          </w:p>
        </w:tc>
        <w:tc>
          <w:tcPr>
            <w:tcW w:w="1519" w:type="dxa"/>
            <w:vAlign w:val="center"/>
          </w:tcPr>
          <w:p w14:paraId="39B51C64">
            <w:pPr>
              <w:spacing w:line="360" w:lineRule="auto"/>
              <w:jc w:val="center"/>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采购资金的支付方式及时间</w:t>
            </w:r>
          </w:p>
        </w:tc>
        <w:tc>
          <w:tcPr>
            <w:tcW w:w="7441" w:type="dxa"/>
            <w:vAlign w:val="center"/>
          </w:tcPr>
          <w:p w14:paraId="00BE80DD">
            <w:pPr>
              <w:numPr>
                <w:ilvl w:val="255"/>
                <w:numId w:val="0"/>
              </w:numPr>
              <w:spacing w:line="360" w:lineRule="auto"/>
              <w:outlineLvl w:val="0"/>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分期付款</w:t>
            </w:r>
          </w:p>
          <w:p w14:paraId="2145F8C2">
            <w:pPr>
              <w:numPr>
                <w:ilvl w:val="255"/>
                <w:numId w:val="0"/>
              </w:numPr>
              <w:spacing w:line="360" w:lineRule="auto"/>
              <w:outlineLvl w:val="0"/>
              <w:rPr>
                <w:rFonts w:hint="default"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签订合同后2个月后支付至合同金额的75%；年底支付至合同金额的20%；2026年6月底支付至合同金额的5%；</w:t>
            </w:r>
          </w:p>
        </w:tc>
      </w:tr>
      <w:tr w14:paraId="7526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3" w:type="dxa"/>
            <w:vAlign w:val="center"/>
          </w:tcPr>
          <w:p w14:paraId="1D6C391E">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19</w:t>
            </w:r>
          </w:p>
        </w:tc>
        <w:tc>
          <w:tcPr>
            <w:tcW w:w="1519" w:type="dxa"/>
            <w:vAlign w:val="center"/>
          </w:tcPr>
          <w:p w14:paraId="78410F1D">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履约保证金</w:t>
            </w:r>
          </w:p>
        </w:tc>
        <w:tc>
          <w:tcPr>
            <w:tcW w:w="7441" w:type="dxa"/>
            <w:vAlign w:val="center"/>
          </w:tcPr>
          <w:p w14:paraId="2A61EFAE">
            <w:pPr>
              <w:spacing w:line="360" w:lineRule="auto"/>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sym w:font="Wingdings 2" w:char="0052"/>
            </w:r>
            <w:r>
              <w:rPr>
                <w:rFonts w:hint="eastAsia" w:ascii="宋体" w:hAnsi="宋体" w:eastAsia="宋体" w:cs="Courier New"/>
                <w:color w:val="auto"/>
                <w:sz w:val="24"/>
                <w:szCs w:val="24"/>
                <w:highlight w:val="none"/>
              </w:rPr>
              <w:t>不</w:t>
            </w:r>
            <w:r>
              <w:rPr>
                <w:rFonts w:hint="eastAsia" w:ascii="宋体" w:hAnsi="宋体" w:eastAsia="宋体" w:cs="Times New Roman"/>
                <w:color w:val="auto"/>
                <w:sz w:val="24"/>
                <w:szCs w:val="24"/>
                <w:highlight w:val="none"/>
              </w:rPr>
              <w:t>要求提供</w:t>
            </w:r>
          </w:p>
          <w:p w14:paraId="47910360">
            <w:pPr>
              <w:spacing w:line="360" w:lineRule="auto"/>
              <w:jc w:val="left"/>
              <w:rPr>
                <w:rFonts w:ascii="宋体" w:hAnsi="宋体" w:eastAsia="宋体" w:cs="Times New Roman"/>
                <w:color w:val="auto"/>
                <w:sz w:val="24"/>
                <w:szCs w:val="24"/>
                <w:highlight w:val="none"/>
              </w:rPr>
            </w:pPr>
            <w:r>
              <w:rPr>
                <w:rFonts w:ascii="宋体" w:hAnsi="宋体" w:eastAsia="宋体" w:cs="Courier New"/>
                <w:color w:val="auto"/>
                <w:sz w:val="24"/>
                <w:szCs w:val="24"/>
                <w:highlight w:val="none"/>
              </w:rPr>
              <w:fldChar w:fldCharType="begin"/>
            </w:r>
            <w:r>
              <w:rPr>
                <w:rFonts w:hint="eastAsia" w:ascii="宋体" w:hAnsi="宋体" w:eastAsia="宋体" w:cs="Courier New"/>
                <w:color w:val="auto"/>
                <w:sz w:val="24"/>
                <w:szCs w:val="24"/>
                <w:highlight w:val="none"/>
              </w:rPr>
              <w:instrText xml:space="preserve">eq \o\ac(□)</w:instrText>
            </w:r>
            <w:r>
              <w:rPr>
                <w:rFonts w:ascii="宋体" w:hAnsi="宋体" w:eastAsia="宋体" w:cs="Courier New"/>
                <w:color w:val="auto"/>
                <w:sz w:val="24"/>
                <w:szCs w:val="24"/>
                <w:highlight w:val="none"/>
              </w:rPr>
              <w:fldChar w:fldCharType="end"/>
            </w:r>
            <w:r>
              <w:rPr>
                <w:rFonts w:hint="eastAsia" w:ascii="宋体" w:hAnsi="宋体" w:eastAsia="宋体" w:cs="Times New Roman"/>
                <w:color w:val="auto"/>
                <w:sz w:val="24"/>
                <w:szCs w:val="24"/>
                <w:highlight w:val="none"/>
              </w:rPr>
              <w:t>要求提供</w:t>
            </w:r>
          </w:p>
        </w:tc>
      </w:tr>
      <w:tr w14:paraId="4681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3" w:type="dxa"/>
            <w:vAlign w:val="center"/>
          </w:tcPr>
          <w:p w14:paraId="11B5A6BD">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20</w:t>
            </w:r>
          </w:p>
        </w:tc>
        <w:tc>
          <w:tcPr>
            <w:tcW w:w="1519" w:type="dxa"/>
            <w:vAlign w:val="center"/>
          </w:tcPr>
          <w:p w14:paraId="447FCC56">
            <w:pPr>
              <w:spacing w:line="360" w:lineRule="auto"/>
              <w:jc w:val="center"/>
              <w:rPr>
                <w:rFonts w:ascii="宋体" w:hAnsi="宋体" w:eastAsia="宋体" w:cs="Times New Roman"/>
                <w:color w:val="auto"/>
                <w:sz w:val="24"/>
                <w:szCs w:val="24"/>
              </w:rPr>
            </w:pPr>
            <w:r>
              <w:rPr>
                <w:rFonts w:hint="eastAsia" w:ascii="宋体" w:hAnsi="宋体" w:eastAsia="宋体" w:cs="Courier New"/>
                <w:color w:val="auto"/>
                <w:sz w:val="24"/>
                <w:szCs w:val="24"/>
              </w:rPr>
              <w:t>招标文件的澄清或修改</w:t>
            </w:r>
          </w:p>
        </w:tc>
        <w:tc>
          <w:tcPr>
            <w:tcW w:w="7441" w:type="dxa"/>
            <w:vAlign w:val="center"/>
          </w:tcPr>
          <w:p w14:paraId="2DA597C2">
            <w:pPr>
              <w:spacing w:line="360" w:lineRule="auto"/>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投标截止时间15日前，供应商应留意政采云平台采购项目通知。</w:t>
            </w:r>
          </w:p>
          <w:p w14:paraId="46A0F080">
            <w:pPr>
              <w:spacing w:line="360" w:lineRule="auto"/>
              <w:jc w:val="left"/>
              <w:rPr>
                <w:rFonts w:ascii="宋体" w:hAnsi="宋体" w:eastAsia="宋体" w:cs="Times New Roman"/>
                <w:color w:val="auto"/>
                <w:sz w:val="24"/>
                <w:szCs w:val="24"/>
              </w:rPr>
            </w:pPr>
            <w:r>
              <w:rPr>
                <w:rFonts w:hint="eastAsia" w:ascii="宋体" w:hAnsi="宋体" w:eastAsia="宋体" w:cs="Courier New"/>
                <w:color w:val="auto"/>
                <w:kern w:val="0"/>
                <w:sz w:val="24"/>
                <w:szCs w:val="24"/>
              </w:rPr>
              <w:t>在投标文件递交截止期前的任何时候，无论出于何种原因，采购人均可主动地或在解答供应商提出的澄清问题时对招标进行修改。</w:t>
            </w:r>
          </w:p>
        </w:tc>
      </w:tr>
      <w:tr w14:paraId="7629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41DFE943">
            <w:pPr>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2</w:t>
            </w:r>
            <w:r>
              <w:rPr>
                <w:rFonts w:hint="eastAsia" w:ascii="宋体" w:hAnsi="宋体" w:eastAsia="宋体" w:cs="Times New Roman"/>
                <w:color w:val="auto"/>
                <w:sz w:val="24"/>
                <w:szCs w:val="24"/>
              </w:rPr>
              <w:t>1</w:t>
            </w:r>
          </w:p>
        </w:tc>
        <w:tc>
          <w:tcPr>
            <w:tcW w:w="1519" w:type="dxa"/>
            <w:vAlign w:val="center"/>
          </w:tcPr>
          <w:p w14:paraId="5C3CA934">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招标代理服务费</w:t>
            </w:r>
          </w:p>
        </w:tc>
        <w:tc>
          <w:tcPr>
            <w:tcW w:w="7441" w:type="dxa"/>
            <w:vAlign w:val="center"/>
          </w:tcPr>
          <w:p w14:paraId="03401310">
            <w:pPr>
              <w:adjustRightInd w:val="0"/>
              <w:snapToGrid w:val="0"/>
              <w:spacing w:line="360" w:lineRule="auto"/>
              <w:jc w:val="left"/>
              <w:rPr>
                <w:rFonts w:ascii="宋体" w:hAnsi="宋体" w:eastAsia="宋体" w:cs="仿宋"/>
                <w:color w:val="auto"/>
                <w:sz w:val="24"/>
                <w:szCs w:val="24"/>
                <w:u w:val="single"/>
              </w:rPr>
            </w:pPr>
            <w:r>
              <w:rPr>
                <w:rFonts w:hint="eastAsia" w:ascii="宋体" w:hAnsi="宋体" w:eastAsia="宋体" w:cs="仿宋"/>
                <w:color w:val="auto"/>
                <w:sz w:val="24"/>
                <w:szCs w:val="24"/>
              </w:rPr>
              <w:t>1、代理报酬支付方式：</w:t>
            </w:r>
            <w:r>
              <w:rPr>
                <w:rFonts w:hint="eastAsia" w:ascii="宋体" w:hAnsi="宋体" w:eastAsia="宋体" w:cs="仿宋"/>
                <w:color w:val="auto"/>
                <w:sz w:val="24"/>
                <w:szCs w:val="24"/>
                <w:u w:val="single"/>
              </w:rPr>
              <w:t>由中标人支付。</w:t>
            </w:r>
          </w:p>
          <w:p w14:paraId="7128EDDB">
            <w:pPr>
              <w:adjustRightInd w:val="0"/>
              <w:snapToGrid w:val="0"/>
              <w:spacing w:line="360" w:lineRule="auto"/>
              <w:jc w:val="left"/>
              <w:rPr>
                <w:rFonts w:ascii="宋体" w:hAnsi="宋体" w:eastAsia="宋体" w:cs="仿宋"/>
                <w:color w:val="auto"/>
                <w:sz w:val="24"/>
                <w:szCs w:val="24"/>
                <w:u w:val="single"/>
              </w:rPr>
            </w:pPr>
            <w:r>
              <w:rPr>
                <w:rFonts w:hint="eastAsia" w:ascii="宋体" w:hAnsi="宋体" w:eastAsia="宋体" w:cs="仿宋"/>
                <w:color w:val="auto"/>
                <w:sz w:val="24"/>
                <w:szCs w:val="24"/>
              </w:rPr>
              <w:t>2、代理报酬的支付时间：</w:t>
            </w:r>
            <w:r>
              <w:rPr>
                <w:rFonts w:hint="eastAsia" w:ascii="宋体" w:hAnsi="宋体" w:eastAsia="宋体" w:cs="仿宋"/>
                <w:color w:val="auto"/>
                <w:sz w:val="24"/>
                <w:szCs w:val="24"/>
                <w:u w:val="single"/>
              </w:rPr>
              <w:t>由中标人领取中标通知书前支付。</w:t>
            </w:r>
          </w:p>
          <w:p w14:paraId="04B31A49">
            <w:pPr>
              <w:adjustRightInd w:val="0"/>
              <w:snapToGrid w:val="0"/>
              <w:spacing w:line="360" w:lineRule="auto"/>
              <w:jc w:val="left"/>
              <w:rPr>
                <w:rFonts w:ascii="宋体" w:hAnsi="宋体" w:eastAsia="宋体" w:cs="Times New Roman"/>
                <w:color w:val="auto"/>
                <w:sz w:val="24"/>
                <w:szCs w:val="24"/>
              </w:rPr>
            </w:pPr>
            <w:r>
              <w:rPr>
                <w:rFonts w:hint="eastAsia" w:ascii="宋体" w:hAnsi="宋体" w:eastAsia="宋体" w:cs="仿宋"/>
                <w:color w:val="auto"/>
                <w:sz w:val="24"/>
                <w:szCs w:val="24"/>
              </w:rPr>
              <w:t>3、代理服务费收费标准：</w:t>
            </w:r>
            <w:r>
              <w:rPr>
                <w:rFonts w:hint="eastAsia" w:ascii="宋体" w:hAnsi="宋体" w:eastAsia="宋体" w:cs="仿宋"/>
                <w:color w:val="auto"/>
                <w:sz w:val="24"/>
                <w:szCs w:val="24"/>
                <w:u w:val="single"/>
              </w:rPr>
              <w:t>参照发改价格[2011]534号及计价格[2002]1980号文件计算的招标代理服务收费标准。</w:t>
            </w:r>
          </w:p>
        </w:tc>
      </w:tr>
      <w:tr w14:paraId="431D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227E2D8F">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23</w:t>
            </w:r>
          </w:p>
        </w:tc>
        <w:tc>
          <w:tcPr>
            <w:tcW w:w="1519" w:type="dxa"/>
            <w:vAlign w:val="center"/>
          </w:tcPr>
          <w:p w14:paraId="6CE033F8">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政府采购支持政策</w:t>
            </w:r>
          </w:p>
        </w:tc>
        <w:tc>
          <w:tcPr>
            <w:tcW w:w="7441" w:type="dxa"/>
            <w:vAlign w:val="center"/>
          </w:tcPr>
          <w:p w14:paraId="672723F7">
            <w:pPr>
              <w:pStyle w:val="18"/>
              <w:spacing w:line="360" w:lineRule="auto"/>
              <w:jc w:val="left"/>
              <w:rPr>
                <w:rFonts w:hAnsi="宋体" w:cs="宋体"/>
                <w:color w:val="auto"/>
                <w:sz w:val="24"/>
                <w:szCs w:val="24"/>
              </w:rPr>
            </w:pPr>
            <w:r>
              <w:rPr>
                <w:rFonts w:hint="eastAsia" w:hAnsi="宋体" w:cs="宋体"/>
                <w:color w:val="auto"/>
                <w:sz w:val="24"/>
                <w:szCs w:val="24"/>
              </w:rPr>
              <w:t>本项目为非专门面向中小企业（含中型、小型、微型企业）采购项目，根据《政府采购促进中小企业发展管理办法》（财库[2020]46 号）、《关于进一步加大政府采购支持中小企业力度的通知》（财库[2022]19 号）及《关于落实好政府采购支持中小企业发展的通知》（新财购[2022]22 号）的规定，评标时将给予此类企业进行价格10%的优惠，监狱企业、残疾人福利性单位视同为小微企业，用优惠后的价格参与评审。</w:t>
            </w:r>
          </w:p>
          <w:p w14:paraId="2E23C30B">
            <w:pPr>
              <w:spacing w:line="360" w:lineRule="auto"/>
              <w:jc w:val="left"/>
              <w:rPr>
                <w:rFonts w:ascii="宋体" w:hAnsi="宋体" w:eastAsia="宋体" w:cs="Times New Roman"/>
                <w:color w:val="auto"/>
                <w:sz w:val="24"/>
                <w:szCs w:val="24"/>
              </w:rPr>
            </w:pPr>
            <w:r>
              <w:rPr>
                <w:rFonts w:hint="eastAsia" w:hAnsi="宋体" w:cs="宋体"/>
                <w:color w:val="auto"/>
                <w:sz w:val="24"/>
              </w:rPr>
              <w:t>本项目采购标的对应的中小企业划分标准</w:t>
            </w:r>
            <w:r>
              <w:rPr>
                <w:rFonts w:hint="eastAsia" w:hAnsi="宋体" w:cs="宋体"/>
                <w:color w:val="auto"/>
                <w:sz w:val="24"/>
                <w:highlight w:val="none"/>
              </w:rPr>
              <w:t>所属行业大类为</w:t>
            </w:r>
            <w:r>
              <w:rPr>
                <w:rFonts w:hint="eastAsia" w:hAnsi="宋体" w:cs="宋体"/>
                <w:b/>
                <w:bCs/>
                <w:color w:val="auto"/>
                <w:sz w:val="24"/>
                <w:szCs w:val="24"/>
                <w:highlight w:val="none"/>
                <w:u w:val="single"/>
              </w:rPr>
              <w:t>其他未列明行业</w:t>
            </w:r>
            <w:r>
              <w:rPr>
                <w:rFonts w:hint="eastAsia" w:hAnsi="宋体" w:cs="宋体"/>
                <w:color w:val="auto"/>
                <w:sz w:val="24"/>
                <w:highlight w:val="none"/>
              </w:rPr>
              <w:t>。</w:t>
            </w:r>
          </w:p>
        </w:tc>
      </w:tr>
    </w:tbl>
    <w:p w14:paraId="055DBDE5">
      <w:pPr>
        <w:pStyle w:val="4"/>
        <w:bidi w:val="0"/>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r>
        <w:rPr>
          <w:rFonts w:hint="eastAsia" w:ascii="宋体" w:hAnsi="宋体" w:cs="Times New Roman"/>
          <w:color w:val="000000" w:themeColor="text1"/>
          <w:kern w:val="0"/>
          <w:sz w:val="20"/>
          <w:szCs w:val="21"/>
          <w:lang w:eastAsia="zh-CN"/>
          <w14:textFill>
            <w14:solidFill>
              <w14:schemeClr w14:val="tx1"/>
            </w14:solidFill>
          </w14:textFill>
        </w:rPr>
        <w:t>（</w:t>
      </w:r>
      <w:r>
        <w:rPr>
          <w:rFonts w:hint="eastAsia" w:ascii="宋体" w:hAnsi="宋体" w:cs="Times New Roman"/>
          <w:color w:val="000000" w:themeColor="text1"/>
          <w:kern w:val="0"/>
          <w:sz w:val="20"/>
          <w:szCs w:val="21"/>
          <w:lang w:val="en-US" w:eastAsia="zh-CN"/>
          <w14:textFill>
            <w14:solidFill>
              <w14:schemeClr w14:val="tx1"/>
            </w14:solidFill>
          </w14:textFill>
        </w:rPr>
        <w:t>二</w:t>
      </w:r>
      <w:r>
        <w:rPr>
          <w:rFonts w:hint="eastAsia" w:ascii="宋体" w:hAnsi="宋体" w:cs="Times New Roman"/>
          <w:color w:val="000000" w:themeColor="text1"/>
          <w:kern w:val="0"/>
          <w:sz w:val="20"/>
          <w:szCs w:val="21"/>
          <w:lang w:eastAsia="zh-CN"/>
          <w14:textFill>
            <w14:solidFill>
              <w14:schemeClr w14:val="tx1"/>
            </w14:solidFill>
          </w14:textFill>
        </w:rPr>
        <w:t>）</w:t>
      </w:r>
      <w:r>
        <w:rPr>
          <w:rFonts w:hint="eastAsia" w:eastAsia="宋体" w:cs="Times New Roman"/>
          <w:lang w:eastAsia="zh-CN"/>
        </w:rPr>
        <w:t>供应商须知正文</w:t>
      </w:r>
    </w:p>
    <w:p w14:paraId="0B82310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一、总则</w:t>
      </w:r>
    </w:p>
    <w:p w14:paraId="0F8E2D4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定义</w:t>
      </w:r>
    </w:p>
    <w:p w14:paraId="0A37188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　“采购人”是指依法进行政府采购的国家机关、事业单位、团体组织。本次政府采购的采购人名称、地址、电话、联系人见供应商须知前附表。</w:t>
      </w:r>
    </w:p>
    <w:p w14:paraId="15C5A88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　“采购代理机构”是指集中采购机构和集中采购机构以外的采购代理机构。本次政府采购的采购代理机构名称、地址、电话、联系人见供应商须知前附表。</w:t>
      </w:r>
    </w:p>
    <w:p w14:paraId="6069742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1.3</w:t>
      </w:r>
      <w:r>
        <w:rPr>
          <w:rFonts w:hint="eastAsia" w:ascii="宋体" w:hAnsi="宋体" w:eastAsia="宋体" w:cs="Times New Roman"/>
          <w:color w:val="000000" w:themeColor="text1"/>
          <w:kern w:val="0"/>
          <w:sz w:val="24"/>
          <w:szCs w:val="24"/>
          <w14:textFill>
            <w14:solidFill>
              <w14:schemeClr w14:val="tx1"/>
            </w14:solidFill>
          </w14:textFill>
        </w:rPr>
        <w:t>　“供应商”是响应招标文件并且符合招标文件规定资格条件和参加投标竞争的法人、其他组织或者自然人。</w:t>
      </w:r>
    </w:p>
    <w:p w14:paraId="00BF5C9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　“评标委员会”是依据《政府采购货物和服务招标投标管理办法》有关规定组建，依法履行评审采购活动职责的评审成员。</w:t>
      </w:r>
    </w:p>
    <w:p w14:paraId="3230BC8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　“货物”是指各种形态和种类的物品，包括原材料、燃料、设备、产品等。</w:t>
      </w:r>
    </w:p>
    <w:p w14:paraId="0279FB3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采购项目预算</w:t>
      </w:r>
    </w:p>
    <w:p w14:paraId="2B4140B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2.1</w:t>
      </w:r>
      <w:r>
        <w:rPr>
          <w:rFonts w:hint="eastAsia" w:ascii="宋体" w:hAnsi="宋体" w:eastAsia="宋体" w:cs="Times New Roman"/>
          <w:color w:val="000000" w:themeColor="text1"/>
          <w:kern w:val="0"/>
          <w:sz w:val="24"/>
          <w:szCs w:val="24"/>
          <w14:textFill>
            <w14:solidFill>
              <w14:schemeClr w14:val="tx1"/>
            </w14:solidFill>
          </w14:textFill>
        </w:rPr>
        <w:t>　预算金额见供应商须知前附表。</w:t>
      </w:r>
    </w:p>
    <w:p w14:paraId="1AA1FD3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供应商的资格要求</w:t>
      </w:r>
    </w:p>
    <w:p w14:paraId="67946ED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Courier New"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满足《</w:t>
      </w:r>
      <w:r>
        <w:rPr>
          <w:rFonts w:hint="eastAsia" w:ascii="宋体" w:hAnsi="宋体" w:eastAsia="宋体" w:cs="Times New Roman"/>
          <w:color w:val="000000" w:themeColor="text1"/>
          <w:kern w:val="0"/>
          <w:sz w:val="24"/>
          <w:szCs w:val="24"/>
          <w14:textFill>
            <w14:solidFill>
              <w14:schemeClr w14:val="tx1"/>
            </w14:solidFill>
          </w14:textFill>
        </w:rPr>
        <w:t>中华人民共和国政府采购法</w:t>
      </w:r>
      <w:r>
        <w:rPr>
          <w:rFonts w:ascii="宋体" w:hAnsi="宋体" w:eastAsia="宋体" w:cs="Times New Roman"/>
          <w:color w:val="000000" w:themeColor="text1"/>
          <w:kern w:val="0"/>
          <w:sz w:val="24"/>
          <w:szCs w:val="24"/>
          <w14:textFill>
            <w14:solidFill>
              <w14:schemeClr w14:val="tx1"/>
            </w14:solidFill>
          </w14:textFill>
        </w:rPr>
        <w:t>》第二十二条规定；</w:t>
      </w:r>
    </w:p>
    <w:p w14:paraId="5496058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具有独立承担民事责任的能力；</w:t>
      </w:r>
    </w:p>
    <w:p w14:paraId="5DB9F37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具有良好的商业信誉和健全的财务会计制度；</w:t>
      </w:r>
    </w:p>
    <w:p w14:paraId="5EA0703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具有履行合同所必需的设备和专业技术能力；</w:t>
      </w:r>
    </w:p>
    <w:p w14:paraId="7DFF3A6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有依法缴纳税收和社会保障资金的良好记录；</w:t>
      </w:r>
    </w:p>
    <w:p w14:paraId="37CB61A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参加政府采购活动前三年内，在经营活动中没有重大违法记录；</w:t>
      </w:r>
    </w:p>
    <w:p w14:paraId="42495F2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中华人民共和国政府采购法律法规相关规定的其他条件。</w:t>
      </w:r>
    </w:p>
    <w:p w14:paraId="3797FD5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3.2  采购项目需要落实的政府采购政策:符合政府采购优先（节约能源、保护环境）采购政策及促进中小企业（监狱企业、残疾人福利性单位）发展政策的，依据规定给予评审优惠。</w:t>
      </w:r>
    </w:p>
    <w:p w14:paraId="6CF0A84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3.3  本项目的特定资格要求：</w:t>
      </w:r>
    </w:p>
    <w:p w14:paraId="6F67BC5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lang w:eastAsia="zh-CN"/>
          <w14:textFill>
            <w14:solidFill>
              <w14:schemeClr w14:val="tx1"/>
            </w14:solidFill>
          </w14:textFill>
        </w:rPr>
        <w:t>凡拟参加本次采购项目的供应商须具有良好的信誉，未在“信用中国”网站（www.creditchina.gov.cn）被列入重大税收违法失信主体、政府采购严重违法失信名单的（尚在处罚期内的）、未在“中国执行信息公开网”（http://zxgk.court.gov.cn/）网站被列入失信被执行人、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加本次招标活动</w:t>
      </w:r>
      <w:r>
        <w:rPr>
          <w:rFonts w:hint="eastAsia" w:ascii="宋体" w:hAnsi="宋体" w:eastAsia="宋体" w:cs="Times New Roman"/>
          <w:color w:val="000000" w:themeColor="text1"/>
          <w:kern w:val="0"/>
          <w:sz w:val="24"/>
          <w:szCs w:val="24"/>
          <w14:textFill>
            <w14:solidFill>
              <w14:schemeClr w14:val="tx1"/>
            </w14:solidFill>
          </w14:textFill>
        </w:rPr>
        <w:t>将拒绝其参加本次招标活动。</w:t>
      </w:r>
    </w:p>
    <w:p w14:paraId="733CFB3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3.4  投标人存在下列情形之一的不得参加投标：</w:t>
      </w:r>
    </w:p>
    <w:p w14:paraId="6AFA022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17A4750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4.1</w:t>
      </w:r>
      <w:r>
        <w:rPr>
          <w:rFonts w:hint="eastAsia" w:ascii="宋体" w:hAnsi="宋体" w:eastAsia="宋体" w:cs="Times New Roman"/>
          <w:color w:val="000000" w:themeColor="text1"/>
          <w:kern w:val="0"/>
          <w:sz w:val="24"/>
          <w:szCs w:val="24"/>
          <w14:textFill>
            <w14:solidFill>
              <w14:schemeClr w14:val="tx1"/>
            </w14:solidFill>
          </w14:textFill>
        </w:rPr>
        <w:t>　供应商应自行承担所有参与投标的相关费用，不论投标的结果如何，采购人或者采购代理机构均无义务和责任承担这些费用。</w:t>
      </w:r>
    </w:p>
    <w:p w14:paraId="6BD51D8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授权委托</w:t>
      </w:r>
    </w:p>
    <w:p w14:paraId="226F197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供应商代表不是供应商的法定代表人的，应当提供法定代表人的授权委托书，同时提供供应商代表身份证明。</w:t>
      </w:r>
    </w:p>
    <w:p w14:paraId="170B592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联合体投标</w:t>
      </w:r>
    </w:p>
    <w:p w14:paraId="2AA1DA2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6.1</w:t>
      </w:r>
      <w:r>
        <w:rPr>
          <w:rFonts w:hint="eastAsia" w:ascii="宋体" w:hAnsi="宋体" w:eastAsia="宋体" w:cs="Times New Roman"/>
          <w:color w:val="000000" w:themeColor="text1"/>
          <w:kern w:val="0"/>
          <w:sz w:val="24"/>
          <w:szCs w:val="24"/>
          <w14:textFill>
            <w14:solidFill>
              <w14:schemeClr w14:val="tx1"/>
            </w14:solidFill>
          </w14:textFill>
        </w:rPr>
        <w:t>　本项目是否接受联合体形式参与详见供应商须知前附表。</w:t>
      </w:r>
    </w:p>
    <w:p w14:paraId="45D118F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项目现场考察</w:t>
      </w:r>
    </w:p>
    <w:p w14:paraId="35939A7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7.1</w:t>
      </w:r>
      <w:r>
        <w:rPr>
          <w:rFonts w:hint="eastAsia" w:ascii="宋体" w:hAnsi="宋体" w:eastAsia="宋体" w:cs="Times New Roman"/>
          <w:color w:val="000000" w:themeColor="text1"/>
          <w:kern w:val="0"/>
          <w:sz w:val="24"/>
          <w:szCs w:val="24"/>
          <w14:textFill>
            <w14:solidFill>
              <w14:schemeClr w14:val="tx1"/>
            </w14:solidFill>
          </w14:textFill>
        </w:rPr>
        <w:t>　本项目是否组织现场考察详见供应商须知前附表。</w:t>
      </w:r>
    </w:p>
    <w:p w14:paraId="1D3350A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7.2</w:t>
      </w:r>
      <w:r>
        <w:rPr>
          <w:rFonts w:hint="eastAsia" w:ascii="宋体" w:hAnsi="宋体" w:eastAsia="宋体" w:cs="Times New Roman"/>
          <w:color w:val="000000" w:themeColor="text1"/>
          <w:kern w:val="0"/>
          <w:sz w:val="24"/>
          <w:szCs w:val="24"/>
          <w14:textFill>
            <w14:solidFill>
              <w14:schemeClr w14:val="tx1"/>
            </w14:solidFill>
          </w14:textFill>
        </w:rPr>
        <w:t>　供应商应按供应商须知前附表中规定的时间及地点，对采购项目现场和周围环境进行考察。供应商未在指定时间进行考察的，采购人不再另行组织。</w:t>
      </w:r>
    </w:p>
    <w:p w14:paraId="7C8F66C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7.3</w:t>
      </w:r>
      <w:r>
        <w:rPr>
          <w:rFonts w:hint="eastAsia" w:ascii="宋体" w:hAnsi="宋体" w:eastAsia="宋体" w:cs="Times New Roman"/>
          <w:color w:val="000000" w:themeColor="text1"/>
          <w:kern w:val="0"/>
          <w:sz w:val="24"/>
          <w:szCs w:val="24"/>
          <w14:textFill>
            <w14:solidFill>
              <w14:schemeClr w14:val="tx1"/>
            </w14:solidFill>
          </w14:textFill>
        </w:rPr>
        <w:t>　考察现场的费用由供应商自己承担，考察期间所发生的人身伤害及财产损失由供应商自己负责。</w:t>
      </w:r>
    </w:p>
    <w:p w14:paraId="46C534D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8.　采购人不对供应商据此而做出的推论、理解和结论负责。一旦中标，供应商不得以任何借口，提出额外补偿，或延长合同期限的要求。</w:t>
      </w:r>
    </w:p>
    <w:p w14:paraId="02B7B12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二、招标文件</w:t>
      </w:r>
    </w:p>
    <w:p w14:paraId="4B8AD9C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招标文件的构成</w:t>
      </w:r>
    </w:p>
    <w:p w14:paraId="3556FDB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招标文件各章节的内容如下：</w:t>
      </w:r>
    </w:p>
    <w:p w14:paraId="62F1A3F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第一部分　商务部分</w:t>
      </w:r>
    </w:p>
    <w:p w14:paraId="71F654A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第一章　投标邀请</w:t>
      </w:r>
    </w:p>
    <w:p w14:paraId="5F4AB42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第二章　供应商须知</w:t>
      </w:r>
    </w:p>
    <w:p w14:paraId="004A4F5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第三章　评标方法及标准</w:t>
      </w:r>
    </w:p>
    <w:p w14:paraId="658F2DF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第四章　拟签订的合同文本</w:t>
      </w:r>
    </w:p>
    <w:p w14:paraId="43B9A5F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第五章　投标文件格式</w:t>
      </w:r>
    </w:p>
    <w:p w14:paraId="426598B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第二部分　技术部分</w:t>
      </w:r>
    </w:p>
    <w:p w14:paraId="3A2B084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第六章　项目需求</w:t>
      </w:r>
    </w:p>
    <w:p w14:paraId="6EE6D23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供应商应仔细阅读招标文件的全部内容，按照招标文件要求编制投标文件。任何对招标文件的忽略或误解不能作为投标文件存在缺陷或瑕疵的理由，其风险由供应商承担。供应商对招标文件有疑问的请以书面形式向采购人、采购代理机构提出,提出后，请供应商及时通过政采云平台查看答疑文件或澄清文件。供应商应注意及时政采云发布的澄清或修改通知并下载，因供应商原因未及时获知澄清、修改或补充内容而导致的任何后果将由供应商自行承担。</w:t>
      </w:r>
    </w:p>
    <w:p w14:paraId="4AC755F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招标文件的澄清与修改</w:t>
      </w:r>
    </w:p>
    <w:p w14:paraId="5C00513D">
      <w:pPr>
        <w:spacing w:line="360" w:lineRule="auto"/>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0</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　供应商应仔细阅读和检查招标文件的全部内容。供应商若对招标文件有任何疑问，应按照招标文件第二章“供应商须知前附表”第20项规定向采购代理机构提出。提出后，请供应商及时通过政采云平台查看答疑文件或澄清文件。必要时，采购代理机构将组织相关专家召开答疑会，如召开，答疑会安排另行通知。并在政采云平台发布更正公告。</w:t>
      </w:r>
    </w:p>
    <w:p w14:paraId="6262CE94">
      <w:pPr>
        <w:spacing w:line="360" w:lineRule="auto"/>
        <w:ind w:firstLine="484" w:firstLineChars="202"/>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供应商在规定的时间内未对招标文件提出疑问或要求澄清的，采购代理机构将视其为同意，对在“答疑接受时间”后就招标文件内容提出的疑问及澄清要求将不予受理。</w:t>
      </w:r>
    </w:p>
    <w:p w14:paraId="6BD4E1E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如果澄清或者修改时间距本章供应商须知前附表规定的投标截止时间不足</w:t>
      </w:r>
      <w:r>
        <w:rPr>
          <w:rFonts w:ascii="宋体" w:hAnsi="宋体" w:eastAsia="宋体" w:cs="Times New Roman"/>
          <w:color w:val="000000" w:themeColor="text1"/>
          <w:kern w:val="0"/>
          <w:sz w:val="24"/>
          <w:szCs w:val="24"/>
          <w14:textFill>
            <w14:solidFill>
              <w14:schemeClr w14:val="tx1"/>
            </w14:solidFill>
          </w14:textFill>
        </w:rPr>
        <w:t>15</w:t>
      </w:r>
      <w:r>
        <w:rPr>
          <w:rFonts w:hint="eastAsia" w:ascii="宋体" w:hAnsi="宋体" w:eastAsia="宋体" w:cs="Times New Roman"/>
          <w:color w:val="000000" w:themeColor="text1"/>
          <w:kern w:val="0"/>
          <w:sz w:val="24"/>
          <w:szCs w:val="24"/>
          <w14:textFill>
            <w14:solidFill>
              <w14:schemeClr w14:val="tx1"/>
            </w14:solidFill>
          </w14:textFill>
        </w:rPr>
        <w:t>日，将相应顺延提交投标文件的截止时间，澄清或者修改时间具体见供应商须知前附表。</w:t>
      </w:r>
    </w:p>
    <w:p w14:paraId="034B117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澄清或者修改内容为招标文件的组成部分，对所有领取了招标文件的潜在供应商均具有约束力。</w:t>
      </w:r>
    </w:p>
    <w:p w14:paraId="35CF2EB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10.4  供应商应注意及时政采云发布的澄清或修改通知并下载，因供应商原因未及时获知澄清、修改或补充内容而导致的任何后果将由供应商自行承担。</w:t>
      </w:r>
    </w:p>
    <w:p w14:paraId="7E8470F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偏离</w:t>
      </w:r>
    </w:p>
    <w:p w14:paraId="1798D1B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本条所称偏离为投标文件对招标文件的偏离，即不满足或不响应招标文件的要求。</w:t>
      </w:r>
    </w:p>
    <w:p w14:paraId="23830DD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除法律、法规和规章规定外，招标文件中用“拒绝”“不接受”“无效”“不得”“必须”“应当”等文字规定或标注“★”符号的条款为实质性要求条款</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即重要条款</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，对其中任何一条的偏离，在评标时将其视为无效投标。</w:t>
      </w:r>
    </w:p>
    <w:p w14:paraId="17C4DAD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三、投标文件</w:t>
      </w:r>
    </w:p>
    <w:p w14:paraId="3798C0C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　一般要求</w:t>
      </w:r>
    </w:p>
    <w:p w14:paraId="6357777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供应商应仔细阅读招标文件的所有内容，按招标文件的要求编制投标文件，并保证所提供的全部资料的真实性，以使其投标文件对招标文件做出实质性的投标。</w:t>
      </w:r>
    </w:p>
    <w:p w14:paraId="5B98CCC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供应商提交的投标文件及供应商与采购人或采购代理机构、评标委员会就有关投标的所有来往函电必须使用中文。供应商可以提交其他语言的资料，但应附有中文注释，有差异时以中文为准。</w:t>
      </w:r>
    </w:p>
    <w:p w14:paraId="08FAE62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除技术要求另有规定外，本文件所要求使用的计量单位均采用国家法定的度、量、衡标准单位计量。未列明时亦默认为我国法定计量单位。</w:t>
      </w:r>
    </w:p>
    <w:p w14:paraId="3A24CA7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供应商应按招标文件中提供的投标文件格式填写。</w:t>
      </w:r>
    </w:p>
    <w:p w14:paraId="2D5C048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　投标文件应采用电子形式。</w:t>
      </w:r>
    </w:p>
    <w:p w14:paraId="4494857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12.6</w:t>
      </w:r>
      <w:r>
        <w:rPr>
          <w:rFonts w:hint="eastAsia" w:ascii="宋体" w:hAnsi="宋体" w:eastAsia="宋体" w:cs="Times New Roman"/>
          <w:color w:val="000000" w:themeColor="text1"/>
          <w:kern w:val="0"/>
          <w:sz w:val="24"/>
          <w:szCs w:val="24"/>
          <w14:textFill>
            <w14:solidFill>
              <w14:schemeClr w14:val="tx1"/>
            </w14:solidFill>
          </w14:textFill>
        </w:rPr>
        <w:t>电子投标文件制作时，应按照统一的“投标文件制作工具”和招标文件中明确的投标文件目录和投标技术规格、参数及相关要求格式进行编制，保证目录清晰、内容完整。</w:t>
      </w:r>
    </w:p>
    <w:p w14:paraId="587729F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12.7供应商应按照供应商须知前附表要求的份数编制投标文件。</w:t>
      </w:r>
    </w:p>
    <w:p w14:paraId="737BD83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12.8供应商因自身原因导致电子投标文件无法导入电子评标系统的，该投标文件视为无效文件。 </w:t>
      </w:r>
    </w:p>
    <w:p w14:paraId="62A3A24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12.9电子投标文件具有法律效力,与其他形式的投标文件在内容和格式上等同，若投标文件与招标文件要求不一致，其内容影响成交结果时，责任由供应商自行承担。 </w:t>
      </w:r>
    </w:p>
    <w:p w14:paraId="59B3231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12.10为了保证电子标书的合法性、安全性和完整性，电子投标文件应在规定区域加盖单位和法定代表人CA印章。电子投标文件若无 CA电子签章，则视为无效文件。</w:t>
      </w:r>
    </w:p>
    <w:p w14:paraId="232969D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12.11供应商应完整地</w:t>
      </w:r>
      <w:r>
        <w:rPr>
          <w:rFonts w:hint="eastAsia" w:ascii="宋体" w:hAnsi="宋体" w:eastAsia="宋体" w:cs="Times New Roman"/>
          <w:color w:val="000000" w:themeColor="text1"/>
          <w:spacing w:val="-6"/>
          <w:sz w:val="24"/>
          <w:szCs w:val="24"/>
          <w14:textFill>
            <w14:solidFill>
              <w14:schemeClr w14:val="tx1"/>
            </w14:solidFill>
          </w14:textFill>
        </w:rPr>
        <w:t>填写</w:t>
      </w:r>
      <w:r>
        <w:rPr>
          <w:rFonts w:hint="eastAsia" w:ascii="宋体" w:hAnsi="宋体" w:eastAsia="宋体" w:cs="Times New Roman"/>
          <w:color w:val="000000" w:themeColor="text1"/>
          <w:kern w:val="0"/>
          <w:sz w:val="24"/>
          <w:szCs w:val="24"/>
          <w14:textFill>
            <w14:solidFill>
              <w14:schemeClr w14:val="tx1"/>
            </w14:solidFill>
          </w14:textFill>
        </w:rPr>
        <w:t>招标文件中提供的《</w:t>
      </w:r>
      <w:r>
        <w:rPr>
          <w:rFonts w:hint="eastAsia" w:ascii="Calibri" w:hAnsi="宋体" w:eastAsia="宋体" w:cs="宋体"/>
          <w:color w:val="000000" w:themeColor="text1"/>
          <w:sz w:val="24"/>
          <w:szCs w:val="24"/>
          <w14:textFill>
            <w14:solidFill>
              <w14:schemeClr w14:val="tx1"/>
            </w14:solidFill>
          </w14:textFill>
        </w:rPr>
        <w:t>投标函</w:t>
      </w:r>
      <w:r>
        <w:rPr>
          <w:rFonts w:hint="eastAsia" w:ascii="宋体" w:hAnsi="宋体" w:eastAsia="宋体" w:cs="Times New Roman"/>
          <w:color w:val="000000" w:themeColor="text1"/>
          <w:kern w:val="0"/>
          <w:sz w:val="24"/>
          <w:szCs w:val="24"/>
          <w14:textFill>
            <w14:solidFill>
              <w14:schemeClr w14:val="tx1"/>
            </w14:solidFill>
          </w14:textFill>
        </w:rPr>
        <w:t xml:space="preserve">》、《开标一览表》、《明细报价表》等招标文件中规定的所有内容。 </w:t>
      </w:r>
    </w:p>
    <w:p w14:paraId="632F2E0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xml:space="preserve">12.12供应商必须保证供应商文件所提供的全部资料真实可靠，并接受采购单位对其中任何资料进一步核实的要求。 </w:t>
      </w:r>
    </w:p>
    <w:p w14:paraId="5AA3500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投标文件的组成</w:t>
      </w:r>
    </w:p>
    <w:p w14:paraId="2941000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投标文件包括但不限于下列内容</w:t>
      </w:r>
    </w:p>
    <w:p w14:paraId="00A2E03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　价格及商务部分：</w:t>
      </w:r>
    </w:p>
    <w:p w14:paraId="0185474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投标函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含法定代表人身份证明或授权委托书</w:t>
      </w:r>
      <w:r>
        <w:rPr>
          <w:rFonts w:ascii="宋体" w:hAnsi="宋体" w:eastAsia="宋体" w:cs="Times New Roman"/>
          <w:color w:val="000000" w:themeColor="text1"/>
          <w:kern w:val="0"/>
          <w:sz w:val="24"/>
          <w:szCs w:val="24"/>
          <w14:textFill>
            <w14:solidFill>
              <w14:schemeClr w14:val="tx1"/>
            </w14:solidFill>
          </w14:textFill>
        </w:rPr>
        <w:t>)</w:t>
      </w:r>
    </w:p>
    <w:p w14:paraId="2833CA9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开标一览表及明细报价表</w:t>
      </w:r>
    </w:p>
    <w:p w14:paraId="31D5C10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商务条款偏离表</w:t>
      </w:r>
    </w:p>
    <w:p w14:paraId="2A8B749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投标保证金</w:t>
      </w:r>
    </w:p>
    <w:p w14:paraId="7EC2DD3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投标人符合投标人资格条件的证明文件</w:t>
      </w:r>
    </w:p>
    <w:p w14:paraId="7079A26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供应商类似相关服务的评价</w:t>
      </w:r>
    </w:p>
    <w:p w14:paraId="5109524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供应商认为需提供的其他资料</w:t>
      </w:r>
    </w:p>
    <w:p w14:paraId="2013433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投标人企业类型声明函</w:t>
      </w:r>
    </w:p>
    <w:p w14:paraId="6B75EFC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★(9)中小企业声明函</w:t>
      </w:r>
    </w:p>
    <w:p w14:paraId="3034B36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(10)中小企业生产或销售的产品优惠明细表</w:t>
      </w:r>
    </w:p>
    <w:p w14:paraId="2447351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(11)监狱企业声明函</w:t>
      </w:r>
    </w:p>
    <w:p w14:paraId="59D6A68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(12)残疾人福利性单位声明函</w:t>
      </w:r>
    </w:p>
    <w:p w14:paraId="4E69B95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　技术部分</w:t>
      </w:r>
    </w:p>
    <w:p w14:paraId="5EC0392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服务方案</w:t>
      </w:r>
    </w:p>
    <w:p w14:paraId="65CB657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技术条款偏离表</w:t>
      </w:r>
    </w:p>
    <w:p w14:paraId="57B7F23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其他资料</w:t>
      </w:r>
    </w:p>
    <w:p w14:paraId="174113E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在投标过程中，供应商根据评标委员会电子形式要求提供的澄清文件是投标文件的有效组成部分。</w:t>
      </w:r>
    </w:p>
    <w:p w14:paraId="57456E2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14.投标报价</w:t>
      </w:r>
    </w:p>
    <w:p w14:paraId="627E164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14.1　供应商应按招标文件规定的服务要求、责任范围和合同条件以人民币形式进行报价。投标报价应为完税价。供应商应在投标报价表中标明其提供的所有服务及其完成本项目相关工作范围内所有费用的总价，采购人不接受有任何选择性报价。供应商漏报的单价或单价中漏报、少报的费用，均视为此项费用已隐含在其他报价中，中标后不予调整。</w:t>
      </w:r>
    </w:p>
    <w:p w14:paraId="2ED9445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供应商必须按开标一览表和明细报价表的内容和格式要求填写各项服务的分项价格和总价。供应商在供应商须知前附表规定的投标文件截止之日前修改开标一览表中的报价的，应同时修改其明细报价表中的报价。</w:t>
      </w:r>
    </w:p>
    <w:p w14:paraId="56F6CDE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供应商对每种服务只允许有一个报价，不接受可变动性报价、赠送及“零”报价，否则，在评标时将其视为无效投标。</w:t>
      </w:r>
    </w:p>
    <w:p w14:paraId="4D003FD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项目有特殊要求的见供应商须知前附表。</w:t>
      </w:r>
    </w:p>
    <w:p w14:paraId="2C4BDF2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投标保证金</w:t>
      </w:r>
    </w:p>
    <w:p w14:paraId="5DEC690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本项目是否交纳投标保证金见供应商须知前附表。</w:t>
      </w:r>
    </w:p>
    <w:p w14:paraId="3BECDC3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须知前附表规定交纳投标保证金的，供应商应以支票、汇票、本票或金融机构、担保机构出具的保函等非现金形式，在本章供应商须知前附表规定的投标截止时间前，向采购代理机构提交供应商须知前附表规定的投标保证金。投标保证金有效期应与本章供应商须知前附表规定的投标有效期一致。供应商未按照招标文件要求提交投标保证金的，采购人或采购代理机构应当拒绝接收供应商的投标文件或评标委员会在评标时将其视为无效投标。</w:t>
      </w:r>
    </w:p>
    <w:p w14:paraId="5D8CD3A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3　未中标的供应商的投标保证金，将在中标通知书发出后</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个工作日内退还，但因供应商自身原因导致无法及时退还的除外。</w:t>
      </w:r>
    </w:p>
    <w:p w14:paraId="727138A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16.</w:t>
      </w:r>
      <w:r>
        <w:rPr>
          <w:rFonts w:hint="eastAsia" w:ascii="宋体" w:hAnsi="宋体" w:eastAsia="宋体" w:cs="Times New Roman"/>
          <w:color w:val="000000" w:themeColor="text1"/>
          <w:kern w:val="0"/>
          <w:sz w:val="24"/>
          <w:szCs w:val="24"/>
          <w14:textFill>
            <w14:solidFill>
              <w14:schemeClr w14:val="tx1"/>
            </w14:solidFill>
          </w14:textFill>
        </w:rPr>
        <w:t>4　中标的供应商的投标保证金，将在政府采购合同签订后</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个工作日内退还或者转为中标人的履约保证金。</w:t>
      </w:r>
    </w:p>
    <w:p w14:paraId="0A322BE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5　供应商有以下情形之一的，投标保证金可以不予退还：</w:t>
      </w:r>
    </w:p>
    <w:p w14:paraId="02D6D03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在供应商须知前附表规定的投标有效期内撤销投标文件。</w:t>
      </w:r>
    </w:p>
    <w:p w14:paraId="5E4CE0D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中标后无正当理由不与采购人签订合同的。</w:t>
      </w:r>
    </w:p>
    <w:p w14:paraId="02EBF89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投标有效期</w:t>
      </w:r>
    </w:p>
    <w:p w14:paraId="79837A1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有效期见供应商须知前附表，在此期间投标文件对供应商具有法律约束力，以保证采购人有足够的时间完成评标、定标以及签订合同。投标有效期从供应商须知前附表规定的投标截止之日起计算。投标有效期不足的，在评标时将其视为无效投标。</w:t>
      </w:r>
    </w:p>
    <w:p w14:paraId="145DAB9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特殊情况需延长投标有效期的，采购人或采购代理机构可于投标有效期届满之前，要求供应商同意延长有效期，采购人或采购代理机构的要求与供应商的答复均应为书面形式。供应商拒绝延长的，其投标在原投标有效期届满后将不再有效，但有权收回其投标保证金；供应商同意延长的，应相应延长其投标保证金的有效期，但不允许修改或撤回投标文件。</w:t>
      </w:r>
    </w:p>
    <w:p w14:paraId="5580806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投标文件的签署和规定</w:t>
      </w:r>
    </w:p>
    <w:p w14:paraId="61627FC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供应商应根据供应商须知前附表规定提交投标文件</w:t>
      </w:r>
    </w:p>
    <w:p w14:paraId="21E2307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供应商应根据供应商须知前附表规定提交投标文件。为了保证电子标书的合法性、安全性和完整性，电子投标文件应在规定区域加盖单位和法定代表人CA印章。电子投标文件若无 CA电子签章，则视为无效文件。</w:t>
      </w:r>
    </w:p>
    <w:p w14:paraId="5D55E1D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投标文件的密封和标记</w:t>
      </w:r>
    </w:p>
    <w:p w14:paraId="2D264C1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电子投标文件的内容通过数字证书进行加密并签章。未按要求加密和数字证书认证的投标文件，电子评标系统将无法接受,采购单位不予受理。</w:t>
      </w:r>
    </w:p>
    <w:p w14:paraId="16EB22A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投标文件的递交</w:t>
      </w:r>
    </w:p>
    <w:p w14:paraId="37EB362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本项目采用不见面开标、供应商需要递交电子投标文件，加密的电子投标文件，在投标截止时间前通过政采云平台上传到指定位置。无需递交纸质文件。</w:t>
      </w:r>
    </w:p>
    <w:p w14:paraId="7DE5642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投标文件的修改和撤回</w:t>
      </w:r>
    </w:p>
    <w:p w14:paraId="377685C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20.1　在供应商须知前附表规定的投标截止时间前，供应商可以自行在政采云平台上修改、补充或撤回已递交的投标文件。</w:t>
      </w:r>
    </w:p>
    <w:p w14:paraId="4FA72AC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20.2　修改、补充的内容为投标文件的组成部分。</w:t>
      </w:r>
    </w:p>
    <w:p w14:paraId="3B3ACF3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20.3　供应商在投标有效期内不得修改、撤销其投标文件。</w:t>
      </w:r>
    </w:p>
    <w:p w14:paraId="3F85A4F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四、开标和评标</w:t>
      </w:r>
    </w:p>
    <w:p w14:paraId="05337D7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开标</w:t>
      </w:r>
    </w:p>
    <w:p w14:paraId="14E6315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采购人或采购代理机构在供应商须知前附表规定的开标时间和开标地点组织公开开标，邀请供应商参加。评标委员会成员不得参加开标活动。供应商不足</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家的，不得开标。</w:t>
      </w:r>
    </w:p>
    <w:p w14:paraId="308E7AC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资格审查</w:t>
      </w:r>
    </w:p>
    <w:p w14:paraId="41F1036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公开招标采购项目开标结束后，采购人或者采购代理机构应当依法对供应商的资格进行审查。合格供应商不足</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家的，不得评标。</w:t>
      </w:r>
    </w:p>
    <w:p w14:paraId="4B658933">
      <w:pPr>
        <w:spacing w:line="360" w:lineRule="auto"/>
        <w:ind w:firstLine="240" w:firstLineChars="100"/>
        <w:rPr>
          <w:rFonts w:ascii="Calibri" w:hAnsi="Calibri" w:eastAsia="宋体" w:cs="Courier New"/>
          <w:color w:val="000000" w:themeColor="text1"/>
          <w:sz w:val="24"/>
          <w:szCs w:val="24"/>
          <w14:textFill>
            <w14:solidFill>
              <w14:schemeClr w14:val="tx1"/>
            </w14:solidFill>
          </w14:textFill>
        </w:rPr>
      </w:pPr>
      <w:r>
        <w:rPr>
          <w:rFonts w:hint="eastAsia" w:ascii="Calibri" w:hAnsi="宋体" w:eastAsia="宋体" w:cs="Times New Roman"/>
          <w:color w:val="000000" w:themeColor="text1"/>
          <w:sz w:val="24"/>
          <w:szCs w:val="24"/>
          <w14:textFill>
            <w14:solidFill>
              <w14:schemeClr w14:val="tx1"/>
            </w14:solidFill>
          </w14:textFill>
        </w:rPr>
        <w:t>（1）</w:t>
      </w:r>
      <w:r>
        <w:rPr>
          <w:rFonts w:ascii="Calibri" w:hAnsi="Calibri" w:eastAsia="宋体" w:cs="Courier New"/>
          <w:color w:val="000000" w:themeColor="text1"/>
          <w:sz w:val="24"/>
          <w:szCs w:val="24"/>
          <w14:textFill>
            <w14:solidFill>
              <w14:schemeClr w14:val="tx1"/>
            </w14:solidFill>
          </w14:textFill>
        </w:rPr>
        <w:t>满足《</w:t>
      </w:r>
      <w:r>
        <w:rPr>
          <w:rFonts w:hint="eastAsia" w:ascii="Calibri" w:hAnsi="Calibri" w:eastAsia="宋体" w:cs="Courier New"/>
          <w:color w:val="000000" w:themeColor="text1"/>
          <w:sz w:val="24"/>
          <w:szCs w:val="24"/>
          <w14:textFill>
            <w14:solidFill>
              <w14:schemeClr w14:val="tx1"/>
            </w14:solidFill>
          </w14:textFill>
        </w:rPr>
        <w:t>中华人民共和国政府采购法</w:t>
      </w:r>
      <w:r>
        <w:rPr>
          <w:rFonts w:ascii="Calibri" w:hAnsi="Calibri" w:eastAsia="宋体" w:cs="Courier New"/>
          <w:color w:val="000000" w:themeColor="text1"/>
          <w:sz w:val="24"/>
          <w:szCs w:val="24"/>
          <w14:textFill>
            <w14:solidFill>
              <w14:schemeClr w14:val="tx1"/>
            </w14:solidFill>
          </w14:textFill>
        </w:rPr>
        <w:t>》第二十二条规定；</w:t>
      </w:r>
    </w:p>
    <w:p w14:paraId="7FBEC3A0">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1)</w:t>
      </w:r>
      <w:r>
        <w:rPr>
          <w:rFonts w:hint="eastAsia" w:ascii="Calibri" w:hAnsi="Calibri" w:eastAsia="宋体" w:cs="Courier New"/>
          <w:color w:val="000000" w:themeColor="text1"/>
          <w:sz w:val="24"/>
          <w:szCs w:val="24"/>
          <w14:textFill>
            <w14:solidFill>
              <w14:schemeClr w14:val="tx1"/>
            </w14:solidFill>
          </w14:textFill>
        </w:rPr>
        <w:t>具有独立承担民事责任的能力；</w:t>
      </w:r>
    </w:p>
    <w:p w14:paraId="7DC01E6B">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2)</w:t>
      </w:r>
      <w:r>
        <w:rPr>
          <w:rFonts w:hint="eastAsia" w:ascii="Calibri" w:hAnsi="Calibri" w:eastAsia="宋体" w:cs="Courier New"/>
          <w:color w:val="000000" w:themeColor="text1"/>
          <w:sz w:val="24"/>
          <w:szCs w:val="24"/>
          <w14:textFill>
            <w14:solidFill>
              <w14:schemeClr w14:val="tx1"/>
            </w14:solidFill>
          </w14:textFill>
        </w:rPr>
        <w:t>具有良好的商业信誉和健全的财务会计制度；</w:t>
      </w:r>
    </w:p>
    <w:p w14:paraId="334EB5F0">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3)</w:t>
      </w:r>
      <w:r>
        <w:rPr>
          <w:rFonts w:hint="eastAsia" w:ascii="Calibri" w:hAnsi="Calibri" w:eastAsia="宋体" w:cs="Courier New"/>
          <w:color w:val="000000" w:themeColor="text1"/>
          <w:sz w:val="24"/>
          <w:szCs w:val="24"/>
          <w14:textFill>
            <w14:solidFill>
              <w14:schemeClr w14:val="tx1"/>
            </w14:solidFill>
          </w14:textFill>
        </w:rPr>
        <w:t>具有履行合同所必需的设备和专业技术能力；</w:t>
      </w:r>
    </w:p>
    <w:p w14:paraId="695809B2">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4)</w:t>
      </w:r>
      <w:r>
        <w:rPr>
          <w:rFonts w:hint="eastAsia" w:ascii="Calibri" w:hAnsi="Calibri" w:eastAsia="宋体" w:cs="Courier New"/>
          <w:color w:val="000000" w:themeColor="text1"/>
          <w:sz w:val="24"/>
          <w:szCs w:val="24"/>
          <w14:textFill>
            <w14:solidFill>
              <w14:schemeClr w14:val="tx1"/>
            </w14:solidFill>
          </w14:textFill>
        </w:rPr>
        <w:t>有依法缴纳税收和社会保障资金的良好记录；</w:t>
      </w:r>
    </w:p>
    <w:p w14:paraId="2FE4EB5E">
      <w:pPr>
        <w:spacing w:line="360" w:lineRule="auto"/>
        <w:ind w:firstLine="720" w:firstLineChars="300"/>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5)</w:t>
      </w:r>
      <w:r>
        <w:rPr>
          <w:rFonts w:hint="eastAsia" w:ascii="Calibri" w:hAnsi="Calibri" w:eastAsia="宋体" w:cs="Courier New"/>
          <w:color w:val="000000" w:themeColor="text1"/>
          <w:sz w:val="24"/>
          <w:szCs w:val="24"/>
          <w14:textFill>
            <w14:solidFill>
              <w14:schemeClr w14:val="tx1"/>
            </w14:solidFill>
          </w14:textFill>
        </w:rPr>
        <w:t>参加政府采购活动前三年内，在经营活动中没有重大违法记录；</w:t>
      </w:r>
    </w:p>
    <w:p w14:paraId="3A37F141">
      <w:pPr>
        <w:spacing w:line="360" w:lineRule="auto"/>
        <w:ind w:firstLine="720" w:firstLineChars="300"/>
        <w:rPr>
          <w:rFonts w:ascii="宋体" w:hAnsi="宋体"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6)</w:t>
      </w:r>
      <w:r>
        <w:rPr>
          <w:rFonts w:hint="eastAsia" w:ascii="Times New Roman" w:hAnsi="Times New Roman" w:eastAsia="宋体" w:cs="Times New Roman"/>
          <w:color w:val="000000" w:themeColor="text1"/>
          <w:kern w:val="0"/>
          <w:sz w:val="24"/>
          <w:szCs w:val="24"/>
          <w14:textFill>
            <w14:solidFill>
              <w14:schemeClr w14:val="tx1"/>
            </w14:solidFill>
          </w14:textFill>
        </w:rPr>
        <w:t>中华人民共和国政府采购法律法规相关规定的其他条件。</w:t>
      </w:r>
    </w:p>
    <w:p w14:paraId="16FCB47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lang w:eastAsia="zh-CN"/>
          <w14:textFill>
            <w14:solidFill>
              <w14:schemeClr w14:val="tx1"/>
            </w14:solidFill>
          </w14:textFill>
        </w:rPr>
        <w:t>凡拟参加本次采购项目的供应商须具有良好的信誉，未在“信用中国”网站（www.creditchina.gov.cn）被列入重大税收违法失信主体、政府采购严重违法失信名单的（尚在处罚期内的）、未在“中国执行信息公开网”（http://zxgk.court.gov.cn/）网站被列入失信被执行人、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加本次招标活动</w:t>
      </w:r>
      <w:r>
        <w:rPr>
          <w:rFonts w:hint="eastAsia" w:ascii="宋体" w:hAnsi="宋体" w:eastAsia="宋体" w:cs="Times New Roman"/>
          <w:color w:val="000000" w:themeColor="text1"/>
          <w:kern w:val="0"/>
          <w:sz w:val="24"/>
          <w:szCs w:val="24"/>
          <w14:textFill>
            <w14:solidFill>
              <w14:schemeClr w14:val="tx1"/>
            </w14:solidFill>
          </w14:textFill>
        </w:rPr>
        <w:t>将拒绝其参加本次招标活动；</w:t>
      </w:r>
    </w:p>
    <w:p w14:paraId="5080FA8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(3)供应商按照招标文件规定提交投标保证金的；</w:t>
      </w:r>
    </w:p>
    <w:p w14:paraId="544354E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评标委员会</w:t>
      </w:r>
    </w:p>
    <w:p w14:paraId="0B96BDF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23.1评审由依法组建的评审小组负责，评审小组由采购人代表和评审专家组成。</w:t>
      </w:r>
      <w:r>
        <w:rPr>
          <w:rFonts w:hint="eastAsia" w:ascii="宋体" w:hAnsi="宋体" w:eastAsia="宋体" w:cs="宋体"/>
          <w:color w:val="000000" w:themeColor="text1"/>
          <w:kern w:val="0"/>
          <w:sz w:val="24"/>
          <w:szCs w:val="24"/>
          <w14:textFill>
            <w14:solidFill>
              <w14:schemeClr w14:val="tx1"/>
            </w14:solidFill>
          </w14:textFill>
        </w:rPr>
        <w:t>政府采购评审专家是在</w:t>
      </w:r>
      <w:r>
        <w:rPr>
          <w:rFonts w:hint="eastAsia" w:ascii="宋体" w:hAnsi="宋体" w:eastAsia="宋体" w:cs="宋体"/>
          <w:color w:val="000000" w:themeColor="text1"/>
          <w:kern w:val="0"/>
          <w:sz w:val="24"/>
          <w:szCs w:val="24"/>
          <w:u w:val="single"/>
          <w14:textFill>
            <w14:solidFill>
              <w14:schemeClr w14:val="tx1"/>
            </w14:solidFill>
          </w14:textFill>
        </w:rPr>
        <w:t>政采云</w:t>
      </w:r>
      <w:r>
        <w:rPr>
          <w:rFonts w:hint="eastAsia" w:ascii="宋体" w:hAnsi="宋体" w:eastAsia="宋体" w:cs="宋体"/>
          <w:color w:val="000000" w:themeColor="text1"/>
          <w:kern w:val="0"/>
          <w:sz w:val="24"/>
          <w:szCs w:val="24"/>
          <w14:textFill>
            <w14:solidFill>
              <w14:schemeClr w14:val="tx1"/>
            </w14:solidFill>
          </w14:textFill>
        </w:rPr>
        <w:t>专家库中随机抽取产生。</w:t>
      </w:r>
    </w:p>
    <w:p w14:paraId="6B9CED9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评标方法和标准</w:t>
      </w:r>
    </w:p>
    <w:p w14:paraId="13E65C9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本项目评标方法和标准见招标文件第三章。</w:t>
      </w:r>
    </w:p>
    <w:p w14:paraId="289D414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评标程序</w:t>
      </w:r>
    </w:p>
    <w:p w14:paraId="54947AF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投标文件的符合性审查。</w:t>
      </w:r>
    </w:p>
    <w:p w14:paraId="714338C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评标委员会应当对符合资格的供应商的投标文件进行符合性审查，以确定其是否满足招标文件的实质性要求。</w:t>
      </w:r>
    </w:p>
    <w:p w14:paraId="194A338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　</w:t>
      </w:r>
      <w:r>
        <w:rPr>
          <w:rFonts w:hint="eastAsia" w:ascii="宋体" w:hAnsi="宋体" w:eastAsia="宋体" w:cs="Times New Roman"/>
          <w:color w:val="000000" w:themeColor="text1"/>
          <w:kern w:val="0"/>
          <w:sz w:val="24"/>
          <w:szCs w:val="24"/>
          <w:lang w:val="en-US" w:eastAsia="zh-CN"/>
          <w14:textFill>
            <w14:solidFill>
              <w14:schemeClr w14:val="tx1"/>
            </w14:solidFill>
          </w14:textFill>
        </w:rPr>
        <w:t>首次提交的响应文件出现不满足下列情况之一，其响应文件无效</w:t>
      </w:r>
      <w:r>
        <w:rPr>
          <w:rFonts w:hint="eastAsia" w:ascii="宋体" w:hAnsi="宋体" w:eastAsia="宋体" w:cs="Times New Roman"/>
          <w:color w:val="000000" w:themeColor="text1"/>
          <w:kern w:val="0"/>
          <w:sz w:val="24"/>
          <w:szCs w:val="24"/>
          <w14:textFill>
            <w14:solidFill>
              <w14:schemeClr w14:val="tx1"/>
            </w14:solidFill>
          </w14:textFill>
        </w:rPr>
        <w:t>：</w:t>
      </w:r>
    </w:p>
    <w:p w14:paraId="58A01C2F">
      <w:pPr>
        <w:spacing w:line="360" w:lineRule="auto"/>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（1）</w:t>
      </w:r>
      <w:r>
        <w:rPr>
          <w:rFonts w:hint="eastAsia" w:ascii="宋体" w:hAnsi="Courier New" w:eastAsia="宋体" w:cs="Times New Roman"/>
          <w:bCs/>
          <w:color w:val="auto"/>
          <w:kern w:val="0"/>
          <w:sz w:val="24"/>
          <w:szCs w:val="24"/>
        </w:rPr>
        <w:t>投标文件按照招标文件规定要求签署及盖章的；</w:t>
      </w:r>
    </w:p>
    <w:p w14:paraId="3773737E">
      <w:pPr>
        <w:spacing w:line="360" w:lineRule="auto"/>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（2）服务要求满足招标文件要求的；</w:t>
      </w:r>
      <w:r>
        <w:rPr>
          <w:rFonts w:ascii="宋体" w:hAnsi="宋体" w:eastAsia="宋体" w:cs="宋体"/>
          <w:color w:val="auto"/>
          <w:kern w:val="0"/>
          <w:sz w:val="24"/>
          <w:szCs w:val="24"/>
        </w:rPr>
        <w:t>（采购需求中标“</w:t>
      </w:r>
      <w:r>
        <w:rPr>
          <w:rFonts w:hint="eastAsia" w:ascii="宋体" w:hAnsi="宋体" w:eastAsia="宋体" w:cs="Times New Roman"/>
          <w:color w:val="auto"/>
          <w:kern w:val="0"/>
          <w:sz w:val="24"/>
          <w:szCs w:val="24"/>
        </w:rPr>
        <w:t>★</w:t>
      </w:r>
      <w:r>
        <w:rPr>
          <w:rFonts w:ascii="宋体" w:hAnsi="宋体" w:eastAsia="宋体" w:cs="宋体"/>
          <w:color w:val="auto"/>
          <w:kern w:val="0"/>
          <w:sz w:val="24"/>
          <w:szCs w:val="24"/>
        </w:rPr>
        <w:t>”）</w:t>
      </w:r>
    </w:p>
    <w:p w14:paraId="7C273F11">
      <w:pPr>
        <w:spacing w:line="360" w:lineRule="auto"/>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（3）投标有效期</w:t>
      </w:r>
      <w:r>
        <w:rPr>
          <w:rFonts w:hint="eastAsia" w:ascii="宋体" w:hAnsi="宋体" w:eastAsia="宋体" w:cs="Times New Roman"/>
          <w:color w:val="auto"/>
          <w:kern w:val="0"/>
          <w:sz w:val="24"/>
          <w:szCs w:val="24"/>
          <w:lang w:val="en-US" w:eastAsia="zh-CN"/>
        </w:rPr>
        <w:t>满足招标文件要求</w:t>
      </w:r>
      <w:r>
        <w:rPr>
          <w:rFonts w:hint="eastAsia" w:ascii="宋体" w:hAnsi="宋体" w:eastAsia="宋体" w:cs="Times New Roman"/>
          <w:color w:val="auto"/>
          <w:kern w:val="0"/>
          <w:sz w:val="24"/>
          <w:szCs w:val="24"/>
        </w:rPr>
        <w:t>的；</w:t>
      </w:r>
    </w:p>
    <w:p w14:paraId="03459BFC">
      <w:pPr>
        <w:spacing w:line="360" w:lineRule="auto"/>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（4）服务期限满足招标文件规定的；</w:t>
      </w:r>
    </w:p>
    <w:p w14:paraId="7858711D">
      <w:pPr>
        <w:spacing w:line="360" w:lineRule="auto"/>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（5）提供售后服务承诺的；</w:t>
      </w:r>
    </w:p>
    <w:p w14:paraId="0A929F3E">
      <w:pPr>
        <w:spacing w:line="360" w:lineRule="auto"/>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（6）投标报价在采购预算或最高限价以内；</w:t>
      </w:r>
    </w:p>
    <w:p w14:paraId="29074EFE">
      <w:pPr>
        <w:spacing w:line="360" w:lineRule="auto"/>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（7）投标文件符合招标文件实质性要求的；</w:t>
      </w:r>
    </w:p>
    <w:p w14:paraId="4680B33A">
      <w:pPr>
        <w:spacing w:line="360" w:lineRule="auto"/>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（8）</w:t>
      </w:r>
      <w:r>
        <w:rPr>
          <w:rFonts w:hint="eastAsia" w:ascii="宋体" w:hAnsi="宋体" w:eastAsia="宋体" w:cs="Times New Roman"/>
          <w:color w:val="auto"/>
          <w:kern w:val="0"/>
          <w:sz w:val="24"/>
          <w:szCs w:val="24"/>
          <w:lang w:val="en-US" w:eastAsia="zh-CN"/>
        </w:rPr>
        <w:t>无其他</w:t>
      </w:r>
      <w:r>
        <w:rPr>
          <w:rFonts w:hint="eastAsia" w:ascii="宋体" w:hAnsi="宋体" w:eastAsia="宋体" w:cs="Times New Roman"/>
          <w:color w:val="auto"/>
          <w:kern w:val="0"/>
          <w:sz w:val="24"/>
          <w:szCs w:val="24"/>
        </w:rPr>
        <w:t>不符合法律、法规和招标文件规定的。</w:t>
      </w:r>
    </w:p>
    <w:p w14:paraId="510901BC">
      <w:pPr>
        <w:spacing w:line="360" w:lineRule="auto"/>
        <w:rPr>
          <w:rFonts w:ascii="宋体" w:hAnsi="宋体" w:eastAsia="宋体" w:cs="Times New Roman"/>
          <w:color w:val="auto"/>
          <w:kern w:val="0"/>
          <w:sz w:val="24"/>
          <w:szCs w:val="24"/>
        </w:rPr>
      </w:pPr>
      <w:r>
        <w:rPr>
          <w:rFonts w:ascii="宋体" w:hAnsi="宋体" w:eastAsia="宋体" w:cs="Times New Roman"/>
          <w:color w:val="auto"/>
          <w:kern w:val="0"/>
          <w:sz w:val="24"/>
          <w:szCs w:val="24"/>
        </w:rPr>
        <w:t>2</w:t>
      </w:r>
      <w:r>
        <w:rPr>
          <w:rFonts w:hint="eastAsia" w:ascii="宋体" w:hAnsi="宋体" w:eastAsia="宋体" w:cs="Times New Roman"/>
          <w:color w:val="auto"/>
          <w:kern w:val="0"/>
          <w:sz w:val="24"/>
          <w:szCs w:val="24"/>
        </w:rPr>
        <w:t>5</w:t>
      </w:r>
      <w:r>
        <w:rPr>
          <w:rFonts w:ascii="宋体" w:hAnsi="宋体" w:eastAsia="宋体" w:cs="Times New Roman"/>
          <w:color w:val="auto"/>
          <w:kern w:val="0"/>
          <w:sz w:val="24"/>
          <w:szCs w:val="24"/>
        </w:rPr>
        <w:t>.2</w:t>
      </w:r>
      <w:r>
        <w:rPr>
          <w:rFonts w:hint="eastAsia" w:ascii="宋体" w:hAnsi="宋体" w:eastAsia="宋体" w:cs="Times New Roman"/>
          <w:color w:val="auto"/>
          <w:kern w:val="0"/>
          <w:sz w:val="24"/>
          <w:szCs w:val="24"/>
        </w:rPr>
        <w:t>　核价原则</w:t>
      </w:r>
    </w:p>
    <w:p w14:paraId="3CE935B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投标文件报价出现前后不一致的，除招标文件另有规定外，按照下列规定修正：</w:t>
      </w:r>
    </w:p>
    <w:p w14:paraId="2C35442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投标文件中开标一览表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报价表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内容与投标文件中相应内容不一致的，以开标一览表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报价表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为准；</w:t>
      </w:r>
    </w:p>
    <w:p w14:paraId="3033611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大写金额和小写金额不一致的，以大写金额为准；</w:t>
      </w:r>
    </w:p>
    <w:p w14:paraId="7FCF750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单价金额小数点或者百分比有明显错位的，以开标一览表的总价为准，并修改单价；</w:t>
      </w:r>
    </w:p>
    <w:p w14:paraId="190C165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总价金额与按单价汇总金额不一致的，以单价金额计算结果为准。</w:t>
      </w:r>
    </w:p>
    <w:p w14:paraId="18EF75D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★同时出现两种以上不一致的，按照前款规定的顺序修正。修正后的报价按照上述规定经供应商确认后产生约束力，供应商不确认的，其投标无效。</w:t>
      </w:r>
    </w:p>
    <w:p w14:paraId="2EC57E1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投标文件澄清</w:t>
      </w:r>
    </w:p>
    <w:p w14:paraId="0A97950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.3.1</w:t>
      </w:r>
      <w:r>
        <w:rPr>
          <w:rFonts w:hint="eastAsia" w:ascii="宋体" w:hAnsi="宋体" w:eastAsia="宋体" w:cs="Times New Roman"/>
          <w:color w:val="000000" w:themeColor="text1"/>
          <w:kern w:val="0"/>
          <w:sz w:val="24"/>
          <w:szCs w:val="24"/>
          <w14:textFill>
            <w14:solidFill>
              <w14:schemeClr w14:val="tx1"/>
            </w14:solidFill>
          </w14:textFill>
        </w:rPr>
        <w:t>　评审小组在对投标文件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包括首次投标文件、重新提交的投标文件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的有效性、完整性和对招标文件的投标程度进行审查时，可以要求供应商对投标文件中含义不明确、同类问题表述不一致或者有明显文字和计算错误的内容等作出必要的澄清、说明或者更正。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5A26078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比较与评价</w:t>
      </w:r>
    </w:p>
    <w:p w14:paraId="3792807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评标委员会应当按照招标文件中规定的评标方法和标准，对符合性审查合格的投标文件进行商务和技术评估，综合比较与评价。</w:t>
      </w:r>
    </w:p>
    <w:p w14:paraId="2B6C101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评标委员会认为供应商的报价明显低于其他通过符合性审查供应商的报价，有可能影响服务质量或者不能诚信履约的，应当要求其在评标现场合理的时间内提供说明，必要时提交相关证明材料；供应商不能证明其报价合理性的，评标委员会应当将其作为无效投标处理。</w:t>
      </w:r>
    </w:p>
    <w:p w14:paraId="67D241D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5　推荐中标候选人名单</w:t>
      </w:r>
    </w:p>
    <w:p w14:paraId="0596DA4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1　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0C96131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确定中标供应商</w:t>
      </w:r>
    </w:p>
    <w:p w14:paraId="53F1505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采购代理机构应当在评标结束之日起</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个工作日内将评标报告送采购人。</w:t>
      </w:r>
    </w:p>
    <w:p w14:paraId="3FB754F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采购人应当在收到评标报告之日起</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个工作日内，在评标报告确定的中标候选人名单中按顺序确定中标人。</w:t>
      </w:r>
    </w:p>
    <w:p w14:paraId="4BF2C7F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采购人自行组织招标的，应当在评标结束后</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个工作日内确定中标人。中标候选人并列的，由采购人或者采购人委托评标委员会按照供应商须知前附表规定的方式确定中标人。</w:t>
      </w:r>
    </w:p>
    <w:p w14:paraId="54A5716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废标</w:t>
      </w:r>
    </w:p>
    <w:p w14:paraId="3418D83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有下列情形之一时，招标采购单位应予废标，并将废标理由通知所有供应商：</w:t>
      </w:r>
    </w:p>
    <w:p w14:paraId="6CE1C95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符合专业条件的供应商或者对招标文件作实质性投标的供应商不足三家的；</w:t>
      </w:r>
    </w:p>
    <w:p w14:paraId="2DCC58A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出现影响采购公正的违法、违规行为的；</w:t>
      </w:r>
    </w:p>
    <w:p w14:paraId="493657E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供应商的报价均超过了采购预算，采购人不能支付的；</w:t>
      </w:r>
    </w:p>
    <w:p w14:paraId="1B8D3E2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因重大变故，采购任务取消的。</w:t>
      </w:r>
    </w:p>
    <w:p w14:paraId="7CEF92D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保密</w:t>
      </w:r>
    </w:p>
    <w:p w14:paraId="1164AED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评标委员会成员以及与评标工作有关的人员不得泄露评标情况以及评标过程中获悉的国家秘密、商业秘密。</w:t>
      </w:r>
    </w:p>
    <w:p w14:paraId="399FF58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禁止行为</w:t>
      </w:r>
    </w:p>
    <w:p w14:paraId="28B1A82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29</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不得与采购人、采购代理机构恶意串通；不得向采购人、采购代理机构或者评标委员会成员行贿或者提供其他不正当利益；不得提供虚假材料谋取中标；不得以任何方式干扰、影响采购工作。供应商违反中华人民共和国政府采购法律法规相关规定的，依法追究法律责任。</w:t>
      </w:r>
    </w:p>
    <w:p w14:paraId="587D03D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29</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供应商应当遵循公平竞争的原则，不得恶意串通，不得妨碍其他供应商的竞争行为，不得损害采购人或者其他供应商的合法权益。</w:t>
      </w:r>
    </w:p>
    <w:p w14:paraId="2B972FE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有下列情形之一的，视为供应商串通投标，其投标无效：</w:t>
      </w:r>
    </w:p>
    <w:p w14:paraId="739B31B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不同供应商的投标文件由同一单位或者个人编制；</w:t>
      </w:r>
    </w:p>
    <w:p w14:paraId="0E1AB4E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不同供应商委托同一单位或者个人办理投标事宜；</w:t>
      </w:r>
    </w:p>
    <w:p w14:paraId="1DEF892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不同供应商的投标文件载明的项目管理成员或者联系人员为同一人；</w:t>
      </w:r>
    </w:p>
    <w:p w14:paraId="646AA3D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不同供应商的投标文件异常一致或者投标报价呈规律性差异；</w:t>
      </w:r>
    </w:p>
    <w:p w14:paraId="79A0128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不同供应商的投标文件相互混装；</w:t>
      </w:r>
    </w:p>
    <w:p w14:paraId="77F5C46F">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不同供应商的投标保证金从同一单位或者个人的账户转出。</w:t>
      </w:r>
    </w:p>
    <w:p w14:paraId="471F29C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五、中标信息公告与签订合同</w:t>
      </w:r>
    </w:p>
    <w:p w14:paraId="239D2528">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中标信息公告</w:t>
      </w:r>
    </w:p>
    <w:p w14:paraId="320598D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中标人确定之日起</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个工作日内，采购人或者采购代理机构应将中标结果在供应商须知前附表中规定的公告媒体上公布。</w:t>
      </w:r>
    </w:p>
    <w:p w14:paraId="7C63D4C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0</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招标文件随中标结果同时公告。但中标结果公告前招标文件已公告的，不再重复公告。</w:t>
      </w:r>
    </w:p>
    <w:p w14:paraId="4B262E5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1</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中标通知</w:t>
      </w:r>
    </w:p>
    <w:p w14:paraId="1CC6884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采购人或者采购代理机构应当自发布中标公告的同时，发出中标通知书，中标通知书对采购人和中标人具有同等法律效力。</w:t>
      </w:r>
    </w:p>
    <w:p w14:paraId="3448D954">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中标通知书发出后，中标人无正当理由不得放弃中标。</w:t>
      </w:r>
    </w:p>
    <w:p w14:paraId="0EA8AB3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履约保证金</w:t>
      </w:r>
    </w:p>
    <w:p w14:paraId="326C1FA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本项目是否缴纳履约保证金见供应商须知前附表。</w:t>
      </w:r>
    </w:p>
    <w:p w14:paraId="2F53DD1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供应商须知前附表规定交纳履约保证金的，中标人在签订采购合同前，向采购人提交履约保证金。联合体成交的，履约保证金以联合体各方或联合体中牵头人的名义提交。</w:t>
      </w:r>
    </w:p>
    <w:p w14:paraId="4BA4CB1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2</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中标人没有按照供应商须知前附表的规定提交履约保证金的，视为放弃中标，其投标保证金不予退还。</w:t>
      </w:r>
    </w:p>
    <w:p w14:paraId="315D883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签订合同</w:t>
      </w:r>
    </w:p>
    <w:p w14:paraId="020730B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招标文件和中标供应商的投标文件均为签订政府采购合同的依据。</w:t>
      </w:r>
    </w:p>
    <w:p w14:paraId="5B9B131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中标供应商应当在中标通知书发出之日起</w:t>
      </w:r>
      <w:r>
        <w:rPr>
          <w:rFonts w:ascii="宋体" w:hAnsi="宋体" w:eastAsia="宋体" w:cs="Times New Roman"/>
          <w:color w:val="000000" w:themeColor="text1"/>
          <w:kern w:val="0"/>
          <w:sz w:val="24"/>
          <w:szCs w:val="24"/>
          <w14:textFill>
            <w14:solidFill>
              <w14:schemeClr w14:val="tx1"/>
            </w14:solidFill>
          </w14:textFill>
        </w:rPr>
        <w:t>30</w:t>
      </w:r>
      <w:r>
        <w:rPr>
          <w:rFonts w:hint="eastAsia" w:ascii="宋体" w:hAnsi="宋体" w:eastAsia="宋体" w:cs="Times New Roman"/>
          <w:color w:val="000000" w:themeColor="text1"/>
          <w:kern w:val="0"/>
          <w:sz w:val="24"/>
          <w:szCs w:val="24"/>
          <w14:textFill>
            <w14:solidFill>
              <w14:schemeClr w14:val="tx1"/>
            </w14:solidFill>
          </w14:textFill>
        </w:rPr>
        <w:t>日内，与采购人签订政府采购合同。</w:t>
      </w:r>
    </w:p>
    <w:p w14:paraId="1548C551">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14:paraId="55103D4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自政府采购合同签订之日起</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个工作日内，本项目政府采购合同在供应商须知前附表规定的媒体上公告，但政府采购合同中涉及国家秘密、商业秘密的内容除外。</w:t>
      </w:r>
    </w:p>
    <w:p w14:paraId="6A39CDB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六、其他规定</w:t>
      </w:r>
    </w:p>
    <w:p w14:paraId="5E5AD3AE">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招标代理服务费。</w:t>
      </w:r>
    </w:p>
    <w:p w14:paraId="2B052AA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4</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中标人是否交纳投招标代理服务费及相关要求见供应商须知前附表。</w:t>
      </w:r>
    </w:p>
    <w:p w14:paraId="090299E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询问、质疑、投诉</w:t>
      </w:r>
    </w:p>
    <w:p w14:paraId="21EEBE0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供应商对政府采购活动事项有疑问的，可以向采购人或采购代理机构提出询问</w:t>
      </w:r>
    </w:p>
    <w:p w14:paraId="7B4D158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供应商认为招标文件、招标过程和中标结果使自己的权益受到损害的，可以在知道或者应知其权益受到损害之日起</w:t>
      </w: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个工作日内，以书面形式向采购人或采购代理机构提出质疑。</w:t>
      </w:r>
    </w:p>
    <w:p w14:paraId="36A8C2B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供应商提出质疑的，应提供质疑书原件。</w:t>
      </w:r>
    </w:p>
    <w:p w14:paraId="664D8DB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质疑书应当由供应商法定代表人或其授权的投标代表签字并加盖供应商单位章，质疑书由授权的投标代表签字的应附供应商法定代表人委托授权书。</w:t>
      </w:r>
    </w:p>
    <w:p w14:paraId="4965959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5</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　供应商对采购人或采购代理机构的答复不满意，或采购人或采购代理机构未在规定的期限作出答复的，可在答复期满后</w:t>
      </w:r>
      <w:r>
        <w:rPr>
          <w:rFonts w:ascii="宋体" w:hAnsi="宋体" w:eastAsia="宋体" w:cs="Times New Roman"/>
          <w:color w:val="000000" w:themeColor="text1"/>
          <w:kern w:val="0"/>
          <w:sz w:val="24"/>
          <w:szCs w:val="24"/>
          <w14:textFill>
            <w14:solidFill>
              <w14:schemeClr w14:val="tx1"/>
            </w14:solidFill>
          </w14:textFill>
        </w:rPr>
        <w:t>15</w:t>
      </w:r>
      <w:r>
        <w:rPr>
          <w:rFonts w:hint="eastAsia" w:ascii="宋体" w:hAnsi="宋体" w:eastAsia="宋体" w:cs="Times New Roman"/>
          <w:color w:val="000000" w:themeColor="text1"/>
          <w:kern w:val="0"/>
          <w:sz w:val="24"/>
          <w:szCs w:val="24"/>
          <w14:textFill>
            <w14:solidFill>
              <w14:schemeClr w14:val="tx1"/>
            </w14:solidFill>
          </w14:textFill>
        </w:rPr>
        <w:t>个工作日内，按中华人民共和国政府采购法律法规规定及程序，向财政部提出投诉。</w:t>
      </w:r>
    </w:p>
    <w:p w14:paraId="4BECD58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6</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发生下列情况之一，供应商将被列入不良记录名单，在</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年内禁止参加政府采购活动，并予以公告：</w:t>
      </w:r>
    </w:p>
    <w:p w14:paraId="4F03C72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开标后在投标有效期内，供应商撤回其投标；</w:t>
      </w:r>
    </w:p>
    <w:p w14:paraId="235C7976">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中标后无正当理由不与采购人签订政府采购合同；</w:t>
      </w:r>
    </w:p>
    <w:p w14:paraId="2047BE2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中标后未按照招标文件和中标供应商的投标文件订立政府采购合同，或者与采购人另行订立背离合同实质性内容的协议的；</w:t>
      </w:r>
    </w:p>
    <w:p w14:paraId="6002524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将中标项目转让给他人，或者在投标文件中未说明，且未经采购招标机构同意，将中标项目分包给他人；</w:t>
      </w:r>
    </w:p>
    <w:p w14:paraId="20BAF3B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拒绝履行合同义务的；</w:t>
      </w:r>
    </w:p>
    <w:p w14:paraId="12BA1FA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《中华人民共和国政府采购法》第七十七条和《中华人民共和国政府采购法实施条例》第七十二条规定的其他情形；</w:t>
      </w:r>
    </w:p>
    <w:p w14:paraId="39C31D33">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其他违反法律法规相关规定的情形。</w:t>
      </w:r>
    </w:p>
    <w:p w14:paraId="4062C077">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其他规定。</w:t>
      </w:r>
    </w:p>
    <w:p w14:paraId="49D0A5F2">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7</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投标文件的其他规定见供应商须知前附表。</w:t>
      </w:r>
    </w:p>
    <w:p w14:paraId="7E2B65CB">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未尽事宜</w:t>
      </w:r>
    </w:p>
    <w:p w14:paraId="77B029FA">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8</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其他未尽事宜按中华人民共和国政府采购法律法规的规定执行。</w:t>
      </w:r>
    </w:p>
    <w:p w14:paraId="466938B5">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39</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文件解释权</w:t>
      </w:r>
    </w:p>
    <w:p w14:paraId="333562A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39</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本招标文件的解释权归采购人</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或采购代理机构</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所有。</w:t>
      </w:r>
    </w:p>
    <w:p w14:paraId="5E96719E">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七、质疑处理</w:t>
      </w:r>
    </w:p>
    <w:p w14:paraId="54677E9C">
      <w:pPr>
        <w:adjustRightInd w:val="0"/>
        <w:snapToGrid w:val="0"/>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40.1 提出质疑的供应商应当是参与所质疑项目采购活动的供应商。潜在供应商依法获取其可质疑的采购文件的，可以对采购文件提出质疑。</w:t>
      </w:r>
    </w:p>
    <w:p w14:paraId="51BCC344">
      <w:pPr>
        <w:adjustRightInd w:val="0"/>
        <w:snapToGrid w:val="0"/>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供应商认为采购文件、采购过程和采购结果使自己的权益受到损害的，可以在知道或应知其权益受到损害之日起七个工作日内，以书面形式向代理机构及采购人提出质疑。上述应知其权益受到损害之日，是指：</w:t>
      </w:r>
    </w:p>
    <w:p w14:paraId="6EF68B3D">
      <w:pPr>
        <w:adjustRightInd w:val="0"/>
        <w:snapToGrid w:val="0"/>
        <w:spacing w:line="360" w:lineRule="auto"/>
        <w:rPr>
          <w:rFonts w:ascii="Times New Roman" w:hAnsi="宋体" w:eastAsia="宋体" w:cs="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40.2.1</w:t>
      </w:r>
      <w:r>
        <w:rPr>
          <w:rFonts w:hint="eastAsia" w:ascii="Times New Roman" w:hAnsi="宋体" w:eastAsia="宋体" w:cs="宋体"/>
          <w:color w:val="000000" w:themeColor="text1"/>
          <w:kern w:val="0"/>
          <w:sz w:val="24"/>
          <w:szCs w:val="24"/>
          <w14:textFill>
            <w14:solidFill>
              <w14:schemeClr w14:val="tx1"/>
            </w14:solidFill>
          </w14:textFill>
        </w:rPr>
        <w:t>对可以质疑的采购文件提出质疑的，为收到采购文件之日或者采购文件公告期限届满之日；</w:t>
      </w:r>
    </w:p>
    <w:p w14:paraId="29819410">
      <w:pPr>
        <w:adjustRightInd w:val="0"/>
        <w:snapToGrid w:val="0"/>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40.2.2</w:t>
      </w:r>
      <w:r>
        <w:rPr>
          <w:rFonts w:hint="eastAsia" w:ascii="Times New Roman" w:hAnsi="宋体" w:eastAsia="宋体" w:cs="宋体"/>
          <w:color w:val="000000" w:themeColor="text1"/>
          <w:kern w:val="0"/>
          <w:sz w:val="24"/>
          <w:szCs w:val="24"/>
          <w14:textFill>
            <w14:solidFill>
              <w14:schemeClr w14:val="tx1"/>
            </w14:solidFill>
          </w14:textFill>
        </w:rPr>
        <w:t>对采购过程提出质疑的，为各采购程序环节结束之日；</w:t>
      </w:r>
    </w:p>
    <w:p w14:paraId="6C2353E4">
      <w:pPr>
        <w:adjustRightInd w:val="0"/>
        <w:snapToGrid w:val="0"/>
        <w:spacing w:line="360" w:lineRule="auto"/>
        <w:rPr>
          <w:rFonts w:ascii="Times New Roman" w:hAnsi="宋体" w:eastAsia="宋体" w:cs="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40.2.3</w:t>
      </w:r>
      <w:r>
        <w:rPr>
          <w:rFonts w:hint="eastAsia" w:ascii="Times New Roman" w:hAnsi="宋体" w:eastAsia="宋体" w:cs="宋体"/>
          <w:color w:val="000000" w:themeColor="text1"/>
          <w:kern w:val="0"/>
          <w:sz w:val="24"/>
          <w:szCs w:val="24"/>
          <w14:textFill>
            <w14:solidFill>
              <w14:schemeClr w14:val="tx1"/>
            </w14:solidFill>
          </w14:textFill>
        </w:rPr>
        <w:t>对中标或者成交结果提出质疑的，为中标或者成交结果公告期限届满之日。</w:t>
      </w:r>
    </w:p>
    <w:p w14:paraId="0A23246E">
      <w:pPr>
        <w:adjustRightInd w:val="0"/>
        <w:snapToGrid w:val="0"/>
        <w:spacing w:line="360" w:lineRule="auto"/>
        <w:rPr>
          <w:rFonts w:ascii="Times New Roman" w:hAnsi="宋体" w:eastAsia="宋体" w:cs="宋体"/>
          <w:color w:val="000000" w:themeColor="text1"/>
          <w:kern w:val="0"/>
          <w:sz w:val="24"/>
          <w:szCs w:val="24"/>
          <w14:textFill>
            <w14:solidFill>
              <w14:schemeClr w14:val="tx1"/>
            </w14:solidFill>
          </w14:textFill>
        </w:rPr>
      </w:pPr>
      <w:r>
        <w:rPr>
          <w:rFonts w:hint="eastAsia" w:ascii="Times New Roman" w:hAnsi="宋体" w:eastAsia="宋体" w:cs="宋体"/>
          <w:color w:val="000000" w:themeColor="text1"/>
          <w:kern w:val="0"/>
          <w:sz w:val="24"/>
          <w:szCs w:val="24"/>
          <w14:textFill>
            <w14:solidFill>
              <w14:schemeClr w14:val="tx1"/>
            </w14:solidFill>
          </w14:textFill>
        </w:rPr>
        <w:t>供应商应当在法定质疑期内一次性提出针对同一采购程序环节的质疑。供应商如在法定期限内对同一采购程序环节提出多次质疑的，</w:t>
      </w:r>
      <w:r>
        <w:rPr>
          <w:rFonts w:hint="eastAsia" w:ascii="Times New Roman" w:hAnsi="宋体" w:eastAsia="宋体" w:cs="宋体"/>
          <w:b/>
          <w:color w:val="000000" w:themeColor="text1"/>
          <w:kern w:val="0"/>
          <w:sz w:val="24"/>
          <w:szCs w:val="24"/>
          <w14:textFill>
            <w14:solidFill>
              <w14:schemeClr w14:val="tx1"/>
            </w14:solidFill>
          </w14:textFill>
        </w:rPr>
        <w:t>代理机构、采购人将只对供应商第一次质疑作出答复。</w:t>
      </w:r>
    </w:p>
    <w:p w14:paraId="4C8823D9">
      <w:pPr>
        <w:adjustRightInd w:val="0"/>
        <w:snapToGrid w:val="0"/>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40.3质疑函必须按照本《政府采购质疑和投诉办法》要求的格式和内容进行填写。供应商如组成联合体参加投标，则质疑函中要求签字、盖章、加盖公章之处，联合体各方均须按要求签字、盖章、加盖公章。</w:t>
      </w:r>
    </w:p>
    <w:p w14:paraId="6335C44E">
      <w:pPr>
        <w:adjustRightInd w:val="0"/>
        <w:snapToGrid w:val="0"/>
        <w:spacing w:line="360" w:lineRule="auto"/>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40.4 代理机构及采购人只接收以纸质原件形式送达的质疑。</w:t>
      </w:r>
      <w:r>
        <w:rPr>
          <w:rFonts w:hint="eastAsia" w:ascii="宋体" w:hAnsi="宋体" w:eastAsia="宋体" w:cs="Times New Roman"/>
          <w:b/>
          <w:color w:val="000000" w:themeColor="text1"/>
          <w:sz w:val="24"/>
          <w:szCs w:val="24"/>
          <w14:textFill>
            <w14:solidFill>
              <w14:schemeClr w14:val="tx1"/>
            </w14:solidFill>
          </w14:textFill>
        </w:rPr>
        <w:t>代理机构质疑接收人为：</w:t>
      </w:r>
      <w:r>
        <w:rPr>
          <w:rFonts w:hint="eastAsia" w:ascii="宋体" w:hAnsi="宋体" w:eastAsia="宋体" w:cs="Times New Roman"/>
          <w:b/>
          <w:color w:val="000000" w:themeColor="text1"/>
          <w:sz w:val="24"/>
          <w:szCs w:val="24"/>
          <w:u w:val="single"/>
          <w14:textFill>
            <w14:solidFill>
              <w14:schemeClr w14:val="tx1"/>
            </w14:solidFill>
          </w14:textFill>
        </w:rPr>
        <w:t>牛晓娟</w:t>
      </w:r>
      <w:r>
        <w:rPr>
          <w:rFonts w:hint="eastAsia" w:ascii="宋体" w:hAnsi="宋体" w:eastAsia="宋体" w:cs="Times New Roman"/>
          <w:b/>
          <w:color w:val="000000" w:themeColor="text1"/>
          <w:sz w:val="24"/>
          <w:szCs w:val="24"/>
          <w14:textFill>
            <w14:solidFill>
              <w14:schemeClr w14:val="tx1"/>
            </w14:solidFill>
          </w14:textFill>
        </w:rPr>
        <w:t>，联系地址：</w:t>
      </w:r>
      <w:r>
        <w:rPr>
          <w:rFonts w:hint="eastAsia" w:ascii="宋体" w:hAnsi="宋体" w:eastAsia="宋体" w:cs="Times New Roman"/>
          <w:b/>
          <w:color w:val="000000" w:themeColor="text1"/>
          <w:sz w:val="24"/>
          <w:szCs w:val="24"/>
          <w:u w:val="single"/>
          <w14:textFill>
            <w14:solidFill>
              <w14:schemeClr w14:val="tx1"/>
            </w14:solidFill>
          </w14:textFill>
        </w:rPr>
        <w:t>乌鲁木齐市水磨沟区南湖南路66号水清木华A栋6层</w:t>
      </w:r>
      <w:r>
        <w:rPr>
          <w:rFonts w:hint="eastAsia" w:ascii="宋体" w:hAnsi="宋体" w:eastAsia="宋体" w:cs="Times New Roman"/>
          <w:b/>
          <w:color w:val="000000" w:themeColor="text1"/>
          <w:sz w:val="24"/>
          <w:szCs w:val="24"/>
          <w14:textFill>
            <w14:solidFill>
              <w14:schemeClr w14:val="tx1"/>
            </w14:solidFill>
          </w14:textFill>
        </w:rPr>
        <w:t>，电话：</w:t>
      </w:r>
      <w:r>
        <w:rPr>
          <w:rFonts w:hint="eastAsia" w:ascii="宋体" w:hAnsi="宋体" w:eastAsia="宋体" w:cs="Times New Roman"/>
          <w:b/>
          <w:color w:val="000000" w:themeColor="text1"/>
          <w:sz w:val="24"/>
          <w:szCs w:val="24"/>
          <w:u w:val="single"/>
          <w14:textFill>
            <w14:solidFill>
              <w14:schemeClr w14:val="tx1"/>
            </w14:solidFill>
          </w14:textFill>
        </w:rPr>
        <w:t>17699941693</w:t>
      </w:r>
      <w:r>
        <w:rPr>
          <w:rFonts w:hint="eastAsia" w:ascii="宋体" w:hAnsi="宋体" w:eastAsia="宋体" w:cs="Times New Roman"/>
          <w:b/>
          <w:color w:val="000000" w:themeColor="text1"/>
          <w:sz w:val="24"/>
          <w:szCs w:val="24"/>
          <w14:textFill>
            <w14:solidFill>
              <w14:schemeClr w14:val="tx1"/>
            </w14:solidFill>
          </w14:textFill>
        </w:rPr>
        <w:t>。</w:t>
      </w:r>
    </w:p>
    <w:p w14:paraId="6761FD49">
      <w:pPr>
        <w:adjustRightInd w:val="0"/>
        <w:snapToGrid w:val="0"/>
        <w:spacing w:line="360" w:lineRule="auto"/>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采购人质疑接收人：</w:t>
      </w:r>
      <w:r>
        <w:rPr>
          <w:rFonts w:hint="eastAsia" w:ascii="宋体" w:hAnsi="宋体" w:eastAsia="宋体" w:cs="Times New Roman"/>
          <w:b/>
          <w:color w:val="000000" w:themeColor="text1"/>
          <w:sz w:val="24"/>
          <w:szCs w:val="24"/>
          <w:u w:val="single"/>
          <w14:textFill>
            <w14:solidFill>
              <w14:schemeClr w14:val="tx1"/>
            </w14:solidFill>
          </w14:textFill>
        </w:rPr>
        <w:t>王少杰</w:t>
      </w:r>
      <w:r>
        <w:rPr>
          <w:rFonts w:hint="eastAsia" w:ascii="宋体" w:hAnsi="宋体" w:eastAsia="宋体" w:cs="Times New Roman"/>
          <w:b/>
          <w:color w:val="000000" w:themeColor="text1"/>
          <w:sz w:val="24"/>
          <w:szCs w:val="24"/>
          <w14:textFill>
            <w14:solidFill>
              <w14:schemeClr w14:val="tx1"/>
            </w14:solidFill>
          </w14:textFill>
        </w:rPr>
        <w:t>，联系地址：</w:t>
      </w:r>
      <w:r>
        <w:rPr>
          <w:rFonts w:hint="eastAsia" w:ascii="宋体" w:hAnsi="宋体" w:eastAsia="宋体" w:cs="Times New Roman"/>
          <w:b/>
          <w:color w:val="000000" w:themeColor="text1"/>
          <w:sz w:val="24"/>
          <w:szCs w:val="24"/>
          <w:u w:val="single"/>
          <w14:textFill>
            <w14:solidFill>
              <w14:schemeClr w14:val="tx1"/>
            </w14:solidFill>
          </w14:textFill>
        </w:rPr>
        <w:t>黑龙江路69号，</w:t>
      </w:r>
      <w:r>
        <w:rPr>
          <w:rFonts w:hint="eastAsia" w:ascii="宋体" w:hAnsi="宋体" w:eastAsia="宋体" w:cs="Times New Roman"/>
          <w:b/>
          <w:color w:val="000000" w:themeColor="text1"/>
          <w:sz w:val="24"/>
          <w:szCs w:val="24"/>
          <w14:textFill>
            <w14:solidFill>
              <w14:schemeClr w14:val="tx1"/>
            </w14:solidFill>
          </w14:textFill>
        </w:rPr>
        <w:t>联系电话</w:t>
      </w:r>
      <w:r>
        <w:rPr>
          <w:rFonts w:hint="eastAsia" w:ascii="宋体" w:hAnsi="宋体" w:eastAsia="宋体" w:cs="Times New Roman"/>
          <w:b/>
          <w:color w:val="000000" w:themeColor="text1"/>
          <w:sz w:val="24"/>
          <w:szCs w:val="24"/>
          <w:u w:val="single"/>
          <w14:textFill>
            <w14:solidFill>
              <w14:schemeClr w14:val="tx1"/>
            </w14:solidFill>
          </w14:textFill>
        </w:rPr>
        <w:t>：15099595390</w:t>
      </w:r>
      <w:r>
        <w:rPr>
          <w:rFonts w:hint="eastAsia" w:ascii="宋体" w:hAnsi="宋体" w:eastAsia="宋体" w:cs="Times New Roman"/>
          <w:b/>
          <w:color w:val="000000" w:themeColor="text1"/>
          <w:sz w:val="24"/>
          <w:szCs w:val="24"/>
          <w14:textFill>
            <w14:solidFill>
              <w14:schemeClr w14:val="tx1"/>
            </w14:solidFill>
          </w14:textFill>
        </w:rPr>
        <w:t>。</w:t>
      </w:r>
    </w:p>
    <w:p w14:paraId="21E95B3C">
      <w:pPr>
        <w:adjustRightInd w:val="0"/>
        <w:snapToGrid w:val="0"/>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 以下情形的质疑不予受理</w:t>
      </w:r>
    </w:p>
    <w:p w14:paraId="0E902E9A">
      <w:pPr>
        <w:adjustRightInd w:val="0"/>
        <w:snapToGrid w:val="0"/>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40.5.1 内容不符合《政府采购质疑和投诉办法》第十二条规定的质疑。</w:t>
      </w:r>
    </w:p>
    <w:p w14:paraId="62D5CD16">
      <w:pPr>
        <w:adjustRightInd w:val="0"/>
        <w:snapToGrid w:val="0"/>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40.5.2 超出政府采购法定期限的质疑。</w:t>
      </w:r>
    </w:p>
    <w:p w14:paraId="6623B340">
      <w:pPr>
        <w:adjustRightInd w:val="0"/>
        <w:snapToGrid w:val="0"/>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40.5.3 以传真、电子邮件等方式递交的非原件形式的质疑。</w:t>
      </w:r>
    </w:p>
    <w:p w14:paraId="7A6C938B">
      <w:pPr>
        <w:adjustRightInd w:val="0"/>
        <w:snapToGrid w:val="0"/>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40.5.4 未参加投标活动的供应商或在投标活动中自身权益未受到损害的供应商所提出的质疑。</w:t>
      </w:r>
    </w:p>
    <w:p w14:paraId="25B1F371">
      <w:pPr>
        <w:adjustRightInd w:val="0"/>
        <w:snapToGrid w:val="0"/>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40.5.5供应商组成联合体参加投标，联合体中任何一方或多方未按要求签字、盖章、加盖公章的质疑。</w:t>
      </w:r>
    </w:p>
    <w:p w14:paraId="5807660C">
      <w:pPr>
        <w:adjustRightInd w:val="0"/>
        <w:snapToGrid w:val="0"/>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40.6</w:t>
      </w:r>
      <w:r>
        <w:rPr>
          <w:rFonts w:hint="eastAsia" w:ascii="宋体" w:hAnsi="宋体" w:eastAsia="宋体" w:cs="Times New Roman"/>
          <w:b/>
          <w:color w:val="000000" w:themeColor="text1"/>
          <w:kern w:val="0"/>
          <w:sz w:val="24"/>
          <w:szCs w:val="24"/>
          <w14:textFill>
            <w14:solidFill>
              <w14:schemeClr w14:val="tx1"/>
            </w14:solidFill>
          </w14:textFill>
        </w:rPr>
        <w:t>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17E919CE">
      <w:pPr>
        <w:spacing w:line="360" w:lineRule="auto"/>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br w:type="page"/>
      </w:r>
    </w:p>
    <w:p w14:paraId="1C3253E9">
      <w:pPr>
        <w:keepNext/>
        <w:keepLines/>
        <w:spacing w:before="260" w:after="260" w:line="360" w:lineRule="auto"/>
        <w:jc w:val="center"/>
        <w:outlineLvl w:val="1"/>
        <w:rPr>
          <w:rFonts w:ascii="Arial" w:hAnsi="Arial" w:eastAsia="黑体" w:cs="Times New Roman"/>
          <w:b/>
          <w:color w:val="000000" w:themeColor="text1"/>
          <w:kern w:val="0"/>
          <w:sz w:val="28"/>
          <w:szCs w:val="20"/>
          <w14:textFill>
            <w14:solidFill>
              <w14:schemeClr w14:val="tx1"/>
            </w14:solidFill>
          </w14:textFill>
        </w:rPr>
      </w:pPr>
      <w:bookmarkStart w:id="7" w:name="_Toc7573"/>
      <w:r>
        <w:rPr>
          <w:rFonts w:hint="eastAsia" w:ascii="Arial" w:hAnsi="Arial" w:eastAsia="黑体" w:cs="Times New Roman"/>
          <w:b/>
          <w:color w:val="000000" w:themeColor="text1"/>
          <w:kern w:val="0"/>
          <w:sz w:val="28"/>
          <w:szCs w:val="20"/>
          <w14:textFill>
            <w14:solidFill>
              <w14:schemeClr w14:val="tx1"/>
            </w14:solidFill>
          </w14:textFill>
        </w:rPr>
        <w:t>第三章　评标办法及标准</w:t>
      </w:r>
      <w:bookmarkEnd w:id="7"/>
    </w:p>
    <w:p w14:paraId="25786011">
      <w:pPr>
        <w:spacing w:line="360" w:lineRule="auto"/>
        <w:ind w:left="-420" w:leftChars="-200" w:right="-420" w:rightChars="-200"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评审方法</w:t>
      </w:r>
    </w:p>
    <w:p w14:paraId="0B6CC583">
      <w:pPr>
        <w:spacing w:line="360" w:lineRule="auto"/>
        <w:ind w:left="-420" w:leftChars="-200" w:right="-420" w:rightChars="-200"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　评审方法：综合评分法，是指投标文件满足招标文件全部实质性要求，且按评审因素的量化指标评审得分最高的供应商为中标候选人的评审方法。</w:t>
      </w:r>
    </w:p>
    <w:p w14:paraId="35A121E8">
      <w:pPr>
        <w:spacing w:line="360" w:lineRule="auto"/>
        <w:ind w:left="-420" w:leftChars="-200" w:right="-420" w:rightChars="-200"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2.资格审查</w:t>
      </w:r>
    </w:p>
    <w:tbl>
      <w:tblPr>
        <w:tblStyle w:val="3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5"/>
        <w:gridCol w:w="3073"/>
        <w:gridCol w:w="4880"/>
      </w:tblGrid>
      <w:tr w14:paraId="708FB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337" w:type="pct"/>
            <w:tcBorders>
              <w:top w:val="single" w:color="auto" w:sz="4" w:space="0"/>
              <w:left w:val="single" w:color="auto" w:sz="4" w:space="0"/>
              <w:bottom w:val="single" w:color="auto" w:sz="4" w:space="0"/>
              <w:right w:val="single" w:color="auto" w:sz="4" w:space="0"/>
            </w:tcBorders>
            <w:vAlign w:val="center"/>
          </w:tcPr>
          <w:p w14:paraId="011BD160">
            <w:pPr>
              <w:spacing w:line="360" w:lineRule="auto"/>
              <w:jc w:val="center"/>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序号</w:t>
            </w:r>
          </w:p>
        </w:tc>
        <w:tc>
          <w:tcPr>
            <w:tcW w:w="1802" w:type="pct"/>
            <w:tcBorders>
              <w:top w:val="single" w:color="auto" w:sz="4" w:space="0"/>
              <w:left w:val="single" w:color="auto" w:sz="4" w:space="0"/>
              <w:bottom w:val="single" w:color="auto" w:sz="4" w:space="0"/>
              <w:right w:val="single" w:color="auto" w:sz="4" w:space="0"/>
            </w:tcBorders>
            <w:vAlign w:val="center"/>
          </w:tcPr>
          <w:p w14:paraId="727A1A33">
            <w:pPr>
              <w:spacing w:line="360" w:lineRule="auto"/>
              <w:jc w:val="center"/>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审查内容</w:t>
            </w:r>
          </w:p>
        </w:tc>
        <w:tc>
          <w:tcPr>
            <w:tcW w:w="2859" w:type="pct"/>
            <w:tcBorders>
              <w:top w:val="single" w:color="auto" w:sz="4" w:space="0"/>
              <w:left w:val="single" w:color="auto" w:sz="4" w:space="0"/>
              <w:right w:val="single" w:color="auto" w:sz="4" w:space="0"/>
            </w:tcBorders>
            <w:vAlign w:val="center"/>
          </w:tcPr>
          <w:p w14:paraId="167090FC">
            <w:pPr>
              <w:spacing w:line="360" w:lineRule="auto"/>
              <w:jc w:val="center"/>
              <w:rPr>
                <w:rFonts w:ascii="宋体" w:hAnsi="宋体" w:eastAsia="宋体" w:cs="Times New Roman"/>
                <w:color w:val="000000" w:themeColor="text1"/>
                <w14:textFill>
                  <w14:solidFill>
                    <w14:schemeClr w14:val="tx1"/>
                  </w14:solidFill>
                </w14:textFill>
              </w:rPr>
            </w:pPr>
            <w:r>
              <w:rPr>
                <w:rFonts w:hint="eastAsia" w:ascii="宋体" w:hAnsi="宋体" w:eastAsia="宋体" w:cs="Times New Roman"/>
                <w:color w:val="000000" w:themeColor="text1"/>
                <w14:textFill>
                  <w14:solidFill>
                    <w14:schemeClr w14:val="tx1"/>
                  </w14:solidFill>
                </w14:textFill>
              </w:rPr>
              <w:t>审查标准</w:t>
            </w:r>
          </w:p>
        </w:tc>
      </w:tr>
      <w:tr w14:paraId="16C8F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7" w:type="pct"/>
            <w:tcBorders>
              <w:top w:val="single" w:color="auto" w:sz="4" w:space="0"/>
              <w:left w:val="single" w:color="auto" w:sz="4" w:space="0"/>
              <w:bottom w:val="single" w:color="auto" w:sz="4" w:space="0"/>
              <w:right w:val="single" w:color="auto" w:sz="4" w:space="0"/>
            </w:tcBorders>
            <w:vAlign w:val="center"/>
          </w:tcPr>
          <w:p w14:paraId="05A210C9">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1</w:t>
            </w:r>
          </w:p>
        </w:tc>
        <w:tc>
          <w:tcPr>
            <w:tcW w:w="1802" w:type="pct"/>
            <w:tcBorders>
              <w:top w:val="single" w:color="auto" w:sz="4" w:space="0"/>
              <w:left w:val="single" w:color="auto" w:sz="4" w:space="0"/>
              <w:bottom w:val="single" w:color="auto" w:sz="4" w:space="0"/>
              <w:right w:val="single" w:color="auto" w:sz="4" w:space="0"/>
            </w:tcBorders>
            <w:vAlign w:val="center"/>
          </w:tcPr>
          <w:p w14:paraId="6A2F4048">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满足《</w:t>
            </w:r>
            <w:r>
              <w:rPr>
                <w:rFonts w:hint="eastAsia" w:ascii="Calibri" w:hAnsi="Calibri" w:eastAsia="宋体" w:cs="Courier New"/>
                <w:color w:val="000000" w:themeColor="text1"/>
                <w:sz w:val="24"/>
                <w:szCs w:val="24"/>
                <w14:textFill>
                  <w14:solidFill>
                    <w14:schemeClr w14:val="tx1"/>
                  </w14:solidFill>
                </w14:textFill>
              </w:rPr>
              <w:t>中华人民共和国政府采购法</w:t>
            </w:r>
            <w:r>
              <w:rPr>
                <w:rFonts w:ascii="Calibri" w:hAnsi="Calibri" w:eastAsia="宋体" w:cs="Courier New"/>
                <w:color w:val="000000" w:themeColor="text1"/>
                <w:sz w:val="24"/>
                <w:szCs w:val="24"/>
                <w14:textFill>
                  <w14:solidFill>
                    <w14:schemeClr w14:val="tx1"/>
                  </w14:solidFill>
                </w14:textFill>
              </w:rPr>
              <w:t>》第二十二条规定；</w:t>
            </w:r>
          </w:p>
          <w:p w14:paraId="116D1476">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(1)</w:t>
            </w:r>
            <w:r>
              <w:rPr>
                <w:rFonts w:hint="eastAsia" w:ascii="Calibri" w:hAnsi="Calibri" w:eastAsia="宋体" w:cs="Courier New"/>
                <w:color w:val="000000" w:themeColor="text1"/>
                <w:sz w:val="24"/>
                <w:szCs w:val="24"/>
                <w14:textFill>
                  <w14:solidFill>
                    <w14:schemeClr w14:val="tx1"/>
                  </w14:solidFill>
                </w14:textFill>
              </w:rPr>
              <w:t>具有独立承担民事责任的能力；</w:t>
            </w:r>
          </w:p>
          <w:p w14:paraId="6808BAD8">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(2)</w:t>
            </w:r>
            <w:r>
              <w:rPr>
                <w:rFonts w:hint="eastAsia" w:ascii="Calibri" w:hAnsi="Calibri" w:eastAsia="宋体" w:cs="Courier New"/>
                <w:color w:val="000000" w:themeColor="text1"/>
                <w:sz w:val="24"/>
                <w:szCs w:val="24"/>
                <w14:textFill>
                  <w14:solidFill>
                    <w14:schemeClr w14:val="tx1"/>
                  </w14:solidFill>
                </w14:textFill>
              </w:rPr>
              <w:t>具有良好的商业信誉和健全的财务会计制度；</w:t>
            </w:r>
          </w:p>
          <w:p w14:paraId="7891E776">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(3)</w:t>
            </w:r>
            <w:r>
              <w:rPr>
                <w:rFonts w:hint="eastAsia" w:ascii="Calibri" w:hAnsi="Calibri" w:eastAsia="宋体" w:cs="Courier New"/>
                <w:color w:val="000000" w:themeColor="text1"/>
                <w:sz w:val="24"/>
                <w:szCs w:val="24"/>
                <w14:textFill>
                  <w14:solidFill>
                    <w14:schemeClr w14:val="tx1"/>
                  </w14:solidFill>
                </w14:textFill>
              </w:rPr>
              <w:t>具有履行合同所必需的设备和专业技术能力；</w:t>
            </w:r>
          </w:p>
          <w:p w14:paraId="12FF149E">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(4)</w:t>
            </w:r>
            <w:r>
              <w:rPr>
                <w:rFonts w:hint="eastAsia" w:ascii="Calibri" w:hAnsi="Calibri" w:eastAsia="宋体" w:cs="Courier New"/>
                <w:color w:val="000000" w:themeColor="text1"/>
                <w:sz w:val="24"/>
                <w:szCs w:val="24"/>
                <w14:textFill>
                  <w14:solidFill>
                    <w14:schemeClr w14:val="tx1"/>
                  </w14:solidFill>
                </w14:textFill>
              </w:rPr>
              <w:t>有依法缴纳税收和社会保障资金的良好记录；</w:t>
            </w:r>
          </w:p>
          <w:p w14:paraId="42F377BD">
            <w:pPr>
              <w:spacing w:line="360" w:lineRule="auto"/>
              <w:rPr>
                <w:rFonts w:ascii="Calibri" w:hAnsi="Calibri" w:eastAsia="宋体" w:cs="Courier New"/>
                <w:color w:val="000000" w:themeColor="text1"/>
                <w:sz w:val="24"/>
                <w:szCs w:val="24"/>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(5)</w:t>
            </w:r>
            <w:r>
              <w:rPr>
                <w:rFonts w:hint="eastAsia" w:ascii="Calibri" w:hAnsi="Calibri" w:eastAsia="宋体" w:cs="Courier New"/>
                <w:color w:val="000000" w:themeColor="text1"/>
                <w:sz w:val="24"/>
                <w:szCs w:val="24"/>
                <w14:textFill>
                  <w14:solidFill>
                    <w14:schemeClr w14:val="tx1"/>
                  </w14:solidFill>
                </w14:textFill>
              </w:rPr>
              <w:t>参加政府采购活动前三年内，在经营活动中没有重大违法记录；</w:t>
            </w:r>
          </w:p>
          <w:p w14:paraId="45255652">
            <w:pPr>
              <w:widowControl/>
              <w:spacing w:line="360" w:lineRule="auto"/>
              <w:jc w:val="left"/>
              <w:rPr>
                <w:rFonts w:ascii="宋体" w:hAnsi="宋体" w:eastAsia="宋体" w:cs="Times New Roman"/>
                <w:color w:val="000000" w:themeColor="text1"/>
                <w14:textFill>
                  <w14:solidFill>
                    <w14:schemeClr w14:val="tx1"/>
                  </w14:solidFill>
                </w14:textFill>
              </w:rPr>
            </w:pPr>
            <w:r>
              <w:rPr>
                <w:rFonts w:ascii="Calibri" w:hAnsi="Calibri" w:eastAsia="宋体" w:cs="Courier New"/>
                <w:color w:val="000000" w:themeColor="text1"/>
                <w:sz w:val="24"/>
                <w:szCs w:val="24"/>
                <w14:textFill>
                  <w14:solidFill>
                    <w14:schemeClr w14:val="tx1"/>
                  </w14:solidFill>
                </w14:textFill>
              </w:rPr>
              <w:t>(6)</w:t>
            </w:r>
            <w:r>
              <w:rPr>
                <w:rFonts w:hint="eastAsia" w:ascii="Calibri" w:hAnsi="Calibri" w:eastAsia="宋体" w:cs="Courier New"/>
                <w:color w:val="000000" w:themeColor="text1"/>
                <w:sz w:val="24"/>
                <w:szCs w:val="24"/>
                <w14:textFill>
                  <w14:solidFill>
                    <w14:schemeClr w14:val="tx1"/>
                  </w14:solidFill>
                </w14:textFill>
              </w:rPr>
              <w:t>中华人民共和国政府采购法律法规相关规定的其他条件。</w:t>
            </w:r>
          </w:p>
        </w:tc>
        <w:tc>
          <w:tcPr>
            <w:tcW w:w="2859" w:type="pct"/>
            <w:tcBorders>
              <w:top w:val="single" w:color="auto" w:sz="4" w:space="0"/>
              <w:left w:val="single" w:color="auto" w:sz="4" w:space="0"/>
              <w:bottom w:val="single" w:color="auto" w:sz="4" w:space="0"/>
              <w:right w:val="single" w:color="auto" w:sz="4" w:space="0"/>
            </w:tcBorders>
            <w:vAlign w:val="center"/>
          </w:tcPr>
          <w:p w14:paraId="3B378F35">
            <w:pPr>
              <w:autoSpaceDE w:val="0"/>
              <w:autoSpaceDN w:val="0"/>
              <w:adjustRightInd w:val="0"/>
              <w:snapToGrid w:val="0"/>
              <w:spacing w:line="360" w:lineRule="auto"/>
              <w:rPr>
                <w:rFonts w:cs="宋体"/>
                <w:color w:val="000000"/>
                <w:sz w:val="24"/>
                <w:szCs w:val="24"/>
              </w:rPr>
            </w:pPr>
            <w:r>
              <w:rPr>
                <w:rFonts w:hint="eastAsia" w:ascii="宋体" w:hAnsi="宋体" w:cs="Courier New"/>
                <w:color w:val="000000" w:themeColor="text1"/>
                <w:sz w:val="24"/>
                <w:szCs w:val="24"/>
                <w14:textFill>
                  <w14:solidFill>
                    <w14:schemeClr w14:val="tx1"/>
                  </w14:solidFill>
                </w14:textFill>
              </w:rPr>
              <w:t>(1)</w:t>
            </w:r>
            <w:r>
              <w:rPr>
                <w:rFonts w:hint="eastAsia" w:cs="宋体"/>
                <w:color w:val="000000"/>
                <w:sz w:val="24"/>
                <w:szCs w:val="24"/>
              </w:rPr>
              <w:t>供应商为企业（包括合伙企业）的，应提供有效的“营业执照”；供应商为事业单位的，应提供有效的“事业单位法人证书”；供应商是非企业机构的，应提供有效的“执业许可证”、“登记证书”等证明文件;供应商是个体工商户的，应提供有效的“个体工商户营业执照”；供应商是自然人的，应提供有效的自然人身份证明。”（上述资料须复印件加盖公章）。</w:t>
            </w:r>
          </w:p>
          <w:p w14:paraId="367E2645">
            <w:pPr>
              <w:autoSpaceDE w:val="0"/>
              <w:autoSpaceDN w:val="0"/>
              <w:adjustRightInd w:val="0"/>
              <w:snapToGrid w:val="0"/>
              <w:spacing w:line="360" w:lineRule="auto"/>
              <w:rPr>
                <w:rFonts w:ascii="宋体" w:hAnsi="宋体" w:cs="Courier New"/>
                <w:color w:val="000000" w:themeColor="text1"/>
                <w:sz w:val="24"/>
                <w:szCs w:val="24"/>
                <w14:textFill>
                  <w14:solidFill>
                    <w14:schemeClr w14:val="tx1"/>
                  </w14:solidFill>
                </w14:textFill>
              </w:rPr>
            </w:pPr>
            <w:r>
              <w:rPr>
                <w:rFonts w:hint="eastAsia" w:cs="宋体"/>
                <w:color w:val="000000"/>
                <w:sz w:val="24"/>
                <w:szCs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以联合体形式参加投标的，联合体各方均须提供上述资料。</w:t>
            </w:r>
          </w:p>
          <w:p w14:paraId="154AB2AB">
            <w:pPr>
              <w:pStyle w:val="14"/>
              <w:spacing w:after="0" w:line="360" w:lineRule="auto"/>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(2)须提供本单位上一年度由会计师事务所出具的财务审计报告（当上一年度审计报告未出来时，可提供前一年度审计报告），审计报告须包括资产负债表、利润表、现金流量表、所有者权益变动（如有）及其附注（复印件并加盖本单位公章）。如供应商无法提供上年度审计报告，则需提供开标日前三个月内银行出具的资信证明原件或复印件加盖公章。如供应商注册成立不足三个月的则提供承诺书（自拟）原件。</w:t>
            </w:r>
          </w:p>
          <w:p w14:paraId="4FECD9DD">
            <w:pPr>
              <w:pStyle w:val="14"/>
              <w:spacing w:after="0" w:line="360" w:lineRule="auto"/>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(3)须提供具备履行合同所必需的设备和专业技术能力的书面声明原件或证明文件。</w:t>
            </w:r>
          </w:p>
          <w:p w14:paraId="4D580FA2">
            <w:pPr>
              <w:pStyle w:val="14"/>
              <w:spacing w:after="0" w:line="360" w:lineRule="auto"/>
              <w:rPr>
                <w:rFonts w:ascii="宋体" w:hAnsi="宋体" w:cs="Courier New"/>
                <w:color w:val="000000" w:themeColor="text1"/>
                <w:sz w:val="24"/>
                <w14:textFill>
                  <w14:solidFill>
                    <w14:schemeClr w14:val="tx1"/>
                  </w14:solidFill>
                </w14:textFill>
              </w:rPr>
            </w:pPr>
            <w:r>
              <w:rPr>
                <w:rFonts w:ascii="宋体" w:hAnsi="宋体" w:cs="Courier New"/>
                <w:color w:val="000000" w:themeColor="text1"/>
                <w:sz w:val="24"/>
                <w14:textFill>
                  <w14:solidFill>
                    <w14:schemeClr w14:val="tx1"/>
                  </w14:solidFill>
                </w14:textFill>
              </w:rPr>
              <w:t>(4)1.须提供投标文件递交截止日期之前六个月内任何一期的纳税记录或证明文件原件或复印件加盖公章（依法免税的应提供相应文件说明），如</w:t>
            </w:r>
            <w:r>
              <w:rPr>
                <w:rFonts w:hint="eastAsia" w:ascii="宋体" w:hAnsi="宋体" w:cs="Courier New"/>
                <w:color w:val="000000" w:themeColor="text1"/>
                <w:sz w:val="24"/>
                <w14:textFill>
                  <w14:solidFill>
                    <w14:schemeClr w14:val="tx1"/>
                  </w14:solidFill>
                </w14:textFill>
              </w:rPr>
              <w:t>供应商</w:t>
            </w:r>
            <w:r>
              <w:rPr>
                <w:rFonts w:ascii="宋体" w:hAnsi="宋体" w:cs="Courier New"/>
                <w:color w:val="000000" w:themeColor="text1"/>
                <w:sz w:val="24"/>
                <w14:textFill>
                  <w14:solidFill>
                    <w14:schemeClr w14:val="tx1"/>
                  </w14:solidFill>
                </w14:textFill>
              </w:rPr>
              <w:t>注册成立不足三个月的则提供承诺书（自拟）原件。</w:t>
            </w:r>
          </w:p>
          <w:p w14:paraId="3DE04007">
            <w:pPr>
              <w:pStyle w:val="14"/>
              <w:spacing w:after="0" w:line="360" w:lineRule="auto"/>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2.</w:t>
            </w:r>
            <w:r>
              <w:rPr>
                <w:rFonts w:ascii="宋体" w:hAnsi="宋体" w:cs="Courier New"/>
                <w:color w:val="000000" w:themeColor="text1"/>
                <w:sz w:val="24"/>
                <w14:textFill>
                  <w14:solidFill>
                    <w14:schemeClr w14:val="tx1"/>
                  </w14:solidFill>
                </w14:textFill>
              </w:rPr>
              <w:t>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如</w:t>
            </w:r>
            <w:r>
              <w:rPr>
                <w:rFonts w:hint="eastAsia" w:ascii="宋体" w:hAnsi="宋体" w:cs="Courier New"/>
                <w:color w:val="000000" w:themeColor="text1"/>
                <w:sz w:val="24"/>
                <w14:textFill>
                  <w14:solidFill>
                    <w14:schemeClr w14:val="tx1"/>
                  </w14:solidFill>
                </w14:textFill>
              </w:rPr>
              <w:t>供应商</w:t>
            </w:r>
            <w:r>
              <w:rPr>
                <w:rFonts w:ascii="宋体" w:hAnsi="宋体" w:cs="Courier New"/>
                <w:color w:val="000000" w:themeColor="text1"/>
                <w:sz w:val="24"/>
                <w14:textFill>
                  <w14:solidFill>
                    <w14:schemeClr w14:val="tx1"/>
                  </w14:solidFill>
                </w14:textFill>
              </w:rPr>
              <w:t>注册成立不足三个月的则提供承诺书（自拟）原件。</w:t>
            </w:r>
          </w:p>
          <w:p w14:paraId="00CCD2E6">
            <w:pPr>
              <w:pStyle w:val="14"/>
              <w:spacing w:after="0" w:line="360" w:lineRule="auto"/>
              <w:rPr>
                <w:rFonts w:ascii="宋体" w:hAnsi="宋体" w:cs="宋体"/>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须提供声明函原件。</w:t>
            </w:r>
          </w:p>
        </w:tc>
      </w:tr>
      <w:tr w14:paraId="1B12B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337" w:type="pct"/>
            <w:tcBorders>
              <w:top w:val="single" w:color="auto" w:sz="4" w:space="0"/>
              <w:left w:val="single" w:color="auto" w:sz="4" w:space="0"/>
              <w:bottom w:val="single" w:color="auto" w:sz="4" w:space="0"/>
              <w:right w:val="single" w:color="auto" w:sz="4" w:space="0"/>
            </w:tcBorders>
            <w:vAlign w:val="center"/>
          </w:tcPr>
          <w:p w14:paraId="49CABD5C">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2</w:t>
            </w:r>
          </w:p>
        </w:tc>
        <w:tc>
          <w:tcPr>
            <w:tcW w:w="1802" w:type="pct"/>
            <w:tcBorders>
              <w:top w:val="single" w:color="auto" w:sz="4" w:space="0"/>
              <w:left w:val="single" w:color="auto" w:sz="4" w:space="0"/>
              <w:bottom w:val="single" w:color="auto" w:sz="4" w:space="0"/>
              <w:right w:val="single" w:color="auto" w:sz="4" w:space="0"/>
            </w:tcBorders>
            <w:vAlign w:val="center"/>
          </w:tcPr>
          <w:p w14:paraId="0EF508A8">
            <w:pPr>
              <w:adjustRightInd w:val="0"/>
              <w:snapToGrid w:val="0"/>
              <w:spacing w:line="360" w:lineRule="auto"/>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lang w:eastAsia="zh-CN"/>
                <w14:textFill>
                  <w14:solidFill>
                    <w14:schemeClr w14:val="tx1"/>
                  </w14:solidFill>
                </w14:textFill>
              </w:rPr>
              <w:t>凡拟参加本次采购项目的供应商须具有良好的信誉，未在“信用中国”网站（www.creditchina.gov.cn）被列入重大税收违法失信主体、政府采购严重违法失信名单的（尚在处罚期内的）、未在“中国执行信息公开网”（http://zxgk.court.gov.cn/）网站被列入失信被执行人、中国政府采购网（www.ccgp.gov.cn）被列入政府采购严重违法失信行为记录名单（尚在处罚期内的）以及未被列入新疆税务局失信惩戒企业名单。近三年政府采购合同履约过程中及其他经营活动履约过程中因围标串标、偷税漏税、制售假冒伪劣商品等行为被有关行政部门处罚（处理）记录的，本项目不认定其具有良好的商业信誉，将拒绝其参加本次招标活动</w:t>
            </w:r>
            <w:r>
              <w:rPr>
                <w:rFonts w:hint="eastAsia" w:ascii="Times New Roman" w:hAnsi="Times New Roman" w:eastAsia="宋体" w:cs="Courier New"/>
                <w:color w:val="000000" w:themeColor="text1"/>
                <w:sz w:val="24"/>
                <w:szCs w:val="24"/>
                <w14:textFill>
                  <w14:solidFill>
                    <w14:schemeClr w14:val="tx1"/>
                  </w14:solidFill>
                </w14:textFill>
              </w:rPr>
              <w:t>将拒绝其参本次招标活动；</w:t>
            </w:r>
          </w:p>
        </w:tc>
        <w:tc>
          <w:tcPr>
            <w:tcW w:w="2859" w:type="pct"/>
            <w:tcBorders>
              <w:top w:val="single" w:color="auto" w:sz="4" w:space="0"/>
              <w:left w:val="single" w:color="auto" w:sz="4" w:space="0"/>
              <w:bottom w:val="single" w:color="auto" w:sz="4" w:space="0"/>
              <w:right w:val="single" w:color="auto" w:sz="4" w:space="0"/>
            </w:tcBorders>
            <w:vAlign w:val="center"/>
          </w:tcPr>
          <w:p w14:paraId="5BB59C6B">
            <w:pPr>
              <w:autoSpaceDE w:val="0"/>
              <w:autoSpaceDN w:val="0"/>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查询渠道：信用中国网站、</w:t>
            </w:r>
            <w:r>
              <w:rPr>
                <w:rFonts w:hint="eastAsia" w:ascii="Times New Roman" w:hAnsi="Times New Roman" w:eastAsia="宋体" w:cs="Courier New"/>
                <w:color w:val="000000" w:themeColor="text1"/>
                <w:sz w:val="24"/>
                <w:szCs w:val="24"/>
                <w:lang w:eastAsia="zh-CN"/>
                <w14:textFill>
                  <w14:solidFill>
                    <w14:schemeClr w14:val="tx1"/>
                  </w14:solidFill>
                </w14:textFill>
              </w:rPr>
              <w:t>中国执行信息公开网</w:t>
            </w:r>
            <w:r>
              <w:rPr>
                <w:rFonts w:hint="eastAsia" w:ascii="宋体" w:hAnsi="宋体" w:cs="Courier New"/>
                <w:color w:val="000000" w:themeColor="text1"/>
                <w:sz w:val="24"/>
                <w:szCs w:val="24"/>
                <w:lang w:eastAsia="zh-CN"/>
                <w14:textFill>
                  <w14:solidFill>
                    <w14:schemeClr w14:val="tx1"/>
                  </w14:solidFill>
                </w14:textFill>
              </w:rPr>
              <w:t>、</w:t>
            </w:r>
            <w:r>
              <w:rPr>
                <w:rFonts w:hint="eastAsia" w:ascii="宋体" w:hAnsi="宋体" w:cs="Courier New"/>
                <w:color w:val="000000" w:themeColor="text1"/>
                <w:sz w:val="24"/>
                <w:szCs w:val="24"/>
                <w14:textFill>
                  <w14:solidFill>
                    <w14:schemeClr w14:val="tx1"/>
                  </w14:solidFill>
                </w14:textFill>
              </w:rPr>
              <w:t>中国政府采购网和新疆税务局官网；</w:t>
            </w:r>
          </w:p>
          <w:p w14:paraId="2244ACBE">
            <w:pPr>
              <w:autoSpaceDE w:val="0"/>
              <w:autoSpaceDN w:val="0"/>
              <w:adjustRightInd w:val="0"/>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查询时间：投标截止时间后至资格审查阶段完成；</w:t>
            </w:r>
          </w:p>
          <w:p w14:paraId="30A3B0F3">
            <w:pPr>
              <w:autoSpaceDE w:val="0"/>
              <w:autoSpaceDN w:val="0"/>
              <w:adjustRightInd w:val="0"/>
              <w:snapToGrid w:val="0"/>
              <w:spacing w:line="360" w:lineRule="auto"/>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信用信息查询记录和证据留存具体方式：查询结果网页打印页作为查询记录和证据，与其他采购文件一并保存；信用信息的使用原则：经认定的“</w:t>
            </w:r>
            <w:r>
              <w:rPr>
                <w:rFonts w:hint="eastAsia" w:cs="Arial" w:asciiTheme="minorEastAsia" w:hAnsiTheme="minorEastAsia"/>
                <w:color w:val="000000" w:themeColor="text1"/>
                <w:kern w:val="0"/>
                <w:sz w:val="24"/>
                <w:szCs w:val="24"/>
                <w14:textFill>
                  <w14:solidFill>
                    <w14:schemeClr w14:val="tx1"/>
                  </w14:solidFill>
                </w14:textFill>
              </w:rPr>
              <w:t>中国执行信息公开网</w:t>
            </w:r>
            <w:r>
              <w:rPr>
                <w:rFonts w:hint="eastAsia" w:ascii="宋体" w:hAnsi="宋体" w:cs="宋体"/>
                <w:color w:val="000000" w:themeColor="text1"/>
                <w:sz w:val="24"/>
                <w:szCs w:val="24"/>
                <w14:textFill>
                  <w14:solidFill>
                    <w14:schemeClr w14:val="tx1"/>
                  </w14:solidFill>
                </w14:textFill>
              </w:rPr>
              <w:t>”被列入失信被执行人、“信用中国”网站被列入税收违法黑名单、政府采购严重违法失信名单的（尚在处罚期内的）、中国政府采购网被列入政府采购严重违法失信行为记录名单（尚在处罚期内的）以及被列入新疆税务局失信惩戒企业名单的供应商，其投标无效。</w:t>
            </w:r>
          </w:p>
        </w:tc>
      </w:tr>
      <w:tr w14:paraId="51CBA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337" w:type="pct"/>
            <w:tcBorders>
              <w:top w:val="single" w:color="auto" w:sz="4" w:space="0"/>
              <w:left w:val="single" w:color="auto" w:sz="4" w:space="0"/>
              <w:bottom w:val="single" w:color="auto" w:sz="4" w:space="0"/>
              <w:right w:val="single" w:color="auto" w:sz="4" w:space="0"/>
            </w:tcBorders>
            <w:vAlign w:val="center"/>
          </w:tcPr>
          <w:p w14:paraId="74575DDE">
            <w:pPr>
              <w:spacing w:line="360" w:lineRule="auto"/>
              <w:jc w:val="center"/>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3</w:t>
            </w:r>
          </w:p>
        </w:tc>
        <w:tc>
          <w:tcPr>
            <w:tcW w:w="1802" w:type="pct"/>
            <w:tcBorders>
              <w:top w:val="single" w:color="auto" w:sz="4" w:space="0"/>
              <w:left w:val="single" w:color="auto" w:sz="4" w:space="0"/>
              <w:bottom w:val="single" w:color="auto" w:sz="4" w:space="0"/>
              <w:right w:val="single" w:color="auto" w:sz="4" w:space="0"/>
            </w:tcBorders>
            <w:vAlign w:val="center"/>
          </w:tcPr>
          <w:p w14:paraId="523EAB33">
            <w:pPr>
              <w:spacing w:line="360" w:lineRule="auto"/>
              <w:rPr>
                <w:rFonts w:ascii="Times New Roman" w:hAnsi="Times New Roman" w:eastAsia="宋体" w:cs="Courier New"/>
                <w:color w:val="000000" w:themeColor="text1"/>
                <w:sz w:val="24"/>
                <w:szCs w:val="24"/>
                <w14:textFill>
                  <w14:solidFill>
                    <w14:schemeClr w14:val="tx1"/>
                  </w14:solidFill>
                </w14:textFill>
              </w:rPr>
            </w:pPr>
            <w:r>
              <w:rPr>
                <w:rFonts w:hint="eastAsia" w:ascii="Times New Roman" w:hAnsi="Times New Roman" w:eastAsia="宋体" w:cs="Courier New"/>
                <w:color w:val="000000" w:themeColor="text1"/>
                <w:sz w:val="24"/>
                <w:szCs w:val="24"/>
                <w14:textFill>
                  <w14:solidFill>
                    <w14:schemeClr w14:val="tx1"/>
                  </w14:solidFill>
                </w14:textFill>
              </w:rPr>
              <w:t>供应商按照招标文件规定提交投标保证金的；</w:t>
            </w:r>
          </w:p>
        </w:tc>
        <w:tc>
          <w:tcPr>
            <w:tcW w:w="2859" w:type="pct"/>
            <w:tcBorders>
              <w:top w:val="single" w:color="auto" w:sz="4" w:space="0"/>
              <w:left w:val="single" w:color="auto" w:sz="4" w:space="0"/>
              <w:bottom w:val="single" w:color="auto" w:sz="4" w:space="0"/>
              <w:right w:val="single" w:color="auto" w:sz="4" w:space="0"/>
            </w:tcBorders>
          </w:tcPr>
          <w:p w14:paraId="443DD55E">
            <w:pPr>
              <w:spacing w:line="360" w:lineRule="auto"/>
              <w:rPr>
                <w:rFonts w:ascii="Times New Roman" w:hAnsi="Times New Roman" w:eastAsia="宋体" w:cs="Courier New"/>
                <w:color w:val="000000" w:themeColor="text1"/>
                <w:sz w:val="24"/>
                <w:szCs w:val="24"/>
                <w14:textFill>
                  <w14:solidFill>
                    <w14:schemeClr w14:val="tx1"/>
                  </w14:solidFill>
                </w14:textFill>
              </w:rPr>
            </w:pPr>
            <w:r>
              <w:rPr>
                <w:rFonts w:hint="eastAsia" w:ascii="宋体" w:hAnsi="宋体" w:cs="Courier New"/>
                <w:color w:val="000000" w:themeColor="text1"/>
                <w:sz w:val="24"/>
                <w:szCs w:val="24"/>
                <w14:textFill>
                  <w14:solidFill>
                    <w14:schemeClr w14:val="tx1"/>
                  </w14:solidFill>
                </w14:textFill>
              </w:rPr>
              <w:t>按照招标文件规定提供保证金缴纳凭证或保函</w:t>
            </w:r>
          </w:p>
        </w:tc>
      </w:tr>
      <w:tr w14:paraId="01F91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542A796A">
            <w:pPr>
              <w:spacing w:line="360" w:lineRule="auto"/>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备注：采购人或采购代理机构依据法律法规和招标文件中规定的内容，对供应商的资格进行审查。未通过资格审查的供应商不进入下一阶段评审；通过资格审查的供应商少于三家的，不进行评标。再次重申：供应商请认真阅读和理解上述内容，避免响应文件中有违背上述审查标准之一的情况发生而造成废标。</w:t>
            </w:r>
          </w:p>
        </w:tc>
      </w:tr>
    </w:tbl>
    <w:p w14:paraId="3E6B1848">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br w:type="page"/>
      </w:r>
    </w:p>
    <w:p w14:paraId="0F2AAA1D">
      <w:pPr>
        <w:spacing w:line="360" w:lineRule="auto"/>
        <w:ind w:left="-420" w:leftChars="-200" w:right="-420" w:rightChars="-200"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3.投标文件的符合性审查</w:t>
      </w:r>
    </w:p>
    <w:tbl>
      <w:tblPr>
        <w:tblStyle w:val="3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7891"/>
      </w:tblGrid>
      <w:tr w14:paraId="750C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631" w:type="dxa"/>
            <w:vMerge w:val="restart"/>
            <w:vAlign w:val="center"/>
          </w:tcPr>
          <w:p w14:paraId="35C12053">
            <w:r>
              <w:rPr>
                <w:rFonts w:hint="eastAsia"/>
              </w:rPr>
              <w:t>序号</w:t>
            </w:r>
          </w:p>
        </w:tc>
        <w:tc>
          <w:tcPr>
            <w:tcW w:w="7891" w:type="dxa"/>
            <w:vMerge w:val="restart"/>
            <w:vAlign w:val="center"/>
          </w:tcPr>
          <w:p w14:paraId="0CB3D101">
            <w:r>
              <w:rPr>
                <w:rFonts w:hint="eastAsia"/>
              </w:rPr>
              <w:t>评审项目</w:t>
            </w:r>
          </w:p>
        </w:tc>
      </w:tr>
      <w:tr w14:paraId="0B3A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631" w:type="dxa"/>
            <w:vMerge w:val="continue"/>
            <w:vAlign w:val="center"/>
          </w:tcPr>
          <w:p w14:paraId="70F976C9"/>
        </w:tc>
        <w:tc>
          <w:tcPr>
            <w:tcW w:w="7891" w:type="dxa"/>
            <w:vMerge w:val="continue"/>
            <w:vAlign w:val="center"/>
          </w:tcPr>
          <w:p w14:paraId="334462F1"/>
        </w:tc>
      </w:tr>
      <w:tr w14:paraId="1892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31" w:type="dxa"/>
            <w:vAlign w:val="center"/>
          </w:tcPr>
          <w:p w14:paraId="0352F942">
            <w:r>
              <w:t>1</w:t>
            </w:r>
          </w:p>
        </w:tc>
        <w:tc>
          <w:tcPr>
            <w:tcW w:w="7891" w:type="dxa"/>
            <w:vAlign w:val="center"/>
          </w:tcPr>
          <w:p w14:paraId="7BEA80A9">
            <w:r>
              <w:rPr>
                <w:rFonts w:hint="eastAsia"/>
              </w:rPr>
              <w:t>投标文件按照招标文件规定要求签署及盖章的；</w:t>
            </w:r>
          </w:p>
        </w:tc>
      </w:tr>
      <w:tr w14:paraId="27BF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31" w:type="dxa"/>
            <w:vAlign w:val="center"/>
          </w:tcPr>
          <w:p w14:paraId="7915C61F">
            <w:r>
              <w:rPr>
                <w:rFonts w:hint="eastAsia"/>
              </w:rPr>
              <w:t>2</w:t>
            </w:r>
          </w:p>
        </w:tc>
        <w:tc>
          <w:tcPr>
            <w:tcW w:w="7891" w:type="dxa"/>
            <w:vAlign w:val="center"/>
          </w:tcPr>
          <w:p w14:paraId="3D3E0EBC">
            <w:r>
              <w:rPr>
                <w:rFonts w:hint="eastAsia"/>
              </w:rPr>
              <w:t>服务要求满足招标文件要求的；</w:t>
            </w:r>
            <w:r>
              <w:t>（采购需求中标“</w:t>
            </w:r>
            <w:r>
              <w:rPr>
                <w:rFonts w:hint="eastAsia"/>
              </w:rPr>
              <w:t>★</w:t>
            </w:r>
            <w:r>
              <w:t>”）</w:t>
            </w:r>
          </w:p>
        </w:tc>
      </w:tr>
      <w:tr w14:paraId="71C6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51CAA6E2">
            <w:r>
              <w:rPr>
                <w:rFonts w:hint="eastAsia"/>
              </w:rPr>
              <w:t>3</w:t>
            </w:r>
          </w:p>
        </w:tc>
        <w:tc>
          <w:tcPr>
            <w:tcW w:w="7891" w:type="dxa"/>
            <w:vAlign w:val="center"/>
          </w:tcPr>
          <w:p w14:paraId="5A4B6A4E">
            <w:r>
              <w:rPr>
                <w:rFonts w:hint="eastAsia"/>
              </w:rPr>
              <w:t>投标有效期</w:t>
            </w:r>
            <w:r>
              <w:rPr>
                <w:rFonts w:hint="eastAsia"/>
                <w:lang w:val="en-US" w:eastAsia="zh-CN"/>
              </w:rPr>
              <w:t>满足招标文件要求</w:t>
            </w:r>
            <w:r>
              <w:rPr>
                <w:rFonts w:hint="eastAsia"/>
              </w:rPr>
              <w:t>的；</w:t>
            </w:r>
          </w:p>
        </w:tc>
      </w:tr>
      <w:tr w14:paraId="2909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2ED90EF7">
            <w:r>
              <w:rPr>
                <w:rFonts w:hint="eastAsia"/>
              </w:rPr>
              <w:t>4</w:t>
            </w:r>
          </w:p>
        </w:tc>
        <w:tc>
          <w:tcPr>
            <w:tcW w:w="7891" w:type="dxa"/>
            <w:vAlign w:val="center"/>
          </w:tcPr>
          <w:p w14:paraId="5E221E5A">
            <w:r>
              <w:rPr>
                <w:rFonts w:hint="eastAsia"/>
              </w:rPr>
              <w:t>服务期限满足招标文件规定的；</w:t>
            </w:r>
          </w:p>
        </w:tc>
      </w:tr>
      <w:tr w14:paraId="4675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689EA9AC">
            <w:r>
              <w:rPr>
                <w:rFonts w:hint="eastAsia"/>
              </w:rPr>
              <w:t>5</w:t>
            </w:r>
          </w:p>
        </w:tc>
        <w:tc>
          <w:tcPr>
            <w:tcW w:w="7891" w:type="dxa"/>
            <w:vAlign w:val="center"/>
          </w:tcPr>
          <w:p w14:paraId="167FBEEB">
            <w:r>
              <w:rPr>
                <w:rFonts w:hint="eastAsia"/>
              </w:rPr>
              <w:t>提供售后服务承诺的；</w:t>
            </w:r>
          </w:p>
        </w:tc>
      </w:tr>
      <w:tr w14:paraId="619E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215081B8">
            <w:r>
              <w:rPr>
                <w:rFonts w:hint="eastAsia"/>
              </w:rPr>
              <w:t>6</w:t>
            </w:r>
          </w:p>
        </w:tc>
        <w:tc>
          <w:tcPr>
            <w:tcW w:w="7891" w:type="dxa"/>
            <w:vAlign w:val="center"/>
          </w:tcPr>
          <w:p w14:paraId="124CD8D3">
            <w:r>
              <w:rPr>
                <w:rFonts w:hint="eastAsia"/>
              </w:rPr>
              <w:t>投标报价在采购预算或最高限价以内；</w:t>
            </w:r>
          </w:p>
        </w:tc>
      </w:tr>
      <w:tr w14:paraId="57BC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31" w:type="dxa"/>
            <w:vAlign w:val="center"/>
          </w:tcPr>
          <w:p w14:paraId="5EEA5D16">
            <w:r>
              <w:rPr>
                <w:rFonts w:hint="eastAsia"/>
              </w:rPr>
              <w:t>7</w:t>
            </w:r>
          </w:p>
        </w:tc>
        <w:tc>
          <w:tcPr>
            <w:tcW w:w="7891" w:type="dxa"/>
            <w:vAlign w:val="center"/>
          </w:tcPr>
          <w:p w14:paraId="328F4FBB">
            <w:r>
              <w:rPr>
                <w:rFonts w:hint="eastAsia"/>
              </w:rPr>
              <w:t>投标文件符合招标文件实质性要求的；</w:t>
            </w:r>
          </w:p>
        </w:tc>
      </w:tr>
      <w:tr w14:paraId="1B6A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31" w:type="dxa"/>
            <w:vAlign w:val="center"/>
          </w:tcPr>
          <w:p w14:paraId="18144819">
            <w:r>
              <w:rPr>
                <w:rFonts w:hint="eastAsia"/>
              </w:rPr>
              <w:t>8</w:t>
            </w:r>
          </w:p>
        </w:tc>
        <w:tc>
          <w:tcPr>
            <w:tcW w:w="7891" w:type="dxa"/>
            <w:vAlign w:val="center"/>
          </w:tcPr>
          <w:p w14:paraId="385433B8">
            <w:r>
              <w:rPr>
                <w:rFonts w:hint="eastAsia"/>
                <w:lang w:val="en-US" w:eastAsia="zh-CN"/>
              </w:rPr>
              <w:t>无其他</w:t>
            </w:r>
            <w:r>
              <w:rPr>
                <w:rFonts w:hint="eastAsia"/>
              </w:rPr>
              <w:t>不符合法律、法规和招标文件规定的。</w:t>
            </w:r>
          </w:p>
        </w:tc>
      </w:tr>
      <w:tr w14:paraId="5761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522" w:type="dxa"/>
            <w:gridSpan w:val="2"/>
            <w:vAlign w:val="center"/>
          </w:tcPr>
          <w:p w14:paraId="5D366A95">
            <w:r>
              <w:rPr>
                <w:rFonts w:hint="eastAsia"/>
              </w:rPr>
              <w:t>最终结论（通过</w:t>
            </w:r>
            <w:r>
              <w:t>/</w:t>
            </w:r>
            <w:r>
              <w:rPr>
                <w:rFonts w:hint="eastAsia"/>
              </w:rPr>
              <w:t>不通过）</w:t>
            </w:r>
          </w:p>
        </w:tc>
      </w:tr>
    </w:tbl>
    <w:p w14:paraId="7F4E3ABE">
      <w:pPr>
        <w:spacing w:line="360" w:lineRule="auto"/>
        <w:rPr>
          <w:rFonts w:ascii="宋体" w:hAnsi="宋体" w:eastAsia="宋体" w:cs="Times New Roman"/>
          <w:color w:val="000000" w:themeColor="text1"/>
          <w:kern w:val="0"/>
          <w:sz w:val="24"/>
          <w:szCs w:val="24"/>
          <w14:textFill>
            <w14:solidFill>
              <w14:schemeClr w14:val="tx1"/>
            </w14:solidFill>
          </w14:textFill>
        </w:rPr>
      </w:pPr>
    </w:p>
    <w:p w14:paraId="04F018CC">
      <w:pPr>
        <w:spacing w:line="360" w:lineRule="auto"/>
        <w:rPr>
          <w:rFonts w:ascii="宋体" w:hAnsi="宋体" w:eastAsia="宋体" w:cs="Times New Roman"/>
          <w:color w:val="000000" w:themeColor="text1"/>
          <w:kern w:val="0"/>
          <w:sz w:val="24"/>
          <w:szCs w:val="24"/>
          <w14:textFill>
            <w14:solidFill>
              <w14:schemeClr w14:val="tx1"/>
            </w14:solidFill>
          </w14:textFill>
        </w:rPr>
      </w:pPr>
    </w:p>
    <w:p w14:paraId="5CF1D8FC">
      <w:pPr>
        <w:spacing w:line="360" w:lineRule="auto"/>
        <w:rPr>
          <w:rFonts w:ascii="宋体" w:hAnsi="宋体" w:eastAsia="宋体" w:cs="Times New Roman"/>
          <w:color w:val="000000" w:themeColor="text1"/>
          <w:kern w:val="0"/>
          <w:sz w:val="24"/>
          <w:szCs w:val="24"/>
          <w14:textFill>
            <w14:solidFill>
              <w14:schemeClr w14:val="tx1"/>
            </w14:solidFill>
          </w14:textFill>
        </w:rPr>
      </w:pPr>
    </w:p>
    <w:p w14:paraId="66ED11B3">
      <w:pPr>
        <w:spacing w:line="360" w:lineRule="auto"/>
        <w:rPr>
          <w:rFonts w:ascii="宋体" w:hAnsi="宋体" w:eastAsia="宋体" w:cs="Times New Roman"/>
          <w:color w:val="000000" w:themeColor="text1"/>
          <w:kern w:val="0"/>
          <w:sz w:val="24"/>
          <w:szCs w:val="24"/>
          <w14:textFill>
            <w14:solidFill>
              <w14:schemeClr w14:val="tx1"/>
            </w14:solidFill>
          </w14:textFill>
        </w:rPr>
      </w:pPr>
    </w:p>
    <w:p w14:paraId="214FEDBA">
      <w:pPr>
        <w:spacing w:line="360" w:lineRule="auto"/>
        <w:rPr>
          <w:rFonts w:ascii="宋体" w:hAnsi="宋体" w:eastAsia="宋体" w:cs="Times New Roman"/>
          <w:color w:val="000000" w:themeColor="text1"/>
          <w:kern w:val="0"/>
          <w:sz w:val="24"/>
          <w:szCs w:val="24"/>
          <w14:textFill>
            <w14:solidFill>
              <w14:schemeClr w14:val="tx1"/>
            </w14:solidFill>
          </w14:textFill>
        </w:rPr>
      </w:pPr>
    </w:p>
    <w:p w14:paraId="029DB25D">
      <w:pPr>
        <w:spacing w:line="360" w:lineRule="auto"/>
        <w:rPr>
          <w:rFonts w:ascii="宋体" w:hAnsi="宋体" w:eastAsia="宋体" w:cs="Times New Roman"/>
          <w:color w:val="000000" w:themeColor="text1"/>
          <w:kern w:val="0"/>
          <w:sz w:val="24"/>
          <w:szCs w:val="24"/>
          <w14:textFill>
            <w14:solidFill>
              <w14:schemeClr w14:val="tx1"/>
            </w14:solidFill>
          </w14:textFill>
        </w:rPr>
      </w:pPr>
    </w:p>
    <w:p w14:paraId="21AFCD7C">
      <w:pPr>
        <w:spacing w:line="360" w:lineRule="auto"/>
        <w:rPr>
          <w:rFonts w:ascii="宋体" w:hAnsi="宋体" w:eastAsia="宋体" w:cs="Times New Roman"/>
          <w:color w:val="000000" w:themeColor="text1"/>
          <w:kern w:val="0"/>
          <w:sz w:val="24"/>
          <w:szCs w:val="24"/>
          <w14:textFill>
            <w14:solidFill>
              <w14:schemeClr w14:val="tx1"/>
            </w14:solidFill>
          </w14:textFill>
        </w:rPr>
      </w:pPr>
    </w:p>
    <w:p w14:paraId="26445477">
      <w:pPr>
        <w:spacing w:line="360" w:lineRule="auto"/>
        <w:rPr>
          <w:rFonts w:ascii="宋体" w:hAnsi="宋体" w:eastAsia="宋体" w:cs="Times New Roman"/>
          <w:color w:val="000000" w:themeColor="text1"/>
          <w:kern w:val="0"/>
          <w:sz w:val="24"/>
          <w:szCs w:val="24"/>
          <w14:textFill>
            <w14:solidFill>
              <w14:schemeClr w14:val="tx1"/>
            </w14:solidFill>
          </w14:textFill>
        </w:rPr>
      </w:pPr>
    </w:p>
    <w:p w14:paraId="3073ABB0">
      <w:pPr>
        <w:spacing w:line="360" w:lineRule="auto"/>
        <w:rPr>
          <w:rFonts w:ascii="宋体" w:hAnsi="宋体" w:eastAsia="宋体" w:cs="Times New Roman"/>
          <w:color w:val="000000" w:themeColor="text1"/>
          <w:kern w:val="0"/>
          <w:sz w:val="24"/>
          <w:szCs w:val="24"/>
          <w14:textFill>
            <w14:solidFill>
              <w14:schemeClr w14:val="tx1"/>
            </w14:solidFill>
          </w14:textFill>
        </w:rPr>
      </w:pPr>
    </w:p>
    <w:p w14:paraId="4AF5184A">
      <w:pPr>
        <w:rPr>
          <w:rFonts w:hint="eastAsia"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br w:type="page"/>
      </w:r>
    </w:p>
    <w:p w14:paraId="3D059DB9">
      <w:pPr>
        <w:spacing w:line="360" w:lineRule="auto"/>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4.评分标准</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99"/>
        <w:gridCol w:w="5969"/>
        <w:gridCol w:w="824"/>
      </w:tblGrid>
      <w:tr w14:paraId="2EB8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tcPr>
          <w:p w14:paraId="1BBCC282">
            <w:pPr>
              <w:spacing w:line="360" w:lineRule="auto"/>
              <w:jc w:val="center"/>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序号</w:t>
            </w:r>
          </w:p>
        </w:tc>
        <w:tc>
          <w:tcPr>
            <w:tcW w:w="703" w:type="pct"/>
            <w:vAlign w:val="center"/>
          </w:tcPr>
          <w:p w14:paraId="287BC9AA">
            <w:pPr>
              <w:widowControl/>
              <w:adjustRightInd w:val="0"/>
              <w:snapToGrid w:val="0"/>
              <w:spacing w:line="360" w:lineRule="auto"/>
              <w:jc w:val="center"/>
              <w:textAlignment w:val="baseline"/>
              <w:rPr>
                <w:rFonts w:asciiTheme="minorEastAsia" w:hAnsiTheme="minorEastAsia" w:cstheme="minorEastAsia"/>
                <w:b/>
                <w:bCs/>
                <w:color w:val="000000" w:themeColor="text1"/>
                <w:sz w:val="24"/>
                <w:szCs w:val="24"/>
                <w14:textFill>
                  <w14:solidFill>
                    <w14:schemeClr w14:val="tx1"/>
                  </w14:solidFill>
                </w14:textFill>
              </w:rPr>
            </w:pPr>
            <w:r>
              <w:rPr>
                <w:rFonts w:hint="eastAsia" w:cs="宋体"/>
                <w:sz w:val="24"/>
                <w:szCs w:val="24"/>
              </w:rPr>
              <w:t>项目</w:t>
            </w:r>
          </w:p>
        </w:tc>
        <w:tc>
          <w:tcPr>
            <w:tcW w:w="3500" w:type="pct"/>
            <w:vAlign w:val="center"/>
          </w:tcPr>
          <w:p w14:paraId="5202B21B">
            <w:pPr>
              <w:widowControl/>
              <w:adjustRightInd w:val="0"/>
              <w:snapToGrid w:val="0"/>
              <w:spacing w:line="360" w:lineRule="auto"/>
              <w:jc w:val="center"/>
              <w:textAlignment w:val="baseline"/>
              <w:rPr>
                <w:rFonts w:asciiTheme="minorEastAsia" w:hAnsiTheme="minorEastAsia" w:cstheme="minorEastAsia"/>
                <w:b/>
                <w:bCs/>
                <w:color w:val="000000" w:themeColor="text1"/>
                <w:sz w:val="24"/>
                <w:szCs w:val="24"/>
                <w14:textFill>
                  <w14:solidFill>
                    <w14:schemeClr w14:val="tx1"/>
                  </w14:solidFill>
                </w14:textFill>
              </w:rPr>
            </w:pPr>
            <w:r>
              <w:rPr>
                <w:rFonts w:hint="eastAsia" w:cs="宋体"/>
                <w:sz w:val="24"/>
                <w:szCs w:val="24"/>
              </w:rPr>
              <w:t>评标内容</w:t>
            </w:r>
          </w:p>
        </w:tc>
        <w:tc>
          <w:tcPr>
            <w:tcW w:w="483" w:type="pct"/>
            <w:vAlign w:val="center"/>
          </w:tcPr>
          <w:p w14:paraId="26B450BC">
            <w:pPr>
              <w:spacing w:line="360" w:lineRule="auto"/>
              <w:jc w:val="center"/>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分值</w:t>
            </w:r>
          </w:p>
        </w:tc>
      </w:tr>
      <w:tr w14:paraId="132D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12" w:type="pct"/>
            <w:vAlign w:val="center"/>
          </w:tcPr>
          <w:p w14:paraId="5FAB1453">
            <w:pPr>
              <w:spacing w:line="360" w:lineRule="auto"/>
              <w:jc w:val="center"/>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1</w:t>
            </w:r>
          </w:p>
        </w:tc>
        <w:tc>
          <w:tcPr>
            <w:tcW w:w="703" w:type="pct"/>
            <w:vAlign w:val="center"/>
          </w:tcPr>
          <w:p w14:paraId="1753A006">
            <w:pPr>
              <w:spacing w:line="360" w:lineRule="auto"/>
              <w:jc w:val="center"/>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报价</w:t>
            </w:r>
          </w:p>
        </w:tc>
        <w:tc>
          <w:tcPr>
            <w:tcW w:w="3500" w:type="pct"/>
          </w:tcPr>
          <w:p w14:paraId="59E26746">
            <w:pPr>
              <w:pStyle w:val="71"/>
              <w:snapToGrid w:val="0"/>
              <w:spacing w:before="0" w:after="0" w:line="360" w:lineRule="auto"/>
              <w:jc w:val="both"/>
              <w:rPr>
                <w:rFonts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投标报价得分=（评标基准价／修正后投标报价）×10%×100</w:t>
            </w:r>
          </w:p>
          <w:p w14:paraId="5CE99D79">
            <w:pPr>
              <w:pStyle w:val="71"/>
              <w:snapToGrid w:val="0"/>
              <w:spacing w:before="0" w:after="0" w:line="360" w:lineRule="auto"/>
              <w:jc w:val="both"/>
              <w:rPr>
                <w:rFonts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备注：</w:t>
            </w:r>
          </w:p>
          <w:p w14:paraId="68CDED79">
            <w:pPr>
              <w:pStyle w:val="71"/>
              <w:snapToGrid w:val="0"/>
              <w:spacing w:before="0" w:after="0" w:line="360" w:lineRule="auto"/>
              <w:jc w:val="both"/>
              <w:rPr>
                <w:rFonts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1.投标价格评分采用低价优先法计算；</w:t>
            </w:r>
          </w:p>
          <w:p w14:paraId="729AEEE4">
            <w:pPr>
              <w:pStyle w:val="71"/>
              <w:snapToGrid w:val="0"/>
              <w:spacing w:before="0" w:after="0" w:line="360" w:lineRule="auto"/>
              <w:jc w:val="both"/>
              <w:rPr>
                <w:rFonts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2.评标基准价：满足招标文件要求且经修正，依据政府采购政策进行价格扣除后的最低报价为评标基准价；</w:t>
            </w:r>
          </w:p>
          <w:p w14:paraId="63B31290">
            <w:pPr>
              <w:pStyle w:val="71"/>
              <w:snapToGrid w:val="0"/>
              <w:spacing w:before="0" w:after="0" w:line="360" w:lineRule="auto"/>
              <w:jc w:val="both"/>
              <w:rPr>
                <w:rFonts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3.修正后投标报价：评标委员会以开标一览表中投标报价为基础，对其进行修正，依据政府采购政策进行价格扣除后，作为投标报价计算的依据。</w:t>
            </w:r>
          </w:p>
          <w:p w14:paraId="0127E652">
            <w:pPr>
              <w:pStyle w:val="71"/>
              <w:snapToGrid w:val="0"/>
              <w:spacing w:before="0" w:after="0" w:line="360" w:lineRule="auto"/>
              <w:jc w:val="both"/>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根据财库〔2020〕46号及自治区相关的规定对小微企业产品的价格给予10%的扣除，用扣除后的价格参与评审；监狱企业视同中小微型企业，享受同等优惠政策。因落实政府采购政策进行价格调整的，以调整后的价格计算评标基准价和投标报价。</w:t>
            </w:r>
          </w:p>
        </w:tc>
        <w:tc>
          <w:tcPr>
            <w:tcW w:w="483" w:type="pct"/>
            <w:vAlign w:val="center"/>
          </w:tcPr>
          <w:p w14:paraId="7483D587">
            <w:pPr>
              <w:pStyle w:val="71"/>
              <w:snapToGrid w:val="0"/>
              <w:spacing w:before="0" w:after="0"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10分</w:t>
            </w:r>
          </w:p>
        </w:tc>
      </w:tr>
      <w:tr w14:paraId="2E24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14:paraId="1DDF5D58">
            <w:pPr>
              <w:spacing w:line="360" w:lineRule="auto"/>
              <w:jc w:val="center"/>
              <w:rPr>
                <w:rFonts w:asciiTheme="minorEastAsia" w:hAnsi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cstheme="minorEastAsia"/>
                <w:b w:val="0"/>
                <w:bCs w:val="0"/>
                <w:color w:val="000000" w:themeColor="text1"/>
                <w:sz w:val="24"/>
                <w:szCs w:val="24"/>
                <w14:textFill>
                  <w14:solidFill>
                    <w14:schemeClr w14:val="tx1"/>
                  </w14:solidFill>
                </w14:textFill>
              </w:rPr>
              <w:t>2</w:t>
            </w:r>
          </w:p>
        </w:tc>
        <w:tc>
          <w:tcPr>
            <w:tcW w:w="703" w:type="pct"/>
            <w:vAlign w:val="center"/>
          </w:tcPr>
          <w:p w14:paraId="783BE5F7">
            <w:pPr>
              <w:spacing w:line="360" w:lineRule="auto"/>
              <w:jc w:val="center"/>
              <w:rPr>
                <w:rFonts w:asciiTheme="minorEastAsia" w:hAnsi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cstheme="minorEastAsia"/>
                <w:b w:val="0"/>
                <w:bCs w:val="0"/>
                <w:color w:val="000000" w:themeColor="text1"/>
                <w:sz w:val="24"/>
                <w:szCs w:val="24"/>
                <w14:textFill>
                  <w14:solidFill>
                    <w14:schemeClr w14:val="tx1"/>
                  </w14:solidFill>
                </w14:textFill>
              </w:rPr>
              <w:t>类似业绩</w:t>
            </w:r>
          </w:p>
        </w:tc>
        <w:tc>
          <w:tcPr>
            <w:tcW w:w="3500" w:type="pct"/>
          </w:tcPr>
          <w:p w14:paraId="15DA08F9">
            <w:pPr>
              <w:spacing w:line="36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根据投标单位所提供的近三年（2022年1月至投标截止日）类似项目业绩进行评审（有效业绩须附合同或项目书或中标通知书复印件），每提供一份得1分，满5分。</w:t>
            </w:r>
          </w:p>
          <w:p w14:paraId="4A71D16E">
            <w:pPr>
              <w:spacing w:line="360" w:lineRule="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未提供相关证明的不得分。</w:t>
            </w:r>
          </w:p>
        </w:tc>
        <w:tc>
          <w:tcPr>
            <w:tcW w:w="483" w:type="pct"/>
            <w:vAlign w:val="center"/>
          </w:tcPr>
          <w:p w14:paraId="602F691E">
            <w:pPr>
              <w:spacing w:line="360" w:lineRule="auto"/>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5分</w:t>
            </w:r>
          </w:p>
        </w:tc>
      </w:tr>
      <w:tr w14:paraId="1A46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shd w:val="clear" w:color="auto" w:fill="auto"/>
            <w:vAlign w:val="center"/>
          </w:tcPr>
          <w:p w14:paraId="678A5D5C">
            <w:pPr>
              <w:pStyle w:val="18"/>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703" w:type="pct"/>
            <w:shd w:val="clear" w:color="auto" w:fill="auto"/>
            <w:vAlign w:val="center"/>
          </w:tcPr>
          <w:p w14:paraId="6547E707">
            <w:pPr>
              <w:pStyle w:val="18"/>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w:t>
            </w:r>
          </w:p>
        </w:tc>
        <w:tc>
          <w:tcPr>
            <w:tcW w:w="3500" w:type="pct"/>
            <w:shd w:val="clear" w:color="auto" w:fill="auto"/>
            <w:vAlign w:val="center"/>
          </w:tcPr>
          <w:p w14:paraId="16117EB6">
            <w:pPr>
              <w:pStyle w:val="18"/>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项目负责人具有与本项目相关的生物科学（植物学）或生态学或草业科学等专业高级职称或其他同等效力的等级证书，得3分。</w:t>
            </w:r>
          </w:p>
          <w:p w14:paraId="435EF733">
            <w:pPr>
              <w:pStyle w:val="18"/>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项目负责人具有与本项目相关的生物科学（植物学）或生态学或草业科学等专业中级职或其他同等效力证书的，得1分。</w:t>
            </w:r>
          </w:p>
          <w:p w14:paraId="692569CB">
            <w:pPr>
              <w:pStyle w:val="18"/>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注：供应商需提供项目负责人职称证书或注册证书或国有企事业单位出具的证明，并附劳动合同复印件加盖公章，不提供相应证明材料不得分。</w:t>
            </w:r>
          </w:p>
        </w:tc>
        <w:tc>
          <w:tcPr>
            <w:tcW w:w="483" w:type="pct"/>
            <w:shd w:val="clear" w:color="auto" w:fill="auto"/>
            <w:vAlign w:val="center"/>
          </w:tcPr>
          <w:p w14:paraId="07726B3E">
            <w:pPr>
              <w:pStyle w:val="18"/>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3分</w:t>
            </w:r>
          </w:p>
        </w:tc>
      </w:tr>
      <w:tr w14:paraId="5124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shd w:val="clear" w:color="auto" w:fill="auto"/>
            <w:vAlign w:val="center"/>
          </w:tcPr>
          <w:p w14:paraId="795E3394">
            <w:pPr>
              <w:pStyle w:val="18"/>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703" w:type="pct"/>
            <w:shd w:val="clear" w:color="auto" w:fill="auto"/>
            <w:vAlign w:val="center"/>
          </w:tcPr>
          <w:p w14:paraId="668C8186">
            <w:pPr>
              <w:pStyle w:val="18"/>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项目负责人业绩</w:t>
            </w:r>
          </w:p>
        </w:tc>
        <w:tc>
          <w:tcPr>
            <w:tcW w:w="3500" w:type="pct"/>
            <w:shd w:val="clear" w:color="auto" w:fill="auto"/>
            <w:vAlign w:val="center"/>
          </w:tcPr>
          <w:p w14:paraId="44FBA7D4">
            <w:pPr>
              <w:pStyle w:val="18"/>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根据投标人所提供的项目负责人业绩近三年（2022年1月至投标截止日）类似项目业绩进行评审（有效业绩须附合同或</w:t>
            </w:r>
            <w:r>
              <w:rPr>
                <w:rFonts w:hint="eastAsia" w:asciiTheme="minorEastAsia" w:hAnsiTheme="minorEastAsia" w:eastAsiaTheme="minorEastAsia" w:cstheme="minorEastAsia"/>
                <w:sz w:val="24"/>
                <w:szCs w:val="24"/>
                <w:lang w:val="en-US" w:eastAsia="zh-CN"/>
              </w:rPr>
              <w:t>项目书或</w:t>
            </w:r>
            <w:r>
              <w:rPr>
                <w:rFonts w:hint="eastAsia" w:asciiTheme="minorEastAsia" w:hAnsiTheme="minorEastAsia" w:eastAsiaTheme="minorEastAsia" w:cstheme="minorEastAsia"/>
                <w:sz w:val="24"/>
                <w:szCs w:val="24"/>
              </w:rPr>
              <w:t>中标通知书复印件等，须体现项目负责人相关信息），每提供一份得1分，满5分。</w:t>
            </w:r>
          </w:p>
          <w:p w14:paraId="1163D170">
            <w:pPr>
              <w:pStyle w:val="18"/>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未提供相关证明的不得分。</w:t>
            </w:r>
          </w:p>
        </w:tc>
        <w:tc>
          <w:tcPr>
            <w:tcW w:w="483" w:type="pct"/>
            <w:shd w:val="clear" w:color="auto" w:fill="auto"/>
            <w:vAlign w:val="center"/>
          </w:tcPr>
          <w:p w14:paraId="7AE78930">
            <w:pPr>
              <w:pStyle w:val="18"/>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5分</w:t>
            </w:r>
          </w:p>
        </w:tc>
      </w:tr>
      <w:tr w14:paraId="48E0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shd w:val="clear" w:color="auto" w:fill="auto"/>
            <w:vAlign w:val="center"/>
          </w:tcPr>
          <w:p w14:paraId="7AA2F758">
            <w:pPr>
              <w:pStyle w:val="18"/>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703" w:type="pct"/>
            <w:shd w:val="clear" w:color="auto" w:fill="auto"/>
            <w:vAlign w:val="center"/>
          </w:tcPr>
          <w:p w14:paraId="18C70ACE">
            <w:pPr>
              <w:pStyle w:val="18"/>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项目团队人员</w:t>
            </w:r>
          </w:p>
        </w:tc>
        <w:tc>
          <w:tcPr>
            <w:tcW w:w="3500" w:type="pct"/>
            <w:shd w:val="clear" w:color="auto" w:fill="auto"/>
            <w:vAlign w:val="center"/>
          </w:tcPr>
          <w:p w14:paraId="75D8A221">
            <w:pPr>
              <w:pStyle w:val="18"/>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除项目负责人以外为本项目配备的满足条件的服务人员：</w:t>
            </w:r>
          </w:p>
          <w:p w14:paraId="28BE8A36">
            <w:pPr>
              <w:pStyle w:val="18"/>
              <w:numPr>
                <w:ilvl w:val="255"/>
                <w:numId w:val="0"/>
              </w:numPr>
              <w:spacing w:line="360" w:lineRule="auto"/>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与本项目相关的生物科学（植物学）或生态学或草业科学等专业高级职称或其他同等效力的等级证书，每人得2分；具有与本项目相关的生物科学（植物学）或生态学或草业科学等专业中级职或其他同等效力证书的，每人得1分；此项最高得12分。</w:t>
            </w:r>
          </w:p>
          <w:p w14:paraId="7A7EFD71">
            <w:pPr>
              <w:pStyle w:val="18"/>
              <w:numPr>
                <w:ilvl w:val="255"/>
                <w:numId w:val="0"/>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2、团队成员主持过与本项目相关项目的，每一个项目加1分，最高得5分；</w:t>
            </w:r>
          </w:p>
          <w:p w14:paraId="24693839">
            <w:pPr>
              <w:pStyle w:val="18"/>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同时具备注册证书和职称证书的人员不重复计算，供应商必须提供服务人员的注册证书或职称证书或国有企事业单位出具的证明，并附劳动合同复印件加盖公章以及相关项目合同或中标通知书复印件加盖公章，不能提供相应证明材料按评分项目规则不得分。</w:t>
            </w:r>
          </w:p>
        </w:tc>
        <w:tc>
          <w:tcPr>
            <w:tcW w:w="483" w:type="pct"/>
            <w:shd w:val="clear" w:color="auto" w:fill="auto"/>
            <w:vAlign w:val="center"/>
          </w:tcPr>
          <w:p w14:paraId="00D48692">
            <w:pPr>
              <w:pStyle w:val="18"/>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17分</w:t>
            </w:r>
          </w:p>
        </w:tc>
      </w:tr>
      <w:tr w14:paraId="21E5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12" w:type="pct"/>
            <w:shd w:val="clear" w:color="auto" w:fill="auto"/>
            <w:vAlign w:val="center"/>
          </w:tcPr>
          <w:p w14:paraId="17AE9174">
            <w:pPr>
              <w:pStyle w:val="18"/>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703" w:type="pct"/>
            <w:shd w:val="clear" w:color="auto" w:fill="auto"/>
            <w:vAlign w:val="center"/>
          </w:tcPr>
          <w:p w14:paraId="143058B3">
            <w:pPr>
              <w:pStyle w:val="18"/>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服务方案</w:t>
            </w:r>
          </w:p>
        </w:tc>
        <w:tc>
          <w:tcPr>
            <w:tcW w:w="3500" w:type="pct"/>
            <w:shd w:val="clear" w:color="auto" w:fill="auto"/>
            <w:vAlign w:val="center"/>
          </w:tcPr>
          <w:p w14:paraId="02ACB43F">
            <w:pPr>
              <w:pStyle w:val="18"/>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根据供应商提供的服务方案包含但不限于：</w:t>
            </w:r>
          </w:p>
          <w:p w14:paraId="55916916">
            <w:pPr>
              <w:pStyle w:val="18"/>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①服务方法及依据、②服务时间安排及跟踪步骤、③服务的重难点分析及应对措施、④服务风险分析及措施、⑤现场组织及协调措施、⑥政策目标和政策措施保障措施、⑦防控方案及措施）等方面，方案完整、详细、技术需求吻合、思路清晰、层次结构细化且符合本项目实际需求的得14分，</w:t>
            </w:r>
            <w:r>
              <w:rPr>
                <w:rFonts w:hint="eastAsia" w:asciiTheme="minorEastAsia" w:hAnsiTheme="minorEastAsia" w:eastAsiaTheme="minorEastAsia" w:cstheme="minorEastAsia"/>
                <w:bCs/>
                <w:sz w:val="24"/>
                <w:szCs w:val="24"/>
                <w:lang w:val="zh-CN" w:bidi="zh-CN"/>
              </w:rPr>
              <w:t>每有1处存在内容缺陷扣</w:t>
            </w:r>
            <w:r>
              <w:rPr>
                <w:rFonts w:hint="eastAsia" w:asciiTheme="minorEastAsia" w:hAnsiTheme="minorEastAsia" w:eastAsiaTheme="minorEastAsia" w:cstheme="minorEastAsia"/>
                <w:bCs/>
                <w:sz w:val="24"/>
                <w:szCs w:val="24"/>
                <w:lang w:bidi="zh-CN"/>
              </w:rPr>
              <w:t>1</w:t>
            </w:r>
            <w:r>
              <w:rPr>
                <w:rFonts w:hint="eastAsia" w:asciiTheme="minorEastAsia" w:hAnsiTheme="minorEastAsia" w:eastAsiaTheme="minorEastAsia" w:cstheme="minorEastAsia"/>
                <w:bCs/>
                <w:sz w:val="24"/>
                <w:szCs w:val="24"/>
                <w:lang w:val="zh-CN" w:bidi="zh-CN"/>
              </w:rPr>
              <w:t>分。内容缺陷指：方案项目名称、项目编号与本项目要求不符；仅有框架或标题；涉及的规范及技术标准错误；方案内容与本项目需求无关；前后内容矛盾。</w:t>
            </w:r>
            <w:r>
              <w:rPr>
                <w:rFonts w:hint="eastAsia" w:asciiTheme="minorEastAsia" w:hAnsiTheme="minorEastAsia" w:eastAsiaTheme="minorEastAsia" w:cstheme="minorEastAsia"/>
                <w:bCs/>
                <w:sz w:val="24"/>
                <w:szCs w:val="24"/>
              </w:rPr>
              <w:t>扣完为止。</w:t>
            </w:r>
          </w:p>
        </w:tc>
        <w:tc>
          <w:tcPr>
            <w:tcW w:w="483" w:type="pct"/>
            <w:shd w:val="clear" w:color="auto" w:fill="auto"/>
            <w:vAlign w:val="center"/>
          </w:tcPr>
          <w:p w14:paraId="5347AFE3">
            <w:pPr>
              <w:pStyle w:val="18"/>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14分</w:t>
            </w:r>
          </w:p>
        </w:tc>
      </w:tr>
      <w:tr w14:paraId="3853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shd w:val="clear" w:color="auto" w:fill="auto"/>
            <w:vAlign w:val="center"/>
          </w:tcPr>
          <w:p w14:paraId="6F0ED160">
            <w:pPr>
              <w:pStyle w:val="18"/>
              <w:spacing w:line="360" w:lineRule="auto"/>
              <w:jc w:val="center"/>
              <w:rPr>
                <w:rFonts w:asciiTheme="minorEastAsia" w:hAnsiTheme="minorEastAsia" w:eastAsiaTheme="minorEastAsia" w:cstheme="minorEastAsia"/>
                <w:bCs/>
                <w:sz w:val="24"/>
                <w:szCs w:val="24"/>
                <w:lang w:bidi="zh-CN"/>
              </w:rPr>
            </w:pPr>
            <w:r>
              <w:rPr>
                <w:rFonts w:hint="eastAsia" w:asciiTheme="minorEastAsia" w:hAnsiTheme="minorEastAsia" w:eastAsiaTheme="minorEastAsia" w:cstheme="minorEastAsia"/>
                <w:bCs/>
                <w:sz w:val="24"/>
                <w:szCs w:val="24"/>
                <w:lang w:bidi="zh-CN"/>
              </w:rPr>
              <w:t>7</w:t>
            </w:r>
          </w:p>
        </w:tc>
        <w:tc>
          <w:tcPr>
            <w:tcW w:w="703" w:type="pct"/>
            <w:shd w:val="clear" w:color="auto" w:fill="auto"/>
            <w:vAlign w:val="center"/>
          </w:tcPr>
          <w:p w14:paraId="1D256778">
            <w:pPr>
              <w:pStyle w:val="18"/>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val="zh-CN" w:bidi="zh-CN"/>
              </w:rPr>
              <w:t>内控制度方案</w:t>
            </w:r>
          </w:p>
        </w:tc>
        <w:tc>
          <w:tcPr>
            <w:tcW w:w="3500" w:type="pct"/>
            <w:shd w:val="clear" w:color="auto" w:fill="auto"/>
            <w:vAlign w:val="center"/>
          </w:tcPr>
          <w:p w14:paraId="40B55E52">
            <w:pPr>
              <w:pStyle w:val="69"/>
              <w:spacing w:before="31" w:line="360" w:lineRule="auto"/>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根据供应商提供的针对此项目编制的内控制度方案包含但不限于：</w:t>
            </w:r>
          </w:p>
          <w:p w14:paraId="6840D0BF">
            <w:pPr>
              <w:pStyle w:val="18"/>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val="zh-CN" w:bidi="zh-CN"/>
              </w:rPr>
              <w:t>（①风险管理、②信息管理、③档案管理、④劳动合同管理、⑤安全管理、⑥岗位职责制度、⑦保密制度）等方面，方案完整、详细、思路清晰、层次结构细化且符合本项目实际需求的得</w:t>
            </w:r>
            <w:r>
              <w:rPr>
                <w:rFonts w:hint="eastAsia" w:asciiTheme="minorEastAsia" w:hAnsiTheme="minorEastAsia" w:eastAsiaTheme="minorEastAsia" w:cstheme="minorEastAsia"/>
                <w:bCs/>
                <w:sz w:val="24"/>
                <w:szCs w:val="24"/>
                <w:lang w:bidi="zh-CN"/>
              </w:rPr>
              <w:t>14</w:t>
            </w:r>
            <w:r>
              <w:rPr>
                <w:rFonts w:hint="eastAsia" w:asciiTheme="minorEastAsia" w:hAnsiTheme="minorEastAsia" w:eastAsiaTheme="minorEastAsia" w:cstheme="minorEastAsia"/>
                <w:bCs/>
                <w:sz w:val="24"/>
                <w:szCs w:val="24"/>
                <w:lang w:val="zh-CN" w:bidi="zh-CN"/>
              </w:rPr>
              <w:t>分，每有1处存在内容缺陷扣</w:t>
            </w:r>
            <w:r>
              <w:rPr>
                <w:rFonts w:hint="eastAsia" w:asciiTheme="minorEastAsia" w:hAnsiTheme="minorEastAsia" w:eastAsiaTheme="minorEastAsia" w:cstheme="minorEastAsia"/>
                <w:bCs/>
                <w:sz w:val="24"/>
                <w:szCs w:val="24"/>
                <w:lang w:bidi="zh-CN"/>
              </w:rPr>
              <w:t>1</w:t>
            </w:r>
            <w:r>
              <w:rPr>
                <w:rFonts w:hint="eastAsia" w:asciiTheme="minorEastAsia" w:hAnsiTheme="minorEastAsia" w:eastAsiaTheme="minorEastAsia" w:cstheme="minorEastAsia"/>
                <w:bCs/>
                <w:sz w:val="24"/>
                <w:szCs w:val="24"/>
                <w:lang w:val="zh-CN" w:bidi="zh-CN"/>
              </w:rPr>
              <w:t>分。内容缺陷指：方案项目名称、项目编号与本项目要求不符；仅有框架或标题；涉及的规范及技术标准错误；方案内容与本项目需求无关；前后内容矛盾。</w:t>
            </w:r>
          </w:p>
        </w:tc>
        <w:tc>
          <w:tcPr>
            <w:tcW w:w="483" w:type="pct"/>
            <w:shd w:val="clear" w:color="auto" w:fill="auto"/>
            <w:vAlign w:val="center"/>
          </w:tcPr>
          <w:p w14:paraId="528E33E9">
            <w:pPr>
              <w:pStyle w:val="18"/>
              <w:spacing w:line="360" w:lineRule="auto"/>
              <w:jc w:val="center"/>
              <w:rPr>
                <w:rFonts w:asciiTheme="minorEastAsia" w:hAnsiTheme="minorEastAsia" w:eastAsiaTheme="minorEastAsia" w:cstheme="minorEastAsia"/>
                <w:bCs/>
                <w:sz w:val="24"/>
                <w:szCs w:val="24"/>
                <w:lang w:bidi="zh-CN"/>
              </w:rPr>
            </w:pPr>
            <w:r>
              <w:rPr>
                <w:rFonts w:hint="eastAsia" w:asciiTheme="minorEastAsia" w:hAnsiTheme="minorEastAsia" w:eastAsiaTheme="minorEastAsia" w:cstheme="minorEastAsia"/>
                <w:bCs/>
                <w:sz w:val="24"/>
                <w:szCs w:val="24"/>
                <w:lang w:bidi="zh-CN"/>
              </w:rPr>
              <w:t>14分</w:t>
            </w:r>
          </w:p>
        </w:tc>
      </w:tr>
      <w:tr w14:paraId="7A9A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shd w:val="clear" w:color="auto" w:fill="auto"/>
            <w:vAlign w:val="center"/>
          </w:tcPr>
          <w:p w14:paraId="6FD82ECA">
            <w:pPr>
              <w:pStyle w:val="18"/>
              <w:spacing w:line="360" w:lineRule="auto"/>
              <w:jc w:val="center"/>
              <w:rPr>
                <w:rFonts w:asciiTheme="minorEastAsia" w:hAnsiTheme="minorEastAsia" w:eastAsiaTheme="minorEastAsia" w:cstheme="minorEastAsia"/>
                <w:bCs/>
                <w:sz w:val="24"/>
                <w:szCs w:val="24"/>
                <w:lang w:bidi="zh-CN"/>
              </w:rPr>
            </w:pPr>
            <w:r>
              <w:rPr>
                <w:rFonts w:hint="eastAsia" w:asciiTheme="minorEastAsia" w:hAnsiTheme="minorEastAsia" w:eastAsiaTheme="minorEastAsia" w:cstheme="minorEastAsia"/>
                <w:bCs/>
                <w:sz w:val="24"/>
                <w:szCs w:val="24"/>
                <w:lang w:bidi="zh-CN"/>
              </w:rPr>
              <w:t>8</w:t>
            </w:r>
          </w:p>
        </w:tc>
        <w:tc>
          <w:tcPr>
            <w:tcW w:w="703" w:type="pct"/>
            <w:shd w:val="clear" w:color="auto" w:fill="auto"/>
            <w:vAlign w:val="center"/>
          </w:tcPr>
          <w:p w14:paraId="2E489506">
            <w:pPr>
              <w:pStyle w:val="18"/>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val="zh-CN" w:bidi="zh-CN"/>
              </w:rPr>
              <w:t>实施方案的管理措施</w:t>
            </w:r>
          </w:p>
        </w:tc>
        <w:tc>
          <w:tcPr>
            <w:tcW w:w="3500" w:type="pct"/>
            <w:shd w:val="clear" w:color="auto" w:fill="auto"/>
            <w:vAlign w:val="center"/>
          </w:tcPr>
          <w:p w14:paraId="768F3EA3">
            <w:pPr>
              <w:pStyle w:val="18"/>
              <w:spacing w:line="360" w:lineRule="auto"/>
              <w:rPr>
                <w:rFonts w:asciiTheme="minorEastAsia" w:hAnsiTheme="minorEastAsia" w:eastAsiaTheme="minorEastAsia" w:cstheme="minorEastAsia"/>
                <w:bCs/>
                <w:sz w:val="24"/>
                <w:szCs w:val="24"/>
                <w:lang w:val="zh-CN" w:bidi="zh-CN"/>
              </w:rPr>
            </w:pPr>
            <w:r>
              <w:rPr>
                <w:rFonts w:hint="eastAsia" w:asciiTheme="minorEastAsia" w:hAnsiTheme="minorEastAsia" w:eastAsiaTheme="minorEastAsia" w:cstheme="minorEastAsia"/>
                <w:bCs/>
                <w:sz w:val="24"/>
                <w:szCs w:val="24"/>
                <w:lang w:val="zh-CN" w:bidi="zh-CN"/>
              </w:rPr>
              <w:t>根据投标人</w:t>
            </w:r>
            <w:r>
              <w:rPr>
                <w:rFonts w:hint="eastAsia" w:asciiTheme="minorEastAsia" w:hAnsiTheme="minorEastAsia" w:eastAsiaTheme="minorEastAsia" w:cstheme="minorEastAsia"/>
                <w:bCs/>
                <w:sz w:val="24"/>
                <w:szCs w:val="24"/>
                <w:lang w:bidi="zh-CN"/>
              </w:rPr>
              <w:t>提供的</w:t>
            </w:r>
            <w:r>
              <w:rPr>
                <w:rFonts w:hint="eastAsia" w:asciiTheme="minorEastAsia" w:hAnsiTheme="minorEastAsia" w:eastAsiaTheme="minorEastAsia" w:cstheme="minorEastAsia"/>
                <w:bCs/>
                <w:sz w:val="24"/>
                <w:szCs w:val="24"/>
                <w:lang w:val="zh-CN" w:bidi="zh-CN"/>
              </w:rPr>
              <w:t>实施方案</w:t>
            </w:r>
            <w:r>
              <w:rPr>
                <w:rFonts w:hint="eastAsia" w:asciiTheme="minorEastAsia" w:hAnsiTheme="minorEastAsia" w:eastAsiaTheme="minorEastAsia" w:cstheme="minorEastAsia"/>
                <w:bCs/>
                <w:sz w:val="24"/>
                <w:szCs w:val="24"/>
              </w:rPr>
              <w:t>：包括但不限于</w:t>
            </w:r>
            <w:r>
              <w:rPr>
                <w:rFonts w:hint="eastAsia" w:hAnsi="宋体" w:cs="宋体"/>
                <w:bCs/>
                <w:sz w:val="24"/>
                <w:szCs w:val="24"/>
              </w:rPr>
              <w:t>①重点保护野生植物野外采集方案；②重点保护野生植物迁地保育方案；③重点保护野生植物资源开发利用方案；④重点保护野生植物监测方案；⑤公众科普方案计划等，</w:t>
            </w:r>
            <w:r>
              <w:rPr>
                <w:rFonts w:hint="eastAsia" w:cs="宋体"/>
                <w:sz w:val="24"/>
                <w:szCs w:val="24"/>
              </w:rPr>
              <w:t>方案内容全面、完整、详细、完全符合项目实际需求，细节考虑完善的，每项得2分，满分10分；有缺陷、漏项且可行性有问题的每项扣1分。未提供或不符合项目实际需求不得分。</w:t>
            </w:r>
          </w:p>
        </w:tc>
        <w:tc>
          <w:tcPr>
            <w:tcW w:w="483" w:type="pct"/>
            <w:shd w:val="clear" w:color="auto" w:fill="auto"/>
            <w:vAlign w:val="center"/>
          </w:tcPr>
          <w:p w14:paraId="4D1523AD">
            <w:pPr>
              <w:pStyle w:val="18"/>
              <w:spacing w:line="360" w:lineRule="auto"/>
              <w:jc w:val="center"/>
              <w:rPr>
                <w:rFonts w:asciiTheme="minorEastAsia" w:hAnsiTheme="minorEastAsia" w:eastAsiaTheme="minorEastAsia" w:cstheme="minorEastAsia"/>
                <w:bCs/>
                <w:sz w:val="24"/>
                <w:szCs w:val="24"/>
                <w:lang w:bidi="zh-CN"/>
              </w:rPr>
            </w:pPr>
            <w:r>
              <w:rPr>
                <w:rFonts w:hint="eastAsia" w:asciiTheme="minorEastAsia" w:hAnsiTheme="minorEastAsia" w:eastAsiaTheme="minorEastAsia" w:cstheme="minorEastAsia"/>
                <w:bCs/>
                <w:sz w:val="24"/>
                <w:szCs w:val="24"/>
                <w:lang w:bidi="zh-CN"/>
              </w:rPr>
              <w:t>10分</w:t>
            </w:r>
          </w:p>
        </w:tc>
      </w:tr>
      <w:tr w14:paraId="776D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shd w:val="clear" w:color="auto" w:fill="auto"/>
            <w:vAlign w:val="center"/>
          </w:tcPr>
          <w:p w14:paraId="164D66AE">
            <w:pPr>
              <w:pStyle w:val="18"/>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w:t>
            </w:r>
          </w:p>
        </w:tc>
        <w:tc>
          <w:tcPr>
            <w:tcW w:w="703" w:type="pct"/>
            <w:shd w:val="clear" w:color="auto" w:fill="auto"/>
            <w:vAlign w:val="center"/>
          </w:tcPr>
          <w:p w14:paraId="3088FF2A">
            <w:pPr>
              <w:pStyle w:val="18"/>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调查评估方案</w:t>
            </w:r>
          </w:p>
        </w:tc>
        <w:tc>
          <w:tcPr>
            <w:tcW w:w="3500" w:type="pct"/>
            <w:shd w:val="clear" w:color="auto" w:fill="auto"/>
            <w:vAlign w:val="center"/>
          </w:tcPr>
          <w:p w14:paraId="623518A5">
            <w:pPr>
              <w:pStyle w:val="18"/>
              <w:spacing w:line="360" w:lineRule="auto"/>
              <w:rPr>
                <w:rFonts w:asciiTheme="minorEastAsia" w:hAnsiTheme="minorEastAsia" w:eastAsiaTheme="minorEastAsia" w:cstheme="minorEastAsia"/>
                <w:bCs/>
                <w:sz w:val="24"/>
                <w:szCs w:val="24"/>
                <w:lang w:val="zh-CN" w:bidi="zh-CN"/>
              </w:rPr>
            </w:pPr>
            <w:r>
              <w:rPr>
                <w:rFonts w:hint="eastAsia" w:asciiTheme="minorEastAsia" w:hAnsiTheme="minorEastAsia" w:eastAsiaTheme="minorEastAsia" w:cstheme="minorEastAsia"/>
                <w:bCs/>
                <w:sz w:val="24"/>
                <w:szCs w:val="24"/>
                <w:lang w:val="zh-CN" w:bidi="zh-CN"/>
              </w:rPr>
              <w:t>根据投标人对项目</w:t>
            </w:r>
            <w:r>
              <w:rPr>
                <w:rFonts w:hint="eastAsia" w:hAnsi="宋体" w:cs="宋体"/>
                <w:bCs/>
                <w:sz w:val="24"/>
                <w:szCs w:val="24"/>
                <w:lang w:val="zh-CN" w:bidi="zh-CN"/>
              </w:rPr>
              <w:t>①</w:t>
            </w:r>
            <w:r>
              <w:rPr>
                <w:rFonts w:hint="eastAsia" w:asciiTheme="minorEastAsia" w:hAnsiTheme="minorEastAsia" w:eastAsiaTheme="minorEastAsia" w:cstheme="minorEastAsia"/>
                <w:bCs/>
                <w:sz w:val="24"/>
                <w:szCs w:val="24"/>
              </w:rPr>
              <w:t>调查评估服务</w:t>
            </w:r>
            <w:r>
              <w:rPr>
                <w:rFonts w:hint="eastAsia" w:asciiTheme="minorEastAsia" w:hAnsiTheme="minorEastAsia" w:eastAsiaTheme="minorEastAsia" w:cstheme="minorEastAsia"/>
                <w:bCs/>
                <w:sz w:val="24"/>
                <w:szCs w:val="24"/>
                <w:lang w:val="zh-CN" w:bidi="zh-CN"/>
              </w:rPr>
              <w:t>评价方式、</w:t>
            </w:r>
            <w:bookmarkStart w:id="45" w:name="_GoBack"/>
            <w:bookmarkEnd w:id="45"/>
            <w:r>
              <w:rPr>
                <w:rFonts w:hint="eastAsia" w:asciiTheme="minorEastAsia" w:hAnsiTheme="minorEastAsia" w:eastAsiaTheme="minorEastAsia" w:cstheme="minorEastAsia"/>
                <w:bCs/>
                <w:sz w:val="24"/>
                <w:szCs w:val="24"/>
                <w:lang w:val="zh-CN" w:bidi="zh-CN"/>
              </w:rPr>
              <w:t>方法的规则设置情况、</w:t>
            </w:r>
            <w:r>
              <w:rPr>
                <w:rFonts w:hint="eastAsia" w:hAnsi="宋体" w:cs="宋体"/>
                <w:bCs/>
                <w:sz w:val="24"/>
                <w:szCs w:val="24"/>
                <w:lang w:val="zh-CN" w:bidi="zh-CN"/>
              </w:rPr>
              <w:t>②</w:t>
            </w:r>
            <w:r>
              <w:rPr>
                <w:rFonts w:hint="eastAsia" w:asciiTheme="minorEastAsia" w:hAnsiTheme="minorEastAsia" w:eastAsiaTheme="minorEastAsia" w:cstheme="minorEastAsia"/>
                <w:bCs/>
                <w:sz w:val="24"/>
                <w:szCs w:val="24"/>
              </w:rPr>
              <w:t>调查评估服务</w:t>
            </w:r>
            <w:r>
              <w:rPr>
                <w:rFonts w:hint="eastAsia" w:asciiTheme="minorEastAsia" w:hAnsiTheme="minorEastAsia" w:eastAsiaTheme="minorEastAsia" w:cstheme="minorEastAsia"/>
                <w:bCs/>
                <w:sz w:val="24"/>
                <w:szCs w:val="24"/>
                <w:lang w:val="zh-CN" w:bidi="zh-CN"/>
              </w:rPr>
              <w:t>过程的设置</w:t>
            </w:r>
            <w:r>
              <w:rPr>
                <w:rFonts w:hint="eastAsia" w:asciiTheme="minorEastAsia" w:hAnsiTheme="minorEastAsia" w:eastAsiaTheme="minorEastAsia" w:cstheme="minorEastAsia"/>
                <w:bCs/>
                <w:sz w:val="24"/>
                <w:szCs w:val="24"/>
                <w:lang w:bidi="zh-CN"/>
              </w:rPr>
              <w:t>方案</w:t>
            </w:r>
            <w:r>
              <w:rPr>
                <w:rFonts w:hint="eastAsia" w:hAnsi="宋体" w:cs="宋体"/>
                <w:bCs/>
                <w:sz w:val="24"/>
                <w:szCs w:val="24"/>
              </w:rPr>
              <w:t>等，</w:t>
            </w:r>
            <w:r>
              <w:rPr>
                <w:rFonts w:hint="eastAsia" w:cs="宋体"/>
                <w:sz w:val="24"/>
                <w:szCs w:val="24"/>
              </w:rPr>
              <w:t>方案内容全面、完整、详细、完全符合项目实际需求，细节考虑完善的，每项得2分，满分4分；有缺陷、漏项且可行性有问题的每项扣1分。未提供或不符合项目实际需求不得分。</w:t>
            </w:r>
          </w:p>
        </w:tc>
        <w:tc>
          <w:tcPr>
            <w:tcW w:w="483" w:type="pct"/>
            <w:shd w:val="clear" w:color="auto" w:fill="auto"/>
            <w:vAlign w:val="center"/>
          </w:tcPr>
          <w:p w14:paraId="1BAB8D98">
            <w:pPr>
              <w:pStyle w:val="18"/>
              <w:spacing w:line="360" w:lineRule="auto"/>
              <w:jc w:val="center"/>
              <w:rPr>
                <w:rFonts w:asciiTheme="minorEastAsia" w:hAnsiTheme="minorEastAsia" w:eastAsiaTheme="minorEastAsia" w:cstheme="minorEastAsia"/>
                <w:bCs/>
                <w:sz w:val="24"/>
                <w:szCs w:val="24"/>
                <w:lang w:bidi="zh-CN"/>
              </w:rPr>
            </w:pPr>
            <w:r>
              <w:rPr>
                <w:rFonts w:hint="eastAsia" w:asciiTheme="minorEastAsia" w:hAnsiTheme="minorEastAsia" w:eastAsiaTheme="minorEastAsia" w:cstheme="minorEastAsia"/>
                <w:bCs/>
                <w:sz w:val="24"/>
                <w:szCs w:val="24"/>
                <w:lang w:bidi="zh-CN"/>
              </w:rPr>
              <w:t>4分</w:t>
            </w:r>
          </w:p>
        </w:tc>
      </w:tr>
      <w:tr w14:paraId="3493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12" w:type="pct"/>
            <w:shd w:val="clear" w:color="auto" w:fill="auto"/>
            <w:vAlign w:val="center"/>
          </w:tcPr>
          <w:p w14:paraId="52F5D394">
            <w:pPr>
              <w:pStyle w:val="18"/>
              <w:spacing w:line="360" w:lineRule="auto"/>
              <w:jc w:val="center"/>
              <w:rPr>
                <w:rFonts w:asciiTheme="minorEastAsia" w:hAnsiTheme="minorEastAsia" w:eastAsiaTheme="minorEastAsia" w:cstheme="minorEastAsia"/>
                <w:bCs/>
                <w:sz w:val="24"/>
                <w:szCs w:val="24"/>
                <w:lang w:bidi="zh-CN"/>
              </w:rPr>
            </w:pPr>
            <w:r>
              <w:rPr>
                <w:rFonts w:hint="eastAsia" w:asciiTheme="minorEastAsia" w:hAnsiTheme="minorEastAsia" w:eastAsiaTheme="minorEastAsia" w:cstheme="minorEastAsia"/>
                <w:bCs/>
                <w:sz w:val="24"/>
                <w:szCs w:val="24"/>
                <w:lang w:bidi="zh-CN"/>
              </w:rPr>
              <w:t>10</w:t>
            </w:r>
          </w:p>
        </w:tc>
        <w:tc>
          <w:tcPr>
            <w:tcW w:w="703" w:type="pct"/>
            <w:shd w:val="clear" w:color="auto" w:fill="auto"/>
            <w:vAlign w:val="center"/>
          </w:tcPr>
          <w:p w14:paraId="2BB12B8C">
            <w:pPr>
              <w:pStyle w:val="18"/>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val="zh-CN" w:bidi="zh-CN"/>
              </w:rPr>
              <w:t>质量保障服务措施</w:t>
            </w:r>
          </w:p>
        </w:tc>
        <w:tc>
          <w:tcPr>
            <w:tcW w:w="3500" w:type="pct"/>
            <w:shd w:val="clear" w:color="auto" w:fill="auto"/>
            <w:vAlign w:val="center"/>
          </w:tcPr>
          <w:p w14:paraId="719B2E4D">
            <w:pPr>
              <w:pStyle w:val="18"/>
              <w:spacing w:line="360" w:lineRule="auto"/>
              <w:rPr>
                <w:rFonts w:asciiTheme="minorEastAsia" w:hAnsiTheme="minorEastAsia" w:eastAsiaTheme="minorEastAsia" w:cstheme="minorEastAsia"/>
                <w:bCs/>
                <w:sz w:val="24"/>
                <w:szCs w:val="24"/>
                <w:lang w:val="zh-CN" w:bidi="zh-CN"/>
              </w:rPr>
            </w:pPr>
            <w:r>
              <w:rPr>
                <w:rFonts w:hint="eastAsia" w:asciiTheme="minorEastAsia" w:hAnsiTheme="minorEastAsia" w:eastAsiaTheme="minorEastAsia" w:cstheme="minorEastAsia"/>
                <w:bCs/>
                <w:sz w:val="24"/>
                <w:szCs w:val="24"/>
                <w:lang w:bidi="zh-CN"/>
              </w:rPr>
              <w:t>根据投标人提供的</w:t>
            </w:r>
            <w:r>
              <w:rPr>
                <w:rFonts w:hint="eastAsia" w:asciiTheme="minorEastAsia" w:hAnsiTheme="minorEastAsia" w:eastAsiaTheme="minorEastAsia" w:cstheme="minorEastAsia"/>
                <w:bCs/>
                <w:sz w:val="24"/>
                <w:szCs w:val="24"/>
                <w:lang w:val="zh-CN" w:bidi="zh-CN"/>
              </w:rPr>
              <w:t>质量保障服务措施包括</w:t>
            </w:r>
            <w:r>
              <w:rPr>
                <w:rFonts w:hint="eastAsia" w:asciiTheme="minorEastAsia" w:hAnsiTheme="minorEastAsia" w:eastAsiaTheme="minorEastAsia" w:cstheme="minorEastAsia"/>
                <w:bCs/>
                <w:sz w:val="24"/>
                <w:szCs w:val="24"/>
                <w:lang w:bidi="zh-CN"/>
              </w:rPr>
              <w:t>但不限于</w:t>
            </w:r>
            <w:r>
              <w:rPr>
                <w:rFonts w:hint="eastAsia" w:asciiTheme="minorEastAsia" w:hAnsiTheme="minorEastAsia" w:eastAsiaTheme="minorEastAsia" w:cstheme="minorEastAsia"/>
                <w:bCs/>
                <w:sz w:val="24"/>
                <w:szCs w:val="24"/>
                <w:lang w:val="zh-CN" w:bidi="zh-CN"/>
              </w:rPr>
              <w:t>①质量管理措施②安全防护控制措施③管理制度</w:t>
            </w:r>
            <w:r>
              <w:rPr>
                <w:rFonts w:hint="eastAsia" w:asciiTheme="minorEastAsia" w:hAnsiTheme="minorEastAsia" w:eastAsiaTheme="minorEastAsia" w:cstheme="minorEastAsia"/>
                <w:bCs/>
                <w:sz w:val="24"/>
                <w:szCs w:val="24"/>
                <w:lang w:bidi="zh-CN"/>
              </w:rPr>
              <w:t>等</w:t>
            </w:r>
            <w:r>
              <w:rPr>
                <w:rFonts w:hint="eastAsia" w:asciiTheme="minorEastAsia" w:hAnsiTheme="minorEastAsia" w:eastAsiaTheme="minorEastAsia" w:cstheme="minorEastAsia"/>
                <w:bCs/>
                <w:sz w:val="24"/>
                <w:szCs w:val="24"/>
                <w:lang w:val="zh-CN" w:bidi="zh-CN"/>
              </w:rPr>
              <w:t>。</w:t>
            </w:r>
            <w:r>
              <w:rPr>
                <w:rFonts w:hint="eastAsia" w:cs="宋体"/>
                <w:sz w:val="24"/>
                <w:szCs w:val="24"/>
              </w:rPr>
              <w:t>方案内容全面、完整、详细、完全符合项目实际需求，细节考虑完善的，每项得2分，满分6分；有缺陷、漏项且可行性有问题的每项扣1分。未提供或不符合项目实际需求不得分。</w:t>
            </w:r>
          </w:p>
        </w:tc>
        <w:tc>
          <w:tcPr>
            <w:tcW w:w="483" w:type="pct"/>
            <w:shd w:val="clear" w:color="auto" w:fill="auto"/>
            <w:vAlign w:val="center"/>
          </w:tcPr>
          <w:p w14:paraId="6013AC75">
            <w:pPr>
              <w:pStyle w:val="18"/>
              <w:spacing w:line="360" w:lineRule="auto"/>
              <w:jc w:val="center"/>
              <w:rPr>
                <w:rFonts w:asciiTheme="minorEastAsia" w:hAnsiTheme="minorEastAsia" w:eastAsiaTheme="minorEastAsia" w:cstheme="minorEastAsia"/>
                <w:bCs/>
                <w:sz w:val="24"/>
                <w:szCs w:val="24"/>
                <w:lang w:bidi="zh-CN"/>
              </w:rPr>
            </w:pPr>
            <w:r>
              <w:rPr>
                <w:rFonts w:hint="eastAsia" w:asciiTheme="minorEastAsia" w:hAnsiTheme="minorEastAsia" w:eastAsiaTheme="minorEastAsia" w:cstheme="minorEastAsia"/>
                <w:bCs/>
                <w:sz w:val="24"/>
                <w:szCs w:val="24"/>
                <w:lang w:bidi="zh-CN"/>
              </w:rPr>
              <w:t>6分</w:t>
            </w:r>
          </w:p>
        </w:tc>
      </w:tr>
      <w:tr w14:paraId="186D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shd w:val="clear" w:color="auto" w:fill="auto"/>
            <w:vAlign w:val="center"/>
          </w:tcPr>
          <w:p w14:paraId="134893D6">
            <w:pPr>
              <w:pStyle w:val="18"/>
              <w:spacing w:line="360" w:lineRule="auto"/>
              <w:jc w:val="center"/>
              <w:rPr>
                <w:rFonts w:asciiTheme="minorEastAsia" w:hAnsiTheme="minorEastAsia" w:eastAsiaTheme="minorEastAsia" w:cstheme="minorEastAsia"/>
                <w:bCs/>
                <w:sz w:val="24"/>
                <w:szCs w:val="24"/>
                <w:lang w:bidi="zh-CN"/>
              </w:rPr>
            </w:pPr>
            <w:r>
              <w:rPr>
                <w:rFonts w:hint="eastAsia" w:asciiTheme="minorEastAsia" w:hAnsiTheme="minorEastAsia" w:eastAsiaTheme="minorEastAsia" w:cstheme="minorEastAsia"/>
                <w:bCs/>
                <w:sz w:val="24"/>
                <w:szCs w:val="24"/>
                <w:lang w:bidi="zh-CN"/>
              </w:rPr>
              <w:t>13</w:t>
            </w:r>
          </w:p>
        </w:tc>
        <w:tc>
          <w:tcPr>
            <w:tcW w:w="703" w:type="pct"/>
            <w:shd w:val="clear" w:color="auto" w:fill="auto"/>
            <w:vAlign w:val="center"/>
          </w:tcPr>
          <w:p w14:paraId="59A2DFE0">
            <w:pPr>
              <w:pStyle w:val="18"/>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zh-CN" w:bidi="zh-CN"/>
              </w:rPr>
              <w:t>进度安排</w:t>
            </w:r>
          </w:p>
        </w:tc>
        <w:tc>
          <w:tcPr>
            <w:tcW w:w="3500" w:type="pct"/>
            <w:shd w:val="clear" w:color="auto" w:fill="auto"/>
            <w:vAlign w:val="center"/>
          </w:tcPr>
          <w:p w14:paraId="42869B80">
            <w:pPr>
              <w:pStyle w:val="18"/>
              <w:spacing w:line="360" w:lineRule="auto"/>
              <w:rPr>
                <w:rFonts w:asciiTheme="minorEastAsia" w:hAnsiTheme="minorEastAsia" w:eastAsiaTheme="minorEastAsia" w:cstheme="minorEastAsia"/>
                <w:bCs/>
                <w:sz w:val="24"/>
                <w:szCs w:val="24"/>
                <w:lang w:val="zh-CN" w:bidi="zh-CN"/>
              </w:rPr>
            </w:pPr>
            <w:r>
              <w:rPr>
                <w:rFonts w:hint="eastAsia" w:asciiTheme="minorEastAsia" w:hAnsiTheme="minorEastAsia" w:eastAsiaTheme="minorEastAsia" w:cstheme="minorEastAsia"/>
                <w:bCs/>
                <w:sz w:val="24"/>
                <w:szCs w:val="24"/>
                <w:lang w:val="zh-CN" w:bidi="zh-CN"/>
              </w:rPr>
              <w:t>根据投标人对项目的理解提出的进度安排，：①进度计划；②进度控制措施；</w:t>
            </w:r>
            <w:r>
              <w:rPr>
                <w:rFonts w:hint="eastAsia" w:hAnsi="宋体" w:cs="宋体"/>
                <w:bCs/>
                <w:sz w:val="24"/>
                <w:szCs w:val="24"/>
                <w:lang w:val="zh-CN" w:bidi="zh-CN"/>
              </w:rPr>
              <w:t>③</w:t>
            </w:r>
            <w:r>
              <w:rPr>
                <w:rFonts w:hint="eastAsia" w:asciiTheme="minorEastAsia" w:hAnsiTheme="minorEastAsia" w:eastAsiaTheme="minorEastAsia" w:cstheme="minorEastAsia"/>
                <w:bCs/>
                <w:sz w:val="24"/>
                <w:szCs w:val="24"/>
                <w:lang w:val="zh-CN" w:bidi="zh-CN"/>
              </w:rPr>
              <w:t>各时间节点安排</w:t>
            </w:r>
            <w:r>
              <w:rPr>
                <w:rFonts w:hint="eastAsia" w:asciiTheme="minorEastAsia" w:hAnsiTheme="minorEastAsia" w:eastAsiaTheme="minorEastAsia" w:cstheme="minorEastAsia"/>
                <w:bCs/>
                <w:sz w:val="24"/>
                <w:szCs w:val="24"/>
                <w:lang w:bidi="zh-CN"/>
              </w:rPr>
              <w:t>等内容进行评审，</w:t>
            </w:r>
            <w:r>
              <w:rPr>
                <w:rFonts w:hint="eastAsia" w:cs="宋体"/>
                <w:sz w:val="24"/>
                <w:szCs w:val="24"/>
              </w:rPr>
              <w:t>方案内容全面、完整、详细、完全符合项目实际需求，细节考虑完善的，每项得2分，满分6分；有缺陷、漏项且可行性有问题的每项扣1分。未提供或不符合项目实际需求不得分。</w:t>
            </w:r>
          </w:p>
        </w:tc>
        <w:tc>
          <w:tcPr>
            <w:tcW w:w="483" w:type="pct"/>
            <w:shd w:val="clear" w:color="auto" w:fill="auto"/>
            <w:vAlign w:val="center"/>
          </w:tcPr>
          <w:p w14:paraId="199BD730">
            <w:pPr>
              <w:pStyle w:val="18"/>
              <w:spacing w:line="360" w:lineRule="auto"/>
              <w:jc w:val="center"/>
              <w:rPr>
                <w:rFonts w:asciiTheme="minorEastAsia" w:hAnsiTheme="minorEastAsia" w:eastAsiaTheme="minorEastAsia" w:cstheme="minorEastAsia"/>
                <w:bCs/>
                <w:sz w:val="24"/>
                <w:szCs w:val="24"/>
                <w:lang w:bidi="zh-CN"/>
              </w:rPr>
            </w:pPr>
            <w:r>
              <w:rPr>
                <w:rFonts w:hint="eastAsia" w:asciiTheme="minorEastAsia" w:hAnsiTheme="minorEastAsia" w:eastAsiaTheme="minorEastAsia" w:cstheme="minorEastAsia"/>
                <w:bCs/>
                <w:sz w:val="24"/>
                <w:szCs w:val="24"/>
                <w:lang w:bidi="zh-CN"/>
              </w:rPr>
              <w:t>6分</w:t>
            </w:r>
          </w:p>
        </w:tc>
      </w:tr>
      <w:tr w14:paraId="175A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shd w:val="clear" w:color="auto" w:fill="auto"/>
            <w:vAlign w:val="center"/>
          </w:tcPr>
          <w:p w14:paraId="18835541">
            <w:pPr>
              <w:pStyle w:val="18"/>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14</w:t>
            </w:r>
          </w:p>
        </w:tc>
        <w:tc>
          <w:tcPr>
            <w:tcW w:w="703" w:type="pct"/>
            <w:shd w:val="clear" w:color="auto" w:fill="auto"/>
            <w:vAlign w:val="center"/>
          </w:tcPr>
          <w:p w14:paraId="06A04593">
            <w:pPr>
              <w:pStyle w:val="18"/>
              <w:spacing w:line="360" w:lineRule="auto"/>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售后服务</w:t>
            </w:r>
          </w:p>
        </w:tc>
        <w:tc>
          <w:tcPr>
            <w:tcW w:w="3500" w:type="pct"/>
            <w:shd w:val="clear" w:color="auto" w:fill="auto"/>
            <w:vAlign w:val="center"/>
          </w:tcPr>
          <w:p w14:paraId="381FA12B">
            <w:pPr>
              <w:pStyle w:val="18"/>
              <w:spacing w:line="360" w:lineRule="auto"/>
              <w:rPr>
                <w:rFonts w:asciiTheme="minorEastAsia" w:hAnsiTheme="minorEastAsia" w:eastAsiaTheme="minorEastAsia" w:cstheme="minorEastAsia"/>
                <w:bCs/>
                <w:sz w:val="24"/>
                <w:szCs w:val="24"/>
                <w:lang w:bidi="zh-CN"/>
              </w:rPr>
            </w:pPr>
            <w:r>
              <w:rPr>
                <w:rFonts w:hint="eastAsia" w:asciiTheme="minorEastAsia" w:hAnsiTheme="minorEastAsia" w:eastAsiaTheme="minorEastAsia" w:cstheme="minorEastAsia"/>
                <w:bCs/>
                <w:sz w:val="24"/>
                <w:szCs w:val="24"/>
                <w:lang w:bidi="zh-CN"/>
              </w:rPr>
              <w:t>根据投标人提供的售后服务方案：包括但不限于（1）售后服务方案（包含种群监测的其他配合服务）；（2）售后服务承诺；（3）售后响应及处理等</w:t>
            </w:r>
            <w:r>
              <w:rPr>
                <w:rFonts w:hint="eastAsia" w:cs="宋体"/>
                <w:sz w:val="24"/>
                <w:szCs w:val="24"/>
              </w:rPr>
              <w:t>方案内容全面、完整、详细、完全符合项目实际需求，细节考虑完善的，每项得2分，满分6分；有缺陷、漏项且可行性有问题的每项扣1分。未提供或不符合项目实际需求不得分。</w:t>
            </w:r>
          </w:p>
        </w:tc>
        <w:tc>
          <w:tcPr>
            <w:tcW w:w="483" w:type="pct"/>
            <w:shd w:val="clear" w:color="auto" w:fill="auto"/>
            <w:vAlign w:val="center"/>
          </w:tcPr>
          <w:p w14:paraId="08CCA327">
            <w:pPr>
              <w:pStyle w:val="18"/>
              <w:spacing w:line="360" w:lineRule="auto"/>
              <w:jc w:val="center"/>
              <w:rPr>
                <w:rFonts w:asciiTheme="minorEastAsia" w:hAnsiTheme="minorEastAsia" w:eastAsiaTheme="minorEastAsia" w:cstheme="minorEastAsia"/>
                <w:bCs/>
                <w:sz w:val="24"/>
                <w:szCs w:val="24"/>
                <w:lang w:bidi="zh-CN"/>
              </w:rPr>
            </w:pPr>
            <w:r>
              <w:rPr>
                <w:rFonts w:hint="eastAsia" w:asciiTheme="minorEastAsia" w:hAnsiTheme="minorEastAsia" w:eastAsiaTheme="minorEastAsia" w:cstheme="minorEastAsia"/>
                <w:bCs/>
                <w:sz w:val="24"/>
                <w:szCs w:val="24"/>
                <w:lang w:bidi="zh-CN"/>
              </w:rPr>
              <w:t>6分</w:t>
            </w:r>
          </w:p>
        </w:tc>
      </w:tr>
    </w:tbl>
    <w:p w14:paraId="77212C7C">
      <w:pPr>
        <w:spacing w:line="360" w:lineRule="auto"/>
        <w:rPr>
          <w:rFonts w:ascii="宋体" w:hAnsi="宋体" w:eastAsia="宋体" w:cs="Times New Roman"/>
          <w:color w:val="000000" w:themeColor="text1"/>
          <w:kern w:val="0"/>
          <w:sz w:val="20"/>
          <w:szCs w:val="21"/>
          <w14:textFill>
            <w14:solidFill>
              <w14:schemeClr w14:val="tx1"/>
            </w14:solidFill>
          </w14:textFill>
        </w:rPr>
      </w:pPr>
    </w:p>
    <w:p w14:paraId="0CEBB0E1">
      <w:pPr>
        <w:keepNext/>
        <w:keepLines/>
        <w:spacing w:before="260" w:after="260" w:line="360" w:lineRule="auto"/>
        <w:jc w:val="center"/>
        <w:outlineLvl w:val="1"/>
        <w:rPr>
          <w:rFonts w:ascii="宋体" w:hAnsi="宋体" w:eastAsia="宋体" w:cs="Times New Roman"/>
          <w:b/>
          <w:color w:val="000000" w:themeColor="text1"/>
          <w:kern w:val="0"/>
          <w:sz w:val="28"/>
          <w:szCs w:val="20"/>
          <w14:textFill>
            <w14:solidFill>
              <w14:schemeClr w14:val="tx1"/>
            </w14:solidFill>
          </w14:textFill>
        </w:rPr>
      </w:pPr>
      <w:r>
        <w:rPr>
          <w:rFonts w:hint="eastAsia" w:ascii="Arial" w:hAnsi="Arial" w:eastAsia="黑体" w:cs="Times New Roman"/>
          <w:b/>
          <w:color w:val="000000" w:themeColor="text1"/>
          <w:kern w:val="0"/>
          <w:sz w:val="28"/>
          <w:szCs w:val="20"/>
          <w14:textFill>
            <w14:solidFill>
              <w14:schemeClr w14:val="tx1"/>
            </w14:solidFill>
          </w14:textFill>
        </w:rPr>
        <w:br w:type="page"/>
      </w:r>
      <w:bookmarkStart w:id="8" w:name="_Toc19455"/>
      <w:r>
        <w:rPr>
          <w:rFonts w:hint="eastAsia" w:ascii="Arial" w:hAnsi="Arial" w:eastAsia="黑体" w:cs="Times New Roman"/>
          <w:b/>
          <w:color w:val="000000" w:themeColor="text1"/>
          <w:kern w:val="0"/>
          <w:sz w:val="28"/>
          <w:szCs w:val="20"/>
          <w14:textFill>
            <w14:solidFill>
              <w14:schemeClr w14:val="tx1"/>
            </w14:solidFill>
          </w14:textFill>
        </w:rPr>
        <w:t>第四章　拟签订的合同文本</w:t>
      </w:r>
      <w:bookmarkEnd w:id="8"/>
    </w:p>
    <w:p w14:paraId="261F4025">
      <w:pPr>
        <w:spacing w:line="360" w:lineRule="auto"/>
        <w:rPr>
          <w:rFonts w:ascii="Cambria" w:hAnsi="Cambria"/>
          <w:b/>
          <w:color w:val="000000" w:themeColor="text1"/>
          <w:sz w:val="52"/>
          <w:szCs w:val="52"/>
          <w14:textFill>
            <w14:solidFill>
              <w14:schemeClr w14:val="tx1"/>
            </w14:solidFill>
          </w14:textFill>
        </w:rPr>
      </w:pPr>
      <w:bookmarkStart w:id="9" w:name="OLE_LINK1"/>
    </w:p>
    <w:p w14:paraId="55EC8D5F">
      <w:pPr>
        <w:tabs>
          <w:tab w:val="left" w:pos="2160"/>
        </w:tabs>
        <w:spacing w:line="540" w:lineRule="exact"/>
        <w:rPr>
          <w:rFonts w:ascii="黑体" w:eastAsia="黑体"/>
          <w:sz w:val="28"/>
          <w:szCs w:val="32"/>
        </w:rPr>
      </w:pPr>
    </w:p>
    <w:p w14:paraId="6EF86860">
      <w:pPr>
        <w:spacing w:line="540" w:lineRule="exact"/>
        <w:rPr>
          <w:rFonts w:eastAsia="仿宋_GB2312"/>
          <w:sz w:val="28"/>
          <w:szCs w:val="32"/>
        </w:rPr>
      </w:pPr>
    </w:p>
    <w:p w14:paraId="4AC9162C">
      <w:pPr>
        <w:spacing w:line="540" w:lineRule="exact"/>
        <w:rPr>
          <w:rFonts w:eastAsia="仿宋_GB2312"/>
          <w:sz w:val="28"/>
          <w:szCs w:val="32"/>
        </w:rPr>
      </w:pPr>
    </w:p>
    <w:p w14:paraId="1F647406">
      <w:pPr>
        <w:spacing w:line="540" w:lineRule="exact"/>
        <w:rPr>
          <w:rFonts w:eastAsia="仿宋_GB2312"/>
          <w:sz w:val="28"/>
          <w:szCs w:val="32"/>
        </w:rPr>
      </w:pPr>
    </w:p>
    <w:p w14:paraId="6BC3BC14">
      <w:pPr>
        <w:spacing w:line="540" w:lineRule="exact"/>
        <w:jc w:val="center"/>
        <w:rPr>
          <w:rFonts w:ascii="Times New Roman" w:hAnsi="Times New Roman" w:eastAsia="方正小标宋_GBK" w:cs="Times New Roman"/>
          <w:sz w:val="48"/>
          <w:szCs w:val="44"/>
        </w:rPr>
      </w:pPr>
      <w:r>
        <w:rPr>
          <w:rFonts w:ascii="Times New Roman" w:hAnsi="Times New Roman" w:eastAsia="方正小标宋_GBK" w:cs="Times New Roman"/>
          <w:sz w:val="48"/>
          <w:szCs w:val="44"/>
        </w:rPr>
        <w:t>新疆</w:t>
      </w:r>
      <w:r>
        <w:rPr>
          <w:rFonts w:hint="eastAsia" w:ascii="Times New Roman" w:hAnsi="Times New Roman" w:eastAsia="方正小标宋_GBK" w:cs="Times New Roman"/>
          <w:sz w:val="48"/>
          <w:szCs w:val="44"/>
        </w:rPr>
        <w:t>维吾尔自治区林业和草原局</w:t>
      </w:r>
    </w:p>
    <w:p w14:paraId="4F134A6B">
      <w:pPr>
        <w:spacing w:line="540" w:lineRule="exact"/>
        <w:jc w:val="center"/>
        <w:rPr>
          <w:rFonts w:ascii="Times New Roman" w:hAnsi="Times New Roman" w:eastAsia="方正小标宋_GBK" w:cs="Times New Roman"/>
          <w:sz w:val="48"/>
          <w:szCs w:val="44"/>
        </w:rPr>
      </w:pPr>
      <w:r>
        <w:rPr>
          <w:rFonts w:ascii="Times New Roman" w:hAnsi="Times New Roman" w:eastAsia="方正小标宋_GBK" w:cs="Times New Roman"/>
          <w:sz w:val="48"/>
          <w:szCs w:val="44"/>
        </w:rPr>
        <w:t>业务委托合同</w:t>
      </w:r>
    </w:p>
    <w:p w14:paraId="49637B7E">
      <w:pPr>
        <w:spacing w:line="540" w:lineRule="exact"/>
        <w:rPr>
          <w:rFonts w:ascii="Times New Roman" w:hAnsi="Times New Roman" w:eastAsia="仿宋_GB2312" w:cs="Times New Roman"/>
          <w:sz w:val="28"/>
          <w:szCs w:val="32"/>
        </w:rPr>
      </w:pPr>
    </w:p>
    <w:p w14:paraId="08857C00">
      <w:pPr>
        <w:ind w:firstLine="826"/>
        <w:rPr>
          <w:rFonts w:ascii="Times New Roman" w:hAnsi="Times New Roman" w:eastAsia="楷体_GB2312" w:cs="Times New Roman"/>
          <w:sz w:val="28"/>
          <w:szCs w:val="28"/>
          <w:u w:val="single"/>
        </w:rPr>
      </w:pPr>
      <w:r>
        <w:rPr>
          <w:rFonts w:ascii="Times New Roman" w:hAnsi="Times New Roman" w:eastAsia="黑体" w:cs="Times New Roman"/>
          <w:sz w:val="28"/>
          <w:szCs w:val="32"/>
        </w:rPr>
        <w:t>项  目 名  称</w:t>
      </w:r>
      <w:r>
        <w:rPr>
          <w:rFonts w:ascii="Times New Roman" w:hAnsi="Times New Roman" w:eastAsia="黑体" w:cs="Times New Roman"/>
          <w:sz w:val="28"/>
          <w:szCs w:val="28"/>
        </w:rPr>
        <w:t>：</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hint="eastAsia" w:ascii="Times New Roman" w:hAnsi="Times New Roman" w:eastAsia="黑体" w:cs="Times New Roman"/>
          <w:sz w:val="28"/>
          <w:szCs w:val="28"/>
          <w:u w:val="single"/>
        </w:rPr>
        <w:t xml:space="preserve">  </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rPr>
        <w:t xml:space="preserve">   </w:t>
      </w:r>
      <w:r>
        <w:rPr>
          <w:rFonts w:ascii="Times New Roman" w:hAnsi="Times New Roman" w:eastAsia="黑体" w:cs="Times New Roman"/>
          <w:sz w:val="28"/>
          <w:szCs w:val="28"/>
          <w:u w:val="single"/>
        </w:rPr>
        <w:t xml:space="preserve"> </w:t>
      </w:r>
    </w:p>
    <w:p w14:paraId="03F2BCB5">
      <w:pPr>
        <w:spacing w:line="540" w:lineRule="exact"/>
        <w:ind w:firstLine="826"/>
        <w:rPr>
          <w:rFonts w:ascii="Times New Roman" w:hAnsi="Times New Roman" w:eastAsia="黑体" w:cs="Times New Roman"/>
          <w:sz w:val="28"/>
          <w:szCs w:val="32"/>
        </w:rPr>
      </w:pPr>
    </w:p>
    <w:p w14:paraId="123E21C8">
      <w:pPr>
        <w:spacing w:line="540" w:lineRule="exact"/>
        <w:ind w:firstLine="826"/>
        <w:rPr>
          <w:rFonts w:ascii="Times New Roman" w:hAnsi="Times New Roman" w:eastAsia="黑体" w:cs="Times New Roman"/>
          <w:sz w:val="28"/>
          <w:szCs w:val="32"/>
          <w:u w:val="single"/>
        </w:rPr>
      </w:pPr>
      <w:r>
        <w:rPr>
          <w:rFonts w:ascii="Times New Roman" w:hAnsi="Times New Roman" w:eastAsia="黑体" w:cs="Times New Roman"/>
          <w:sz w:val="28"/>
          <w:szCs w:val="32"/>
        </w:rPr>
        <w:t>委托方（甲方）：</w:t>
      </w:r>
      <w:r>
        <w:rPr>
          <w:rFonts w:ascii="Times New Roman" w:hAnsi="Times New Roman" w:eastAsia="黑体" w:cs="Times New Roman"/>
          <w:sz w:val="28"/>
          <w:szCs w:val="32"/>
          <w:u w:val="single"/>
        </w:rPr>
        <w:t xml:space="preserve"> 新疆</w:t>
      </w:r>
      <w:r>
        <w:rPr>
          <w:rFonts w:hint="eastAsia" w:ascii="Times New Roman" w:hAnsi="Times New Roman" w:eastAsia="黑体" w:cs="Times New Roman"/>
          <w:sz w:val="28"/>
          <w:szCs w:val="32"/>
          <w:u w:val="single"/>
        </w:rPr>
        <w:t>维吾尔自治区林业和草原局</w:t>
      </w:r>
      <w:r>
        <w:rPr>
          <w:rFonts w:ascii="Times New Roman" w:hAnsi="Times New Roman" w:eastAsia="黑体" w:cs="Times New Roman"/>
          <w:sz w:val="28"/>
          <w:szCs w:val="32"/>
          <w:u w:val="single"/>
        </w:rPr>
        <w:t xml:space="preserve">        </w:t>
      </w:r>
      <w:r>
        <w:rPr>
          <w:rFonts w:hint="eastAsia" w:ascii="Times New Roman" w:hAnsi="Times New Roman" w:eastAsia="黑体" w:cs="Times New Roman"/>
          <w:sz w:val="28"/>
          <w:szCs w:val="32"/>
          <w:u w:val="single"/>
        </w:rPr>
        <w:t xml:space="preserve">      </w:t>
      </w:r>
      <w:r>
        <w:rPr>
          <w:rFonts w:ascii="Times New Roman" w:hAnsi="Times New Roman" w:eastAsia="黑体" w:cs="Times New Roman"/>
          <w:sz w:val="28"/>
          <w:szCs w:val="32"/>
          <w:u w:val="single"/>
        </w:rPr>
        <w:t xml:space="preserve">   </w:t>
      </w:r>
    </w:p>
    <w:p w14:paraId="74A2A7B5">
      <w:pPr>
        <w:spacing w:line="540" w:lineRule="exact"/>
        <w:ind w:firstLine="826"/>
        <w:rPr>
          <w:rFonts w:ascii="Times New Roman" w:hAnsi="Times New Roman" w:eastAsia="黑体" w:cs="Times New Roman"/>
          <w:sz w:val="28"/>
          <w:szCs w:val="32"/>
          <w:u w:val="single"/>
        </w:rPr>
      </w:pPr>
    </w:p>
    <w:p w14:paraId="148A42DC">
      <w:pPr>
        <w:ind w:firstLine="826"/>
        <w:rPr>
          <w:rFonts w:ascii="Times New Roman" w:hAnsi="Times New Roman" w:eastAsia="楷体_GB2312" w:cs="Times New Roman"/>
          <w:sz w:val="28"/>
          <w:szCs w:val="28"/>
          <w:u w:val="single"/>
        </w:rPr>
      </w:pPr>
      <w:r>
        <w:rPr>
          <w:rFonts w:ascii="Times New Roman" w:hAnsi="Times New Roman" w:eastAsia="黑体" w:cs="Times New Roman"/>
          <w:sz w:val="28"/>
          <w:szCs w:val="32"/>
        </w:rPr>
        <w:t>受托方（乙方）：</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hint="eastAsia" w:ascii="Times New Roman" w:hAnsi="Times New Roman" w:eastAsia="黑体" w:cs="Times New Roman"/>
          <w:sz w:val="28"/>
          <w:szCs w:val="28"/>
          <w:u w:val="single"/>
        </w:rPr>
        <w:t xml:space="preserve">  </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rPr>
        <w:t xml:space="preserve">   </w:t>
      </w:r>
      <w:r>
        <w:rPr>
          <w:rFonts w:ascii="Times New Roman" w:hAnsi="Times New Roman" w:eastAsia="黑体" w:cs="Times New Roman"/>
          <w:sz w:val="28"/>
          <w:szCs w:val="28"/>
          <w:u w:val="single"/>
        </w:rPr>
        <w:t xml:space="preserve"> </w:t>
      </w:r>
    </w:p>
    <w:p w14:paraId="2B8D96B9">
      <w:pPr>
        <w:spacing w:line="540" w:lineRule="exact"/>
        <w:rPr>
          <w:rFonts w:ascii="Times New Roman" w:hAnsi="Times New Roman" w:eastAsia="黑体" w:cs="Times New Roman"/>
          <w:sz w:val="28"/>
          <w:szCs w:val="32"/>
          <w:u w:val="single"/>
        </w:rPr>
      </w:pPr>
    </w:p>
    <w:p w14:paraId="71DC0548">
      <w:pPr>
        <w:spacing w:line="540" w:lineRule="exact"/>
        <w:ind w:firstLine="826"/>
        <w:rPr>
          <w:rFonts w:ascii="Times New Roman" w:hAnsi="Times New Roman" w:eastAsia="黑体" w:cs="Times New Roman"/>
          <w:spacing w:val="90"/>
          <w:sz w:val="28"/>
          <w:szCs w:val="32"/>
          <w:u w:val="single"/>
        </w:rPr>
      </w:pPr>
      <w:r>
        <w:rPr>
          <w:rFonts w:ascii="Times New Roman" w:hAnsi="Times New Roman" w:eastAsia="黑体" w:cs="Times New Roman"/>
          <w:sz w:val="28"/>
          <w:szCs w:val="28"/>
        </w:rPr>
        <w:t>签  订 时  间</w:t>
      </w:r>
      <w:r>
        <w:rPr>
          <w:rFonts w:ascii="Times New Roman" w:hAnsi="Times New Roman" w:eastAsia="黑体" w:cs="Times New Roman"/>
          <w:sz w:val="28"/>
          <w:szCs w:val="32"/>
        </w:rPr>
        <w:t xml:space="preserve">： </w:t>
      </w:r>
      <w:r>
        <w:rPr>
          <w:rFonts w:ascii="Times New Roman" w:hAnsi="Times New Roman" w:eastAsia="黑体" w:cs="Times New Roman"/>
          <w:sz w:val="28"/>
          <w:szCs w:val="28"/>
          <w:u w:val="single"/>
        </w:rPr>
        <w:t xml:space="preserve">2025年  月  日                </w:t>
      </w:r>
      <w:r>
        <w:rPr>
          <w:rFonts w:hint="eastAsia" w:ascii="Times New Roman" w:hAnsi="Times New Roman" w:eastAsia="黑体" w:cs="Times New Roman"/>
          <w:sz w:val="28"/>
          <w:szCs w:val="28"/>
          <w:u w:val="single"/>
        </w:rPr>
        <w:t xml:space="preserve">    </w:t>
      </w:r>
      <w:r>
        <w:rPr>
          <w:rFonts w:ascii="Times New Roman" w:hAnsi="Times New Roman" w:eastAsia="黑体" w:cs="Times New Roman"/>
          <w:sz w:val="28"/>
          <w:szCs w:val="28"/>
          <w:u w:val="single"/>
        </w:rPr>
        <w:t xml:space="preserve">       </w:t>
      </w:r>
      <w:r>
        <w:rPr>
          <w:rStyle w:val="55"/>
          <w:rFonts w:ascii="Times New Roman" w:hAnsi="Times New Roman" w:eastAsia="黑体" w:cs="Times New Roman"/>
          <w:sz w:val="28"/>
          <w:szCs w:val="28"/>
          <w:u w:val="single"/>
        </w:rPr>
        <w:t xml:space="preserve"> </w:t>
      </w:r>
    </w:p>
    <w:p w14:paraId="20C37F56">
      <w:pPr>
        <w:spacing w:line="540" w:lineRule="exact"/>
        <w:rPr>
          <w:rFonts w:ascii="Times New Roman" w:hAnsi="Times New Roman" w:eastAsia="仿宋_GB2312" w:cs="Times New Roman"/>
          <w:sz w:val="28"/>
          <w:szCs w:val="32"/>
        </w:rPr>
      </w:pPr>
    </w:p>
    <w:p w14:paraId="06F8DA8A">
      <w:pPr>
        <w:spacing w:line="540" w:lineRule="exact"/>
        <w:ind w:firstLine="826"/>
        <w:rPr>
          <w:rFonts w:ascii="Times New Roman" w:hAnsi="Times New Roman" w:eastAsia="黑体" w:cs="Times New Roman"/>
          <w:spacing w:val="90"/>
          <w:sz w:val="28"/>
          <w:szCs w:val="32"/>
          <w:u w:val="single"/>
        </w:rPr>
      </w:pPr>
      <w:r>
        <w:rPr>
          <w:rFonts w:ascii="Times New Roman" w:hAnsi="Times New Roman" w:eastAsia="黑体" w:cs="Times New Roman"/>
          <w:sz w:val="28"/>
          <w:szCs w:val="28"/>
        </w:rPr>
        <w:t>签  订 地  点</w:t>
      </w:r>
      <w:r>
        <w:rPr>
          <w:rFonts w:ascii="Times New Roman" w:hAnsi="Times New Roman" w:eastAsia="黑体" w:cs="Times New Roman"/>
          <w:sz w:val="28"/>
          <w:szCs w:val="32"/>
        </w:rPr>
        <w:t>：</w:t>
      </w:r>
      <w:r>
        <w:rPr>
          <w:rFonts w:ascii="Times New Roman" w:hAnsi="Times New Roman" w:eastAsia="黑体" w:cs="Times New Roman"/>
          <w:sz w:val="28"/>
          <w:szCs w:val="32"/>
          <w:u w:val="single"/>
        </w:rPr>
        <w:t xml:space="preserve"> 新疆</w:t>
      </w:r>
      <w:r>
        <w:rPr>
          <w:rFonts w:hint="eastAsia" w:ascii="Times New Roman" w:hAnsi="Times New Roman" w:eastAsia="黑体" w:cs="Times New Roman"/>
          <w:sz w:val="28"/>
          <w:szCs w:val="32"/>
          <w:u w:val="single"/>
        </w:rPr>
        <w:t>维吾尔自治区林业和草原局</w:t>
      </w:r>
      <w:r>
        <w:rPr>
          <w:rFonts w:ascii="Times New Roman" w:hAnsi="Times New Roman" w:eastAsia="黑体" w:cs="Times New Roman"/>
          <w:sz w:val="28"/>
          <w:szCs w:val="32"/>
          <w:u w:val="single"/>
        </w:rPr>
        <w:t xml:space="preserve">    </w:t>
      </w:r>
      <w:r>
        <w:rPr>
          <w:rFonts w:hint="eastAsia" w:ascii="Times New Roman" w:hAnsi="Times New Roman" w:eastAsia="黑体" w:cs="Times New Roman"/>
          <w:sz w:val="28"/>
          <w:szCs w:val="32"/>
          <w:u w:val="single"/>
        </w:rPr>
        <w:t xml:space="preserve">    </w:t>
      </w:r>
      <w:r>
        <w:rPr>
          <w:rFonts w:ascii="Times New Roman" w:hAnsi="Times New Roman" w:eastAsia="黑体" w:cs="Times New Roman"/>
          <w:sz w:val="28"/>
          <w:szCs w:val="32"/>
          <w:u w:val="single"/>
        </w:rPr>
        <w:t xml:space="preserve">      </w:t>
      </w:r>
      <w:r>
        <w:rPr>
          <w:rFonts w:ascii="Times New Roman" w:hAnsi="Times New Roman" w:eastAsia="黑体" w:cs="Times New Roman"/>
          <w:spacing w:val="90"/>
          <w:sz w:val="28"/>
          <w:szCs w:val="32"/>
          <w:u w:val="single"/>
        </w:rPr>
        <w:t xml:space="preserve"> </w:t>
      </w:r>
    </w:p>
    <w:p w14:paraId="13E4A0E0">
      <w:pPr>
        <w:spacing w:line="540" w:lineRule="exact"/>
        <w:rPr>
          <w:rFonts w:ascii="Times New Roman" w:hAnsi="Times New Roman" w:eastAsia="仿宋_GB2312" w:cs="Times New Roman"/>
          <w:sz w:val="28"/>
          <w:szCs w:val="32"/>
        </w:rPr>
      </w:pPr>
    </w:p>
    <w:p w14:paraId="44FC6274">
      <w:pPr>
        <w:spacing w:line="540" w:lineRule="exact"/>
        <w:ind w:firstLine="826"/>
        <w:rPr>
          <w:rFonts w:ascii="Times New Roman" w:hAnsi="Times New Roman" w:eastAsia="黑体" w:cs="Times New Roman"/>
          <w:spacing w:val="90"/>
          <w:sz w:val="28"/>
          <w:szCs w:val="32"/>
          <w:u w:val="single"/>
        </w:rPr>
      </w:pPr>
      <w:r>
        <w:rPr>
          <w:rFonts w:ascii="Times New Roman" w:hAnsi="Times New Roman" w:eastAsia="黑体" w:cs="Times New Roman"/>
          <w:sz w:val="28"/>
          <w:szCs w:val="28"/>
        </w:rPr>
        <w:t>有  效 期  限</w:t>
      </w:r>
      <w:r>
        <w:rPr>
          <w:rFonts w:ascii="Times New Roman" w:hAnsi="Times New Roman" w:eastAsia="黑体" w:cs="Times New Roman"/>
          <w:sz w:val="28"/>
          <w:szCs w:val="32"/>
        </w:rPr>
        <w:t>：</w:t>
      </w:r>
      <w:r>
        <w:rPr>
          <w:rFonts w:ascii="Times New Roman" w:hAnsi="Times New Roman" w:eastAsia="黑体" w:cs="Times New Roman"/>
          <w:sz w:val="28"/>
          <w:szCs w:val="32"/>
          <w:u w:val="single"/>
        </w:rPr>
        <w:t xml:space="preserve"> </w:t>
      </w:r>
      <w:r>
        <w:rPr>
          <w:rFonts w:hint="eastAsia" w:ascii="Times New Roman" w:hAnsi="Times New Roman" w:eastAsia="黑体" w:cs="Times New Roman"/>
          <w:sz w:val="28"/>
          <w:szCs w:val="32"/>
          <w:u w:val="single"/>
        </w:rPr>
        <w:t>202</w:t>
      </w:r>
      <w:r>
        <w:rPr>
          <w:rFonts w:ascii="Times New Roman" w:hAnsi="Times New Roman" w:eastAsia="黑体" w:cs="Times New Roman"/>
          <w:sz w:val="28"/>
          <w:szCs w:val="32"/>
          <w:u w:val="single"/>
        </w:rPr>
        <w:t>5</w:t>
      </w:r>
      <w:r>
        <w:rPr>
          <w:rFonts w:hint="eastAsia" w:ascii="Times New Roman" w:hAnsi="Times New Roman" w:eastAsia="黑体" w:cs="Times New Roman"/>
          <w:sz w:val="28"/>
          <w:szCs w:val="32"/>
          <w:u w:val="single"/>
        </w:rPr>
        <w:t>年</w:t>
      </w:r>
      <w:r>
        <w:rPr>
          <w:rFonts w:ascii="Times New Roman" w:hAnsi="Times New Roman" w:eastAsia="黑体" w:cs="Times New Roman"/>
          <w:sz w:val="28"/>
          <w:szCs w:val="32"/>
          <w:u w:val="single"/>
        </w:rPr>
        <w:t xml:space="preserve">  </w:t>
      </w:r>
      <w:r>
        <w:rPr>
          <w:rFonts w:hint="eastAsia" w:ascii="Times New Roman" w:hAnsi="Times New Roman" w:eastAsia="黑体" w:cs="Times New Roman"/>
          <w:sz w:val="28"/>
          <w:szCs w:val="32"/>
          <w:u w:val="single"/>
        </w:rPr>
        <w:t>月</w:t>
      </w:r>
      <w:r>
        <w:rPr>
          <w:rFonts w:ascii="Times New Roman" w:hAnsi="Times New Roman" w:eastAsia="黑体" w:cs="Times New Roman"/>
          <w:sz w:val="28"/>
          <w:szCs w:val="32"/>
          <w:u w:val="single"/>
        </w:rPr>
        <w:t xml:space="preserve">  </w:t>
      </w:r>
      <w:r>
        <w:rPr>
          <w:rFonts w:hint="eastAsia" w:ascii="Times New Roman" w:hAnsi="Times New Roman" w:eastAsia="黑体" w:cs="Times New Roman"/>
          <w:sz w:val="28"/>
          <w:szCs w:val="32"/>
          <w:u w:val="single"/>
        </w:rPr>
        <w:t>日</w:t>
      </w:r>
      <w:r>
        <w:rPr>
          <w:rFonts w:ascii="Times New Roman" w:hAnsi="Times New Roman" w:eastAsia="黑体" w:cs="Times New Roman"/>
          <w:sz w:val="28"/>
          <w:szCs w:val="32"/>
          <w:u w:val="single"/>
        </w:rPr>
        <w:t>至2026年</w:t>
      </w:r>
      <w:r>
        <w:rPr>
          <w:rFonts w:hint="eastAsia" w:ascii="Times New Roman" w:hAnsi="Times New Roman" w:eastAsia="黑体" w:cs="Times New Roman"/>
          <w:sz w:val="28"/>
          <w:szCs w:val="32"/>
          <w:u w:val="single"/>
          <w:lang w:val="en-US" w:eastAsia="zh-CN"/>
        </w:rPr>
        <w:t xml:space="preserve">  </w:t>
      </w:r>
      <w:r>
        <w:rPr>
          <w:rFonts w:ascii="Times New Roman" w:hAnsi="Times New Roman" w:eastAsia="黑体" w:cs="Times New Roman"/>
          <w:sz w:val="28"/>
          <w:szCs w:val="32"/>
          <w:u w:val="single"/>
        </w:rPr>
        <w:t>月</w:t>
      </w:r>
      <w:r>
        <w:rPr>
          <w:rFonts w:hint="eastAsia" w:ascii="Times New Roman" w:hAnsi="Times New Roman" w:eastAsia="黑体" w:cs="Times New Roman"/>
          <w:sz w:val="28"/>
          <w:szCs w:val="32"/>
          <w:u w:val="single"/>
          <w:lang w:val="en-US" w:eastAsia="zh-CN"/>
        </w:rPr>
        <w:t xml:space="preserve">  </w:t>
      </w:r>
      <w:r>
        <w:rPr>
          <w:rFonts w:ascii="Times New Roman" w:hAnsi="Times New Roman" w:eastAsia="黑体" w:cs="Times New Roman"/>
          <w:sz w:val="28"/>
          <w:szCs w:val="32"/>
          <w:u w:val="single"/>
        </w:rPr>
        <w:t xml:space="preserve">日           </w:t>
      </w:r>
      <w:r>
        <w:rPr>
          <w:rFonts w:hint="eastAsia" w:ascii="Times New Roman" w:hAnsi="Times New Roman" w:eastAsia="黑体" w:cs="Times New Roman"/>
          <w:sz w:val="28"/>
          <w:szCs w:val="32"/>
          <w:u w:val="single"/>
        </w:rPr>
        <w:t xml:space="preserve">      </w:t>
      </w:r>
      <w:r>
        <w:rPr>
          <w:rFonts w:ascii="Times New Roman" w:hAnsi="Times New Roman" w:eastAsia="黑体" w:cs="Times New Roman"/>
          <w:sz w:val="28"/>
          <w:szCs w:val="32"/>
          <w:u w:val="single"/>
        </w:rPr>
        <w:t xml:space="preserve">          </w:t>
      </w:r>
    </w:p>
    <w:p w14:paraId="2159D502">
      <w:pPr>
        <w:spacing w:line="540" w:lineRule="exact"/>
        <w:rPr>
          <w:rFonts w:eastAsia="黑体"/>
          <w:spacing w:val="90"/>
          <w:sz w:val="28"/>
          <w:szCs w:val="32"/>
          <w:u w:val="single"/>
        </w:rPr>
      </w:pPr>
    </w:p>
    <w:p w14:paraId="0E4D718A">
      <w:pPr>
        <w:rPr>
          <w:rFonts w:eastAsia="黑体"/>
          <w:sz w:val="28"/>
          <w:szCs w:val="32"/>
        </w:rPr>
      </w:pPr>
      <w:r>
        <w:rPr>
          <w:rFonts w:eastAsia="黑体"/>
          <w:sz w:val="28"/>
          <w:szCs w:val="32"/>
        </w:rPr>
        <w:br w:type="page"/>
      </w:r>
    </w:p>
    <w:p w14:paraId="7C998D74">
      <w:pPr>
        <w:spacing w:line="540" w:lineRule="exact"/>
        <w:rPr>
          <w:rFonts w:eastAsia="黑体"/>
          <w:sz w:val="28"/>
          <w:szCs w:val="32"/>
        </w:rPr>
      </w:pPr>
    </w:p>
    <w:p w14:paraId="4C097D5E">
      <w:pPr>
        <w:spacing w:line="540" w:lineRule="exact"/>
        <w:rPr>
          <w:rFonts w:eastAsia="黑体"/>
          <w:sz w:val="28"/>
          <w:szCs w:val="32"/>
        </w:rPr>
      </w:pPr>
    </w:p>
    <w:p w14:paraId="231B6EDE">
      <w:pPr>
        <w:spacing w:line="540" w:lineRule="exact"/>
        <w:rPr>
          <w:rFonts w:eastAsia="黑体"/>
          <w:sz w:val="28"/>
          <w:szCs w:val="32"/>
        </w:rPr>
      </w:pPr>
    </w:p>
    <w:p w14:paraId="3513FC98">
      <w:pPr>
        <w:spacing w:line="54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填 写 说 明</w:t>
      </w:r>
    </w:p>
    <w:p w14:paraId="5ACE1BD3">
      <w:pPr>
        <w:spacing w:line="540" w:lineRule="exact"/>
        <w:rPr>
          <w:rFonts w:ascii="Times New Roman" w:hAnsi="Times New Roman" w:eastAsia="仿宋_GB2312" w:cs="Times New Roman"/>
          <w:sz w:val="28"/>
          <w:szCs w:val="32"/>
        </w:rPr>
      </w:pPr>
    </w:p>
    <w:p w14:paraId="300E47DE">
      <w:pPr>
        <w:pStyle w:val="20"/>
        <w:ind w:firstLine="0"/>
        <w:rPr>
          <w:rFonts w:ascii="Times New Roman" w:cs="Times New Roman"/>
        </w:rPr>
      </w:pPr>
      <w:r>
        <w:rPr>
          <w:rFonts w:ascii="Times New Roman" w:cs="Times New Roman"/>
        </w:rPr>
        <w:t>一、本合同书未尽事项，可由当事人附页另行约定，并作为本合同的组成部分。</w:t>
      </w:r>
    </w:p>
    <w:p w14:paraId="2EE7DDCD">
      <w:pPr>
        <w:spacing w:line="54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二、签约一方为多个当事人的，可按各自在合同关系中的作用等，在“委托方”、“受托方”项下分别排列为共同委托人或共同受托人。</w:t>
      </w:r>
    </w:p>
    <w:p w14:paraId="1034C643">
      <w:pPr>
        <w:spacing w:line="54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三、本合同一式</w:t>
      </w:r>
      <w:r>
        <w:rPr>
          <w:rFonts w:hint="eastAsia" w:ascii="Times New Roman" w:hAnsi="Times New Roman" w:eastAsia="仿宋_GB2312" w:cs="Times New Roman"/>
          <w:sz w:val="28"/>
          <w:szCs w:val="32"/>
        </w:rPr>
        <w:t>四</w:t>
      </w:r>
      <w:r>
        <w:rPr>
          <w:rFonts w:ascii="Times New Roman" w:hAnsi="Times New Roman" w:eastAsia="仿宋_GB2312" w:cs="Times New Roman"/>
          <w:sz w:val="28"/>
          <w:szCs w:val="32"/>
        </w:rPr>
        <w:t>份，</w:t>
      </w:r>
      <w:r>
        <w:rPr>
          <w:rFonts w:hint="eastAsia" w:ascii="Times New Roman" w:hAnsi="Times New Roman" w:eastAsia="仿宋_GB2312" w:cs="Times New Roman"/>
          <w:sz w:val="28"/>
          <w:szCs w:val="32"/>
        </w:rPr>
        <w:t>甲方贰</w:t>
      </w:r>
      <w:r>
        <w:rPr>
          <w:rFonts w:ascii="Times New Roman" w:hAnsi="Times New Roman" w:eastAsia="仿宋_GB2312" w:cs="Times New Roman"/>
          <w:sz w:val="28"/>
          <w:szCs w:val="32"/>
        </w:rPr>
        <w:t>份</w:t>
      </w:r>
      <w:r>
        <w:rPr>
          <w:rFonts w:hint="eastAsia" w:ascii="Times New Roman" w:hAnsi="Times New Roman" w:eastAsia="仿宋_GB2312" w:cs="Times New Roman"/>
          <w:sz w:val="28"/>
          <w:szCs w:val="32"/>
        </w:rPr>
        <w:t>，乙方贰份</w:t>
      </w:r>
      <w:r>
        <w:rPr>
          <w:rFonts w:ascii="Times New Roman" w:hAnsi="Times New Roman" w:eastAsia="仿宋_GB2312" w:cs="Times New Roman"/>
          <w:sz w:val="28"/>
          <w:szCs w:val="32"/>
        </w:rPr>
        <w:t>。</w:t>
      </w:r>
    </w:p>
    <w:p w14:paraId="53A6A213">
      <w:pPr>
        <w:spacing w:line="540" w:lineRule="exact"/>
        <w:ind w:firstLine="645"/>
        <w:rPr>
          <w:rFonts w:eastAsia="仿宋_GB2312"/>
          <w:sz w:val="28"/>
          <w:szCs w:val="32"/>
        </w:rPr>
      </w:pPr>
    </w:p>
    <w:p w14:paraId="46963041">
      <w:pPr>
        <w:rPr>
          <w:rFonts w:ascii="Times New Roman" w:hAnsi="Times New Roman" w:eastAsia="方正小标宋_GBK" w:cs="Times New Roman"/>
          <w:sz w:val="36"/>
        </w:rPr>
      </w:pPr>
      <w:r>
        <w:rPr>
          <w:rFonts w:ascii="Times New Roman" w:hAnsi="Times New Roman" w:eastAsia="方正小标宋_GBK" w:cs="Times New Roman"/>
          <w:sz w:val="36"/>
        </w:rPr>
        <w:br w:type="page"/>
      </w:r>
    </w:p>
    <w:p w14:paraId="56B7FB2F">
      <w:pPr>
        <w:spacing w:line="480" w:lineRule="auto"/>
        <w:jc w:val="center"/>
        <w:rPr>
          <w:rFonts w:ascii="Times New Roman" w:hAnsi="Times New Roman" w:eastAsia="方正小标宋_GBK" w:cs="Times New Roman"/>
          <w:sz w:val="36"/>
        </w:rPr>
      </w:pPr>
      <w:r>
        <w:rPr>
          <w:rFonts w:ascii="Times New Roman" w:hAnsi="Times New Roman" w:eastAsia="方正小标宋_GBK" w:cs="Times New Roman"/>
          <w:sz w:val="36"/>
        </w:rPr>
        <w:t>新疆</w:t>
      </w:r>
      <w:r>
        <w:rPr>
          <w:rFonts w:hint="eastAsia" w:ascii="Times New Roman" w:hAnsi="Times New Roman" w:eastAsia="方正小标宋_GBK" w:cs="Times New Roman"/>
          <w:sz w:val="36"/>
        </w:rPr>
        <w:t>维吾尔自治区林业和草原局</w:t>
      </w:r>
    </w:p>
    <w:p w14:paraId="6B2C2452">
      <w:pPr>
        <w:spacing w:line="480" w:lineRule="auto"/>
        <w:jc w:val="center"/>
        <w:rPr>
          <w:rFonts w:ascii="Times New Roman" w:hAnsi="Times New Roman" w:eastAsia="方正小标宋_GBK" w:cs="Times New Roman"/>
          <w:sz w:val="36"/>
        </w:rPr>
      </w:pPr>
      <w:r>
        <w:rPr>
          <w:rFonts w:ascii="Times New Roman" w:hAnsi="Times New Roman" w:eastAsia="方正小标宋_GBK" w:cs="Times New Roman"/>
          <w:sz w:val="36"/>
        </w:rPr>
        <w:t>业务委托合同</w:t>
      </w:r>
    </w:p>
    <w:p w14:paraId="177A4D5C">
      <w:pPr>
        <w:spacing w:line="720" w:lineRule="exact"/>
        <w:ind w:firstLine="630"/>
        <w:rPr>
          <w:rFonts w:ascii="Times New Roman" w:hAnsi="Times New Roman" w:eastAsia="仿宋_GB2312" w:cs="Times New Roman"/>
          <w:sz w:val="28"/>
          <w:u w:val="single"/>
        </w:rPr>
      </w:pPr>
      <w:r>
        <w:rPr>
          <w:rFonts w:ascii="Times New Roman" w:hAnsi="Times New Roman" w:eastAsia="仿宋_GB2312" w:cs="Times New Roman"/>
          <w:sz w:val="28"/>
        </w:rPr>
        <w:t xml:space="preserve">委托方（甲方）： </w:t>
      </w:r>
      <w:r>
        <w:rPr>
          <w:rFonts w:ascii="Times New Roman" w:hAnsi="Times New Roman" w:eastAsia="仿宋_GB2312" w:cs="Times New Roman"/>
          <w:sz w:val="28"/>
          <w:u w:val="single"/>
        </w:rPr>
        <w:t>新疆</w:t>
      </w:r>
      <w:r>
        <w:rPr>
          <w:rFonts w:hint="eastAsia" w:ascii="Times New Roman" w:hAnsi="Times New Roman" w:eastAsia="仿宋_GB2312" w:cs="Times New Roman"/>
          <w:sz w:val="28"/>
          <w:u w:val="single"/>
        </w:rPr>
        <w:t>维吾尔自治区林业和草原局</w:t>
      </w:r>
      <w:r>
        <w:rPr>
          <w:rFonts w:ascii="Times New Roman" w:hAnsi="Times New Roman" w:eastAsia="仿宋_GB2312" w:cs="Times New Roman"/>
          <w:sz w:val="28"/>
          <w:u w:val="single"/>
        </w:rPr>
        <w:t xml:space="preserve">             </w:t>
      </w:r>
    </w:p>
    <w:p w14:paraId="49F687BB">
      <w:pPr>
        <w:spacing w:line="720" w:lineRule="exact"/>
        <w:ind w:firstLine="630"/>
        <w:rPr>
          <w:rFonts w:ascii="Times New Roman" w:hAnsi="Times New Roman" w:eastAsia="仿宋_GB2312" w:cs="Times New Roman"/>
          <w:sz w:val="28"/>
        </w:rPr>
      </w:pPr>
      <w:r>
        <w:rPr>
          <w:rFonts w:ascii="Times New Roman" w:hAnsi="Times New Roman" w:eastAsia="仿宋_GB2312" w:cs="Times New Roman"/>
          <w:sz w:val="28"/>
        </w:rPr>
        <w:t xml:space="preserve">住  所  地： </w:t>
      </w:r>
      <w:r>
        <w:rPr>
          <w:rFonts w:ascii="Times New Roman" w:hAnsi="Times New Roman" w:eastAsia="仿宋_GB2312" w:cs="Times New Roman"/>
          <w:sz w:val="28"/>
          <w:u w:val="single"/>
        </w:rPr>
        <w:t xml:space="preserve">  </w:t>
      </w:r>
      <w:r>
        <w:rPr>
          <w:rFonts w:hint="eastAsia" w:ascii="Times New Roman" w:hAnsi="Times New Roman" w:eastAsia="仿宋_GB2312" w:cs="Times New Roman"/>
          <w:sz w:val="28"/>
          <w:u w:val="single"/>
        </w:rPr>
        <w:t>乌鲁木齐市</w:t>
      </w:r>
      <w:r>
        <w:rPr>
          <w:rFonts w:hint="eastAsia" w:ascii="Times New Roman" w:hAnsi="Times New Roman" w:eastAsia="仿宋_GB2312" w:cs="Times New Roman"/>
          <w:bCs/>
          <w:sz w:val="28"/>
          <w:u w:val="single"/>
        </w:rPr>
        <w:t>黑龙江路69号</w:t>
      </w:r>
      <w:r>
        <w:rPr>
          <w:rFonts w:ascii="Times New Roman" w:hAnsi="Times New Roman" w:eastAsia="仿宋_GB2312" w:cs="Times New Roman"/>
          <w:sz w:val="28"/>
          <w:u w:val="single"/>
        </w:rPr>
        <w:t xml:space="preserve">                   </w:t>
      </w:r>
    </w:p>
    <w:p w14:paraId="11C1EB73">
      <w:pPr>
        <w:spacing w:line="720" w:lineRule="exact"/>
        <w:ind w:firstLine="630"/>
        <w:rPr>
          <w:rFonts w:ascii="Times New Roman" w:hAnsi="Times New Roman" w:eastAsia="仿宋_GB2312" w:cs="Times New Roman"/>
          <w:sz w:val="28"/>
          <w:u w:val="single"/>
        </w:rPr>
      </w:pPr>
      <w:r>
        <w:rPr>
          <w:rFonts w:ascii="Times New Roman" w:hAnsi="Times New Roman" w:eastAsia="仿宋_GB2312" w:cs="Times New Roman"/>
          <w:sz w:val="28"/>
        </w:rPr>
        <w:t>法定代表人（委托代理人）：</w:t>
      </w:r>
      <w:r>
        <w:rPr>
          <w:rFonts w:ascii="Times New Roman" w:hAnsi="Times New Roman" w:eastAsia="仿宋_GB2312" w:cs="Times New Roman"/>
          <w:sz w:val="28"/>
          <w:u w:val="single"/>
        </w:rPr>
        <w:t xml:space="preserve">                                </w:t>
      </w:r>
    </w:p>
    <w:p w14:paraId="57725E70">
      <w:pPr>
        <w:spacing w:line="720" w:lineRule="exact"/>
        <w:ind w:firstLine="630"/>
        <w:rPr>
          <w:rFonts w:ascii="Times New Roman" w:hAnsi="Times New Roman" w:eastAsia="仿宋_GB2312" w:cs="Times New Roman"/>
          <w:sz w:val="28"/>
          <w:u w:val="single"/>
        </w:rPr>
      </w:pPr>
      <w:r>
        <w:rPr>
          <w:rFonts w:ascii="Times New Roman" w:hAnsi="Times New Roman" w:eastAsia="仿宋_GB2312" w:cs="Times New Roman"/>
          <w:sz w:val="28"/>
        </w:rPr>
        <w:t>项目联系人：</w:t>
      </w:r>
      <w:r>
        <w:rPr>
          <w:rFonts w:ascii="Times New Roman" w:hAnsi="Times New Roman" w:eastAsia="仿宋_GB2312" w:cs="Times New Roman"/>
          <w:sz w:val="28"/>
          <w:u w:val="single"/>
        </w:rPr>
        <w:t xml:space="preserve">       </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u w:val="single"/>
        </w:rPr>
        <w:t xml:space="preserve">                     </w:t>
      </w:r>
    </w:p>
    <w:p w14:paraId="599DC959">
      <w:pPr>
        <w:spacing w:line="720" w:lineRule="exact"/>
        <w:ind w:firstLine="630"/>
        <w:rPr>
          <w:rFonts w:ascii="Times New Roman" w:hAnsi="Times New Roman" w:eastAsia="仿宋_GB2312" w:cs="Times New Roman"/>
          <w:sz w:val="28"/>
        </w:rPr>
      </w:pPr>
      <w:r>
        <w:rPr>
          <w:rFonts w:ascii="Times New Roman" w:hAnsi="Times New Roman" w:eastAsia="仿宋_GB2312" w:cs="Times New Roman"/>
          <w:sz w:val="28"/>
        </w:rPr>
        <w:t>通讯地址：</w:t>
      </w:r>
      <w:r>
        <w:rPr>
          <w:rFonts w:ascii="Times New Roman" w:hAnsi="Times New Roman" w:eastAsia="仿宋_GB2312" w:cs="Times New Roman"/>
          <w:sz w:val="28"/>
          <w:u w:val="single"/>
        </w:rPr>
        <w:t xml:space="preserve">    新疆</w:t>
      </w:r>
      <w:r>
        <w:rPr>
          <w:rFonts w:hint="eastAsia" w:ascii="Times New Roman" w:hAnsi="Times New Roman" w:eastAsia="仿宋_GB2312" w:cs="Times New Roman"/>
          <w:sz w:val="28"/>
          <w:u w:val="single"/>
        </w:rPr>
        <w:t>维吾尔自治区林业和草原局</w:t>
      </w:r>
      <w:r>
        <w:rPr>
          <w:rFonts w:ascii="Times New Roman" w:hAnsi="Times New Roman" w:eastAsia="仿宋_GB2312" w:cs="Times New Roman"/>
          <w:sz w:val="28"/>
          <w:u w:val="single"/>
        </w:rPr>
        <w:t xml:space="preserve">               </w:t>
      </w:r>
    </w:p>
    <w:p w14:paraId="1542534C">
      <w:pPr>
        <w:spacing w:line="720" w:lineRule="exact"/>
        <w:ind w:firstLine="630"/>
        <w:rPr>
          <w:rFonts w:ascii="Times New Roman" w:hAnsi="Times New Roman" w:eastAsia="仿宋_GB2312" w:cs="Times New Roman"/>
          <w:sz w:val="28"/>
          <w:u w:val="single"/>
        </w:rPr>
      </w:pPr>
      <w:r>
        <w:rPr>
          <w:rFonts w:ascii="Times New Roman" w:hAnsi="Times New Roman" w:eastAsia="仿宋_GB2312" w:cs="Times New Roman"/>
          <w:sz w:val="28"/>
        </w:rPr>
        <w:t>联系电话：</w:t>
      </w:r>
      <w:r>
        <w:rPr>
          <w:rFonts w:ascii="Times New Roman" w:hAnsi="Times New Roman" w:eastAsia="仿宋_GB2312" w:cs="Times New Roman"/>
          <w:sz w:val="28"/>
          <w:u w:val="single"/>
        </w:rPr>
        <w:t xml:space="preserve">      </w:t>
      </w:r>
      <w:r>
        <w:rPr>
          <w:rFonts w:hint="eastAsia" w:ascii="Times New Roman" w:hAnsi="Times New Roman" w:eastAsia="仿宋_GB2312" w:cs="Times New Roman"/>
          <w:bCs/>
          <w:sz w:val="28"/>
          <w:u w:val="single"/>
          <w:lang w:val="en-US" w:eastAsia="zh-CN"/>
        </w:rPr>
        <w:t xml:space="preserve">            </w:t>
      </w:r>
      <w:r>
        <w:rPr>
          <w:rFonts w:ascii="Times New Roman" w:hAnsi="Times New Roman" w:eastAsia="仿宋_GB2312" w:cs="Times New Roman"/>
          <w:sz w:val="28"/>
          <w:u w:val="single"/>
        </w:rPr>
        <w:t xml:space="preserve">      </w:t>
      </w:r>
      <w:r>
        <w:rPr>
          <w:rFonts w:ascii="Times New Roman" w:hAnsi="Times New Roman" w:eastAsia="仿宋_GB2312" w:cs="Times New Roman"/>
          <w:sz w:val="28"/>
        </w:rPr>
        <w:t>传真：</w:t>
      </w:r>
      <w:r>
        <w:rPr>
          <w:rFonts w:ascii="Times New Roman" w:hAnsi="Times New Roman" w:eastAsia="仿宋_GB2312" w:cs="Times New Roman"/>
          <w:sz w:val="28"/>
          <w:u w:val="single"/>
        </w:rPr>
        <w:t xml:space="preserve">                  </w:t>
      </w:r>
    </w:p>
    <w:p w14:paraId="2C8236AB">
      <w:pPr>
        <w:spacing w:line="720" w:lineRule="exact"/>
        <w:ind w:firstLine="630"/>
        <w:rPr>
          <w:rFonts w:ascii="Times New Roman" w:hAnsi="Times New Roman" w:eastAsia="仿宋_GB2312" w:cs="Times New Roman"/>
          <w:sz w:val="28"/>
          <w:u w:val="single"/>
        </w:rPr>
      </w:pPr>
      <w:r>
        <w:rPr>
          <w:rFonts w:ascii="Times New Roman" w:hAnsi="Times New Roman" w:eastAsia="仿宋_GB2312" w:cs="Times New Roman"/>
          <w:sz w:val="28"/>
        </w:rPr>
        <w:t>电子信箱：</w:t>
      </w:r>
      <w:r>
        <w:rPr>
          <w:rFonts w:ascii="Times New Roman" w:hAnsi="Times New Roman" w:eastAsia="仿宋_GB2312" w:cs="Times New Roman"/>
          <w:sz w:val="28"/>
          <w:u w:val="single"/>
        </w:rPr>
        <w:t xml:space="preserve">                                                </w:t>
      </w:r>
    </w:p>
    <w:p w14:paraId="1A781078">
      <w:pPr>
        <w:spacing w:line="720" w:lineRule="exact"/>
        <w:ind w:firstLine="630"/>
        <w:rPr>
          <w:rFonts w:ascii="Times New Roman" w:hAnsi="Times New Roman" w:eastAsia="仿宋_GB2312" w:cs="Times New Roman"/>
          <w:sz w:val="28"/>
        </w:rPr>
      </w:pPr>
    </w:p>
    <w:p w14:paraId="0B1C96FA">
      <w:pPr>
        <w:spacing w:line="720" w:lineRule="exact"/>
        <w:ind w:firstLine="630"/>
        <w:rPr>
          <w:rFonts w:ascii="Times New Roman" w:hAnsi="Times New Roman" w:eastAsia="仿宋_GB2312" w:cs="Times New Roman"/>
          <w:sz w:val="28"/>
          <w:u w:val="single"/>
        </w:rPr>
      </w:pPr>
      <w:r>
        <w:rPr>
          <w:rFonts w:ascii="Times New Roman" w:hAnsi="Times New Roman" w:eastAsia="仿宋_GB2312" w:cs="Times New Roman"/>
          <w:sz w:val="28"/>
        </w:rPr>
        <w:t>受托方（乙方）：</w:t>
      </w:r>
      <w:r>
        <w:rPr>
          <w:rFonts w:ascii="Times New Roman" w:hAnsi="Times New Roman" w:eastAsia="仿宋_GB2312" w:cs="Times New Roman"/>
          <w:sz w:val="28"/>
          <w:u w:val="single"/>
        </w:rPr>
        <w:t xml:space="preserve">                                                </w:t>
      </w:r>
    </w:p>
    <w:p w14:paraId="7EBEE9A9">
      <w:pPr>
        <w:spacing w:line="720" w:lineRule="exact"/>
        <w:ind w:firstLine="630"/>
        <w:rPr>
          <w:rFonts w:ascii="Times New Roman" w:hAnsi="Times New Roman" w:eastAsia="仿宋_GB2312" w:cs="Times New Roman"/>
          <w:sz w:val="28"/>
          <w:u w:val="single"/>
        </w:rPr>
      </w:pPr>
      <w:r>
        <w:rPr>
          <w:rFonts w:ascii="Times New Roman" w:hAnsi="Times New Roman" w:eastAsia="仿宋_GB2312" w:cs="Times New Roman"/>
          <w:sz w:val="28"/>
        </w:rPr>
        <w:t>住  所  地：</w:t>
      </w:r>
      <w:r>
        <w:rPr>
          <w:rFonts w:ascii="Times New Roman" w:hAnsi="Times New Roman" w:eastAsia="仿宋_GB2312" w:cs="Times New Roman"/>
          <w:sz w:val="28"/>
          <w:u w:val="single"/>
        </w:rPr>
        <w:t xml:space="preserve">                                                </w:t>
      </w:r>
    </w:p>
    <w:p w14:paraId="2B308F21">
      <w:pPr>
        <w:spacing w:line="720" w:lineRule="exact"/>
        <w:ind w:firstLine="630"/>
        <w:rPr>
          <w:rFonts w:ascii="Times New Roman" w:hAnsi="Times New Roman" w:eastAsia="仿宋_GB2312" w:cs="Times New Roman"/>
          <w:sz w:val="28"/>
          <w:u w:val="single"/>
        </w:rPr>
      </w:pPr>
      <w:r>
        <w:rPr>
          <w:rFonts w:ascii="Times New Roman" w:hAnsi="Times New Roman" w:eastAsia="仿宋_GB2312" w:cs="Times New Roman"/>
          <w:sz w:val="28"/>
        </w:rPr>
        <w:t>法定代表人（委托代理人）：</w:t>
      </w:r>
      <w:r>
        <w:rPr>
          <w:rFonts w:hint="eastAsia" w:ascii="Times New Roman" w:hAnsi="Times New Roman" w:eastAsia="仿宋_GB2312" w:cs="Times New Roman"/>
          <w:sz w:val="28"/>
          <w:u w:val="single"/>
          <w:lang w:val="en-US" w:eastAsia="zh-CN"/>
        </w:rPr>
        <w:t xml:space="preserve">  </w:t>
      </w:r>
      <w:r>
        <w:rPr>
          <w:rFonts w:hint="eastAsia" w:ascii="Times New Roman" w:hAnsi="Times New Roman" w:eastAsia="仿宋_GB2312" w:cs="Times New Roman"/>
          <w:sz w:val="28"/>
          <w:u w:val="single"/>
        </w:rPr>
        <w:t xml:space="preserve">     </w:t>
      </w:r>
      <w:r>
        <w:rPr>
          <w:rFonts w:ascii="Times New Roman" w:hAnsi="Times New Roman" w:eastAsia="仿宋_GB2312" w:cs="Times New Roman"/>
          <w:sz w:val="28"/>
          <w:u w:val="single"/>
        </w:rPr>
        <w:t xml:space="preserve">    </w:t>
      </w:r>
      <w:r>
        <w:rPr>
          <w:rFonts w:hint="eastAsia" w:ascii="Times New Roman" w:hAnsi="Times New Roman" w:eastAsia="仿宋_GB2312" w:cs="Times New Roman"/>
          <w:sz w:val="28"/>
          <w:u w:val="single"/>
        </w:rPr>
        <w:t xml:space="preserve"> </w:t>
      </w:r>
      <w:r>
        <w:rPr>
          <w:rFonts w:ascii="Times New Roman" w:hAnsi="Times New Roman" w:eastAsia="仿宋_GB2312" w:cs="Times New Roman"/>
          <w:sz w:val="28"/>
          <w:u w:val="single"/>
        </w:rPr>
        <w:t xml:space="preserve">             </w:t>
      </w:r>
    </w:p>
    <w:p w14:paraId="00EFB7A3">
      <w:pPr>
        <w:spacing w:line="720" w:lineRule="exact"/>
        <w:ind w:firstLine="630"/>
        <w:rPr>
          <w:rFonts w:ascii="Times New Roman" w:hAnsi="Times New Roman" w:eastAsia="仿宋_GB2312" w:cs="Times New Roman"/>
          <w:sz w:val="28"/>
          <w:u w:val="single"/>
        </w:rPr>
      </w:pPr>
      <w:r>
        <w:rPr>
          <w:rFonts w:ascii="Times New Roman" w:hAnsi="Times New Roman" w:eastAsia="仿宋_GB2312" w:cs="Times New Roman"/>
          <w:sz w:val="28"/>
        </w:rPr>
        <w:t>项目联系人：</w:t>
      </w:r>
      <w:r>
        <w:rPr>
          <w:rFonts w:hint="eastAsia" w:ascii="Times New Roman" w:hAnsi="Times New Roman" w:eastAsia="仿宋_GB2312" w:cs="Times New Roman"/>
          <w:sz w:val="28"/>
          <w:u w:val="single"/>
        </w:rPr>
        <w:t xml:space="preserve">      </w:t>
      </w:r>
      <w:r>
        <w:rPr>
          <w:rFonts w:ascii="Times New Roman" w:hAnsi="Times New Roman" w:eastAsia="仿宋_GB2312" w:cs="Times New Roman"/>
          <w:sz w:val="28"/>
          <w:u w:val="single"/>
        </w:rPr>
        <w:t xml:space="preserve">      </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u w:val="single"/>
        </w:rPr>
        <w:t xml:space="preserve">              </w:t>
      </w:r>
      <w:r>
        <w:rPr>
          <w:rFonts w:hint="eastAsia" w:ascii="Times New Roman" w:hAnsi="Times New Roman" w:eastAsia="仿宋_GB2312" w:cs="Times New Roman"/>
          <w:sz w:val="28"/>
          <w:u w:val="single"/>
        </w:rPr>
        <w:t xml:space="preserve"> </w:t>
      </w:r>
      <w:r>
        <w:rPr>
          <w:rFonts w:ascii="Times New Roman" w:hAnsi="Times New Roman" w:eastAsia="仿宋_GB2312" w:cs="Times New Roman"/>
          <w:sz w:val="28"/>
          <w:u w:val="single"/>
        </w:rPr>
        <w:t xml:space="preserve">                    </w:t>
      </w:r>
    </w:p>
    <w:p w14:paraId="0764A91B">
      <w:pPr>
        <w:spacing w:line="720" w:lineRule="exact"/>
        <w:ind w:firstLine="630"/>
        <w:rPr>
          <w:rFonts w:ascii="Times New Roman" w:hAnsi="Times New Roman" w:eastAsia="仿宋_GB2312" w:cs="Times New Roman"/>
          <w:sz w:val="28"/>
          <w:u w:val="single"/>
        </w:rPr>
      </w:pPr>
      <w:r>
        <w:rPr>
          <w:rFonts w:ascii="Times New Roman" w:hAnsi="Times New Roman" w:eastAsia="仿宋_GB2312" w:cs="Times New Roman"/>
          <w:sz w:val="28"/>
        </w:rPr>
        <w:t>通讯地址：</w:t>
      </w:r>
      <w:r>
        <w:rPr>
          <w:rFonts w:ascii="Times New Roman" w:hAnsi="Times New Roman" w:eastAsia="仿宋_GB2312" w:cs="Times New Roman"/>
          <w:sz w:val="28"/>
          <w:u w:val="single"/>
        </w:rPr>
        <w:t xml:space="preserve"> </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u w:val="single"/>
        </w:rPr>
        <w:t xml:space="preserve"> </w:t>
      </w:r>
      <w:r>
        <w:rPr>
          <w:rFonts w:hint="eastAsia" w:ascii="Times New Roman" w:hAnsi="Times New Roman" w:eastAsia="仿宋_GB2312" w:cs="Times New Roman"/>
          <w:sz w:val="28"/>
          <w:u w:val="single"/>
        </w:rPr>
        <w:t xml:space="preserve"> </w:t>
      </w:r>
      <w:r>
        <w:rPr>
          <w:rFonts w:ascii="Times New Roman" w:hAnsi="Times New Roman" w:eastAsia="仿宋_GB2312" w:cs="Times New Roman"/>
          <w:sz w:val="28"/>
          <w:u w:val="single"/>
        </w:rPr>
        <w:t xml:space="preserve">                  </w:t>
      </w:r>
      <w:r>
        <w:rPr>
          <w:rFonts w:hint="eastAsia" w:ascii="Times New Roman" w:hAnsi="Times New Roman" w:eastAsia="仿宋_GB2312" w:cs="Times New Roman"/>
          <w:sz w:val="28"/>
          <w:u w:val="single"/>
        </w:rPr>
        <w:t xml:space="preserve"> </w:t>
      </w:r>
      <w:r>
        <w:rPr>
          <w:rFonts w:ascii="Times New Roman" w:hAnsi="Times New Roman" w:eastAsia="仿宋_GB2312" w:cs="Times New Roman"/>
          <w:sz w:val="28"/>
          <w:u w:val="single"/>
        </w:rPr>
        <w:t xml:space="preserve"> </w:t>
      </w:r>
    </w:p>
    <w:p w14:paraId="3BB82FD3">
      <w:pPr>
        <w:spacing w:line="720" w:lineRule="exact"/>
        <w:ind w:firstLine="630"/>
        <w:rPr>
          <w:rFonts w:ascii="Times New Roman" w:hAnsi="Times New Roman" w:eastAsia="仿宋_GB2312" w:cs="Times New Roman"/>
          <w:sz w:val="28"/>
          <w:u w:val="single"/>
        </w:rPr>
      </w:pPr>
      <w:r>
        <w:rPr>
          <w:rFonts w:ascii="Times New Roman" w:hAnsi="Times New Roman" w:eastAsia="仿宋_GB2312" w:cs="Times New Roman"/>
          <w:sz w:val="28"/>
        </w:rPr>
        <w:t>联系电话：</w:t>
      </w:r>
      <w:r>
        <w:rPr>
          <w:rFonts w:ascii="Times New Roman" w:hAnsi="Times New Roman" w:eastAsia="仿宋_GB2312" w:cs="Times New Roman"/>
          <w:sz w:val="28"/>
          <w:u w:val="single"/>
        </w:rPr>
        <w:t xml:space="preserve">   </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u w:val="single"/>
        </w:rPr>
        <w:t xml:space="preserve"> </w:t>
      </w:r>
      <w:r>
        <w:rPr>
          <w:rFonts w:hint="eastAsia" w:ascii="Times New Roman" w:hAnsi="Times New Roman" w:eastAsia="仿宋_GB2312" w:cs="Times New Roman"/>
          <w:sz w:val="28"/>
          <w:u w:val="single"/>
        </w:rPr>
        <w:t xml:space="preserve">  </w:t>
      </w:r>
      <w:r>
        <w:rPr>
          <w:rFonts w:ascii="Times New Roman" w:hAnsi="Times New Roman" w:eastAsia="仿宋_GB2312" w:cs="Times New Roman"/>
          <w:sz w:val="28"/>
          <w:u w:val="single"/>
        </w:rPr>
        <w:t xml:space="preserve">  </w:t>
      </w:r>
      <w:r>
        <w:rPr>
          <w:rFonts w:ascii="Times New Roman" w:hAnsi="Times New Roman" w:eastAsia="仿宋_GB2312" w:cs="Times New Roman"/>
          <w:sz w:val="28"/>
        </w:rPr>
        <w:t>传真：</w:t>
      </w:r>
      <w:r>
        <w:rPr>
          <w:rFonts w:ascii="Times New Roman" w:hAnsi="Times New Roman" w:eastAsia="仿宋_GB2312" w:cs="Times New Roman"/>
          <w:sz w:val="28"/>
          <w:u w:val="single"/>
        </w:rPr>
        <w:t xml:space="preserve"> </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u w:val="single"/>
        </w:rPr>
        <w:t xml:space="preserve">   </w:t>
      </w:r>
      <w:r>
        <w:rPr>
          <w:rFonts w:hint="eastAsia" w:ascii="Times New Roman" w:hAnsi="Times New Roman" w:eastAsia="仿宋_GB2312" w:cs="Times New Roman"/>
          <w:sz w:val="28"/>
          <w:u w:val="single"/>
        </w:rPr>
        <w:t xml:space="preserve"> </w:t>
      </w:r>
      <w:r>
        <w:rPr>
          <w:rFonts w:ascii="Times New Roman" w:hAnsi="Times New Roman" w:eastAsia="仿宋_GB2312" w:cs="Times New Roman"/>
          <w:sz w:val="28"/>
          <w:u w:val="single"/>
        </w:rPr>
        <w:t xml:space="preserve">    </w:t>
      </w:r>
      <w:r>
        <w:rPr>
          <w:rFonts w:hint="eastAsia" w:ascii="Times New Roman" w:hAnsi="Times New Roman" w:eastAsia="仿宋_GB2312" w:cs="Times New Roman"/>
          <w:sz w:val="28"/>
          <w:u w:val="single"/>
        </w:rPr>
        <w:t xml:space="preserve"> </w:t>
      </w:r>
      <w:r>
        <w:rPr>
          <w:rFonts w:ascii="Times New Roman" w:hAnsi="Times New Roman" w:eastAsia="仿宋_GB2312" w:cs="Times New Roman"/>
          <w:sz w:val="28"/>
          <w:u w:val="single"/>
        </w:rPr>
        <w:t xml:space="preserve"> </w:t>
      </w:r>
    </w:p>
    <w:p w14:paraId="240F8DC7">
      <w:pPr>
        <w:spacing w:line="720" w:lineRule="exact"/>
        <w:ind w:firstLine="645"/>
        <w:rPr>
          <w:rFonts w:eastAsia="仿宋_GB2312"/>
          <w:sz w:val="28"/>
          <w:szCs w:val="32"/>
        </w:rPr>
      </w:pPr>
      <w:r>
        <w:rPr>
          <w:rFonts w:ascii="Times New Roman" w:hAnsi="Times New Roman" w:eastAsia="仿宋_GB2312" w:cs="Times New Roman"/>
          <w:sz w:val="28"/>
        </w:rPr>
        <w:t>电子信箱：</w:t>
      </w:r>
      <w:r>
        <w:rPr>
          <w:rFonts w:hint="eastAsia" w:ascii="Times New Roman" w:hAnsi="Times New Roman" w:eastAsia="仿宋_GB2312" w:cs="Times New Roman"/>
          <w:sz w:val="28"/>
          <w:u w:val="single"/>
        </w:rPr>
        <w:t xml:space="preserve">    </w:t>
      </w:r>
      <w:r>
        <w:rPr>
          <w:rFonts w:ascii="Times New Roman" w:hAnsi="Times New Roman" w:eastAsia="仿宋_GB2312" w:cs="Times New Roman"/>
          <w:sz w:val="28"/>
          <w:u w:val="single"/>
        </w:rPr>
        <w:t xml:space="preserve">    </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u w:val="single"/>
        </w:rPr>
        <w:t xml:space="preserve">    </w:t>
      </w:r>
      <w:r>
        <w:rPr>
          <w:rFonts w:hint="eastAsia" w:ascii="Times New Roman" w:hAnsi="Times New Roman" w:eastAsia="仿宋_GB2312" w:cs="Times New Roman"/>
          <w:sz w:val="28"/>
          <w:u w:val="single"/>
        </w:rPr>
        <w:t xml:space="preserve"> </w:t>
      </w:r>
      <w:r>
        <w:rPr>
          <w:rFonts w:ascii="Times New Roman" w:hAnsi="Times New Roman" w:eastAsia="仿宋_GB2312" w:cs="Times New Roman"/>
          <w:sz w:val="28"/>
          <w:u w:val="single"/>
        </w:rPr>
        <w:t xml:space="preserve">               </w:t>
      </w:r>
    </w:p>
    <w:p w14:paraId="03BEDE78">
      <w:pPr>
        <w:pStyle w:val="18"/>
        <w:spacing w:line="360" w:lineRule="auto"/>
        <w:ind w:firstLine="560"/>
        <w:rPr>
          <w:rFonts w:ascii="Times New Roman" w:eastAsia="仿宋_GB2312" w:cs="Times New Roman"/>
          <w:sz w:val="28"/>
        </w:rPr>
      </w:pPr>
      <w:r>
        <w:rPr>
          <w:rFonts w:ascii="Times New Roman" w:eastAsia="仿宋_GB2312"/>
          <w:sz w:val="28"/>
          <w:szCs w:val="32"/>
        </w:rPr>
        <w:br w:type="page" w:clear="all"/>
      </w:r>
      <w:r>
        <w:rPr>
          <w:rFonts w:ascii="Times New Roman" w:eastAsia="仿宋_GB2312" w:cs="Times New Roman"/>
          <w:sz w:val="28"/>
        </w:rPr>
        <w:t>根据《中华人民共和国</w:t>
      </w:r>
      <w:r>
        <w:rPr>
          <w:rFonts w:hint="eastAsia" w:ascii="Times New Roman" w:eastAsia="仿宋_GB2312" w:cs="Times New Roman"/>
          <w:sz w:val="28"/>
        </w:rPr>
        <w:t>民法典</w:t>
      </w:r>
      <w:r>
        <w:rPr>
          <w:rFonts w:ascii="Times New Roman" w:eastAsia="仿宋_GB2312" w:cs="Times New Roman"/>
          <w:sz w:val="28"/>
        </w:rPr>
        <w:t>》，甲、乙双方经</w:t>
      </w:r>
      <w:r>
        <w:rPr>
          <w:rFonts w:hint="eastAsia" w:ascii="Times New Roman" w:eastAsia="仿宋_GB2312" w:cs="Times New Roman"/>
          <w:sz w:val="28"/>
        </w:rPr>
        <w:t>公开招投标，</w:t>
      </w:r>
      <w:r>
        <w:rPr>
          <w:rFonts w:ascii="Times New Roman" w:eastAsia="仿宋_GB2312" w:cs="Times New Roman"/>
          <w:sz w:val="28"/>
        </w:rPr>
        <w:t>平等协商达成以下协议，并由双方共同恪守。</w:t>
      </w:r>
    </w:p>
    <w:p w14:paraId="4C694688">
      <w:pPr>
        <w:spacing w:line="360" w:lineRule="auto"/>
        <w:ind w:firstLine="560"/>
        <w:rPr>
          <w:rFonts w:ascii="Times New Roman" w:hAnsi="Times New Roman" w:eastAsia="黑体" w:cs="Times New Roman"/>
          <w:sz w:val="28"/>
        </w:rPr>
      </w:pPr>
    </w:p>
    <w:p w14:paraId="7DC3BE4C">
      <w:pPr>
        <w:spacing w:line="360" w:lineRule="auto"/>
        <w:ind w:firstLine="560"/>
        <w:rPr>
          <w:rFonts w:ascii="Times New Roman" w:hAnsi="Times New Roman" w:eastAsia="仿宋_GB2312" w:cs="Times New Roman"/>
          <w:sz w:val="28"/>
        </w:rPr>
      </w:pPr>
      <w:r>
        <w:rPr>
          <w:rFonts w:ascii="Times New Roman" w:hAnsi="Times New Roman" w:eastAsia="黑体" w:cs="Times New Roman"/>
          <w:sz w:val="28"/>
        </w:rPr>
        <w:t xml:space="preserve">第一条  </w:t>
      </w:r>
      <w:r>
        <w:rPr>
          <w:rFonts w:ascii="Times New Roman" w:hAnsi="Times New Roman" w:eastAsia="仿宋_GB2312" w:cs="Times New Roman"/>
          <w:sz w:val="28"/>
        </w:rPr>
        <w:t>甲方委托乙方承担</w:t>
      </w:r>
      <w:r>
        <w:rPr>
          <w:rFonts w:hint="eastAsia" w:ascii="Times New Roman" w:hAnsi="Times New Roman" w:eastAsia="仿宋_GB2312" w:cs="Times New Roman"/>
          <w:b/>
          <w:bCs/>
          <w:sz w:val="28"/>
          <w:u w:val="single"/>
          <w:lang w:val="en-US" w:eastAsia="zh-CN"/>
        </w:rPr>
        <w:t xml:space="preserve">                        （项目名称）</w:t>
      </w:r>
      <w:r>
        <w:rPr>
          <w:rFonts w:ascii="Times New Roman" w:hAnsi="Times New Roman" w:eastAsia="仿宋_GB2312" w:cs="Times New Roman"/>
          <w:sz w:val="28"/>
        </w:rPr>
        <w:t>任务。</w:t>
      </w:r>
    </w:p>
    <w:p w14:paraId="59686337">
      <w:pPr>
        <w:spacing w:line="360" w:lineRule="auto"/>
        <w:ind w:firstLine="560"/>
        <w:rPr>
          <w:rFonts w:ascii="Times New Roman" w:hAnsi="Times New Roman" w:eastAsia="仿宋_GB2312" w:cs="Times New Roman"/>
          <w:sz w:val="28"/>
          <w:u w:val="single"/>
        </w:rPr>
      </w:pPr>
      <w:r>
        <w:rPr>
          <w:rFonts w:ascii="Times New Roman" w:hAnsi="Times New Roman" w:eastAsia="黑体" w:cs="Times New Roman"/>
          <w:sz w:val="28"/>
        </w:rPr>
        <w:t>第二条</w:t>
      </w:r>
      <w:r>
        <w:rPr>
          <w:rFonts w:ascii="Times New Roman" w:hAnsi="Times New Roman" w:eastAsia="仿宋_GB2312" w:cs="Times New Roman"/>
          <w:sz w:val="28"/>
        </w:rPr>
        <w:t xml:space="preserve">  甲方委托任务主要内容：</w:t>
      </w:r>
    </w:p>
    <w:p w14:paraId="7A38704D">
      <w:pPr>
        <w:spacing w:before="120" w:beforeLines="50" w:line="360" w:lineRule="auto"/>
        <w:ind w:firstLine="561"/>
        <w:rPr>
          <w:rFonts w:hint="eastAsia" w:eastAsia="仿宋_GB2312"/>
          <w:sz w:val="28"/>
          <w:u w:val="single"/>
          <w:lang w:val="en-US" w:eastAsia="zh-CN"/>
        </w:rPr>
      </w:pPr>
      <w:r>
        <w:rPr>
          <w:rFonts w:hint="eastAsia" w:eastAsia="仿宋_GB2312"/>
          <w:sz w:val="28"/>
          <w:u w:val="single"/>
          <w:lang w:val="en-US" w:eastAsia="zh-CN"/>
        </w:rPr>
        <w:t xml:space="preserve">                                                                </w:t>
      </w:r>
    </w:p>
    <w:p w14:paraId="6F5292F2">
      <w:pPr>
        <w:spacing w:before="120" w:beforeLines="50" w:line="360" w:lineRule="auto"/>
        <w:ind w:firstLine="561"/>
        <w:rPr>
          <w:rFonts w:eastAsia="仿宋_GB2312"/>
          <w:sz w:val="28"/>
        </w:rPr>
      </w:pPr>
      <w:r>
        <w:rPr>
          <w:rFonts w:eastAsia="黑体"/>
          <w:sz w:val="28"/>
        </w:rPr>
        <w:t>第三条</w:t>
      </w:r>
      <w:r>
        <w:rPr>
          <w:rFonts w:eastAsia="仿宋_GB2312"/>
          <w:sz w:val="28"/>
        </w:rPr>
        <w:t xml:space="preserve">  </w:t>
      </w:r>
      <w:r>
        <w:rPr>
          <w:rFonts w:hint="eastAsia" w:eastAsia="仿宋_GB2312"/>
          <w:sz w:val="28"/>
        </w:rPr>
        <w:t>乙方需按以下进度完成委托任务，提交工作成果：</w:t>
      </w:r>
    </w:p>
    <w:p w14:paraId="0D78BB50">
      <w:pPr>
        <w:spacing w:line="360" w:lineRule="auto"/>
        <w:ind w:firstLine="560"/>
        <w:rPr>
          <w:rFonts w:ascii="Times New Roman" w:hAnsi="Times New Roman" w:eastAsia="仿宋_GB2312" w:cs="Times New Roman"/>
          <w:sz w:val="28"/>
        </w:rPr>
      </w:pPr>
      <w:r>
        <w:rPr>
          <w:rFonts w:hint="eastAsia" w:eastAsia="仿宋_GB2312"/>
          <w:sz w:val="28"/>
          <w:u w:val="single"/>
          <w:lang w:val="en-US" w:eastAsia="zh-CN"/>
        </w:rPr>
        <w:t xml:space="preserve">                                                                </w:t>
      </w:r>
      <w:r>
        <w:rPr>
          <w:rFonts w:hint="eastAsia" w:ascii="Times New Roman" w:hAnsi="Times New Roman" w:eastAsia="仿宋_GB2312" w:cs="Times New Roman"/>
          <w:sz w:val="28"/>
        </w:rPr>
        <w:t>6. 提交工作成果包括但不限于：</w:t>
      </w:r>
    </w:p>
    <w:p w14:paraId="6BB6A60E">
      <w:pPr>
        <w:spacing w:line="360" w:lineRule="auto"/>
        <w:ind w:left="720"/>
        <w:rPr>
          <w:rFonts w:ascii="Times New Roman" w:hAnsi="Times New Roman" w:eastAsia="仿宋_GB2312" w:cs="Times New Roman"/>
          <w:sz w:val="28"/>
        </w:rPr>
      </w:pPr>
      <w:r>
        <w:rPr>
          <w:rFonts w:hint="eastAsia" w:ascii="Times New Roman" w:hAnsi="Times New Roman" w:eastAsia="仿宋_GB2312" w:cs="Times New Roman"/>
          <w:sz w:val="28"/>
        </w:rPr>
        <w:t>（</w:t>
      </w:r>
      <w:r>
        <w:rPr>
          <w:rFonts w:ascii="Times New Roman" w:hAnsi="Times New Roman" w:eastAsia="仿宋_GB2312" w:cs="Times New Roman"/>
          <w:sz w:val="28"/>
        </w:rPr>
        <w:t>1</w:t>
      </w:r>
      <w:r>
        <w:rPr>
          <w:rFonts w:hint="eastAsia" w:ascii="Times New Roman" w:hAnsi="Times New Roman" w:eastAsia="仿宋_GB2312" w:cs="Times New Roman"/>
          <w:sz w:val="28"/>
        </w:rPr>
        <w:t>）提交《种质资源引种名录》1份、技术报告1份、影像图鉴1套</w:t>
      </w:r>
      <w:r>
        <w:rPr>
          <w:rFonts w:ascii="Times New Roman" w:hAnsi="Times New Roman" w:eastAsia="仿宋_GB2312" w:cs="Times New Roman"/>
          <w:sz w:val="28"/>
        </w:rPr>
        <w:t>。</w:t>
      </w:r>
    </w:p>
    <w:p w14:paraId="2DF6BB79">
      <w:pPr>
        <w:spacing w:line="360" w:lineRule="auto"/>
        <w:ind w:left="720"/>
        <w:rPr>
          <w:rFonts w:hint="eastAsia" w:ascii="Times New Roman" w:hAnsi="Times New Roman" w:eastAsia="仿宋_GB2312" w:cs="Times New Roman"/>
          <w:sz w:val="28"/>
          <w:u w:val="single"/>
          <w:lang w:val="en-US" w:eastAsia="zh-CN"/>
        </w:rPr>
      </w:pPr>
      <w:r>
        <w:rPr>
          <w:rFonts w:ascii="Times New Roman" w:hAnsi="Times New Roman" w:eastAsia="仿宋_GB2312" w:cs="Times New Roman"/>
          <w:sz w:val="28"/>
        </w:rPr>
        <w:t>（2）技术规程：</w:t>
      </w:r>
      <w:r>
        <w:rPr>
          <w:rFonts w:hint="eastAsia" w:ascii="Times New Roman" w:hAnsi="Times New Roman" w:eastAsia="仿宋_GB2312" w:cs="Times New Roman"/>
          <w:sz w:val="28"/>
          <w:u w:val="single"/>
          <w:lang w:val="en-US" w:eastAsia="zh-CN"/>
        </w:rPr>
        <w:t xml:space="preserve">                       </w:t>
      </w:r>
    </w:p>
    <w:p w14:paraId="6FE4AEC9">
      <w:pPr>
        <w:spacing w:line="360" w:lineRule="auto"/>
        <w:ind w:left="720"/>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项目总结报告：全面总结项目的实施过程、成果和经验，包括种质资源收集、保育、繁殖、回归等方面的内容，为后续工作提供参考。</w:t>
      </w:r>
    </w:p>
    <w:p w14:paraId="33124ACF">
      <w:pPr>
        <w:spacing w:line="360" w:lineRule="auto"/>
        <w:ind w:left="720"/>
        <w:rPr>
          <w:rFonts w:hint="default" w:ascii="Times New Roman" w:hAnsi="Times New Roman" w:eastAsia="仿宋_GB2312" w:cs="Times New Roman"/>
          <w:sz w:val="28"/>
          <w:lang w:val="en-US" w:eastAsia="zh-CN"/>
        </w:rPr>
      </w:pPr>
      <w:r>
        <w:rPr>
          <w:rFonts w:ascii="Times New Roman" w:hAnsi="Times New Roman" w:eastAsia="仿宋_GB2312" w:cs="Times New Roman"/>
          <w:sz w:val="28"/>
        </w:rPr>
        <w:t>（</w:t>
      </w:r>
      <w:r>
        <w:rPr>
          <w:rFonts w:hint="eastAsia" w:ascii="Times New Roman" w:hAnsi="Times New Roman" w:eastAsia="仿宋_GB2312" w:cs="Times New Roman"/>
          <w:sz w:val="28"/>
        </w:rPr>
        <w:t>4</w:t>
      </w:r>
      <w:r>
        <w:rPr>
          <w:rFonts w:ascii="Times New Roman" w:hAnsi="Times New Roman" w:eastAsia="仿宋_GB2312" w:cs="Times New Roman"/>
          <w:sz w:val="28"/>
        </w:rPr>
        <w:t>）种质资源展示区：</w:t>
      </w:r>
      <w:r>
        <w:rPr>
          <w:rFonts w:hint="eastAsia" w:ascii="Times New Roman" w:hAnsi="Times New Roman" w:eastAsia="仿宋_GB2312" w:cs="Times New Roman"/>
          <w:sz w:val="28"/>
          <w:u w:val="single"/>
          <w:lang w:val="en-US" w:eastAsia="zh-CN"/>
        </w:rPr>
        <w:t xml:space="preserve">                                        </w:t>
      </w:r>
    </w:p>
    <w:p w14:paraId="5FCCAF5B">
      <w:pPr>
        <w:spacing w:line="360" w:lineRule="auto"/>
        <w:ind w:firstLine="560"/>
        <w:rPr>
          <w:rFonts w:ascii="Times New Roman" w:hAnsi="Times New Roman" w:eastAsia="仿宋_GB2312" w:cs="Times New Roman"/>
          <w:sz w:val="28"/>
        </w:rPr>
      </w:pPr>
      <w:r>
        <w:rPr>
          <w:rFonts w:hint="eastAsia" w:ascii="Times New Roman" w:hAnsi="Times New Roman" w:eastAsia="仿宋_GB2312" w:cs="Times New Roman"/>
          <w:sz w:val="28"/>
        </w:rPr>
        <w:t>7. 成果要求：</w:t>
      </w:r>
    </w:p>
    <w:p w14:paraId="4A700CD3">
      <w:pPr>
        <w:spacing w:line="360" w:lineRule="auto"/>
        <w:ind w:firstLine="560"/>
        <w:rPr>
          <w:rFonts w:ascii="Times New Roman" w:hAnsi="Times New Roman" w:eastAsia="仿宋_GB2312" w:cs="Times New Roman"/>
          <w:sz w:val="28"/>
        </w:rPr>
      </w:pPr>
      <w:r>
        <w:rPr>
          <w:rFonts w:hint="eastAsia" w:ascii="Times New Roman" w:hAnsi="Times New Roman" w:eastAsia="仿宋_GB2312" w:cs="Times New Roman"/>
          <w:sz w:val="28"/>
        </w:rPr>
        <w:t>（1）工作成果：项目总结报告（含保育、回归方案及风险评估），</w:t>
      </w:r>
      <w:r>
        <w:rPr>
          <w:rFonts w:ascii="Times New Roman" w:hAnsi="Times New Roman" w:eastAsia="仿宋_GB2312" w:cs="Times New Roman"/>
          <w:sz w:val="28"/>
        </w:rPr>
        <w:t>通过专家验收。</w:t>
      </w:r>
    </w:p>
    <w:p w14:paraId="47A8E187">
      <w:pPr>
        <w:spacing w:line="360" w:lineRule="auto"/>
        <w:ind w:firstLine="560"/>
        <w:rPr>
          <w:rFonts w:ascii="Times New Roman" w:hAnsi="Times New Roman" w:eastAsia="仿宋_GB2312" w:cs="Times New Roman"/>
          <w:sz w:val="28"/>
        </w:rPr>
      </w:pPr>
      <w:r>
        <w:rPr>
          <w:rFonts w:hint="eastAsia" w:ascii="Times New Roman" w:hAnsi="Times New Roman" w:eastAsia="仿宋_GB2312" w:cs="Times New Roman"/>
          <w:sz w:val="28"/>
        </w:rPr>
        <w:t>（2）</w:t>
      </w:r>
      <w:r>
        <w:rPr>
          <w:rFonts w:ascii="Times New Roman" w:hAnsi="Times New Roman" w:eastAsia="仿宋_GB2312" w:cs="Times New Roman"/>
          <w:sz w:val="28"/>
        </w:rPr>
        <w:t>文字材料与表格材料</w:t>
      </w:r>
      <w:r>
        <w:rPr>
          <w:rFonts w:hint="eastAsia" w:ascii="Times New Roman" w:hAnsi="Times New Roman" w:eastAsia="仿宋_GB2312" w:cs="Times New Roman"/>
          <w:sz w:val="28"/>
        </w:rPr>
        <w:t>：</w:t>
      </w:r>
      <w:r>
        <w:rPr>
          <w:rFonts w:ascii="Times New Roman" w:hAnsi="Times New Roman" w:eastAsia="仿宋_GB2312" w:cs="Times New Roman"/>
          <w:sz w:val="28"/>
        </w:rPr>
        <w:t>文字材料与表格材料应按照A4版面的标准进行规范印刷，确保格式统一、排版合理。同时，应附上完整的调查人员名单及主要分工，明确各人员在项目中的具体职责和贡献，以便于对项目实施过程的全面了解和追溯。</w:t>
      </w:r>
    </w:p>
    <w:p w14:paraId="34E0E0F2">
      <w:pPr>
        <w:spacing w:line="360" w:lineRule="auto"/>
        <w:ind w:firstLine="560"/>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影像材料</w:t>
      </w:r>
      <w:r>
        <w:rPr>
          <w:rFonts w:hint="eastAsia" w:ascii="Times New Roman" w:hAnsi="Times New Roman" w:eastAsia="仿宋_GB2312" w:cs="Times New Roman"/>
          <w:sz w:val="28"/>
        </w:rPr>
        <w:t>：</w:t>
      </w:r>
      <w:r>
        <w:rPr>
          <w:rFonts w:ascii="Times New Roman" w:hAnsi="Times New Roman" w:eastAsia="仿宋_GB2312" w:cs="Times New Roman"/>
          <w:sz w:val="28"/>
        </w:rPr>
        <w:t>每一调查样区发现的野生植物均应有特征影像资料。每个物种一般不少于3张不同角度、不同部位的高清图片，确保能够全面展示植物的形态特征。影像资料应在野生自然状态下拍摄获得，避免人为干扰和破坏，保证图片的原始性和真实性。图片应清晰，鉴别特征明显，能够为植物的鉴定和研究提供可靠依据。</w:t>
      </w:r>
    </w:p>
    <w:p w14:paraId="322262C8">
      <w:pPr>
        <w:spacing w:line="360" w:lineRule="auto"/>
        <w:ind w:firstLine="560"/>
        <w:rPr>
          <w:rFonts w:ascii="Times New Roman" w:hAnsi="Times New Roman" w:eastAsia="仿宋_GB2312" w:cs="Times New Roman"/>
          <w:sz w:val="28"/>
        </w:rPr>
      </w:pPr>
      <w:r>
        <w:rPr>
          <w:rFonts w:hint="eastAsia" w:ascii="Times New Roman" w:hAnsi="Times New Roman" w:eastAsia="仿宋_GB2312" w:cs="Times New Roman"/>
          <w:sz w:val="28"/>
        </w:rPr>
        <w:t>（4）</w:t>
      </w:r>
      <w:r>
        <w:rPr>
          <w:rFonts w:ascii="Times New Roman" w:hAnsi="Times New Roman" w:eastAsia="仿宋_GB2312" w:cs="Times New Roman"/>
          <w:sz w:val="28"/>
        </w:rPr>
        <w:t>电子文档</w:t>
      </w:r>
      <w:r>
        <w:rPr>
          <w:rFonts w:hint="eastAsia" w:ascii="Times New Roman" w:hAnsi="Times New Roman" w:eastAsia="仿宋_GB2312" w:cs="Times New Roman"/>
          <w:sz w:val="28"/>
        </w:rPr>
        <w:t>：</w:t>
      </w:r>
      <w:r>
        <w:rPr>
          <w:rFonts w:ascii="Times New Roman" w:hAnsi="Times New Roman" w:eastAsia="仿宋_GB2312" w:cs="Times New Roman"/>
          <w:sz w:val="28"/>
        </w:rPr>
        <w:t>为便于存储、管理和共享，文字材料应转换为WORD格式，表格材料应整理为EXCEL格式，图面材料应保存为ARCGIS矢量文件格式。确保电子文档的完整性和兼容性，方便在不同设备和软件中进行查阅、编辑和分析。</w:t>
      </w:r>
    </w:p>
    <w:p w14:paraId="6C345557">
      <w:pPr>
        <w:keepNext w:val="0"/>
        <w:keepLines w:val="0"/>
        <w:pageBreakBefore w:val="0"/>
        <w:widowControl/>
        <w:tabs>
          <w:tab w:val="left" w:pos="2710"/>
          <w:tab w:val="left" w:pos="3848"/>
          <w:tab w:val="left" w:pos="5108"/>
        </w:tabs>
        <w:kinsoku/>
        <w:wordWrap/>
        <w:overflowPunct/>
        <w:topLinePunct w:val="0"/>
        <w:autoSpaceDE/>
        <w:autoSpaceDN/>
        <w:bidi w:val="0"/>
        <w:adjustRightInd/>
        <w:snapToGrid/>
        <w:spacing w:line="360" w:lineRule="auto"/>
        <w:ind w:left="0" w:leftChars="0" w:firstLine="411" w:firstLineChars="147"/>
        <w:textAlignment w:val="auto"/>
        <w:rPr>
          <w:rFonts w:eastAsia="仿宋_GB2312"/>
          <w:sz w:val="28"/>
        </w:rPr>
      </w:pPr>
      <w:r>
        <w:rPr>
          <w:rFonts w:ascii="Times New Roman" w:hAnsi="Times New Roman" w:eastAsia="黑体" w:cs="Times New Roman"/>
          <w:sz w:val="28"/>
        </w:rPr>
        <w:t>第四条</w:t>
      </w:r>
      <w:r>
        <w:rPr>
          <w:rFonts w:ascii="Times New Roman" w:hAnsi="Times New Roman" w:eastAsia="仿宋_GB2312" w:cs="Times New Roman"/>
          <w:sz w:val="28"/>
        </w:rPr>
        <w:t xml:space="preserve">  乙方承担甲方委托事项的经费预算总计（人民币金额大写）</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u w:val="single"/>
        </w:rPr>
        <w:t>（</w:t>
      </w:r>
      <w:r>
        <w:rPr>
          <w:rFonts w:ascii="Times New Roman" w:hAnsi="Times New Roman" w:eastAsia="仿宋_GB2312" w:cs="Times New Roman"/>
          <w:sz w:val="28"/>
        </w:rPr>
        <w:t>¥</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u w:val="single"/>
        </w:rPr>
        <w:t>元）</w:t>
      </w:r>
      <w:r>
        <w:rPr>
          <w:rFonts w:ascii="Times New Roman" w:hAnsi="Times New Roman" w:eastAsia="仿宋_GB2312" w:cs="Times New Roman"/>
          <w:sz w:val="28"/>
        </w:rPr>
        <w:t>，以上经费包括：各项委托事项相关的外业调查交通费、差旅费、食宿费、劳务费</w:t>
      </w:r>
      <w:r>
        <w:rPr>
          <w:rFonts w:hint="eastAsia" w:ascii="Times New Roman" w:hAnsi="Times New Roman" w:eastAsia="仿宋_GB2312" w:cs="Times New Roman"/>
          <w:sz w:val="28"/>
        </w:rPr>
        <w:t>、</w:t>
      </w:r>
      <w:r>
        <w:rPr>
          <w:rFonts w:ascii="Times New Roman" w:hAnsi="Times New Roman" w:eastAsia="仿宋_GB2312" w:cs="Times New Roman"/>
          <w:sz w:val="28"/>
        </w:rPr>
        <w:t>设备购置费、印刷费</w:t>
      </w:r>
      <w:r>
        <w:rPr>
          <w:rFonts w:hint="eastAsia" w:ascii="Times New Roman" w:hAnsi="Times New Roman" w:eastAsia="仿宋_GB2312" w:cs="Times New Roman"/>
          <w:sz w:val="28"/>
        </w:rPr>
        <w:t>、专家咨询费、委托业务费</w:t>
      </w:r>
      <w:r>
        <w:rPr>
          <w:rFonts w:ascii="Times New Roman" w:hAnsi="Times New Roman" w:eastAsia="仿宋_GB2312" w:cs="Times New Roman"/>
          <w:sz w:val="28"/>
        </w:rPr>
        <w:t>等乙方完成委托事项及本合同约定义务所需的全部费用。</w:t>
      </w:r>
      <w:r>
        <w:rPr>
          <w:rFonts w:hint="eastAsia" w:ascii="Times New Roman" w:hAnsi="Times New Roman" w:eastAsia="仿宋_GB2312" w:cs="Times New Roman"/>
          <w:sz w:val="28"/>
        </w:rPr>
        <w:t>合同价格包含税费。</w:t>
      </w:r>
    </w:p>
    <w:p w14:paraId="2EBADDC6">
      <w:pPr>
        <w:tabs>
          <w:tab w:val="left" w:pos="2710"/>
          <w:tab w:val="left" w:pos="3848"/>
          <w:tab w:val="left" w:pos="5108"/>
        </w:tabs>
        <w:spacing w:line="360" w:lineRule="auto"/>
        <w:ind w:firstLine="520"/>
        <w:rPr>
          <w:rFonts w:eastAsia="仿宋_GB2312"/>
          <w:sz w:val="28"/>
        </w:rPr>
      </w:pPr>
      <w:r>
        <w:rPr>
          <w:rFonts w:ascii="Times New Roman" w:hAnsi="Times New Roman" w:eastAsia="黑体" w:cs="Times New Roman"/>
          <w:sz w:val="28"/>
        </w:rPr>
        <w:t>第五条</w:t>
      </w:r>
      <w:r>
        <w:rPr>
          <w:rFonts w:ascii="Times New Roman" w:hAnsi="Times New Roman" w:eastAsia="仿宋_GB2312" w:cs="Times New Roman"/>
          <w:sz w:val="28"/>
        </w:rPr>
        <w:t xml:space="preserve">  为保证调查工作顺利开展，甲方需根据乙方申请，依法依规为乙方办理开展</w:t>
      </w:r>
      <w:r>
        <w:rPr>
          <w:rFonts w:hint="eastAsia" w:ascii="Times New Roman" w:hAnsi="Times New Roman" w:eastAsia="仿宋_GB2312" w:cs="Times New Roman"/>
          <w:sz w:val="28"/>
        </w:rPr>
        <w:t>野外调查</w:t>
      </w:r>
      <w:r>
        <w:rPr>
          <w:rFonts w:ascii="Times New Roman" w:hAnsi="Times New Roman" w:eastAsia="仿宋_GB2312" w:cs="Times New Roman"/>
          <w:sz w:val="28"/>
        </w:rPr>
        <w:t>、</w:t>
      </w:r>
      <w:r>
        <w:rPr>
          <w:rFonts w:hint="eastAsia" w:ascii="Times New Roman" w:hAnsi="Times New Roman" w:eastAsia="仿宋_GB2312" w:cs="Times New Roman"/>
          <w:sz w:val="28"/>
        </w:rPr>
        <w:t>进入相关保护区的准入许可。乙方提交全部工作成果的知识产权归甲方所有，如涉及第三方权益，由此引起的与第三方的协调工作、责任及费用，由乙方承担，乙方全额赔偿由此给甲方造成的损失。</w:t>
      </w:r>
    </w:p>
    <w:p w14:paraId="51DAAF73">
      <w:pPr>
        <w:tabs>
          <w:tab w:val="left" w:pos="2710"/>
          <w:tab w:val="left" w:pos="3848"/>
          <w:tab w:val="left" w:pos="5108"/>
        </w:tabs>
        <w:spacing w:line="360" w:lineRule="auto"/>
        <w:ind w:firstLine="560"/>
        <w:rPr>
          <w:rFonts w:ascii="Times New Roman" w:hAnsi="Times New Roman" w:eastAsia="仿宋_GB2312" w:cs="Times New Roman"/>
          <w:sz w:val="28"/>
        </w:rPr>
      </w:pPr>
      <w:r>
        <w:rPr>
          <w:rFonts w:ascii="Times New Roman" w:hAnsi="Times New Roman" w:eastAsia="黑体" w:cs="Times New Roman"/>
          <w:sz w:val="28"/>
        </w:rPr>
        <w:t>第六条</w:t>
      </w:r>
      <w:r>
        <w:rPr>
          <w:rFonts w:ascii="Times New Roman" w:hAnsi="Times New Roman" w:eastAsia="黑体" w:cs="Times New Roman"/>
          <w:color w:val="FF0000"/>
          <w:sz w:val="28"/>
        </w:rPr>
        <w:t xml:space="preserve">  </w:t>
      </w:r>
      <w:r>
        <w:rPr>
          <w:rFonts w:ascii="Times New Roman" w:hAnsi="Times New Roman" w:eastAsia="仿宋_GB2312" w:cs="Times New Roman"/>
          <w:sz w:val="28"/>
        </w:rPr>
        <w:t>业务委托经费</w:t>
      </w:r>
      <w:r>
        <w:rPr>
          <w:rFonts w:ascii="Times New Roman" w:hAnsi="Times New Roman" w:eastAsia="黑体" w:cs="Times New Roman"/>
          <w:sz w:val="28"/>
        </w:rPr>
        <w:t>（</w:t>
      </w:r>
      <w:r>
        <w:rPr>
          <w:rFonts w:ascii="Times New Roman" w:hAnsi="Times New Roman" w:eastAsia="仿宋_GB2312" w:cs="Times New Roman"/>
          <w:sz w:val="28"/>
        </w:rPr>
        <w:t>人民币金额大写）</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u w:val="single"/>
        </w:rPr>
        <w:t>（</w:t>
      </w:r>
      <w:r>
        <w:rPr>
          <w:rFonts w:ascii="Times New Roman" w:hAnsi="Times New Roman" w:eastAsia="仿宋_GB2312" w:cs="Times New Roman"/>
          <w:sz w:val="28"/>
        </w:rPr>
        <w:t>¥</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u w:val="single"/>
        </w:rPr>
        <w:t>元）</w:t>
      </w:r>
      <w:r>
        <w:rPr>
          <w:rFonts w:ascii="Times New Roman" w:hAnsi="Times New Roman" w:eastAsia="仿宋_GB2312" w:cs="Times New Roman"/>
          <w:sz w:val="28"/>
        </w:rPr>
        <w:t>，由甲方分</w:t>
      </w:r>
      <w:r>
        <w:rPr>
          <w:rFonts w:hint="eastAsia" w:ascii="Times New Roman" w:hAnsi="Times New Roman" w:eastAsia="仿宋_GB2312" w:cs="Times New Roman"/>
          <w:sz w:val="28"/>
        </w:rPr>
        <w:t>三</w:t>
      </w:r>
      <w:r>
        <w:rPr>
          <w:rFonts w:ascii="Times New Roman" w:hAnsi="Times New Roman" w:eastAsia="仿宋_GB2312" w:cs="Times New Roman"/>
          <w:sz w:val="28"/>
        </w:rPr>
        <w:t>次支付乙方，乙方在支付前需开具相应金额的发票。具体支付方式和时间如下：</w:t>
      </w:r>
    </w:p>
    <w:p w14:paraId="4D89A34C">
      <w:pPr>
        <w:tabs>
          <w:tab w:val="left" w:pos="2710"/>
          <w:tab w:val="left" w:pos="3848"/>
          <w:tab w:val="left" w:pos="5108"/>
        </w:tabs>
        <w:spacing w:line="360" w:lineRule="auto"/>
        <w:ind w:left="279" w:leftChars="133" w:firstLine="464" w:firstLineChars="166"/>
        <w:rPr>
          <w:rFonts w:ascii="Times New Roman" w:hAnsi="Times New Roman" w:eastAsia="仿宋_GB2312" w:cs="Times New Roman"/>
          <w:sz w:val="28"/>
        </w:rPr>
      </w:pPr>
      <w:r>
        <w:rPr>
          <w:rFonts w:hint="eastAsia" w:ascii="Times New Roman" w:hAnsi="Times New Roman" w:eastAsia="仿宋_GB2312" w:cs="Times New Roman"/>
          <w:sz w:val="28"/>
        </w:rPr>
        <w:t xml:space="preserve">1. </w:t>
      </w:r>
      <w:r>
        <w:rPr>
          <w:rFonts w:ascii="Times New Roman" w:hAnsi="Times New Roman" w:eastAsia="仿宋_GB2312" w:cs="Times New Roman"/>
          <w:sz w:val="28"/>
        </w:rPr>
        <w:t>2025年</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rPr>
        <w:t>月</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rPr>
        <w:t>日之前支付合同金额的</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rPr>
        <w:t>%，总计</w:t>
      </w:r>
      <w:r>
        <w:rPr>
          <w:rFonts w:hint="eastAsia" w:ascii="Times New Roman" w:hAnsi="Times New Roman" w:eastAsia="仿宋_GB2312" w:cs="Times New Roman"/>
          <w:sz w:val="28"/>
        </w:rPr>
        <w:t>：</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u w:val="single"/>
        </w:rPr>
        <w:t>（¥</w:t>
      </w:r>
      <w:r>
        <w:rPr>
          <w:rFonts w:hint="eastAsia" w:ascii="Times New Roman" w:hAnsi="Times New Roman" w:eastAsia="仿宋_GB2312" w:cs="Times New Roman"/>
          <w:sz w:val="28"/>
          <w:u w:val="single"/>
          <w:lang w:val="en-US" w:eastAsia="zh-CN"/>
        </w:rPr>
        <w:t xml:space="preserve"> </w:t>
      </w:r>
      <w:r>
        <w:rPr>
          <w:rFonts w:hint="eastAsia" w:ascii="Times New Roman" w:hAnsi="Times New Roman" w:eastAsia="仿宋_GB2312" w:cs="Times New Roman"/>
          <w:sz w:val="28"/>
          <w:u w:val="single"/>
        </w:rPr>
        <w:t>元</w:t>
      </w:r>
      <w:r>
        <w:rPr>
          <w:rFonts w:ascii="Times New Roman" w:hAnsi="Times New Roman" w:eastAsia="仿宋_GB2312" w:cs="Times New Roman"/>
          <w:sz w:val="28"/>
          <w:u w:val="single"/>
        </w:rPr>
        <w:t>）</w:t>
      </w:r>
      <w:r>
        <w:rPr>
          <w:rFonts w:ascii="Times New Roman" w:hAnsi="Times New Roman" w:eastAsia="仿宋_GB2312" w:cs="Times New Roman"/>
          <w:sz w:val="28"/>
        </w:rPr>
        <w:t>。</w:t>
      </w:r>
    </w:p>
    <w:p w14:paraId="344A7041">
      <w:pPr>
        <w:tabs>
          <w:tab w:val="left" w:pos="2710"/>
          <w:tab w:val="left" w:pos="3848"/>
          <w:tab w:val="left" w:pos="5108"/>
        </w:tabs>
        <w:spacing w:line="360" w:lineRule="auto"/>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2. </w:t>
      </w:r>
      <w:r>
        <w:rPr>
          <w:rFonts w:ascii="Times New Roman" w:hAnsi="Times New Roman" w:eastAsia="仿宋_GB2312" w:cs="Times New Roman"/>
          <w:sz w:val="28"/>
        </w:rPr>
        <w:t>2025年</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rPr>
        <w:t>月</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rPr>
        <w:t>日之前支付合同金额的</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rPr>
        <w:t>%，总计</w:t>
      </w:r>
      <w:r>
        <w:rPr>
          <w:rFonts w:hint="eastAsia" w:ascii="Times New Roman" w:hAnsi="Times New Roman" w:eastAsia="仿宋_GB2312" w:cs="Times New Roman"/>
          <w:sz w:val="28"/>
        </w:rPr>
        <w:t>：</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u w:val="single"/>
        </w:rPr>
        <w:t>（¥</w:t>
      </w:r>
      <w:r>
        <w:rPr>
          <w:rFonts w:hint="eastAsia" w:ascii="Times New Roman" w:hAnsi="Times New Roman" w:eastAsia="仿宋_GB2312" w:cs="Times New Roman"/>
          <w:sz w:val="28"/>
          <w:u w:val="single"/>
          <w:lang w:val="en-US" w:eastAsia="zh-CN"/>
        </w:rPr>
        <w:t xml:space="preserve"> </w:t>
      </w:r>
      <w:r>
        <w:rPr>
          <w:rFonts w:hint="eastAsia" w:ascii="Times New Roman" w:hAnsi="Times New Roman" w:eastAsia="仿宋_GB2312" w:cs="Times New Roman"/>
          <w:sz w:val="28"/>
          <w:u w:val="single"/>
        </w:rPr>
        <w:t>元</w:t>
      </w:r>
      <w:r>
        <w:rPr>
          <w:rFonts w:ascii="Times New Roman" w:hAnsi="Times New Roman" w:eastAsia="仿宋_GB2312" w:cs="Times New Roman"/>
          <w:sz w:val="28"/>
          <w:u w:val="single"/>
        </w:rPr>
        <w:t>）</w:t>
      </w:r>
      <w:r>
        <w:rPr>
          <w:rFonts w:ascii="Times New Roman" w:hAnsi="Times New Roman" w:eastAsia="仿宋_GB2312" w:cs="Times New Roman"/>
          <w:sz w:val="28"/>
        </w:rPr>
        <w:t>。</w:t>
      </w:r>
    </w:p>
    <w:p w14:paraId="26C138B1">
      <w:pPr>
        <w:tabs>
          <w:tab w:val="left" w:pos="2710"/>
          <w:tab w:val="left" w:pos="3848"/>
          <w:tab w:val="left" w:pos="5108"/>
        </w:tabs>
        <w:spacing w:line="360" w:lineRule="auto"/>
        <w:ind w:firstLine="560"/>
        <w:rPr>
          <w:rFonts w:ascii="Times New Roman" w:hAnsi="Times New Roman" w:eastAsia="仿宋_GB2312" w:cs="Times New Roman"/>
          <w:sz w:val="28"/>
        </w:rPr>
      </w:pPr>
      <w:r>
        <w:rPr>
          <w:rFonts w:hint="eastAsia" w:ascii="Times New Roman" w:hAnsi="Times New Roman" w:eastAsia="仿宋" w:cs="Times New Roman"/>
          <w:sz w:val="28"/>
          <w:szCs w:val="28"/>
        </w:rPr>
        <w:t>3.</w:t>
      </w:r>
      <w:r>
        <w:rPr>
          <w:rFonts w:ascii="Times New Roman" w:hAnsi="Times New Roman" w:eastAsia="仿宋_GB2312" w:cs="Times New Roman"/>
          <w:sz w:val="28"/>
        </w:rPr>
        <w:t>202</w:t>
      </w:r>
      <w:r>
        <w:rPr>
          <w:rFonts w:hint="eastAsia" w:ascii="Times New Roman" w:hAnsi="Times New Roman" w:eastAsia="仿宋_GB2312" w:cs="Times New Roman"/>
          <w:sz w:val="28"/>
          <w:lang w:val="en-US" w:eastAsia="zh-CN"/>
        </w:rPr>
        <w:t>6</w:t>
      </w:r>
      <w:r>
        <w:rPr>
          <w:rFonts w:ascii="Times New Roman" w:hAnsi="Times New Roman" w:eastAsia="仿宋_GB2312" w:cs="Times New Roman"/>
          <w:sz w:val="28"/>
        </w:rPr>
        <w:t>年</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rPr>
        <w:t>月</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rPr>
        <w:t>日之前支付合同金额的</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rPr>
        <w:t>%，总计</w:t>
      </w:r>
      <w:r>
        <w:rPr>
          <w:rFonts w:hint="eastAsia" w:ascii="Times New Roman" w:hAnsi="Times New Roman" w:eastAsia="仿宋_GB2312" w:cs="Times New Roman"/>
          <w:sz w:val="28"/>
        </w:rPr>
        <w:t>：</w:t>
      </w:r>
      <w:r>
        <w:rPr>
          <w:rFonts w:hint="eastAsia" w:ascii="Times New Roman" w:hAnsi="Times New Roman" w:eastAsia="仿宋_GB2312" w:cs="Times New Roman"/>
          <w:sz w:val="28"/>
          <w:u w:val="single"/>
          <w:lang w:val="en-US" w:eastAsia="zh-CN"/>
        </w:rPr>
        <w:t xml:space="preserve">  </w:t>
      </w:r>
      <w:r>
        <w:rPr>
          <w:rFonts w:ascii="Times New Roman" w:hAnsi="Times New Roman" w:eastAsia="仿宋_GB2312" w:cs="Times New Roman"/>
          <w:sz w:val="28"/>
          <w:u w:val="single"/>
        </w:rPr>
        <w:t>（¥</w:t>
      </w:r>
      <w:r>
        <w:rPr>
          <w:rFonts w:hint="eastAsia" w:ascii="Times New Roman" w:hAnsi="Times New Roman" w:eastAsia="仿宋_GB2312" w:cs="Times New Roman"/>
          <w:sz w:val="28"/>
          <w:u w:val="single"/>
          <w:lang w:val="en-US" w:eastAsia="zh-CN"/>
        </w:rPr>
        <w:t xml:space="preserve"> </w:t>
      </w:r>
      <w:r>
        <w:rPr>
          <w:rFonts w:hint="eastAsia" w:ascii="Times New Roman" w:hAnsi="Times New Roman" w:eastAsia="仿宋_GB2312" w:cs="Times New Roman"/>
          <w:sz w:val="28"/>
          <w:u w:val="single"/>
        </w:rPr>
        <w:t>元</w:t>
      </w:r>
      <w:r>
        <w:rPr>
          <w:rFonts w:ascii="Times New Roman" w:hAnsi="Times New Roman" w:eastAsia="仿宋_GB2312" w:cs="Times New Roman"/>
          <w:sz w:val="28"/>
          <w:u w:val="single"/>
        </w:rPr>
        <w:t>）</w:t>
      </w:r>
      <w:r>
        <w:rPr>
          <w:rFonts w:ascii="Times New Roman" w:hAnsi="Times New Roman" w:eastAsia="仿宋_GB2312" w:cs="Times New Roman"/>
          <w:sz w:val="28"/>
        </w:rPr>
        <w:t>。</w:t>
      </w:r>
    </w:p>
    <w:p w14:paraId="5DA8B84A">
      <w:pPr>
        <w:pStyle w:val="18"/>
        <w:spacing w:line="360" w:lineRule="auto"/>
        <w:ind w:firstLine="560"/>
        <w:rPr>
          <w:rFonts w:ascii="Times New Roman" w:eastAsia="仿宋_GB2312"/>
          <w:sz w:val="28"/>
          <w:u w:val="single"/>
        </w:rPr>
      </w:pPr>
      <w:r>
        <w:rPr>
          <w:rFonts w:ascii="Times New Roman" w:eastAsia="仿宋_GB2312" w:cs="Times New Roman"/>
          <w:sz w:val="28"/>
        </w:rPr>
        <w:t>以支票或电汇形式给付；</w:t>
      </w:r>
    </w:p>
    <w:p w14:paraId="2CB2CE7E">
      <w:pPr>
        <w:pStyle w:val="18"/>
        <w:spacing w:line="360" w:lineRule="auto"/>
        <w:ind w:firstLine="560"/>
        <w:rPr>
          <w:rFonts w:ascii="Times New Roman" w:eastAsia="仿宋_GB2312" w:cs="Times New Roman"/>
          <w:sz w:val="28"/>
        </w:rPr>
      </w:pPr>
      <w:r>
        <w:rPr>
          <w:rFonts w:ascii="Times New Roman" w:eastAsia="仿宋_GB2312" w:cs="Times New Roman"/>
          <w:sz w:val="28"/>
        </w:rPr>
        <w:t>乙方开户银行名称、地址和账号为：</w:t>
      </w:r>
    </w:p>
    <w:p w14:paraId="62A888EB">
      <w:pPr>
        <w:pStyle w:val="18"/>
        <w:spacing w:line="360" w:lineRule="auto"/>
        <w:ind w:firstLine="560"/>
        <w:rPr>
          <w:rFonts w:ascii="Times New Roman" w:eastAsia="仿宋_GB2312" w:cs="Times New Roman"/>
          <w:sz w:val="28"/>
          <w:u w:val="single"/>
        </w:rPr>
      </w:pPr>
      <w:r>
        <w:rPr>
          <w:rFonts w:hint="eastAsia" w:ascii="Times New Roman" w:eastAsia="仿宋_GB2312" w:cs="Times New Roman"/>
          <w:sz w:val="28"/>
          <w:u w:val="single"/>
        </w:rPr>
        <w:t xml:space="preserve">单位名称： 中国科学院新疆生态与地理研究所            </w:t>
      </w:r>
    </w:p>
    <w:p w14:paraId="769994B5">
      <w:pPr>
        <w:pStyle w:val="18"/>
        <w:spacing w:line="360" w:lineRule="auto"/>
        <w:ind w:firstLine="560"/>
        <w:rPr>
          <w:rFonts w:ascii="Times New Roman" w:eastAsia="仿宋_GB2312" w:cs="Times New Roman"/>
          <w:sz w:val="28"/>
          <w:u w:val="single"/>
        </w:rPr>
      </w:pPr>
      <w:r>
        <w:rPr>
          <w:rFonts w:hint="eastAsia" w:ascii="Times New Roman" w:eastAsia="仿宋_GB2312" w:cs="Times New Roman"/>
          <w:sz w:val="28"/>
          <w:u w:val="single"/>
        </w:rPr>
        <w:t xml:space="preserve">税    号： </w:t>
      </w:r>
      <w:r>
        <w:rPr>
          <w:rFonts w:ascii="Times New Roman" w:eastAsia="仿宋_GB2312" w:cs="Times New Roman"/>
          <w:sz w:val="28"/>
          <w:u w:val="single"/>
        </w:rPr>
        <w:t>12100000457610909Q</w:t>
      </w:r>
      <w:r>
        <w:rPr>
          <w:rFonts w:hint="eastAsia" w:ascii="Times New Roman" w:eastAsia="仿宋_GB2312" w:cs="Times New Roman"/>
          <w:sz w:val="28"/>
          <w:u w:val="single"/>
        </w:rPr>
        <w:t xml:space="preserve">                        </w:t>
      </w:r>
    </w:p>
    <w:p w14:paraId="7CEACED3">
      <w:pPr>
        <w:pStyle w:val="18"/>
        <w:spacing w:line="360" w:lineRule="auto"/>
        <w:ind w:firstLine="560"/>
        <w:rPr>
          <w:rFonts w:ascii="Times New Roman" w:eastAsia="仿宋_GB2312" w:cs="Times New Roman"/>
          <w:sz w:val="28"/>
          <w:u w:val="single"/>
        </w:rPr>
      </w:pPr>
      <w:r>
        <w:rPr>
          <w:rFonts w:hint="eastAsia" w:ascii="Times New Roman" w:eastAsia="仿宋_GB2312" w:cs="Times New Roman"/>
          <w:sz w:val="28"/>
          <w:u w:val="single"/>
        </w:rPr>
        <w:t xml:space="preserve">开户银行： 建设银行乌鲁木齐科学城支行                 </w:t>
      </w:r>
    </w:p>
    <w:p w14:paraId="570D6438">
      <w:pPr>
        <w:pStyle w:val="18"/>
        <w:spacing w:line="360" w:lineRule="auto"/>
        <w:ind w:firstLine="560"/>
        <w:rPr>
          <w:rFonts w:ascii="Times New Roman" w:eastAsia="仿宋_GB2312" w:cs="Times New Roman"/>
          <w:sz w:val="28"/>
          <w:u w:val="single"/>
        </w:rPr>
      </w:pPr>
      <w:r>
        <w:rPr>
          <w:rFonts w:hint="eastAsia" w:ascii="Times New Roman" w:eastAsia="仿宋_GB2312" w:cs="Times New Roman"/>
          <w:sz w:val="28"/>
          <w:u w:val="single"/>
        </w:rPr>
        <w:t xml:space="preserve">地    址： 乌鲁木齐市新市区北京南路818号             </w:t>
      </w:r>
    </w:p>
    <w:p w14:paraId="37CAA404">
      <w:pPr>
        <w:pStyle w:val="18"/>
        <w:spacing w:line="360" w:lineRule="auto"/>
        <w:ind w:firstLine="560"/>
        <w:rPr>
          <w:rFonts w:ascii="Times New Roman" w:eastAsia="仿宋_GB2312" w:cs="Times New Roman"/>
          <w:sz w:val="28"/>
        </w:rPr>
      </w:pPr>
      <w:r>
        <w:rPr>
          <w:rFonts w:hint="eastAsia" w:ascii="Times New Roman" w:eastAsia="仿宋_GB2312" w:cs="Times New Roman"/>
          <w:sz w:val="28"/>
          <w:u w:val="single"/>
        </w:rPr>
        <w:t xml:space="preserve">帐    号： </w:t>
      </w:r>
      <w:r>
        <w:rPr>
          <w:rFonts w:ascii="Times New Roman" w:eastAsia="仿宋_GB2312" w:cs="Times New Roman"/>
          <w:sz w:val="28"/>
          <w:u w:val="single"/>
        </w:rPr>
        <w:t>65001615800050000756</w:t>
      </w:r>
      <w:r>
        <w:rPr>
          <w:rFonts w:hint="eastAsia" w:ascii="Times New Roman" w:eastAsia="仿宋_GB2312" w:cs="Times New Roman"/>
          <w:sz w:val="28"/>
          <w:u w:val="single"/>
        </w:rPr>
        <w:t xml:space="preserve">                       </w:t>
      </w:r>
    </w:p>
    <w:p w14:paraId="740307F7">
      <w:pPr>
        <w:spacing w:line="360" w:lineRule="auto"/>
        <w:ind w:firstLine="560"/>
      </w:pPr>
      <w:r>
        <w:rPr>
          <w:rFonts w:hint="eastAsia" w:ascii="Times New Roman" w:hAnsi="Times New Roman" w:eastAsia="黑体" w:cs="Times New Roman"/>
          <w:sz w:val="28"/>
        </w:rPr>
        <w:t>第七条</w:t>
      </w:r>
      <w:r>
        <w:rPr>
          <w:rFonts w:ascii="Times New Roman" w:hAnsi="Times New Roman" w:eastAsia="仿宋_GB2312" w:cs="Times New Roman"/>
          <w:sz w:val="28"/>
        </w:rPr>
        <w:t xml:space="preserve"> </w:t>
      </w:r>
      <w:r>
        <w:rPr>
          <w:rFonts w:hint="eastAsia" w:ascii="Times New Roman" w:hAnsi="Times New Roman" w:eastAsia="仿宋_GB2312" w:cs="Times New Roman"/>
          <w:sz w:val="28"/>
        </w:rPr>
        <w:t xml:space="preserve"> </w:t>
      </w:r>
      <w:r>
        <w:rPr>
          <w:rFonts w:ascii="Times New Roman" w:hAnsi="Times New Roman" w:eastAsia="仿宋_GB2312" w:cs="Times New Roman"/>
          <w:sz w:val="28"/>
          <w:szCs w:val="28"/>
        </w:rPr>
        <w:t>本合同签订即具有法律效力，双方须严格遵守</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如有一方违约，违约方必须承担违约责任</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甲方需如期支付合同价款，</w:t>
      </w:r>
      <w:r>
        <w:rPr>
          <w:rFonts w:hint="eastAsia" w:ascii="Times New Roman" w:hAnsi="Times New Roman" w:eastAsia="仿宋_GB2312" w:cs="Times New Roman"/>
          <w:sz w:val="28"/>
          <w:szCs w:val="28"/>
        </w:rPr>
        <w:t>未按时</w:t>
      </w:r>
      <w:r>
        <w:rPr>
          <w:rFonts w:ascii="Times New Roman" w:hAnsi="Times New Roman" w:eastAsia="仿宋_GB2312" w:cs="Times New Roman"/>
          <w:sz w:val="28"/>
          <w:szCs w:val="28"/>
        </w:rPr>
        <w:t>支付合同价款的</w:t>
      </w:r>
      <w:r>
        <w:rPr>
          <w:rFonts w:hint="eastAsia" w:ascii="Times New Roman" w:hAnsi="Times New Roman" w:eastAsia="仿宋_GB2312" w:cs="Times New Roman"/>
          <w:sz w:val="28"/>
          <w:szCs w:val="28"/>
        </w:rPr>
        <w:t>，承担合同总价款2%的违约责任</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乙方</w:t>
      </w:r>
      <w:r>
        <w:rPr>
          <w:rFonts w:ascii="Times New Roman" w:hAnsi="Times New Roman" w:eastAsia="仿宋_GB2312" w:cs="Times New Roman"/>
          <w:sz w:val="28"/>
          <w:szCs w:val="28"/>
        </w:rPr>
        <w:t>调查工作应按合同规定如期完成，</w:t>
      </w:r>
      <w:r>
        <w:rPr>
          <w:rFonts w:hint="eastAsia" w:ascii="Times New Roman" w:hAnsi="Times New Roman" w:eastAsia="仿宋_GB2312" w:cs="Times New Roman"/>
          <w:sz w:val="28"/>
          <w:szCs w:val="28"/>
        </w:rPr>
        <w:t>并按时提交工作成果，未按时提交成果，承担合同总价款2%的违约责任。提交的工作成果不符合要求的，应退还合同价款。乙方逾期提交各阶段工作成果超过</w:t>
      </w:r>
      <w:r>
        <w:rPr>
          <w:rFonts w:ascii="Times New Roman" w:hAnsi="Times New Roman" w:eastAsia="仿宋_GB2312" w:cs="Times New Roman"/>
          <w:sz w:val="28"/>
          <w:szCs w:val="28"/>
        </w:rPr>
        <w:t>120</w:t>
      </w:r>
      <w:r>
        <w:rPr>
          <w:rFonts w:hint="eastAsia" w:ascii="Times New Roman" w:hAnsi="Times New Roman" w:eastAsia="仿宋_GB2312" w:cs="Times New Roman"/>
          <w:sz w:val="28"/>
          <w:szCs w:val="28"/>
        </w:rPr>
        <w:t>天的，甲方有权解除合同，乙方应退还全部合同价款。</w:t>
      </w:r>
    </w:p>
    <w:p w14:paraId="335578C1">
      <w:pPr>
        <w:spacing w:line="360" w:lineRule="auto"/>
        <w:ind w:firstLine="560"/>
        <w:rPr>
          <w:rFonts w:ascii="Times New Roman" w:hAnsi="Times New Roman" w:eastAsia="仿宋_GB2312" w:cs="Times New Roman"/>
          <w:i/>
          <w:color w:val="FF0000"/>
          <w:sz w:val="28"/>
        </w:rPr>
      </w:pPr>
      <w:r>
        <w:rPr>
          <w:rFonts w:ascii="Times New Roman" w:hAnsi="Times New Roman" w:eastAsia="黑体" w:cs="Times New Roman"/>
          <w:sz w:val="28"/>
        </w:rPr>
        <w:t>第八条</w:t>
      </w:r>
      <w:r>
        <w:rPr>
          <w:rFonts w:ascii="Times New Roman" w:hAnsi="Times New Roman" w:eastAsia="仿宋_GB2312" w:cs="Times New Roman"/>
          <w:sz w:val="28"/>
        </w:rPr>
        <w:t xml:space="preserve">  双方因履行本合同而发生的争议，应协商、调解解决。协商、调解不成的，应提交甲方所在地人民法院诉讼解决。</w:t>
      </w:r>
    </w:p>
    <w:p w14:paraId="71065ED9">
      <w:pPr>
        <w:spacing w:line="360" w:lineRule="auto"/>
        <w:ind w:firstLine="557"/>
        <w:rPr>
          <w:rFonts w:ascii="Times New Roman" w:hAnsi="Times New Roman" w:eastAsia="仿宋_GB2312" w:cs="Times New Roman"/>
          <w:sz w:val="28"/>
        </w:rPr>
      </w:pPr>
      <w:r>
        <w:rPr>
          <w:rFonts w:ascii="Times New Roman" w:hAnsi="Times New Roman" w:eastAsia="黑体" w:cs="Times New Roman"/>
          <w:sz w:val="28"/>
        </w:rPr>
        <w:t>第九条</w:t>
      </w:r>
      <w:r>
        <w:rPr>
          <w:rFonts w:ascii="Times New Roman" w:hAnsi="Times New Roman" w:eastAsia="仿宋_GB2312" w:cs="Times New Roman"/>
          <w:sz w:val="28"/>
        </w:rPr>
        <w:t xml:space="preserve">  本合同未尽事项，由双方另行约定，并作为本合同组成部分，具备同等法律效力。</w:t>
      </w:r>
    </w:p>
    <w:p w14:paraId="1C71A9C3">
      <w:pPr>
        <w:spacing w:line="360" w:lineRule="auto"/>
        <w:ind w:firstLine="557"/>
        <w:rPr>
          <w:rFonts w:eastAsia="仿宋_GB2312"/>
          <w:sz w:val="28"/>
          <w:szCs w:val="32"/>
        </w:rPr>
      </w:pPr>
      <w:r>
        <w:rPr>
          <w:rFonts w:ascii="Times New Roman" w:hAnsi="Times New Roman" w:eastAsia="黑体" w:cs="Times New Roman"/>
          <w:sz w:val="28"/>
        </w:rPr>
        <w:t>第十条</w:t>
      </w:r>
      <w:r>
        <w:rPr>
          <w:rFonts w:ascii="Times New Roman" w:hAnsi="Times New Roman" w:eastAsia="仿宋_GB2312" w:cs="Times New Roman"/>
          <w:sz w:val="28"/>
        </w:rPr>
        <w:t xml:space="preserve">  本合同一式</w:t>
      </w:r>
      <w:r>
        <w:rPr>
          <w:rFonts w:ascii="Times New Roman" w:hAnsi="Times New Roman" w:eastAsia="仿宋_GB2312" w:cs="Times New Roman"/>
          <w:sz w:val="28"/>
          <w:u w:val="single"/>
        </w:rPr>
        <w:t>4</w:t>
      </w:r>
      <w:r>
        <w:rPr>
          <w:rFonts w:ascii="Times New Roman" w:hAnsi="Times New Roman" w:eastAsia="仿宋_GB2312" w:cs="Times New Roman"/>
          <w:sz w:val="28"/>
        </w:rPr>
        <w:t>份，甲</w:t>
      </w:r>
      <w:r>
        <w:rPr>
          <w:rFonts w:ascii="Times New Roman" w:hAnsi="Times New Roman" w:eastAsia="仿宋_GB2312" w:cs="Times New Roman"/>
          <w:sz w:val="28"/>
          <w:szCs w:val="32"/>
        </w:rPr>
        <w:t>方执</w:t>
      </w:r>
      <w:r>
        <w:rPr>
          <w:rFonts w:ascii="Times New Roman" w:hAnsi="Times New Roman" w:eastAsia="仿宋_GB2312" w:cs="Times New Roman"/>
          <w:sz w:val="28"/>
          <w:szCs w:val="32"/>
          <w:u w:val="single"/>
        </w:rPr>
        <w:t>2</w:t>
      </w:r>
      <w:r>
        <w:rPr>
          <w:rFonts w:ascii="Times New Roman" w:hAnsi="Times New Roman" w:eastAsia="仿宋_GB2312" w:cs="Times New Roman"/>
          <w:sz w:val="28"/>
          <w:szCs w:val="32"/>
        </w:rPr>
        <w:t>份</w:t>
      </w:r>
      <w:r>
        <w:rPr>
          <w:rFonts w:hint="eastAsia" w:ascii="Times New Roman" w:hAnsi="Times New Roman" w:eastAsia="仿宋_GB2312" w:cs="Times New Roman"/>
          <w:sz w:val="28"/>
          <w:szCs w:val="32"/>
        </w:rPr>
        <w:t>，乙方执</w:t>
      </w:r>
      <w:r>
        <w:rPr>
          <w:rFonts w:ascii="Times New Roman" w:hAnsi="Times New Roman" w:eastAsia="仿宋_GB2312" w:cs="Times New Roman"/>
          <w:sz w:val="28"/>
          <w:szCs w:val="32"/>
          <w:u w:val="single"/>
        </w:rPr>
        <w:t>2</w:t>
      </w:r>
      <w:r>
        <w:rPr>
          <w:rFonts w:hint="eastAsia" w:ascii="Times New Roman" w:hAnsi="Times New Roman" w:eastAsia="仿宋_GB2312" w:cs="Times New Roman"/>
          <w:sz w:val="28"/>
          <w:szCs w:val="32"/>
        </w:rPr>
        <w:t>份</w:t>
      </w:r>
      <w:r>
        <w:rPr>
          <w:rFonts w:ascii="Times New Roman" w:hAnsi="Times New Roman" w:eastAsia="仿宋_GB2312" w:cs="Times New Roman"/>
          <w:sz w:val="28"/>
          <w:szCs w:val="32"/>
        </w:rPr>
        <w:t>。本合同签订并加盖公章后生效，调查工作结束，检查验收合格后失效。</w:t>
      </w:r>
    </w:p>
    <w:p w14:paraId="4F8A6C4A">
      <w:pPr>
        <w:rPr>
          <w:rFonts w:eastAsia="仿宋_GB2312"/>
          <w:sz w:val="18"/>
          <w:szCs w:val="18"/>
        </w:rPr>
      </w:pPr>
    </w:p>
    <w:p w14:paraId="0C69338B">
      <w:pPr>
        <w:rPr>
          <w:rFonts w:eastAsia="仿宋_GB2312"/>
          <w:sz w:val="18"/>
          <w:szCs w:val="18"/>
        </w:rPr>
      </w:pPr>
    </w:p>
    <w:p w14:paraId="3AEB1B1C">
      <w:pPr>
        <w:rPr>
          <w:rFonts w:eastAsia="仿宋_GB2312"/>
          <w:sz w:val="18"/>
          <w:szCs w:val="18"/>
        </w:rPr>
      </w:pPr>
    </w:p>
    <w:p w14:paraId="687BE32D">
      <w:pPr>
        <w:rPr>
          <w:rFonts w:eastAsia="仿宋_GB2312"/>
          <w:sz w:val="28"/>
        </w:rPr>
      </w:pPr>
      <w:r>
        <w:rPr>
          <w:rFonts w:eastAsia="仿宋_GB2312"/>
          <w:sz w:val="28"/>
        </w:rPr>
        <w:t>委托方（甲方）盖章：                受托方（乙方）</w:t>
      </w:r>
      <w:r>
        <w:rPr>
          <w:rFonts w:hint="eastAsia" w:eastAsia="仿宋_GB2312"/>
          <w:sz w:val="28"/>
        </w:rPr>
        <w:t>（</w:t>
      </w:r>
      <w:r>
        <w:rPr>
          <w:rFonts w:eastAsia="仿宋_GB2312"/>
          <w:sz w:val="28"/>
        </w:rPr>
        <w:t>盖章</w:t>
      </w:r>
      <w:r>
        <w:rPr>
          <w:rFonts w:hint="eastAsia" w:eastAsia="仿宋_GB2312"/>
          <w:sz w:val="28"/>
        </w:rPr>
        <w:t>）</w:t>
      </w:r>
      <w:r>
        <w:rPr>
          <w:rFonts w:eastAsia="仿宋_GB2312"/>
          <w:sz w:val="28"/>
        </w:rPr>
        <w:t>：</w:t>
      </w:r>
    </w:p>
    <w:p w14:paraId="73C725AA">
      <w:pPr>
        <w:rPr>
          <w:rFonts w:eastAsia="仿宋_GB2312"/>
          <w:sz w:val="28"/>
        </w:rPr>
      </w:pPr>
    </w:p>
    <w:p w14:paraId="39FCCF50">
      <w:pPr>
        <w:rPr>
          <w:rFonts w:eastAsia="仿宋_GB2312"/>
          <w:sz w:val="28"/>
        </w:rPr>
      </w:pPr>
      <w:r>
        <w:rPr>
          <w:rFonts w:eastAsia="仿宋_GB2312"/>
          <w:sz w:val="28"/>
        </w:rPr>
        <w:t>法定代表人（委托代理人）：          法定代表人（委托代理人）：</w:t>
      </w:r>
    </w:p>
    <w:p w14:paraId="32AA00E9">
      <w:pPr>
        <w:rPr>
          <w:rFonts w:eastAsia="仿宋_GB2312"/>
          <w:sz w:val="28"/>
        </w:rPr>
      </w:pPr>
    </w:p>
    <w:p w14:paraId="3EF1C41C">
      <w:pPr>
        <w:ind w:firstLine="280"/>
      </w:pPr>
      <w:r>
        <w:rPr>
          <w:rFonts w:hint="eastAsia" w:eastAsia="仿宋_GB2312"/>
          <w:sz w:val="28"/>
        </w:rPr>
        <w:t>202</w:t>
      </w:r>
      <w:r>
        <w:rPr>
          <w:rFonts w:eastAsia="仿宋_GB2312"/>
          <w:sz w:val="28"/>
        </w:rPr>
        <w:t>5</w:t>
      </w:r>
      <w:r>
        <w:rPr>
          <w:rFonts w:hint="eastAsia" w:eastAsia="仿宋_GB2312"/>
          <w:sz w:val="28"/>
        </w:rPr>
        <w:t xml:space="preserve">年 </w:t>
      </w:r>
      <w:r>
        <w:rPr>
          <w:rFonts w:eastAsia="仿宋_GB2312"/>
          <w:sz w:val="28"/>
        </w:rPr>
        <w:t xml:space="preserve">   月</w:t>
      </w:r>
      <w:r>
        <w:rPr>
          <w:rFonts w:hint="eastAsia" w:eastAsia="仿宋_GB2312"/>
          <w:sz w:val="28"/>
        </w:rPr>
        <w:t xml:space="preserve"> </w:t>
      </w:r>
      <w:r>
        <w:rPr>
          <w:rFonts w:eastAsia="仿宋_GB2312"/>
          <w:sz w:val="28"/>
        </w:rPr>
        <w:t xml:space="preserve">  </w:t>
      </w:r>
      <w:r>
        <w:rPr>
          <w:rFonts w:hint="eastAsia" w:eastAsia="仿宋_GB2312"/>
          <w:sz w:val="28"/>
        </w:rPr>
        <w:t xml:space="preserve"> </w:t>
      </w:r>
      <w:r>
        <w:rPr>
          <w:rFonts w:eastAsia="仿宋_GB2312"/>
          <w:sz w:val="28"/>
        </w:rPr>
        <w:t>日</w:t>
      </w:r>
      <w:r>
        <w:rPr>
          <w:rFonts w:hint="eastAsia" w:eastAsia="仿宋_GB2312"/>
          <w:sz w:val="28"/>
        </w:rPr>
        <w:t xml:space="preserve"> </w:t>
      </w:r>
      <w:r>
        <w:rPr>
          <w:rFonts w:eastAsia="仿宋_GB2312"/>
          <w:sz w:val="28"/>
        </w:rPr>
        <w:t xml:space="preserve">       </w:t>
      </w:r>
      <w:r>
        <w:rPr>
          <w:rFonts w:hint="eastAsia" w:eastAsia="仿宋_GB2312"/>
          <w:sz w:val="28"/>
        </w:rPr>
        <w:t xml:space="preserve">   </w:t>
      </w:r>
      <w:r>
        <w:rPr>
          <w:rFonts w:eastAsia="仿宋_GB2312"/>
          <w:sz w:val="28"/>
        </w:rPr>
        <w:t xml:space="preserve"> </w:t>
      </w:r>
      <w:r>
        <w:rPr>
          <w:rFonts w:hint="eastAsia" w:eastAsia="仿宋_GB2312"/>
          <w:sz w:val="28"/>
        </w:rPr>
        <w:t xml:space="preserve">     </w:t>
      </w:r>
      <w:r>
        <w:rPr>
          <w:rFonts w:eastAsia="仿宋_GB2312"/>
          <w:sz w:val="28"/>
        </w:rPr>
        <w:t xml:space="preserve">  </w:t>
      </w:r>
      <w:r>
        <w:rPr>
          <w:rFonts w:hint="eastAsia" w:eastAsia="仿宋_GB2312"/>
          <w:sz w:val="28"/>
        </w:rPr>
        <w:t>202</w:t>
      </w:r>
      <w:r>
        <w:rPr>
          <w:rFonts w:eastAsia="仿宋_GB2312"/>
          <w:sz w:val="28"/>
        </w:rPr>
        <w:t>5</w:t>
      </w:r>
      <w:r>
        <w:rPr>
          <w:rFonts w:hint="eastAsia" w:eastAsia="仿宋_GB2312"/>
          <w:sz w:val="28"/>
        </w:rPr>
        <w:t xml:space="preserve">年 </w:t>
      </w:r>
      <w:r>
        <w:rPr>
          <w:rFonts w:eastAsia="仿宋_GB2312"/>
          <w:sz w:val="28"/>
        </w:rPr>
        <w:t xml:space="preserve">  </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 xml:space="preserve"> </w:t>
      </w:r>
      <w:r>
        <w:rPr>
          <w:rFonts w:hint="eastAsia" w:eastAsia="仿宋_GB2312"/>
          <w:sz w:val="28"/>
        </w:rPr>
        <w:t xml:space="preserve">  </w:t>
      </w:r>
      <w:r>
        <w:rPr>
          <w:rFonts w:eastAsia="仿宋_GB2312"/>
          <w:sz w:val="28"/>
        </w:rPr>
        <w:t>日</w:t>
      </w:r>
    </w:p>
    <w:p w14:paraId="5BFD3B5D"/>
    <w:p w14:paraId="39292EAB">
      <w:pPr>
        <w:spacing w:line="360" w:lineRule="auto"/>
        <w:jc w:val="center"/>
        <w:rPr>
          <w:rFonts w:ascii="Cambria" w:hAnsi="Cambria"/>
          <w:b/>
          <w:color w:val="000000" w:themeColor="text1"/>
          <w:sz w:val="52"/>
          <w:szCs w:val="52"/>
          <w14:textFill>
            <w14:solidFill>
              <w14:schemeClr w14:val="tx1"/>
            </w14:solidFill>
          </w14:textFill>
        </w:rPr>
      </w:pPr>
    </w:p>
    <w:p w14:paraId="4CA98224">
      <w:pPr>
        <w:spacing w:line="360" w:lineRule="auto"/>
      </w:pPr>
    </w:p>
    <w:p w14:paraId="40ACD075">
      <w:pPr>
        <w:spacing w:line="360" w:lineRule="auto"/>
        <w:jc w:val="center"/>
        <w:rPr>
          <w:rFonts w:cs="宋体"/>
          <w:color w:val="000000"/>
        </w:rPr>
      </w:pPr>
      <w:bookmarkStart w:id="10" w:name="OLE_LINK4"/>
      <w:r>
        <w:rPr>
          <w:rFonts w:hint="eastAsia" w:cs="宋体"/>
          <w:b/>
          <w:bCs/>
          <w:color w:val="000000"/>
          <w:sz w:val="32"/>
          <w:szCs w:val="32"/>
        </w:rPr>
        <w:t>（合同文本仅供参考，实际签订以采购人提供合同文本为准）</w:t>
      </w:r>
      <w:bookmarkEnd w:id="10"/>
    </w:p>
    <w:p w14:paraId="7FF15772">
      <w:pPr>
        <w:spacing w:line="360" w:lineRule="auto"/>
        <w:jc w:val="center"/>
        <w:rPr>
          <w:rFonts w:ascii="宋体" w:hAnsi="宋体" w:eastAsia="宋体" w:cs="Times New Roman"/>
          <w:b/>
          <w:bCs/>
          <w:color w:val="000000" w:themeColor="text1"/>
          <w:sz w:val="32"/>
          <w:szCs w:val="32"/>
          <w14:textFill>
            <w14:solidFill>
              <w14:schemeClr w14:val="tx1"/>
            </w14:solidFill>
          </w14:textFill>
        </w:rPr>
      </w:pPr>
    </w:p>
    <w:bookmarkEnd w:id="9"/>
    <w:p w14:paraId="6DAAFF56">
      <w:pPr>
        <w:spacing w:line="360" w:lineRule="auto"/>
        <w:rPr>
          <w:rFonts w:ascii="Arial" w:hAnsi="Arial" w:eastAsia="黑体" w:cs="Times New Roman"/>
          <w:b/>
          <w:color w:val="000000" w:themeColor="text1"/>
          <w:kern w:val="0"/>
          <w:sz w:val="28"/>
          <w:szCs w:val="20"/>
          <w14:textFill>
            <w14:solidFill>
              <w14:schemeClr w14:val="tx1"/>
            </w14:solidFill>
          </w14:textFill>
        </w:rPr>
      </w:pPr>
      <w:bookmarkStart w:id="11" w:name="_Toc28543"/>
      <w:r>
        <w:rPr>
          <w:rFonts w:hint="eastAsia" w:ascii="Arial" w:hAnsi="Arial" w:eastAsia="黑体" w:cs="Times New Roman"/>
          <w:b/>
          <w:color w:val="000000" w:themeColor="text1"/>
          <w:kern w:val="0"/>
          <w:sz w:val="28"/>
          <w:szCs w:val="20"/>
          <w14:textFill>
            <w14:solidFill>
              <w14:schemeClr w14:val="tx1"/>
            </w14:solidFill>
          </w14:textFill>
        </w:rPr>
        <w:br w:type="page"/>
      </w:r>
    </w:p>
    <w:p w14:paraId="3B049200">
      <w:pPr>
        <w:keepNext/>
        <w:keepLines/>
        <w:spacing w:before="260" w:after="260" w:line="360" w:lineRule="auto"/>
        <w:jc w:val="center"/>
        <w:outlineLvl w:val="1"/>
        <w:rPr>
          <w:rFonts w:ascii="Arial" w:hAnsi="Arial" w:eastAsia="黑体" w:cs="Times New Roman"/>
          <w:b/>
          <w:color w:val="000000" w:themeColor="text1"/>
          <w:kern w:val="0"/>
          <w:sz w:val="28"/>
          <w:szCs w:val="20"/>
          <w14:textFill>
            <w14:solidFill>
              <w14:schemeClr w14:val="tx1"/>
            </w14:solidFill>
          </w14:textFill>
        </w:rPr>
      </w:pPr>
      <w:r>
        <w:rPr>
          <w:rFonts w:hint="eastAsia" w:ascii="Arial" w:hAnsi="Arial" w:eastAsia="黑体" w:cs="Times New Roman"/>
          <w:b/>
          <w:color w:val="000000" w:themeColor="text1"/>
          <w:kern w:val="0"/>
          <w:sz w:val="28"/>
          <w:szCs w:val="20"/>
          <w14:textFill>
            <w14:solidFill>
              <w14:schemeClr w14:val="tx1"/>
            </w14:solidFill>
          </w14:textFill>
        </w:rPr>
        <w:t>第五章　投标文件组成</w:t>
      </w:r>
      <w:bookmarkEnd w:id="11"/>
    </w:p>
    <w:p w14:paraId="32A87021">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第一部分　商务部分</w:t>
      </w:r>
    </w:p>
    <w:p w14:paraId="601928B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★一、投标函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02975FA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法定代表人身份证明复印件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法定代表人参加投标</w:t>
      </w:r>
      <w:r>
        <w:rPr>
          <w:rFonts w:ascii="宋体" w:hAnsi="宋体" w:eastAsia="宋体" w:cs="Times New Roman"/>
          <w:color w:val="000000" w:themeColor="text1"/>
          <w:kern w:val="0"/>
          <w:sz w:val="24"/>
          <w:szCs w:val="24"/>
          <w14:textFill>
            <w14:solidFill>
              <w14:schemeClr w14:val="tx1"/>
            </w14:solidFill>
          </w14:textFill>
        </w:rPr>
        <w:t>)</w:t>
      </w:r>
    </w:p>
    <w:p w14:paraId="2FE096D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法定代表人授权书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授权代表参加投标</w:t>
      </w:r>
      <w:r>
        <w:rPr>
          <w:rFonts w:ascii="宋体" w:hAnsi="宋体" w:eastAsia="宋体" w:cs="Times New Roman"/>
          <w:color w:val="000000" w:themeColor="text1"/>
          <w:kern w:val="0"/>
          <w:sz w:val="24"/>
          <w:szCs w:val="24"/>
          <w14:textFill>
            <w14:solidFill>
              <w14:schemeClr w14:val="tx1"/>
            </w14:solidFill>
          </w14:textFill>
        </w:rPr>
        <w:t>)</w:t>
      </w:r>
    </w:p>
    <w:p w14:paraId="0303A4F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授权委托书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格式二</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适用于自然人委托投标</w:t>
      </w:r>
      <w:r>
        <w:rPr>
          <w:rFonts w:ascii="宋体" w:hAnsi="宋体" w:eastAsia="宋体" w:cs="Times New Roman"/>
          <w:color w:val="000000" w:themeColor="text1"/>
          <w:kern w:val="0"/>
          <w:sz w:val="24"/>
          <w:szCs w:val="24"/>
          <w14:textFill>
            <w14:solidFill>
              <w14:schemeClr w14:val="tx1"/>
            </w14:solidFill>
          </w14:textFill>
        </w:rPr>
        <w:t>)</w:t>
      </w:r>
    </w:p>
    <w:p w14:paraId="588A5E9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★二、开标一览表及明细报价表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672EBFF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三、商务条款偏离表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格式附后</w:t>
      </w:r>
      <w:r>
        <w:rPr>
          <w:rFonts w:ascii="宋体" w:hAnsi="宋体" w:eastAsia="宋体" w:cs="Times New Roman"/>
          <w:color w:val="000000" w:themeColor="text1"/>
          <w:kern w:val="0"/>
          <w:sz w:val="24"/>
          <w:szCs w:val="24"/>
          <w14:textFill>
            <w14:solidFill>
              <w14:schemeClr w14:val="tx1"/>
            </w14:solidFill>
          </w14:textFill>
        </w:rPr>
        <w:t>)</w:t>
      </w:r>
    </w:p>
    <w:p w14:paraId="3E35ED6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四、投标保证金</w:t>
      </w:r>
    </w:p>
    <w:p w14:paraId="64BC6B4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★五、供应商的资格证明材料</w:t>
      </w:r>
    </w:p>
    <w:p w14:paraId="7236088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一</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供应商基本情况表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附件5－</w:t>
      </w:r>
      <w:r>
        <w:rPr>
          <w:rFonts w:ascii="宋体" w:hAnsi="宋体" w:eastAsia="宋体" w:cs="Times New Roman"/>
          <w:color w:val="000000" w:themeColor="text1"/>
          <w:kern w:val="0"/>
          <w:sz w:val="24"/>
          <w:szCs w:val="24"/>
          <w14:textFill>
            <w14:solidFill>
              <w14:schemeClr w14:val="tx1"/>
            </w14:solidFill>
          </w14:textFill>
        </w:rPr>
        <w:t>1)</w:t>
      </w:r>
    </w:p>
    <w:p w14:paraId="58E7037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二</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参加政府采购活动的供应商应当具备《中华人民共和国政府采购法》第二十二条第一款规定的条件，提供下列材料：</w:t>
      </w:r>
    </w:p>
    <w:p w14:paraId="49F62EA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具有独立承担民事责任的能力证明材料；</w:t>
      </w:r>
    </w:p>
    <w:p w14:paraId="62F7E26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具有良好的商业信誉和健全的财务会计制度证明材料；</w:t>
      </w:r>
    </w:p>
    <w:p w14:paraId="238091D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　具备履行合同所必需的设备和专业技术能力的证明材料；</w:t>
      </w:r>
    </w:p>
    <w:p w14:paraId="5700462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　有依法缴纳税收和社会保障资金的良好记录的证明材料；</w:t>
      </w:r>
    </w:p>
    <w:p w14:paraId="13E08CA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　参加政府采购活动近三年内在经营活动中没有重大违法记录的书面声明；</w:t>
      </w:r>
    </w:p>
    <w:p w14:paraId="64B5397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　无不良信用记录承诺函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招标文件要求由供应商查询信用记录的提供</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p>
    <w:p w14:paraId="3B1FC0A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附件5－2－7  符合招标文件第二章“供应商须知前附表”4.3中第3条的证明材料；</w:t>
      </w:r>
    </w:p>
    <w:p w14:paraId="075FFDC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附件5－2－8  联合体协议书（如有）；</w:t>
      </w:r>
    </w:p>
    <w:p w14:paraId="0A822A3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六、供应商类似相关服务的评价</w:t>
      </w:r>
    </w:p>
    <w:p w14:paraId="07E082A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七、符合政府采购政策的证明材料</w:t>
      </w:r>
    </w:p>
    <w:p w14:paraId="3F0DC18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八、投标人企业类型声明函</w:t>
      </w:r>
    </w:p>
    <w:p w14:paraId="5F5C952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九、中小企业声明函</w:t>
      </w:r>
    </w:p>
    <w:p w14:paraId="5E70FE5D">
      <w:pPr>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十、中小企业生产或销售的产品优惠明细表</w:t>
      </w:r>
    </w:p>
    <w:p w14:paraId="0F54504B">
      <w:pPr>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十一、监狱企业声明函</w:t>
      </w:r>
    </w:p>
    <w:p w14:paraId="1376D2F5">
      <w:pPr>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十二、残疾人福利性单位声明函</w:t>
      </w:r>
    </w:p>
    <w:p w14:paraId="20E86EC2">
      <w:pPr>
        <w:pStyle w:val="18"/>
        <w:spacing w:line="360" w:lineRule="auto"/>
        <w:ind w:firstLine="360" w:firstLineChars="150"/>
        <w:rPr>
          <w:rFonts w:hAnsi="宋体" w:cs="宋体"/>
          <w:color w:val="000000"/>
          <w:sz w:val="24"/>
          <w:szCs w:val="24"/>
        </w:rPr>
      </w:pPr>
      <w:r>
        <w:rPr>
          <w:rFonts w:hint="eastAsia" w:hAnsi="宋体"/>
          <w:b/>
          <w:bCs/>
          <w:color w:val="000000" w:themeColor="text1"/>
          <w:sz w:val="24"/>
          <w:em w:val="dot"/>
          <w14:textFill>
            <w14:solidFill>
              <w14:schemeClr w14:val="tx1"/>
            </w14:solidFill>
          </w14:textFill>
        </w:rPr>
        <w:t>注：(8-12)</w:t>
      </w:r>
      <w:r>
        <w:rPr>
          <w:rFonts w:hint="eastAsia" w:hAnsi="宋体" w:cs="宋体"/>
          <w:b/>
          <w:bCs/>
          <w:color w:val="000000"/>
          <w:sz w:val="24"/>
          <w:em w:val="dot"/>
        </w:rPr>
        <w:t>项供应商根据情况自行选择，不享受相关政策的供应商无需提供。</w:t>
      </w:r>
    </w:p>
    <w:p w14:paraId="29536DE0">
      <w:pPr>
        <w:spacing w:line="360" w:lineRule="auto"/>
        <w:ind w:firstLine="360" w:firstLineChars="150"/>
        <w:rPr>
          <w:rFonts w:ascii="宋体" w:hAnsi="宋体" w:eastAsia="宋体" w:cs="Times New Roman"/>
          <w:color w:val="000000" w:themeColor="text1"/>
          <w:kern w:val="0"/>
          <w:sz w:val="24"/>
          <w:szCs w:val="24"/>
          <w14:textFill>
            <w14:solidFill>
              <w14:schemeClr w14:val="tx1"/>
            </w14:solidFill>
          </w14:textFill>
        </w:rPr>
      </w:pPr>
    </w:p>
    <w:p w14:paraId="5E962E8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AFC1801">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4D1A8C62">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33330FD5">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1222251D">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5CB2AD85">
      <w:p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0C16B619">
      <w:pPr>
        <w:numPr>
          <w:ilvl w:val="0"/>
          <w:numId w:val="2"/>
        </w:numPr>
        <w:spacing w:line="360" w:lineRule="auto"/>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技术部分</w:t>
      </w:r>
    </w:p>
    <w:p w14:paraId="219DC767">
      <w:pPr>
        <w:spacing w:line="360" w:lineRule="auto"/>
        <w:jc w:val="center"/>
        <w:rPr>
          <w:rFonts w:ascii="宋体" w:hAnsi="宋体" w:eastAsia="宋体" w:cs="Times New Roman"/>
          <w:color w:val="000000" w:themeColor="text1"/>
          <w:kern w:val="0"/>
          <w:sz w:val="24"/>
          <w:szCs w:val="24"/>
          <w14:textFill>
            <w14:solidFill>
              <w14:schemeClr w14:val="tx1"/>
            </w14:solidFill>
          </w14:textFill>
        </w:rPr>
      </w:pPr>
    </w:p>
    <w:p w14:paraId="12DDD5D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一、服务方案</w:t>
      </w:r>
    </w:p>
    <w:p w14:paraId="563E661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二、技术响应与偏离表</w:t>
      </w:r>
    </w:p>
    <w:p w14:paraId="6AF688C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三、其它资料</w:t>
      </w:r>
    </w:p>
    <w:p w14:paraId="636B732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4223193">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p>
    <w:p w14:paraId="150D7516">
      <w:pPr>
        <w:spacing w:line="360" w:lineRule="auto"/>
        <w:ind w:firstLine="56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hint="eastAsia" w:ascii="宋体" w:hAnsi="Courier New" w:eastAsia="宋体" w:cs="Times New Roman"/>
          <w:b/>
          <w:bCs/>
          <w:color w:val="000000" w:themeColor="text1"/>
          <w:kern w:val="0"/>
          <w:sz w:val="28"/>
          <w:szCs w:val="32"/>
          <w14:textFill>
            <w14:solidFill>
              <w14:schemeClr w14:val="tx1"/>
            </w14:solidFill>
          </w14:textFill>
        </w:rPr>
        <w:t>投标文件</w:t>
      </w:r>
    </w:p>
    <w:p w14:paraId="4955E85B">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012A71B">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5F3D918">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F2FF7CD">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805C7E7">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D3D9814">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C301C66">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9546C35">
      <w:pPr>
        <w:spacing w:line="360" w:lineRule="auto"/>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项目名称：</w:t>
      </w:r>
      <w:r>
        <w:rPr>
          <w:rFonts w:ascii="宋体" w:hAnsi="宋体" w:eastAsia="宋体" w:cs="Times New Roman"/>
          <w:color w:val="000000" w:themeColor="text1"/>
          <w:kern w:val="0"/>
          <w:sz w:val="20"/>
          <w:szCs w:val="21"/>
          <w14:textFill>
            <w14:solidFill>
              <w14:schemeClr w14:val="tx1"/>
            </w14:solidFill>
          </w14:textFill>
        </w:rPr>
        <w:t>____________________</w:t>
      </w:r>
    </w:p>
    <w:p w14:paraId="1BB7974C">
      <w:pPr>
        <w:spacing w:line="360" w:lineRule="auto"/>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57EDC53C">
      <w:pPr>
        <w:spacing w:line="360" w:lineRule="auto"/>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7A6734AA">
      <w:pPr>
        <w:spacing w:line="360" w:lineRule="auto"/>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7B97734E">
      <w:pPr>
        <w:spacing w:line="360" w:lineRule="auto"/>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29925F35">
      <w:pPr>
        <w:spacing w:line="360" w:lineRule="auto"/>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项目编号：</w:t>
      </w:r>
      <w:r>
        <w:rPr>
          <w:rFonts w:ascii="宋体" w:hAnsi="宋体" w:eastAsia="宋体" w:cs="Times New Roman"/>
          <w:color w:val="000000" w:themeColor="text1"/>
          <w:kern w:val="0"/>
          <w:sz w:val="20"/>
          <w:szCs w:val="21"/>
          <w14:textFill>
            <w14:solidFill>
              <w14:schemeClr w14:val="tx1"/>
            </w14:solidFill>
          </w14:textFill>
        </w:rPr>
        <w:t>____________________</w:t>
      </w:r>
    </w:p>
    <w:p w14:paraId="38AD511B">
      <w:pPr>
        <w:spacing w:line="360" w:lineRule="auto"/>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34B77FC2">
      <w:pPr>
        <w:spacing w:line="360" w:lineRule="auto"/>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5CEDEDAB">
      <w:pPr>
        <w:spacing w:line="360" w:lineRule="auto"/>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701D34C9">
      <w:pPr>
        <w:spacing w:line="360" w:lineRule="auto"/>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p>
    <w:p w14:paraId="220323D5">
      <w:pPr>
        <w:spacing w:line="360" w:lineRule="auto"/>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0"/>
          <w:szCs w:val="21"/>
          <w14:textFill>
            <w14:solidFill>
              <w14:schemeClr w14:val="tx1"/>
            </w14:solidFill>
          </w14:textFill>
        </w:rPr>
        <w:t>供应商名称：</w:t>
      </w:r>
      <w:r>
        <w:rPr>
          <w:rFonts w:ascii="宋体" w:hAnsi="宋体" w:eastAsia="宋体" w:cs="Times New Roman"/>
          <w:color w:val="000000" w:themeColor="text1"/>
          <w:kern w:val="0"/>
          <w:sz w:val="20"/>
          <w:szCs w:val="21"/>
          <w14:textFill>
            <w14:solidFill>
              <w14:schemeClr w14:val="tx1"/>
            </w14:solidFill>
          </w14:textFill>
        </w:rPr>
        <w:t>__________________</w:t>
      </w:r>
    </w:p>
    <w:p w14:paraId="67BDA8D4">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4FB5CC2">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0E75AF1">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9B83FAD">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E337FFF">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7680D1A">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28F8FBF">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CD06E0E">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1A0F2FB">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AA80FC9">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2BEC723">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1B2BD9EF">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7E6C6075">
      <w:pPr>
        <w:spacing w:line="360" w:lineRule="auto"/>
        <w:ind w:firstLine="400" w:firstLineChars="200"/>
        <w:jc w:val="center"/>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t>______</w:t>
      </w:r>
      <w:r>
        <w:rPr>
          <w:rFonts w:hint="eastAsia" w:ascii="宋体" w:hAnsi="宋体" w:eastAsia="宋体" w:cs="Times New Roman"/>
          <w:color w:val="000000" w:themeColor="text1"/>
          <w:kern w:val="0"/>
          <w:sz w:val="20"/>
          <w:szCs w:val="21"/>
          <w14:textFill>
            <w14:solidFill>
              <w14:schemeClr w14:val="tx1"/>
            </w14:solidFill>
          </w14:textFill>
        </w:rPr>
        <w:t>年</w:t>
      </w:r>
      <w:r>
        <w:rPr>
          <w:rFonts w:ascii="宋体" w:hAnsi="宋体" w:eastAsia="宋体" w:cs="Times New Roman"/>
          <w:color w:val="000000" w:themeColor="text1"/>
          <w:kern w:val="0"/>
          <w:sz w:val="20"/>
          <w:szCs w:val="21"/>
          <w14:textFill>
            <w14:solidFill>
              <w14:schemeClr w14:val="tx1"/>
            </w14:solidFill>
          </w14:textFill>
        </w:rPr>
        <w:t>____</w:t>
      </w:r>
      <w:r>
        <w:rPr>
          <w:rFonts w:hint="eastAsia" w:ascii="宋体" w:hAnsi="宋体" w:eastAsia="宋体" w:cs="Times New Roman"/>
          <w:color w:val="000000" w:themeColor="text1"/>
          <w:kern w:val="0"/>
          <w:sz w:val="20"/>
          <w:szCs w:val="21"/>
          <w14:textFill>
            <w14:solidFill>
              <w14:schemeClr w14:val="tx1"/>
            </w14:solidFill>
          </w14:textFill>
        </w:rPr>
        <w:t>月</w:t>
      </w:r>
      <w:r>
        <w:rPr>
          <w:rFonts w:ascii="宋体" w:hAnsi="宋体" w:eastAsia="宋体" w:cs="Times New Roman"/>
          <w:color w:val="000000" w:themeColor="text1"/>
          <w:kern w:val="0"/>
          <w:sz w:val="20"/>
          <w:szCs w:val="21"/>
          <w14:textFill>
            <w14:solidFill>
              <w14:schemeClr w14:val="tx1"/>
            </w14:solidFill>
          </w14:textFill>
        </w:rPr>
        <w:t>____</w:t>
      </w:r>
      <w:r>
        <w:rPr>
          <w:rFonts w:hint="eastAsia" w:ascii="宋体" w:hAnsi="宋体" w:eastAsia="宋体" w:cs="Times New Roman"/>
          <w:color w:val="000000" w:themeColor="text1"/>
          <w:kern w:val="0"/>
          <w:sz w:val="20"/>
          <w:szCs w:val="21"/>
          <w14:textFill>
            <w14:solidFill>
              <w14:schemeClr w14:val="tx1"/>
            </w14:solidFill>
          </w14:textFill>
        </w:rPr>
        <w:t>日</w:t>
      </w:r>
    </w:p>
    <w:p w14:paraId="01A77930">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一、投标函</w:t>
      </w:r>
    </w:p>
    <w:p w14:paraId="4BAEAD75">
      <w:pPr>
        <w:keepNext/>
        <w:keepLines/>
        <w:spacing w:before="260" w:after="260" w:line="360"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12" w:name="_Toc17679"/>
      <w:r>
        <w:rPr>
          <w:rFonts w:hint="eastAsia" w:ascii="Calibri" w:hAnsi="Calibri" w:eastAsia="宋体" w:cs="Times New Roman"/>
          <w:b/>
          <w:color w:val="000000" w:themeColor="text1"/>
          <w:kern w:val="0"/>
          <w:sz w:val="24"/>
          <w:szCs w:val="20"/>
          <w14:textFill>
            <w14:solidFill>
              <w14:schemeClr w14:val="tx1"/>
            </w14:solidFill>
          </w14:textFill>
        </w:rPr>
        <w:t>一、投　标　函</w:t>
      </w:r>
      <w:bookmarkEnd w:id="12"/>
    </w:p>
    <w:p w14:paraId="238983DC">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采购人或采购代理机构</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p>
    <w:p w14:paraId="7BBC0A4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根据</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项目名称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项目编号：</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的投标邀请，</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姓名、职务</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代表供应商</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供应商名称、地址</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参加本项目招标的有关活动。据此函，作如下承诺：</w:t>
      </w:r>
    </w:p>
    <w:p w14:paraId="5475530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同意在本项目招标文件中规定的开标日起</w:t>
      </w:r>
      <w:r>
        <w:rPr>
          <w:rFonts w:hint="eastAsia" w:ascii="宋体" w:hAnsi="宋体" w:eastAsia="宋体" w:cs="Times New Roman"/>
          <w:color w:val="000000" w:themeColor="text1"/>
          <w:kern w:val="0"/>
          <w:sz w:val="24"/>
          <w:szCs w:val="24"/>
          <w:u w:val="single"/>
          <w14:textFill>
            <w14:solidFill>
              <w14:schemeClr w14:val="tx1"/>
            </w14:solidFill>
          </w14:textFill>
        </w:rPr>
        <w:t xml:space="preserve"> 90 </w:t>
      </w:r>
      <w:r>
        <w:rPr>
          <w:rFonts w:hint="eastAsia" w:ascii="宋体" w:hAnsi="宋体" w:eastAsia="宋体" w:cs="Times New Roman"/>
          <w:color w:val="000000" w:themeColor="text1"/>
          <w:kern w:val="0"/>
          <w:sz w:val="24"/>
          <w:szCs w:val="24"/>
          <w14:textFill>
            <w14:solidFill>
              <w14:schemeClr w14:val="tx1"/>
            </w14:solidFill>
          </w14:textFill>
        </w:rPr>
        <w:t>天遵守本投标文件中的承诺，且在期满之前均具有约束力。</w:t>
      </w:r>
    </w:p>
    <w:p w14:paraId="5CD86A0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具备政府采购相关法律法规规定的参加政府采购活动的供应商应当具备的条件：</w:t>
      </w:r>
    </w:p>
    <w:p w14:paraId="3588BFB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具有独立承担民事责任的能力；</w:t>
      </w:r>
    </w:p>
    <w:p w14:paraId="1B673C2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具有良好的商业信誉和健全的财务会计制度；</w:t>
      </w:r>
    </w:p>
    <w:p w14:paraId="4128DF0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具有履行合同所必需的设备和专业技术能力；</w:t>
      </w:r>
    </w:p>
    <w:p w14:paraId="5A5AD2C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有依法缴纳税收和社会保障资金的良好记录；</w:t>
      </w:r>
    </w:p>
    <w:p w14:paraId="14E821D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参加此项采购活动前</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年内，在经营活动中没有重大违法记录。</w:t>
      </w:r>
    </w:p>
    <w:p w14:paraId="28FB1BA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具备本项目招标文件中规定的其他资格条件。</w:t>
      </w:r>
    </w:p>
    <w:p w14:paraId="4F5BB54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提供供应商须知规定的全部投标文件。</w:t>
      </w:r>
    </w:p>
    <w:p w14:paraId="417367D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5.</w:t>
      </w:r>
      <w:r>
        <w:rPr>
          <w:rFonts w:hint="eastAsia" w:ascii="宋体" w:hAnsi="宋体" w:eastAsia="宋体" w:cs="Times New Roman"/>
          <w:color w:val="000000" w:themeColor="text1"/>
          <w:kern w:val="0"/>
          <w:sz w:val="24"/>
          <w:szCs w:val="24"/>
          <w14:textFill>
            <w14:solidFill>
              <w14:schemeClr w14:val="tx1"/>
            </w14:solidFill>
          </w14:textFill>
        </w:rPr>
        <w:t>已详细审阅全部招标文件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包括招标文件澄清函</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，理解供应商须知的所有条款。</w:t>
      </w:r>
    </w:p>
    <w:p w14:paraId="1A2AB9D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6.</w:t>
      </w:r>
      <w:r>
        <w:rPr>
          <w:rFonts w:hint="eastAsia" w:ascii="宋体" w:hAnsi="宋体" w:eastAsia="宋体" w:cs="Times New Roman"/>
          <w:color w:val="000000" w:themeColor="text1"/>
          <w:kern w:val="0"/>
          <w:sz w:val="24"/>
          <w:szCs w:val="24"/>
          <w14:textFill>
            <w14:solidFill>
              <w14:schemeClr w14:val="tx1"/>
            </w14:solidFill>
          </w14:textFill>
        </w:rPr>
        <w:t>完全理解贵方“最低报价不能作为中标的保证”的规定。</w:t>
      </w:r>
    </w:p>
    <w:p w14:paraId="7C6477B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7.</w:t>
      </w:r>
      <w:r>
        <w:rPr>
          <w:rFonts w:hint="eastAsia" w:ascii="宋体" w:hAnsi="宋体" w:eastAsia="宋体" w:cs="Times New Roman"/>
          <w:color w:val="000000" w:themeColor="text1"/>
          <w:kern w:val="0"/>
          <w:sz w:val="24"/>
          <w:szCs w:val="24"/>
          <w14:textFill>
            <w14:solidFill>
              <w14:schemeClr w14:val="tx1"/>
            </w14:solidFill>
          </w14:textFill>
        </w:rPr>
        <w:t>接受招标文件中全部合同条款，且无任何异议；保证忠实地执行双方所签订的合同，并承担合同规定的责任和义务。</w:t>
      </w:r>
    </w:p>
    <w:p w14:paraId="36A3840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8.</w:t>
      </w:r>
      <w:r>
        <w:rPr>
          <w:rFonts w:hint="eastAsia" w:ascii="宋体" w:hAnsi="宋体" w:eastAsia="宋体" w:cs="Times New Roman"/>
          <w:color w:val="000000" w:themeColor="text1"/>
          <w:kern w:val="0"/>
          <w:sz w:val="24"/>
          <w:szCs w:val="24"/>
          <w14:textFill>
            <w14:solidFill>
              <w14:schemeClr w14:val="tx1"/>
            </w14:solidFill>
          </w14:textFill>
        </w:rPr>
        <w:t>完全满足和投标招标文件中的各项商务和技术要求，若有偏差，已在投标文件中明确说明。</w:t>
      </w:r>
    </w:p>
    <w:p w14:paraId="30DE00F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9.</w:t>
      </w:r>
      <w:r>
        <w:rPr>
          <w:rFonts w:hint="eastAsia" w:ascii="宋体" w:hAnsi="宋体" w:eastAsia="宋体" w:cs="Times New Roman"/>
          <w:color w:val="000000" w:themeColor="text1"/>
          <w:kern w:val="0"/>
          <w:sz w:val="24"/>
          <w:szCs w:val="24"/>
          <w14:textFill>
            <w14:solidFill>
              <w14:schemeClr w14:val="tx1"/>
            </w14:solidFill>
          </w14:textFill>
        </w:rPr>
        <w:t>如果在开标后规定的投标有效期内撤回投标，贵方可不予退还我方的投标保证金。</w:t>
      </w:r>
    </w:p>
    <w:p w14:paraId="6CD0A5C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10.</w:t>
      </w:r>
      <w:r>
        <w:rPr>
          <w:rFonts w:hint="eastAsia" w:ascii="宋体" w:hAnsi="宋体" w:eastAsia="宋体" w:cs="Times New Roman"/>
          <w:color w:val="000000" w:themeColor="text1"/>
          <w:kern w:val="0"/>
          <w:sz w:val="24"/>
          <w:szCs w:val="24"/>
          <w14:textFill>
            <w14:solidFill>
              <w14:schemeClr w14:val="tx1"/>
            </w14:solidFill>
          </w14:textFill>
        </w:rPr>
        <w:t>愿意提供任何与投标有关的数据、情况和技术资料等。</w:t>
      </w:r>
    </w:p>
    <w:p w14:paraId="1067F1A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11.</w:t>
      </w:r>
      <w:r>
        <w:rPr>
          <w:rFonts w:hint="eastAsia" w:ascii="宋体" w:hAnsi="宋体" w:eastAsia="宋体" w:cs="Times New Roman"/>
          <w:color w:val="000000" w:themeColor="text1"/>
          <w:kern w:val="0"/>
          <w:sz w:val="24"/>
          <w:szCs w:val="24"/>
          <w14:textFill>
            <w14:solidFill>
              <w14:schemeClr w14:val="tx1"/>
            </w14:solidFill>
          </w14:textFill>
        </w:rPr>
        <w:t>我方已详细审核全部投标文件、参考资料及有关附件，确认无误。</w:t>
      </w:r>
    </w:p>
    <w:p w14:paraId="6BA0BE8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12.</w:t>
      </w:r>
      <w:r>
        <w:rPr>
          <w:rFonts w:hint="eastAsia" w:ascii="宋体" w:hAnsi="宋体" w:eastAsia="宋体" w:cs="Times New Roman"/>
          <w:color w:val="000000" w:themeColor="text1"/>
          <w:kern w:val="0"/>
          <w:sz w:val="24"/>
          <w:szCs w:val="24"/>
          <w14:textFill>
            <w14:solidFill>
              <w14:schemeClr w14:val="tx1"/>
            </w14:solidFill>
          </w14:textFill>
        </w:rPr>
        <w:t>对本次招标内容及与本项目有关的知识产权、技术资料、商业秘密及相关信息保密。</w:t>
      </w:r>
    </w:p>
    <w:p w14:paraId="0E08614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13.</w:t>
      </w:r>
      <w:r>
        <w:rPr>
          <w:rFonts w:hint="eastAsia" w:ascii="宋体" w:hAnsi="宋体" w:eastAsia="宋体" w:cs="Times New Roman"/>
          <w:color w:val="000000" w:themeColor="text1"/>
          <w:kern w:val="0"/>
          <w:sz w:val="24"/>
          <w:szCs w:val="24"/>
          <w14:textFill>
            <w14:solidFill>
              <w14:schemeClr w14:val="tx1"/>
            </w14:solidFill>
          </w14:textFill>
        </w:rPr>
        <w:t>与采购人和采购代理机构无任何的隶属关系或者其他利害关系。</w:t>
      </w:r>
    </w:p>
    <w:p w14:paraId="0449CF4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9F80CE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：法定代表人身份证明复印件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法定代表人参加投标</w:t>
      </w:r>
      <w:r>
        <w:rPr>
          <w:rFonts w:ascii="宋体" w:hAnsi="宋体" w:eastAsia="宋体" w:cs="Times New Roman"/>
          <w:color w:val="000000" w:themeColor="text1"/>
          <w:kern w:val="0"/>
          <w:sz w:val="24"/>
          <w:szCs w:val="24"/>
          <w14:textFill>
            <w14:solidFill>
              <w14:schemeClr w14:val="tx1"/>
            </w14:solidFill>
          </w14:textFill>
        </w:rPr>
        <w:t>)</w:t>
      </w:r>
    </w:p>
    <w:p w14:paraId="3DF374F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：法定代表人授权书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授权代表参加投标</w:t>
      </w:r>
      <w:r>
        <w:rPr>
          <w:rFonts w:ascii="宋体" w:hAnsi="宋体" w:eastAsia="宋体" w:cs="Times New Roman"/>
          <w:color w:val="000000" w:themeColor="text1"/>
          <w:kern w:val="0"/>
          <w:sz w:val="24"/>
          <w:szCs w:val="24"/>
          <w14:textFill>
            <w14:solidFill>
              <w14:schemeClr w14:val="tx1"/>
            </w14:solidFill>
          </w14:textFill>
        </w:rPr>
        <w:t>)</w:t>
      </w:r>
    </w:p>
    <w:p w14:paraId="0A1456A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：授权委托书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自然人提供</w:t>
      </w:r>
      <w:r>
        <w:rPr>
          <w:rFonts w:ascii="宋体" w:hAnsi="宋体" w:eastAsia="宋体" w:cs="Times New Roman"/>
          <w:color w:val="000000" w:themeColor="text1"/>
          <w:kern w:val="0"/>
          <w:sz w:val="24"/>
          <w:szCs w:val="24"/>
          <w14:textFill>
            <w14:solidFill>
              <w14:schemeClr w14:val="tx1"/>
            </w14:solidFill>
          </w14:textFill>
        </w:rPr>
        <w:t>)</w:t>
      </w:r>
    </w:p>
    <w:p w14:paraId="761809A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70A6E5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供应商公章：</w:t>
      </w:r>
      <w:r>
        <w:rPr>
          <w:rFonts w:ascii="宋体" w:hAnsi="宋体" w:eastAsia="宋体" w:cs="Times New Roman"/>
          <w:color w:val="000000" w:themeColor="text1"/>
          <w:kern w:val="0"/>
          <w:sz w:val="24"/>
          <w:szCs w:val="24"/>
          <w14:textFill>
            <w14:solidFill>
              <w14:schemeClr w14:val="tx1"/>
            </w14:solidFill>
          </w14:textFill>
        </w:rPr>
        <w:t>____________</w:t>
      </w:r>
    </w:p>
    <w:p w14:paraId="107A59A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供应商地址：</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邮编：</w:t>
      </w:r>
      <w:r>
        <w:rPr>
          <w:rFonts w:ascii="宋体" w:hAnsi="宋体" w:eastAsia="宋体" w:cs="Times New Roman"/>
          <w:color w:val="000000" w:themeColor="text1"/>
          <w:kern w:val="0"/>
          <w:sz w:val="24"/>
          <w:szCs w:val="24"/>
          <w14:textFill>
            <w14:solidFill>
              <w14:schemeClr w14:val="tx1"/>
            </w14:solidFill>
          </w14:textFill>
        </w:rPr>
        <w:t>____________</w:t>
      </w:r>
    </w:p>
    <w:p w14:paraId="428EF8E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电话：</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传真：</w:t>
      </w:r>
      <w:r>
        <w:rPr>
          <w:rFonts w:ascii="宋体" w:hAnsi="宋体" w:eastAsia="宋体" w:cs="Times New Roman"/>
          <w:color w:val="000000" w:themeColor="text1"/>
          <w:kern w:val="0"/>
          <w:sz w:val="24"/>
          <w:szCs w:val="24"/>
          <w14:textFill>
            <w14:solidFill>
              <w14:schemeClr w14:val="tx1"/>
            </w14:solidFill>
          </w14:textFill>
        </w:rPr>
        <w:t>____________</w:t>
      </w:r>
    </w:p>
    <w:p w14:paraId="190AC39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法定代表人或供应商代表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319AAF6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联系电话：</w:t>
      </w:r>
      <w:r>
        <w:rPr>
          <w:rFonts w:ascii="宋体" w:hAnsi="宋体" w:eastAsia="宋体" w:cs="Times New Roman"/>
          <w:color w:val="000000" w:themeColor="text1"/>
          <w:kern w:val="0"/>
          <w:sz w:val="24"/>
          <w:szCs w:val="24"/>
          <w14:textFill>
            <w14:solidFill>
              <w14:schemeClr w14:val="tx1"/>
            </w14:solidFill>
          </w14:textFill>
        </w:rPr>
        <w:t>____________</w:t>
      </w:r>
    </w:p>
    <w:p w14:paraId="3EB40EE9">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____________</w:t>
      </w:r>
    </w:p>
    <w:p w14:paraId="631D8BEB">
      <w:pPr>
        <w:spacing w:line="360" w:lineRule="auto"/>
        <w:ind w:firstLine="40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　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　法定代表人身份证明复印件</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法定代表人参加投标的</w:t>
      </w:r>
      <w:r>
        <w:rPr>
          <w:rFonts w:ascii="宋体" w:hAnsi="宋体" w:eastAsia="宋体" w:cs="Times New Roman"/>
          <w:color w:val="000000" w:themeColor="text1"/>
          <w:kern w:val="0"/>
          <w:sz w:val="24"/>
          <w:szCs w:val="24"/>
          <w14:textFill>
            <w14:solidFill>
              <w14:schemeClr w14:val="tx1"/>
            </w14:solidFill>
          </w14:textFill>
        </w:rPr>
        <w:t>)</w:t>
      </w:r>
    </w:p>
    <w:p w14:paraId="62327F34">
      <w:pPr>
        <w:spacing w:before="156" w:beforeLines="50" w:after="156" w:afterLines="50" w:line="360" w:lineRule="auto"/>
        <w:ind w:left="546" w:leftChars="26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单位名称：</w:t>
      </w:r>
    </w:p>
    <w:p w14:paraId="0362170A">
      <w:pPr>
        <w:spacing w:before="156" w:beforeLines="50" w:after="156" w:afterLines="50" w:line="360" w:lineRule="auto"/>
        <w:ind w:left="546" w:leftChars="26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单位性质：</w:t>
      </w:r>
    </w:p>
    <w:p w14:paraId="62E1B6A0">
      <w:pPr>
        <w:spacing w:before="156" w:beforeLines="50" w:after="156" w:afterLines="50" w:line="360" w:lineRule="auto"/>
        <w:ind w:left="546" w:leftChars="2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p>
    <w:p w14:paraId="52B3E05A">
      <w:pPr>
        <w:spacing w:before="156" w:beforeLines="50" w:after="156" w:afterLines="50" w:line="360" w:lineRule="auto"/>
        <w:ind w:left="546" w:leftChars="260"/>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成立时间：</w:t>
      </w:r>
    </w:p>
    <w:p w14:paraId="3EF5FB3B">
      <w:pPr>
        <w:spacing w:before="156" w:beforeLines="50" w:after="156" w:afterLines="50" w:line="360" w:lineRule="auto"/>
        <w:ind w:left="546" w:leftChars="2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经营期限：</w:t>
      </w:r>
    </w:p>
    <w:p w14:paraId="61CD0042">
      <w:pPr>
        <w:spacing w:before="156" w:beforeLines="50" w:after="156" w:afterLines="50" w:line="360" w:lineRule="auto"/>
        <w:ind w:left="546" w:leftChars="2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姓名：性别：年龄：职务：</w:t>
      </w:r>
    </w:p>
    <w:p w14:paraId="7F8DBE66">
      <w:pPr>
        <w:spacing w:before="156" w:beforeLines="50" w:after="156"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w:t>
      </w:r>
      <w:r>
        <w:rPr>
          <w:rFonts w:hint="eastAsia" w:ascii="宋体" w:hAnsi="宋体" w:eastAsia="宋体" w:cs="宋体"/>
          <w:color w:val="000000" w:themeColor="text1"/>
          <w:sz w:val="24"/>
          <w:szCs w:val="24"/>
          <w:u w:val="single"/>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的法定代表人。</w:t>
      </w:r>
      <w:r>
        <w:rPr>
          <w:rFonts w:hint="eastAsia" w:ascii="宋体" w:hAnsi="宋体" w:eastAsia="宋体" w:cs="宋体"/>
          <w:color w:val="000000" w:themeColor="text1"/>
          <w:sz w:val="24"/>
          <w:szCs w:val="24"/>
          <w14:textFill>
            <w14:solidFill>
              <w14:schemeClr w14:val="tx1"/>
            </w14:solidFill>
          </w14:textFill>
        </w:rPr>
        <w:cr/>
      </w:r>
    </w:p>
    <w:p w14:paraId="2825E098">
      <w:pPr>
        <w:spacing w:before="156" w:beforeLines="50" w:after="156"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特此证明。</w:t>
      </w:r>
    </w:p>
    <w:p w14:paraId="541036C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tbl>
      <w:tblPr>
        <w:tblStyle w:val="35"/>
        <w:tblW w:w="51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15F68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vAlign w:val="center"/>
          </w:tcPr>
          <w:p w14:paraId="2D81F1D1">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法定代表人身份证明复印件</w:t>
            </w:r>
          </w:p>
        </w:tc>
      </w:tr>
    </w:tbl>
    <w:p w14:paraId="4E1E96D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282C45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0F1D62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84FFCD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AA87CA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BD5D17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投标人名称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7F00FB4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205666FB">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6D32A358">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608C2A02">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1A0AAD5E">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462C2B93">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384193D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　法定代表人授权委托书</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授权代表参加投标的</w:t>
      </w:r>
      <w:r>
        <w:rPr>
          <w:rFonts w:ascii="宋体" w:hAnsi="宋体" w:eastAsia="宋体" w:cs="Times New Roman"/>
          <w:color w:val="000000" w:themeColor="text1"/>
          <w:kern w:val="0"/>
          <w:sz w:val="24"/>
          <w:szCs w:val="24"/>
          <w14:textFill>
            <w14:solidFill>
              <w14:schemeClr w14:val="tx1"/>
            </w14:solidFill>
          </w14:textFill>
        </w:rPr>
        <w:t>)</w:t>
      </w:r>
    </w:p>
    <w:p w14:paraId="63055AD2">
      <w:pPr>
        <w:spacing w:line="360" w:lineRule="auto"/>
        <w:jc w:val="center"/>
        <w:rPr>
          <w:rFonts w:ascii="Calibri" w:hAnsi="Calibri" w:eastAsia="宋体" w:cs="Times New Roman"/>
          <w:b/>
          <w:bCs/>
          <w:color w:val="000000" w:themeColor="text1"/>
          <w:sz w:val="28"/>
          <w:szCs w:val="32"/>
          <w14:textFill>
            <w14:solidFill>
              <w14:schemeClr w14:val="tx1"/>
            </w14:solidFill>
          </w14:textFill>
        </w:rPr>
      </w:pPr>
      <w:r>
        <w:rPr>
          <w:rFonts w:hint="eastAsia" w:ascii="Calibri" w:hAnsi="Calibri" w:eastAsia="宋体" w:cs="Times New Roman"/>
          <w:b/>
          <w:bCs/>
          <w:color w:val="000000" w:themeColor="text1"/>
          <w:sz w:val="28"/>
          <w:szCs w:val="32"/>
          <w14:textFill>
            <w14:solidFill>
              <w14:schemeClr w14:val="tx1"/>
            </w14:solidFill>
          </w14:textFill>
        </w:rPr>
        <w:t>法定代表人授权委托书(格式一)(适用于被授权人投标)</w:t>
      </w:r>
    </w:p>
    <w:p w14:paraId="5EC0870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的法定代表人</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姓名、职务</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授权</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供应商代表姓名、职务</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为本公司的供应商代表，就</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项目名称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投标及相关事务代表本公司处理与之有关的一切事务。</w:t>
      </w:r>
    </w:p>
    <w:p w14:paraId="0763CAA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委托期限：</w:t>
      </w:r>
      <w:r>
        <w:rPr>
          <w:rFonts w:ascii="宋体" w:hAnsi="宋体" w:eastAsia="宋体" w:cs="Times New Roman"/>
          <w:color w:val="000000" w:themeColor="text1"/>
          <w:kern w:val="0"/>
          <w:sz w:val="24"/>
          <w:szCs w:val="24"/>
          <w14:textFill>
            <w14:solidFill>
              <w14:schemeClr w14:val="tx1"/>
            </w14:solidFill>
          </w14:textFill>
        </w:rPr>
        <w:t>____________________</w:t>
      </w:r>
      <w:r>
        <w:rPr>
          <w:rFonts w:hint="eastAsia" w:ascii="宋体" w:hAnsi="宋体" w:eastAsia="宋体" w:cs="Times New Roman"/>
          <w:color w:val="000000" w:themeColor="text1"/>
          <w:kern w:val="0"/>
          <w:sz w:val="24"/>
          <w:szCs w:val="24"/>
          <w14:textFill>
            <w14:solidFill>
              <w14:schemeClr w14:val="tx1"/>
            </w14:solidFill>
          </w14:textFill>
        </w:rPr>
        <w:t>。</w:t>
      </w:r>
    </w:p>
    <w:p w14:paraId="5431908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代理人无转委托权。</w:t>
      </w:r>
    </w:p>
    <w:p w14:paraId="7FFABFE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本授权书于</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日签字生效，特此声明。</w:t>
      </w:r>
    </w:p>
    <w:p w14:paraId="017FBC6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tbl>
      <w:tblPr>
        <w:tblStyle w:val="35"/>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6E31D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1231B9F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法定代表人身份证明复印件</w:t>
            </w:r>
          </w:p>
        </w:tc>
      </w:tr>
    </w:tbl>
    <w:p w14:paraId="2A8393B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tbl>
      <w:tblPr>
        <w:tblStyle w:val="35"/>
        <w:tblW w:w="52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27AFE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084B607E">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被授权人身份证明复印件</w:t>
            </w:r>
          </w:p>
        </w:tc>
      </w:tr>
    </w:tbl>
    <w:p w14:paraId="77DF3F0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8EC23E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1BA42C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64D25FA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0B76590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0BF1FAF3">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48A43C10">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　　</w:t>
      </w:r>
      <w:r>
        <w:rPr>
          <w:rFonts w:hint="eastAsia" w:ascii="宋体" w:hAnsi="宋体" w:eastAsia="宋体" w:cs="Times New Roman"/>
          <w:color w:val="000000" w:themeColor="text1"/>
          <w:kern w:val="0"/>
          <w:sz w:val="24"/>
          <w:szCs w:val="24"/>
          <w14:textFill>
            <w14:solidFill>
              <w14:schemeClr w14:val="tx1"/>
            </w14:solidFill>
          </w14:textFill>
        </w:rPr>
        <w:t>附件</w:t>
      </w: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3</w:t>
      </w:r>
    </w:p>
    <w:p w14:paraId="4AADE062">
      <w:pPr>
        <w:spacing w:line="360" w:lineRule="auto"/>
        <w:jc w:val="center"/>
        <w:rPr>
          <w:rFonts w:ascii="Calibri" w:hAnsi="Calibri" w:eastAsia="宋体" w:cs="Times New Roman"/>
          <w:b/>
          <w:bCs/>
          <w:color w:val="000000" w:themeColor="text1"/>
          <w:sz w:val="28"/>
          <w:szCs w:val="32"/>
          <w14:textFill>
            <w14:solidFill>
              <w14:schemeClr w14:val="tx1"/>
            </w14:solidFill>
          </w14:textFill>
        </w:rPr>
      </w:pPr>
      <w:r>
        <w:rPr>
          <w:rFonts w:hint="eastAsia" w:ascii="Calibri" w:hAnsi="Calibri" w:eastAsia="宋体" w:cs="Times New Roman"/>
          <w:b/>
          <w:bCs/>
          <w:color w:val="000000" w:themeColor="text1"/>
          <w:sz w:val="28"/>
          <w:szCs w:val="32"/>
          <w14:textFill>
            <w14:solidFill>
              <w14:schemeClr w14:val="tx1"/>
            </w14:solidFill>
          </w14:textFill>
        </w:rPr>
        <w:t>授权委托书(格式二)(适用于自然人投标)</w:t>
      </w:r>
    </w:p>
    <w:p w14:paraId="5B8829ED">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采购人或采购代理机构</w:t>
      </w:r>
      <w:r>
        <w:rPr>
          <w:rFonts w:ascii="宋体" w:hAnsi="宋体" w:eastAsia="宋体" w:cs="Times New Roman"/>
          <w:color w:val="000000" w:themeColor="text1"/>
          <w:kern w:val="0"/>
          <w:sz w:val="24"/>
          <w:szCs w:val="24"/>
          <w14:textFill>
            <w14:solidFill>
              <w14:schemeClr w14:val="tx1"/>
            </w14:solidFill>
          </w14:textFill>
        </w:rPr>
        <w:t>)</w:t>
      </w:r>
    </w:p>
    <w:p w14:paraId="22A1B8F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w:t>
      </w:r>
      <w:r>
        <w:rPr>
          <w:rFonts w:ascii="宋体" w:hAnsi="宋体" w:eastAsia="宋体" w:cs="Times New Roman"/>
          <w:color w:val="000000" w:themeColor="text1"/>
          <w:kern w:val="0"/>
          <w:sz w:val="24"/>
          <w:szCs w:val="24"/>
          <w14:textFill>
            <w14:solidFill>
              <w14:schemeClr w14:val="tx1"/>
            </w14:solidFill>
          </w14:textFill>
        </w:rPr>
        <w:t>________(</w:t>
      </w:r>
      <w:r>
        <w:rPr>
          <w:rFonts w:hint="eastAsia" w:ascii="宋体" w:hAnsi="宋体" w:eastAsia="宋体" w:cs="Times New Roman"/>
          <w:color w:val="000000" w:themeColor="text1"/>
          <w:kern w:val="0"/>
          <w:sz w:val="24"/>
          <w:szCs w:val="24"/>
          <w14:textFill>
            <w14:solidFill>
              <w14:schemeClr w14:val="tx1"/>
            </w14:solidFill>
          </w14:textFill>
        </w:rPr>
        <w:t>姓名</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系自然人，现授权委托</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姓名</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以本人名义参加</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项目名称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的投标活动，并代表本人全权办理针对上述项目的投标、签约等具体事务和签署相关文件。</w:t>
      </w:r>
    </w:p>
    <w:p w14:paraId="754FC43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本人对被授权人的签字事项负全部责任。</w:t>
      </w:r>
    </w:p>
    <w:p w14:paraId="4399E7A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授权委托代理期限：从　　　年　　月　　日起至　　　年　　月　　日止。</w:t>
      </w:r>
    </w:p>
    <w:p w14:paraId="039E722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代理人无转委托权，特此委托。</w:t>
      </w:r>
    </w:p>
    <w:p w14:paraId="2B86D69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我已在下面签字，以资证明。</w:t>
      </w:r>
    </w:p>
    <w:p w14:paraId="37121B37">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自然人签字并在签名处加盖食指指印：　　　　年　　月　　日</w:t>
      </w:r>
    </w:p>
    <w:p w14:paraId="3C396E3B">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0AE61D21">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62EB18F1">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596D0575">
      <w:pPr>
        <w:rPr>
          <w:rFonts w:hint="eastAsia" w:ascii="Calibri" w:hAnsi="Calibri" w:eastAsia="宋体" w:cs="Times New Roman"/>
          <w:b/>
          <w:color w:val="000000" w:themeColor="text1"/>
          <w:kern w:val="0"/>
          <w:sz w:val="24"/>
          <w:szCs w:val="20"/>
          <w14:textFill>
            <w14:solidFill>
              <w14:schemeClr w14:val="tx1"/>
            </w14:solidFill>
          </w14:textFill>
        </w:rPr>
      </w:pPr>
      <w:bookmarkStart w:id="13" w:name="_Toc12290"/>
      <w:r>
        <w:rPr>
          <w:rFonts w:hint="eastAsia" w:ascii="Calibri" w:hAnsi="Calibri" w:eastAsia="宋体" w:cs="Times New Roman"/>
          <w:b/>
          <w:color w:val="000000" w:themeColor="text1"/>
          <w:kern w:val="0"/>
          <w:sz w:val="24"/>
          <w:szCs w:val="20"/>
          <w14:textFill>
            <w14:solidFill>
              <w14:schemeClr w14:val="tx1"/>
            </w14:solidFill>
          </w14:textFill>
        </w:rPr>
        <w:br w:type="page"/>
      </w:r>
    </w:p>
    <w:p w14:paraId="146447C0">
      <w:pPr>
        <w:keepNext/>
        <w:keepLines/>
        <w:spacing w:before="260" w:after="260" w:line="360" w:lineRule="auto"/>
        <w:jc w:val="center"/>
        <w:outlineLvl w:val="2"/>
        <w:rPr>
          <w:rFonts w:hint="default" w:ascii="Calibri" w:hAnsi="Calibri" w:eastAsia="宋体" w:cs="Times New Roman"/>
          <w:b/>
          <w:color w:val="000000" w:themeColor="text1"/>
          <w:kern w:val="0"/>
          <w:sz w:val="24"/>
          <w:szCs w:val="20"/>
          <w:lang w:val="en-US" w:eastAsia="zh-CN"/>
          <w14:textFill>
            <w14:solidFill>
              <w14:schemeClr w14:val="tx1"/>
            </w14:solidFill>
          </w14:textFill>
        </w:rPr>
      </w:pPr>
      <w:r>
        <w:rPr>
          <w:rFonts w:hint="eastAsia" w:ascii="Calibri" w:hAnsi="Calibri" w:eastAsia="宋体" w:cs="Times New Roman"/>
          <w:b/>
          <w:color w:val="000000" w:themeColor="text1"/>
          <w:kern w:val="0"/>
          <w:sz w:val="24"/>
          <w:szCs w:val="20"/>
          <w14:textFill>
            <w14:solidFill>
              <w14:schemeClr w14:val="tx1"/>
            </w14:solidFill>
          </w14:textFill>
        </w:rPr>
        <w:t>二、开标一览表</w:t>
      </w:r>
      <w:bookmarkEnd w:id="13"/>
      <w:r>
        <w:rPr>
          <w:rFonts w:hint="eastAsia" w:ascii="Calibri" w:hAnsi="Calibri" w:eastAsia="宋体" w:cs="Times New Roman"/>
          <w:b/>
          <w:color w:val="000000" w:themeColor="text1"/>
          <w:kern w:val="0"/>
          <w:sz w:val="24"/>
          <w:szCs w:val="20"/>
          <w:lang w:val="en-US" w:eastAsia="zh-CN"/>
          <w14:textFill>
            <w14:solidFill>
              <w14:schemeClr w14:val="tx1"/>
            </w14:solidFill>
          </w14:textFill>
        </w:rPr>
        <w:t>及明细报价表</w:t>
      </w:r>
    </w:p>
    <w:p w14:paraId="65FB7EF2">
      <w:pPr>
        <w:spacing w:line="360" w:lineRule="auto"/>
        <w:ind w:firstLine="560" w:firstLineChars="200"/>
        <w:jc w:val="center"/>
        <w:rPr>
          <w:rFonts w:ascii="宋体" w:hAnsi="宋体" w:eastAsia="宋体" w:cs="MingLiU_HKSCS"/>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8"/>
          <w:szCs w:val="28"/>
          <w14:textFill>
            <w14:solidFill>
              <w14:schemeClr w14:val="tx1"/>
            </w14:solidFill>
          </w14:textFill>
        </w:rPr>
        <w:t>开标一览表</w:t>
      </w:r>
    </w:p>
    <w:tbl>
      <w:tblPr>
        <w:tblStyle w:val="3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63"/>
        <w:gridCol w:w="2496"/>
        <w:gridCol w:w="1236"/>
        <w:gridCol w:w="1362"/>
      </w:tblGrid>
      <w:tr w14:paraId="1CAD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737B85D">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2563" w:type="dxa"/>
            <w:vAlign w:val="center"/>
          </w:tcPr>
          <w:p w14:paraId="44B12C49">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项目名称</w:t>
            </w:r>
          </w:p>
        </w:tc>
        <w:tc>
          <w:tcPr>
            <w:tcW w:w="2496" w:type="dxa"/>
            <w:vAlign w:val="center"/>
          </w:tcPr>
          <w:p w14:paraId="6301C69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236" w:type="dxa"/>
            <w:vAlign w:val="center"/>
          </w:tcPr>
          <w:p w14:paraId="20E0DAD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项目编号</w:t>
            </w:r>
          </w:p>
        </w:tc>
        <w:tc>
          <w:tcPr>
            <w:tcW w:w="1362" w:type="dxa"/>
            <w:vAlign w:val="center"/>
          </w:tcPr>
          <w:p w14:paraId="294C3893">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2855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364D9AD">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p>
        </w:tc>
        <w:tc>
          <w:tcPr>
            <w:tcW w:w="2563" w:type="dxa"/>
            <w:vAlign w:val="center"/>
          </w:tcPr>
          <w:p w14:paraId="235DE0F4">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报价</w:t>
            </w:r>
          </w:p>
        </w:tc>
        <w:tc>
          <w:tcPr>
            <w:tcW w:w="5094" w:type="dxa"/>
            <w:gridSpan w:val="3"/>
            <w:vAlign w:val="center"/>
          </w:tcPr>
          <w:p w14:paraId="76D17EF5">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大写：人民币</w:t>
            </w:r>
            <w:r>
              <w:rPr>
                <w:rFonts w:ascii="宋体" w:hAnsi="宋体" w:eastAsia="宋体" w:cs="Times New Roman"/>
                <w:color w:val="000000" w:themeColor="text1"/>
                <w:sz w:val="24"/>
                <w:szCs w:val="24"/>
                <w14:textFill>
                  <w14:solidFill>
                    <w14:schemeClr w14:val="tx1"/>
                  </w14:solidFill>
                </w14:textFill>
              </w:rPr>
              <w:t>______</w:t>
            </w:r>
          </w:p>
          <w:p w14:paraId="27B41339">
            <w:pPr>
              <w:spacing w:line="360" w:lineRule="auto"/>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小写：￥</w:t>
            </w:r>
            <w:r>
              <w:rPr>
                <w:rFonts w:ascii="宋体" w:hAnsi="宋体" w:eastAsia="宋体" w:cs="Times New Roman"/>
                <w:color w:val="000000" w:themeColor="text1"/>
                <w:sz w:val="24"/>
                <w:szCs w:val="24"/>
                <w14:textFill>
                  <w14:solidFill>
                    <w14:schemeClr w14:val="tx1"/>
                  </w14:solidFill>
                </w14:textFill>
              </w:rPr>
              <w:t>______</w:t>
            </w:r>
          </w:p>
        </w:tc>
      </w:tr>
      <w:tr w14:paraId="6BC6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9" w:type="dxa"/>
            <w:vAlign w:val="center"/>
          </w:tcPr>
          <w:p w14:paraId="6F1A9E9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p>
        </w:tc>
        <w:tc>
          <w:tcPr>
            <w:tcW w:w="2563" w:type="dxa"/>
            <w:vAlign w:val="center"/>
          </w:tcPr>
          <w:p w14:paraId="280FE968">
            <w:pPr>
              <w:pStyle w:val="18"/>
              <w:spacing w:line="360" w:lineRule="auto"/>
              <w:jc w:val="center"/>
              <w:rPr>
                <w:rFonts w:hAnsi="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服务期限</w:t>
            </w:r>
          </w:p>
        </w:tc>
        <w:tc>
          <w:tcPr>
            <w:tcW w:w="5094" w:type="dxa"/>
            <w:gridSpan w:val="3"/>
            <w:vAlign w:val="center"/>
          </w:tcPr>
          <w:p w14:paraId="59F6791E">
            <w:pPr>
              <w:spacing w:line="360" w:lineRule="auto"/>
              <w:jc w:val="left"/>
              <w:rPr>
                <w:rFonts w:ascii="宋体" w:hAnsi="宋体" w:eastAsia="宋体" w:cs="Times New Roman"/>
                <w:color w:val="000000" w:themeColor="text1"/>
                <w:sz w:val="24"/>
                <w:szCs w:val="24"/>
                <w14:textFill>
                  <w14:solidFill>
                    <w14:schemeClr w14:val="tx1"/>
                  </w14:solidFill>
                </w14:textFill>
              </w:rPr>
            </w:pPr>
          </w:p>
        </w:tc>
      </w:tr>
      <w:tr w14:paraId="270A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9" w:type="dxa"/>
            <w:vAlign w:val="center"/>
          </w:tcPr>
          <w:p w14:paraId="2B97595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p>
        </w:tc>
        <w:tc>
          <w:tcPr>
            <w:tcW w:w="2563" w:type="dxa"/>
            <w:vAlign w:val="center"/>
          </w:tcPr>
          <w:p w14:paraId="780120A5">
            <w:pPr>
              <w:pStyle w:val="18"/>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服务地点</w:t>
            </w:r>
          </w:p>
        </w:tc>
        <w:tc>
          <w:tcPr>
            <w:tcW w:w="5094" w:type="dxa"/>
            <w:gridSpan w:val="3"/>
            <w:vAlign w:val="center"/>
          </w:tcPr>
          <w:p w14:paraId="522676D0">
            <w:pPr>
              <w:spacing w:line="360" w:lineRule="auto"/>
              <w:jc w:val="left"/>
              <w:rPr>
                <w:rFonts w:ascii="宋体" w:hAnsi="宋体" w:eastAsia="宋体" w:cs="Times New Roman"/>
                <w:color w:val="000000" w:themeColor="text1"/>
                <w:sz w:val="24"/>
                <w:szCs w:val="24"/>
                <w14:textFill>
                  <w14:solidFill>
                    <w14:schemeClr w14:val="tx1"/>
                  </w14:solidFill>
                </w14:textFill>
              </w:rPr>
            </w:pPr>
          </w:p>
        </w:tc>
      </w:tr>
      <w:tr w14:paraId="2C14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109465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p>
        </w:tc>
        <w:tc>
          <w:tcPr>
            <w:tcW w:w="2563" w:type="dxa"/>
            <w:vAlign w:val="center"/>
          </w:tcPr>
          <w:p w14:paraId="352AECF1">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备注</w:t>
            </w:r>
          </w:p>
        </w:tc>
        <w:tc>
          <w:tcPr>
            <w:tcW w:w="5094" w:type="dxa"/>
            <w:gridSpan w:val="3"/>
            <w:vAlign w:val="center"/>
          </w:tcPr>
          <w:p w14:paraId="54FE4CC5">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bl>
    <w:p w14:paraId="45E51845">
      <w:pPr>
        <w:autoSpaceDE w:val="0"/>
        <w:autoSpaceDN w:val="0"/>
        <w:adjustRightInd w:val="0"/>
        <w:spacing w:line="360" w:lineRule="auto"/>
        <w:jc w:val="left"/>
        <w:rPr>
          <w:rFonts w:ascii="宋体" w:hAnsi="宋体" w:eastAsia="宋体" w:cs="Times New Roman"/>
          <w:color w:val="000000" w:themeColor="text1"/>
          <w:kern w:val="0"/>
          <w14:textFill>
            <w14:solidFill>
              <w14:schemeClr w14:val="tx1"/>
            </w14:solidFill>
          </w14:textFill>
        </w:rPr>
      </w:pPr>
    </w:p>
    <w:p w14:paraId="734BE3D7">
      <w:pPr>
        <w:spacing w:line="360" w:lineRule="auto"/>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投标人名称（加盖公章）：</w:t>
      </w:r>
    </w:p>
    <w:p w14:paraId="4ACD5FF5">
      <w:pPr>
        <w:spacing w:line="360" w:lineRule="auto"/>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代理（被授权人）签字：</w:t>
      </w:r>
    </w:p>
    <w:p w14:paraId="48743F97">
      <w:pPr>
        <w:spacing w:line="360" w:lineRule="auto"/>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日期：年月日</w:t>
      </w:r>
    </w:p>
    <w:p w14:paraId="000950AC">
      <w:pP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br w:type="page"/>
      </w:r>
    </w:p>
    <w:p w14:paraId="4AA10BDD">
      <w:pPr>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明细报价表</w:t>
      </w:r>
    </w:p>
    <w:p w14:paraId="147DD582">
      <w:pPr>
        <w:ind w:firstLine="480" w:firstLineChars="200"/>
        <w:jc w:val="center"/>
        <w:rPr>
          <w:rFonts w:ascii="宋体" w:hAnsi="宋体" w:eastAsia="宋体" w:cs="Times New Roman"/>
          <w:color w:val="000000" w:themeColor="text1"/>
          <w:kern w:val="0"/>
          <w:sz w:val="24"/>
          <w:szCs w:val="24"/>
          <w14:textFill>
            <w14:solidFill>
              <w14:schemeClr w14:val="tx1"/>
            </w14:solidFill>
          </w14:textFill>
        </w:rPr>
      </w:pPr>
    </w:p>
    <w:p w14:paraId="4FBBACC7">
      <w:pPr>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项目名称：</w:t>
      </w:r>
      <w:r>
        <w:rPr>
          <w:rFonts w:ascii="宋体" w:hAnsi="宋体" w:eastAsia="宋体" w:cs="Times New Roman"/>
          <w:color w:val="000000" w:themeColor="text1"/>
          <w:kern w:val="0"/>
          <w:sz w:val="24"/>
          <w:szCs w:val="24"/>
          <w14:textFill>
            <w14:solidFill>
              <w14:schemeClr w14:val="tx1"/>
            </w14:solidFill>
          </w14:textFill>
        </w:rPr>
        <w:t>____________________</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项目编号：　</w:t>
      </w:r>
    </w:p>
    <w:p w14:paraId="219538CF">
      <w:pPr>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包号：</w:t>
      </w:r>
      <w:r>
        <w:rPr>
          <w:rFonts w:ascii="宋体" w:hAnsi="宋体" w:eastAsia="宋体" w:cs="Times New Roman"/>
          <w:color w:val="000000" w:themeColor="text1"/>
          <w:kern w:val="0"/>
          <w:sz w:val="24"/>
          <w:szCs w:val="24"/>
          <w14:textFill>
            <w14:solidFill>
              <w14:schemeClr w14:val="tx1"/>
            </w14:solidFill>
          </w14:textFill>
        </w:rPr>
        <w:t>____________</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金额单位：元</w:t>
      </w:r>
    </w:p>
    <w:tbl>
      <w:tblPr>
        <w:tblStyle w:val="3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2552"/>
        <w:gridCol w:w="3546"/>
      </w:tblGrid>
      <w:tr w14:paraId="02D6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Align w:val="center"/>
          </w:tcPr>
          <w:p w14:paraId="132FBDBF">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序号</w:t>
            </w:r>
          </w:p>
        </w:tc>
        <w:tc>
          <w:tcPr>
            <w:tcW w:w="1843" w:type="dxa"/>
            <w:vAlign w:val="center"/>
          </w:tcPr>
          <w:p w14:paraId="70FC0117">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服务内容</w:t>
            </w:r>
          </w:p>
        </w:tc>
        <w:tc>
          <w:tcPr>
            <w:tcW w:w="2552" w:type="dxa"/>
            <w:vAlign w:val="center"/>
          </w:tcPr>
          <w:p w14:paraId="6DD60788">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报价</w:t>
            </w:r>
          </w:p>
        </w:tc>
        <w:tc>
          <w:tcPr>
            <w:tcW w:w="3546" w:type="dxa"/>
            <w:vAlign w:val="center"/>
          </w:tcPr>
          <w:p w14:paraId="33146DAA">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备注</w:t>
            </w:r>
          </w:p>
        </w:tc>
      </w:tr>
      <w:tr w14:paraId="08D4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D698D78">
            <w:pPr>
              <w:pStyle w:val="18"/>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p>
        </w:tc>
        <w:tc>
          <w:tcPr>
            <w:tcW w:w="1843" w:type="dxa"/>
            <w:vAlign w:val="center"/>
          </w:tcPr>
          <w:p w14:paraId="276CD6BC">
            <w:pPr>
              <w:pStyle w:val="18"/>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676399D3">
            <w:pPr>
              <w:pStyle w:val="18"/>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52CC8602">
            <w:pPr>
              <w:pStyle w:val="18"/>
              <w:spacing w:line="360" w:lineRule="auto"/>
              <w:jc w:val="center"/>
              <w:rPr>
                <w:rFonts w:hAnsi="宋体"/>
                <w:color w:val="000000" w:themeColor="text1"/>
                <w:sz w:val="24"/>
                <w:szCs w:val="24"/>
                <w14:textFill>
                  <w14:solidFill>
                    <w14:schemeClr w14:val="tx1"/>
                  </w14:solidFill>
                </w14:textFill>
              </w:rPr>
            </w:pPr>
          </w:p>
        </w:tc>
      </w:tr>
      <w:tr w14:paraId="50BE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EDD1429">
            <w:pPr>
              <w:pStyle w:val="18"/>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p>
        </w:tc>
        <w:tc>
          <w:tcPr>
            <w:tcW w:w="1843" w:type="dxa"/>
            <w:vAlign w:val="center"/>
          </w:tcPr>
          <w:p w14:paraId="67709ABB">
            <w:pPr>
              <w:pStyle w:val="18"/>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237AF760">
            <w:pPr>
              <w:pStyle w:val="18"/>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70AA2440">
            <w:pPr>
              <w:pStyle w:val="18"/>
              <w:spacing w:line="360" w:lineRule="auto"/>
              <w:jc w:val="center"/>
              <w:rPr>
                <w:rFonts w:hAnsi="宋体"/>
                <w:color w:val="000000" w:themeColor="text1"/>
                <w:sz w:val="24"/>
                <w:szCs w:val="24"/>
                <w14:textFill>
                  <w14:solidFill>
                    <w14:schemeClr w14:val="tx1"/>
                  </w14:solidFill>
                </w14:textFill>
              </w:rPr>
            </w:pPr>
          </w:p>
        </w:tc>
      </w:tr>
      <w:tr w14:paraId="63A1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EB388F2">
            <w:pPr>
              <w:pStyle w:val="18"/>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p>
        </w:tc>
        <w:tc>
          <w:tcPr>
            <w:tcW w:w="1843" w:type="dxa"/>
            <w:vAlign w:val="center"/>
          </w:tcPr>
          <w:p w14:paraId="0DFF29D8">
            <w:pPr>
              <w:pStyle w:val="18"/>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0DB67FE5">
            <w:pPr>
              <w:pStyle w:val="18"/>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02635BF0">
            <w:pPr>
              <w:pStyle w:val="18"/>
              <w:spacing w:line="360" w:lineRule="auto"/>
              <w:jc w:val="center"/>
              <w:rPr>
                <w:rFonts w:hAnsi="宋体"/>
                <w:color w:val="000000" w:themeColor="text1"/>
                <w:sz w:val="24"/>
                <w:szCs w:val="24"/>
                <w14:textFill>
                  <w14:solidFill>
                    <w14:schemeClr w14:val="tx1"/>
                  </w14:solidFill>
                </w14:textFill>
              </w:rPr>
            </w:pPr>
          </w:p>
        </w:tc>
      </w:tr>
      <w:tr w14:paraId="4CA4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3645B2C3">
            <w:pPr>
              <w:pStyle w:val="18"/>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p>
        </w:tc>
        <w:tc>
          <w:tcPr>
            <w:tcW w:w="1843" w:type="dxa"/>
            <w:vAlign w:val="center"/>
          </w:tcPr>
          <w:p w14:paraId="6AFEC4C2">
            <w:pPr>
              <w:pStyle w:val="18"/>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299B3B20">
            <w:pPr>
              <w:pStyle w:val="18"/>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7260735F">
            <w:pPr>
              <w:pStyle w:val="18"/>
              <w:spacing w:line="360" w:lineRule="auto"/>
              <w:jc w:val="center"/>
              <w:rPr>
                <w:rFonts w:hAnsi="宋体"/>
                <w:color w:val="000000" w:themeColor="text1"/>
                <w:sz w:val="24"/>
                <w:szCs w:val="24"/>
                <w14:textFill>
                  <w14:solidFill>
                    <w14:schemeClr w14:val="tx1"/>
                  </w14:solidFill>
                </w14:textFill>
              </w:rPr>
            </w:pPr>
          </w:p>
        </w:tc>
      </w:tr>
      <w:tr w14:paraId="3B3A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72BCFB68">
            <w:pPr>
              <w:pStyle w:val="18"/>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p>
        </w:tc>
        <w:tc>
          <w:tcPr>
            <w:tcW w:w="1843" w:type="dxa"/>
            <w:vAlign w:val="center"/>
          </w:tcPr>
          <w:p w14:paraId="44DFD663">
            <w:pPr>
              <w:pStyle w:val="18"/>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299CA640">
            <w:pPr>
              <w:pStyle w:val="18"/>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332FB3EB">
            <w:pPr>
              <w:pStyle w:val="18"/>
              <w:spacing w:line="360" w:lineRule="auto"/>
              <w:jc w:val="center"/>
              <w:rPr>
                <w:rFonts w:hAnsi="宋体"/>
                <w:color w:val="000000" w:themeColor="text1"/>
                <w:sz w:val="24"/>
                <w:szCs w:val="24"/>
                <w14:textFill>
                  <w14:solidFill>
                    <w14:schemeClr w14:val="tx1"/>
                  </w14:solidFill>
                </w14:textFill>
              </w:rPr>
            </w:pPr>
          </w:p>
        </w:tc>
      </w:tr>
      <w:tr w14:paraId="24B0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3B4B408">
            <w:pPr>
              <w:pStyle w:val="18"/>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6</w:t>
            </w:r>
          </w:p>
        </w:tc>
        <w:tc>
          <w:tcPr>
            <w:tcW w:w="1843" w:type="dxa"/>
            <w:vAlign w:val="center"/>
          </w:tcPr>
          <w:p w14:paraId="713D0744">
            <w:pPr>
              <w:pStyle w:val="18"/>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05F2322D">
            <w:pPr>
              <w:pStyle w:val="18"/>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41BCE161">
            <w:pPr>
              <w:pStyle w:val="18"/>
              <w:spacing w:line="360" w:lineRule="auto"/>
              <w:jc w:val="center"/>
              <w:rPr>
                <w:rFonts w:hAnsi="宋体"/>
                <w:color w:val="000000" w:themeColor="text1"/>
                <w:sz w:val="24"/>
                <w:szCs w:val="24"/>
                <w14:textFill>
                  <w14:solidFill>
                    <w14:schemeClr w14:val="tx1"/>
                  </w14:solidFill>
                </w14:textFill>
              </w:rPr>
            </w:pPr>
          </w:p>
        </w:tc>
      </w:tr>
      <w:tr w14:paraId="793A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E7054CC">
            <w:pPr>
              <w:pStyle w:val="18"/>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7</w:t>
            </w:r>
          </w:p>
        </w:tc>
        <w:tc>
          <w:tcPr>
            <w:tcW w:w="1843" w:type="dxa"/>
            <w:vAlign w:val="center"/>
          </w:tcPr>
          <w:p w14:paraId="7852CABF">
            <w:pPr>
              <w:pStyle w:val="18"/>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6852D395">
            <w:pPr>
              <w:pStyle w:val="18"/>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730A2804">
            <w:pPr>
              <w:pStyle w:val="18"/>
              <w:spacing w:line="360" w:lineRule="auto"/>
              <w:jc w:val="center"/>
              <w:rPr>
                <w:rFonts w:hAnsi="宋体"/>
                <w:color w:val="000000" w:themeColor="text1"/>
                <w:sz w:val="24"/>
                <w:szCs w:val="24"/>
                <w14:textFill>
                  <w14:solidFill>
                    <w14:schemeClr w14:val="tx1"/>
                  </w14:solidFill>
                </w14:textFill>
              </w:rPr>
            </w:pPr>
          </w:p>
        </w:tc>
      </w:tr>
      <w:tr w14:paraId="0078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4AAA7D1C">
            <w:pPr>
              <w:pStyle w:val="18"/>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8</w:t>
            </w:r>
          </w:p>
        </w:tc>
        <w:tc>
          <w:tcPr>
            <w:tcW w:w="1843" w:type="dxa"/>
            <w:vAlign w:val="center"/>
          </w:tcPr>
          <w:p w14:paraId="1B389049">
            <w:pPr>
              <w:pStyle w:val="18"/>
              <w:spacing w:line="360" w:lineRule="auto"/>
              <w:jc w:val="center"/>
              <w:rPr>
                <w:rFonts w:hAnsi="宋体"/>
                <w:color w:val="000000" w:themeColor="text1"/>
                <w:sz w:val="24"/>
                <w:szCs w:val="24"/>
                <w14:textFill>
                  <w14:solidFill>
                    <w14:schemeClr w14:val="tx1"/>
                  </w14:solidFill>
                </w14:textFill>
              </w:rPr>
            </w:pPr>
          </w:p>
        </w:tc>
        <w:tc>
          <w:tcPr>
            <w:tcW w:w="2552" w:type="dxa"/>
            <w:vAlign w:val="center"/>
          </w:tcPr>
          <w:p w14:paraId="66A3DF59">
            <w:pPr>
              <w:pStyle w:val="18"/>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74B56D69">
            <w:pPr>
              <w:pStyle w:val="18"/>
              <w:spacing w:line="360" w:lineRule="auto"/>
              <w:jc w:val="center"/>
              <w:rPr>
                <w:rFonts w:hAnsi="宋体" w:cs="MingLiU_HKSCS"/>
                <w:color w:val="000000" w:themeColor="text1"/>
                <w:sz w:val="24"/>
                <w:szCs w:val="24"/>
                <w14:textFill>
                  <w14:solidFill>
                    <w14:schemeClr w14:val="tx1"/>
                  </w14:solidFill>
                </w14:textFill>
              </w:rPr>
            </w:pPr>
          </w:p>
        </w:tc>
      </w:tr>
      <w:tr w14:paraId="286C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6D9E05C4">
            <w:pPr>
              <w:pStyle w:val="18"/>
              <w:spacing w:line="360" w:lineRule="auto"/>
              <w:jc w:val="center"/>
              <w:rPr>
                <w:rFonts w:hAnsi="宋体"/>
                <w:color w:val="000000" w:themeColor="text1"/>
                <w:sz w:val="24"/>
                <w:szCs w:val="24"/>
                <w14:textFill>
                  <w14:solidFill>
                    <w14:schemeClr w14:val="tx1"/>
                  </w14:solidFill>
                </w14:textFill>
              </w:rPr>
            </w:pPr>
          </w:p>
        </w:tc>
        <w:tc>
          <w:tcPr>
            <w:tcW w:w="1843" w:type="dxa"/>
            <w:vAlign w:val="center"/>
          </w:tcPr>
          <w:p w14:paraId="07D51C7D">
            <w:pPr>
              <w:pStyle w:val="18"/>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w:t>
            </w:r>
          </w:p>
        </w:tc>
        <w:tc>
          <w:tcPr>
            <w:tcW w:w="2552" w:type="dxa"/>
            <w:vAlign w:val="center"/>
          </w:tcPr>
          <w:p w14:paraId="6D060BB8">
            <w:pPr>
              <w:pStyle w:val="18"/>
              <w:spacing w:line="360" w:lineRule="auto"/>
              <w:jc w:val="center"/>
              <w:rPr>
                <w:rFonts w:hAnsi="宋体"/>
                <w:color w:val="000000" w:themeColor="text1"/>
                <w:sz w:val="24"/>
                <w:szCs w:val="24"/>
                <w14:textFill>
                  <w14:solidFill>
                    <w14:schemeClr w14:val="tx1"/>
                  </w14:solidFill>
                </w14:textFill>
              </w:rPr>
            </w:pPr>
          </w:p>
        </w:tc>
        <w:tc>
          <w:tcPr>
            <w:tcW w:w="3546" w:type="dxa"/>
            <w:vAlign w:val="center"/>
          </w:tcPr>
          <w:p w14:paraId="68CD07C3">
            <w:pPr>
              <w:pStyle w:val="18"/>
              <w:spacing w:line="360" w:lineRule="auto"/>
              <w:jc w:val="center"/>
              <w:rPr>
                <w:rFonts w:hAnsi="宋体" w:cs="MingLiU_HKSCS"/>
                <w:color w:val="000000" w:themeColor="text1"/>
                <w:sz w:val="24"/>
                <w:szCs w:val="24"/>
                <w14:textFill>
                  <w14:solidFill>
                    <w14:schemeClr w14:val="tx1"/>
                  </w14:solidFill>
                </w14:textFill>
              </w:rPr>
            </w:pPr>
          </w:p>
        </w:tc>
      </w:tr>
      <w:tr w14:paraId="3F6A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vAlign w:val="center"/>
          </w:tcPr>
          <w:p w14:paraId="002296BA">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总计</w:t>
            </w:r>
          </w:p>
        </w:tc>
        <w:tc>
          <w:tcPr>
            <w:tcW w:w="6098" w:type="dxa"/>
            <w:gridSpan w:val="2"/>
            <w:vAlign w:val="center"/>
          </w:tcPr>
          <w:p w14:paraId="2C8AA4D3">
            <w:pPr>
              <w:pStyle w:val="18"/>
              <w:spacing w:line="360" w:lineRule="auto"/>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大写：人民币</w:t>
            </w:r>
            <w:r>
              <w:rPr>
                <w:rFonts w:hAnsi="宋体"/>
                <w:color w:val="000000" w:themeColor="text1"/>
                <w:sz w:val="24"/>
                <w:szCs w:val="24"/>
                <w14:textFill>
                  <w14:solidFill>
                    <w14:schemeClr w14:val="tx1"/>
                  </w14:solidFill>
                </w14:textFill>
              </w:rPr>
              <w:t>____________________</w:t>
            </w:r>
            <w:r>
              <w:rPr>
                <w:rFonts w:hint="eastAsia" w:hAnsi="宋体"/>
                <w:color w:val="000000" w:themeColor="text1"/>
                <w:sz w:val="24"/>
                <w:szCs w:val="24"/>
                <w14:textFill>
                  <w14:solidFill>
                    <w14:schemeClr w14:val="tx1"/>
                  </w14:solidFill>
                </w14:textFill>
              </w:rPr>
              <w:t>元</w:t>
            </w:r>
          </w:p>
          <w:p w14:paraId="3F27DAC0">
            <w:pPr>
              <w:pStyle w:val="18"/>
              <w:spacing w:line="360" w:lineRule="auto"/>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小写：￥</w:t>
            </w:r>
            <w:r>
              <w:rPr>
                <w:rFonts w:hAnsi="宋体"/>
                <w:color w:val="000000" w:themeColor="text1"/>
                <w:sz w:val="24"/>
                <w:szCs w:val="24"/>
                <w14:textFill>
                  <w14:solidFill>
                    <w14:schemeClr w14:val="tx1"/>
                  </w14:solidFill>
                </w14:textFill>
              </w:rPr>
              <w:t>____________________</w:t>
            </w:r>
          </w:p>
        </w:tc>
      </w:tr>
    </w:tbl>
    <w:p w14:paraId="6DF026B6">
      <w:pPr>
        <w:spacing w:line="440" w:lineRule="exact"/>
        <w:rPr>
          <w:rFonts w:ascii="宋体" w:hAnsi="宋体" w:eastAsia="宋体" w:cs="Times New Roman"/>
          <w:b/>
          <w:color w:val="000000" w:themeColor="text1"/>
          <w:sz w:val="24"/>
          <w:szCs w:val="24"/>
          <w14:textFill>
            <w14:solidFill>
              <w14:schemeClr w14:val="tx1"/>
            </w14:solidFill>
          </w14:textFill>
        </w:rPr>
      </w:pPr>
      <w:r>
        <w:rPr>
          <w:rFonts w:hint="eastAsia" w:ascii="Calibri" w:hAnsi="宋体" w:eastAsia="宋体" w:cs="Times New Roman"/>
          <w:b/>
          <w:bCs/>
          <w:color w:val="000000" w:themeColor="text1"/>
          <w:sz w:val="24"/>
          <w:szCs w:val="24"/>
          <w14:textFill>
            <w14:solidFill>
              <w14:schemeClr w14:val="tx1"/>
            </w14:solidFill>
          </w14:textFill>
        </w:rPr>
        <w:t>注：</w:t>
      </w:r>
      <w:r>
        <w:rPr>
          <w:rFonts w:ascii="宋体" w:hAnsi="宋体" w:eastAsia="宋体" w:cs="Times New Roman"/>
          <w:b/>
          <w:color w:val="000000" w:themeColor="text1"/>
          <w:sz w:val="24"/>
          <w:szCs w:val="24"/>
          <w14:textFill>
            <w14:solidFill>
              <w14:schemeClr w14:val="tx1"/>
            </w14:solidFill>
          </w14:textFill>
        </w:rPr>
        <w:t>1</w:t>
      </w:r>
      <w:r>
        <w:rPr>
          <w:rFonts w:hint="eastAsia" w:ascii="宋体" w:hAnsi="宋体" w:eastAsia="宋体" w:cs="Times New Roman"/>
          <w:b/>
          <w:color w:val="000000" w:themeColor="text1"/>
          <w:sz w:val="24"/>
          <w:szCs w:val="24"/>
          <w14:textFill>
            <w14:solidFill>
              <w14:schemeClr w14:val="tx1"/>
            </w14:solidFill>
          </w14:textFill>
        </w:rPr>
        <w:t>、合计金额应为各分项价格之和。</w:t>
      </w:r>
    </w:p>
    <w:p w14:paraId="7520AD23">
      <w:pPr>
        <w:spacing w:line="440" w:lineRule="exact"/>
        <w:ind w:firstLine="470" w:firstLineChars="196"/>
        <w:rPr>
          <w:rFonts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2</w:t>
      </w:r>
      <w:r>
        <w:rPr>
          <w:rFonts w:hint="eastAsia" w:ascii="宋体" w:hAnsi="宋体" w:eastAsia="宋体" w:cs="Times New Roman"/>
          <w:b/>
          <w:color w:val="000000" w:themeColor="text1"/>
          <w:sz w:val="24"/>
          <w:szCs w:val="24"/>
          <w14:textFill>
            <w14:solidFill>
              <w14:schemeClr w14:val="tx1"/>
            </w14:solidFill>
          </w14:textFill>
        </w:rPr>
        <w:t>、本项目为交钥匙项目，人工、税金等其它和本项目有关一切费用含在单项报价中。</w:t>
      </w:r>
    </w:p>
    <w:p w14:paraId="5038C01D">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1B7BB1C7">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0E272328">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盖公章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250B6F5D">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7959058B">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6A0B381C">
      <w:pPr>
        <w:spacing w:line="360" w:lineRule="auto"/>
        <w:ind w:firstLine="480" w:firstLineChars="200"/>
        <w:jc w:val="right"/>
        <w:rPr>
          <w:rFonts w:ascii="宋体" w:hAnsi="宋体" w:eastAsia="宋体" w:cs="Times New Roman"/>
          <w:color w:val="000000" w:themeColor="text1"/>
          <w:kern w:val="0"/>
          <w:sz w:val="24"/>
          <w:szCs w:val="24"/>
          <w14:textFill>
            <w14:solidFill>
              <w14:schemeClr w14:val="tx1"/>
            </w14:solidFill>
          </w14:textFill>
        </w:rPr>
      </w:pPr>
    </w:p>
    <w:p w14:paraId="067858FE">
      <w:pPr>
        <w:spacing w:line="360" w:lineRule="auto"/>
        <w:rPr>
          <w:rFonts w:ascii="宋体" w:hAnsi="宋体" w:eastAsia="宋体" w:cs="Times New Roman"/>
          <w:color w:val="000000" w:themeColor="text1"/>
          <w:sz w:val="24"/>
          <w14:textFill>
            <w14:solidFill>
              <w14:schemeClr w14:val="tx1"/>
            </w14:solidFill>
          </w14:textFill>
        </w:rPr>
      </w:pPr>
    </w:p>
    <w:p w14:paraId="054F7B7D">
      <w:pPr>
        <w:spacing w:line="360" w:lineRule="auto"/>
        <w:rPr>
          <w:rFonts w:ascii="宋体" w:hAnsi="宋体" w:eastAsia="宋体" w:cs="Times New Roman"/>
          <w:color w:val="000000" w:themeColor="text1"/>
          <w:sz w:val="24"/>
          <w14:textFill>
            <w14:solidFill>
              <w14:schemeClr w14:val="tx1"/>
            </w14:solidFill>
          </w14:textFill>
        </w:rPr>
      </w:pPr>
    </w:p>
    <w:p w14:paraId="4DDCFE4C">
      <w:pPr>
        <w:spacing w:line="360" w:lineRule="auto"/>
        <w:ind w:firstLine="480" w:firstLineChars="200"/>
        <w:rPr>
          <w:rFonts w:ascii="宋体" w:hAnsi="宋体" w:eastAsia="宋体" w:cs="Times New Roman"/>
          <w:color w:val="000000" w:themeColor="text1"/>
          <w:sz w:val="24"/>
          <w14:textFill>
            <w14:solidFill>
              <w14:schemeClr w14:val="tx1"/>
            </w14:solidFill>
          </w14:textFill>
        </w:rPr>
      </w:pPr>
    </w:p>
    <w:p w14:paraId="525B8470">
      <w:pPr>
        <w:spacing w:line="360" w:lineRule="auto"/>
      </w:pPr>
      <w:bookmarkStart w:id="14" w:name="_Toc27442"/>
      <w:r>
        <w:rPr>
          <w:rFonts w:hint="eastAsia"/>
        </w:rPr>
        <w:br w:type="page"/>
      </w:r>
    </w:p>
    <w:p w14:paraId="4FC68D1A">
      <w:pPr>
        <w:pStyle w:val="4"/>
        <w:spacing w:line="360" w:lineRule="auto"/>
        <w:rPr>
          <w:color w:val="000000" w:themeColor="text1"/>
          <w14:textFill>
            <w14:solidFill>
              <w14:schemeClr w14:val="tx1"/>
            </w14:solidFill>
          </w14:textFill>
        </w:rPr>
      </w:pPr>
      <w:r>
        <w:rPr>
          <w:rFonts w:hint="eastAsia"/>
        </w:rPr>
        <w:t>三、商务条款偏离表</w:t>
      </w:r>
      <w:bookmarkEnd w:id="14"/>
    </w:p>
    <w:p w14:paraId="78F89DA8">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D3FC365">
      <w:pPr>
        <w:spacing w:line="360" w:lineRule="auto"/>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商务条款偏离表</w:t>
      </w:r>
    </w:p>
    <w:p w14:paraId="32319E4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项目名称：</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项目编号：</w:t>
      </w:r>
    </w:p>
    <w:p w14:paraId="3781E7D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包号：</w:t>
      </w:r>
    </w:p>
    <w:tbl>
      <w:tblPr>
        <w:tblStyle w:val="35"/>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268"/>
        <w:gridCol w:w="2126"/>
        <w:gridCol w:w="745"/>
        <w:gridCol w:w="816"/>
      </w:tblGrid>
      <w:tr w14:paraId="71CE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CD2DE6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序号</w:t>
            </w:r>
          </w:p>
        </w:tc>
        <w:tc>
          <w:tcPr>
            <w:tcW w:w="1843" w:type="dxa"/>
            <w:vAlign w:val="center"/>
          </w:tcPr>
          <w:p w14:paraId="3C0FCDB0">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招标文件条目号</w:t>
            </w:r>
          </w:p>
        </w:tc>
        <w:tc>
          <w:tcPr>
            <w:tcW w:w="2268" w:type="dxa"/>
            <w:vAlign w:val="center"/>
          </w:tcPr>
          <w:p w14:paraId="376F710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招标文件的商务条款</w:t>
            </w:r>
          </w:p>
        </w:tc>
        <w:tc>
          <w:tcPr>
            <w:tcW w:w="2126" w:type="dxa"/>
            <w:vAlign w:val="center"/>
          </w:tcPr>
          <w:p w14:paraId="3520A34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投标文件的商务条款</w:t>
            </w:r>
          </w:p>
        </w:tc>
        <w:tc>
          <w:tcPr>
            <w:tcW w:w="745" w:type="dxa"/>
            <w:vAlign w:val="center"/>
          </w:tcPr>
          <w:p w14:paraId="60D6681E">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偏离</w:t>
            </w:r>
          </w:p>
        </w:tc>
        <w:tc>
          <w:tcPr>
            <w:tcW w:w="816" w:type="dxa"/>
            <w:vAlign w:val="center"/>
          </w:tcPr>
          <w:p w14:paraId="17928108">
            <w:pPr>
              <w:spacing w:line="360" w:lineRule="auto"/>
              <w:jc w:val="center"/>
              <w:rPr>
                <w:rFonts w:ascii="宋体" w:hAnsi="宋体" w:eastAsia="宋体" w:cs="MingLiU_HKS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p>
        </w:tc>
      </w:tr>
      <w:tr w14:paraId="164D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F988CD8">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2C7A730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3EE8F2F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7914DE5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5D9077C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4E2B4ED2">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5BCF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5932D3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6F05B210">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7039415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0D60E748">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40A2A26A">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0DA0A82C">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68C1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43E413F">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1FBBAECA">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6D32693E">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337219B1">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37896ECC">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0F71DB50">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7F451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3938BF3">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64DFA195">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0F1EEC27">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00EE621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706C817A">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285FAFD7">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4DDD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68C4818">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7A491BDC">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4A075309">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6D17F1E0">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7796C0F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0E8CD3B3">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5157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FBD554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843" w:type="dxa"/>
            <w:vAlign w:val="center"/>
          </w:tcPr>
          <w:p w14:paraId="3C84775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268" w:type="dxa"/>
            <w:vAlign w:val="center"/>
          </w:tcPr>
          <w:p w14:paraId="651FC27D">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26" w:type="dxa"/>
            <w:vAlign w:val="center"/>
          </w:tcPr>
          <w:p w14:paraId="7ED360F0">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745" w:type="dxa"/>
            <w:vAlign w:val="center"/>
          </w:tcPr>
          <w:p w14:paraId="4A5D14EA">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816" w:type="dxa"/>
            <w:vAlign w:val="center"/>
          </w:tcPr>
          <w:p w14:paraId="7E13C80C">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bl>
    <w:p w14:paraId="4BB33E0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说明：如有偏离，则必须注明“偏离”；未注明偏离的，视为完全投标。</w:t>
      </w:r>
    </w:p>
    <w:p w14:paraId="0CBD647C">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600E00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79FCA48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74923B2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4CB65F1B">
      <w:pPr>
        <w:keepNext/>
        <w:keepLines/>
        <w:spacing w:before="260" w:after="260" w:line="360"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hint="eastAsia" w:ascii="Calibri" w:hAnsi="Calibri" w:eastAsia="宋体" w:cs="Times New Roman"/>
          <w:b/>
          <w:color w:val="000000" w:themeColor="text1"/>
          <w:sz w:val="24"/>
          <w14:textFill>
            <w14:solidFill>
              <w14:schemeClr w14:val="tx1"/>
            </w14:solidFill>
          </w14:textFill>
        </w:rPr>
        <w:br w:type="page"/>
      </w:r>
      <w:bookmarkStart w:id="15" w:name="_Toc18621"/>
      <w:r>
        <w:rPr>
          <w:rFonts w:hint="eastAsia" w:ascii="Calibri" w:hAnsi="Calibri" w:eastAsia="宋体" w:cs="Times New Roman"/>
          <w:b/>
          <w:color w:val="000000" w:themeColor="text1"/>
          <w:kern w:val="0"/>
          <w:sz w:val="24"/>
          <w:szCs w:val="20"/>
          <w14:textFill>
            <w14:solidFill>
              <w14:schemeClr w14:val="tx1"/>
            </w14:solidFill>
          </w14:textFill>
        </w:rPr>
        <w:t>四、投标保证金</w:t>
      </w:r>
      <w:bookmarkEnd w:id="15"/>
    </w:p>
    <w:p w14:paraId="551CE76C">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说明：提供汇款单或转账凭证复印件。</w:t>
      </w:r>
    </w:p>
    <w:p w14:paraId="6DE11644">
      <w:pPr>
        <w:keepNext/>
        <w:keepLines/>
        <w:spacing w:before="260" w:after="260" w:line="360"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hint="eastAsia" w:ascii="Calibri" w:hAnsi="Calibri" w:eastAsia="宋体" w:cs="Times New Roman"/>
          <w:b/>
          <w:color w:val="000000" w:themeColor="text1"/>
          <w:sz w:val="24"/>
          <w14:textFill>
            <w14:solidFill>
              <w14:schemeClr w14:val="tx1"/>
            </w14:solidFill>
          </w14:textFill>
        </w:rPr>
        <w:br w:type="page"/>
      </w:r>
      <w:bookmarkStart w:id="16" w:name="_Toc14651"/>
      <w:r>
        <w:rPr>
          <w:rFonts w:hint="eastAsia" w:ascii="Calibri" w:hAnsi="Calibri" w:eastAsia="宋体" w:cs="Times New Roman"/>
          <w:b/>
          <w:color w:val="000000" w:themeColor="text1"/>
          <w:kern w:val="0"/>
          <w:sz w:val="24"/>
          <w:szCs w:val="20"/>
          <w14:textFill>
            <w14:solidFill>
              <w14:schemeClr w14:val="tx1"/>
            </w14:solidFill>
          </w14:textFill>
        </w:rPr>
        <w:t>五、供应商具备投标资格的证明文件</w:t>
      </w:r>
      <w:bookmarkEnd w:id="16"/>
    </w:p>
    <w:p w14:paraId="0D22881E">
      <w:pPr>
        <w:keepNext/>
        <w:keepLines/>
        <w:spacing w:before="280" w:after="290" w:line="360" w:lineRule="auto"/>
        <w:jc w:val="center"/>
        <w:outlineLvl w:val="3"/>
        <w:rPr>
          <w:rFonts w:ascii="宋体" w:hAnsi="宋体" w:eastAsia="宋体" w:cs="Times New Roman"/>
          <w:b/>
          <w:bCs/>
          <w:color w:val="000000" w:themeColor="text1"/>
          <w:kern w:val="0"/>
          <w:sz w:val="24"/>
          <w:szCs w:val="24"/>
          <w14:textFill>
            <w14:solidFill>
              <w14:schemeClr w14:val="tx1"/>
            </w14:solidFill>
          </w14:textFill>
        </w:rPr>
      </w:pPr>
      <w:bookmarkStart w:id="17" w:name="_Toc26898"/>
      <w:r>
        <w:rPr>
          <w:rFonts w:hint="eastAsia" w:ascii="Calibri Light" w:hAnsi="Calibri Light" w:eastAsia="宋体" w:cs="Times New Roman"/>
          <w:b/>
          <w:bCs/>
          <w:color w:val="000000" w:themeColor="text1"/>
          <w:kern w:val="0"/>
          <w:sz w:val="24"/>
          <w:szCs w:val="28"/>
          <w14:textFill>
            <w14:solidFill>
              <w14:schemeClr w14:val="tx1"/>
            </w14:solidFill>
          </w14:textFill>
        </w:rPr>
        <w:t>附件5－</w:t>
      </w:r>
      <w:r>
        <w:rPr>
          <w:rFonts w:ascii="Calibri Light" w:hAnsi="Calibri Light" w:eastAsia="宋体" w:cs="Times New Roman"/>
          <w:b/>
          <w:bCs/>
          <w:color w:val="000000" w:themeColor="text1"/>
          <w:kern w:val="0"/>
          <w:sz w:val="24"/>
          <w:szCs w:val="28"/>
          <w14:textFill>
            <w14:solidFill>
              <w14:schemeClr w14:val="tx1"/>
            </w14:solidFill>
          </w14:textFill>
        </w:rPr>
        <w:t>1</w:t>
      </w:r>
      <w:bookmarkEnd w:id="17"/>
    </w:p>
    <w:p w14:paraId="4D17C28C">
      <w:pPr>
        <w:spacing w:line="360" w:lineRule="auto"/>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供应商基本情况表</w:t>
      </w:r>
    </w:p>
    <w:p w14:paraId="4CA99F4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供应商：</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p>
    <w:tbl>
      <w:tblPr>
        <w:tblStyle w:val="3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1969"/>
        <w:gridCol w:w="2131"/>
        <w:gridCol w:w="1512"/>
      </w:tblGrid>
      <w:tr w14:paraId="7F33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56018C8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供应商名称</w:t>
            </w:r>
          </w:p>
        </w:tc>
        <w:tc>
          <w:tcPr>
            <w:tcW w:w="1969" w:type="dxa"/>
            <w:vAlign w:val="center"/>
          </w:tcPr>
          <w:p w14:paraId="09EE5A76">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5E1DD52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w:t>
            </w:r>
          </w:p>
        </w:tc>
        <w:tc>
          <w:tcPr>
            <w:tcW w:w="1512" w:type="dxa"/>
            <w:vAlign w:val="center"/>
          </w:tcPr>
          <w:p w14:paraId="46DD454E">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0942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7A83DE7">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统一社会信用代码</w:t>
            </w:r>
          </w:p>
        </w:tc>
        <w:tc>
          <w:tcPr>
            <w:tcW w:w="1969" w:type="dxa"/>
            <w:vAlign w:val="center"/>
          </w:tcPr>
          <w:p w14:paraId="353C356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7114D78A">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邮政编码</w:t>
            </w:r>
          </w:p>
        </w:tc>
        <w:tc>
          <w:tcPr>
            <w:tcW w:w="1512" w:type="dxa"/>
            <w:vAlign w:val="center"/>
          </w:tcPr>
          <w:p w14:paraId="2062DCCF">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765B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F9414F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授权代表</w:t>
            </w:r>
          </w:p>
        </w:tc>
        <w:tc>
          <w:tcPr>
            <w:tcW w:w="1969" w:type="dxa"/>
            <w:vAlign w:val="center"/>
          </w:tcPr>
          <w:p w14:paraId="1ACDAF4E">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4F7C98B4">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联系电话</w:t>
            </w:r>
          </w:p>
        </w:tc>
        <w:tc>
          <w:tcPr>
            <w:tcW w:w="1512" w:type="dxa"/>
            <w:vAlign w:val="center"/>
          </w:tcPr>
          <w:p w14:paraId="785209ED">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73F4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E31A651">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电子邮箱</w:t>
            </w:r>
          </w:p>
        </w:tc>
        <w:tc>
          <w:tcPr>
            <w:tcW w:w="1969" w:type="dxa"/>
            <w:vAlign w:val="center"/>
          </w:tcPr>
          <w:p w14:paraId="3551713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56C4154E">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传真</w:t>
            </w:r>
          </w:p>
        </w:tc>
        <w:tc>
          <w:tcPr>
            <w:tcW w:w="1512" w:type="dxa"/>
            <w:vAlign w:val="center"/>
          </w:tcPr>
          <w:p w14:paraId="30682615">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6C66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45C903BC">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上年营业收入</w:t>
            </w:r>
          </w:p>
        </w:tc>
        <w:tc>
          <w:tcPr>
            <w:tcW w:w="1969" w:type="dxa"/>
            <w:vAlign w:val="center"/>
          </w:tcPr>
          <w:p w14:paraId="4A237648">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0DC7ADD2">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员工总人数</w:t>
            </w:r>
          </w:p>
        </w:tc>
        <w:tc>
          <w:tcPr>
            <w:tcW w:w="1512" w:type="dxa"/>
            <w:vAlign w:val="center"/>
          </w:tcPr>
          <w:p w14:paraId="298E59BE">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68D4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10" w:type="dxa"/>
            <w:vAlign w:val="center"/>
          </w:tcPr>
          <w:p w14:paraId="43347043">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基本账户开户行及账号</w:t>
            </w:r>
          </w:p>
        </w:tc>
        <w:tc>
          <w:tcPr>
            <w:tcW w:w="1969" w:type="dxa"/>
            <w:vAlign w:val="center"/>
          </w:tcPr>
          <w:p w14:paraId="1F84E695">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4112513A">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1F611BA6">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31C2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DAAC01B">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税务登记机关</w:t>
            </w:r>
          </w:p>
        </w:tc>
        <w:tc>
          <w:tcPr>
            <w:tcW w:w="1969" w:type="dxa"/>
            <w:vAlign w:val="center"/>
          </w:tcPr>
          <w:p w14:paraId="323A52E9">
            <w:pPr>
              <w:spacing w:line="360" w:lineRule="auto"/>
              <w:jc w:val="center"/>
              <w:rPr>
                <w:rFonts w:ascii="宋体" w:hAnsi="宋体" w:eastAsia="宋体" w:cs="MingLiU_HKSCS"/>
                <w:color w:val="000000" w:themeColor="text1"/>
                <w:sz w:val="24"/>
                <w:szCs w:val="24"/>
                <w14:textFill>
                  <w14:solidFill>
                    <w14:schemeClr w14:val="tx1"/>
                  </w14:solidFill>
                </w14:textFill>
              </w:rPr>
            </w:pPr>
          </w:p>
        </w:tc>
        <w:tc>
          <w:tcPr>
            <w:tcW w:w="2131" w:type="dxa"/>
            <w:vAlign w:val="center"/>
          </w:tcPr>
          <w:p w14:paraId="5ABEEE82">
            <w:pPr>
              <w:spacing w:line="360" w:lineRule="auto"/>
              <w:jc w:val="center"/>
              <w:rPr>
                <w:rFonts w:ascii="宋体" w:hAnsi="宋体" w:eastAsia="宋体" w:cs="MingLiU_HKSCS"/>
                <w:color w:val="000000" w:themeColor="text1"/>
                <w:sz w:val="24"/>
                <w:szCs w:val="24"/>
                <w14:textFill>
                  <w14:solidFill>
                    <w14:schemeClr w14:val="tx1"/>
                  </w14:solidFill>
                </w14:textFill>
              </w:rPr>
            </w:pPr>
          </w:p>
        </w:tc>
        <w:tc>
          <w:tcPr>
            <w:tcW w:w="1512" w:type="dxa"/>
            <w:vAlign w:val="center"/>
          </w:tcPr>
          <w:p w14:paraId="4EF9FF2E">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1702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B9FB2B0">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资质名称</w:t>
            </w:r>
          </w:p>
        </w:tc>
        <w:tc>
          <w:tcPr>
            <w:tcW w:w="1969" w:type="dxa"/>
            <w:vAlign w:val="center"/>
          </w:tcPr>
          <w:p w14:paraId="26AB7C1E">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等级</w:t>
            </w:r>
          </w:p>
        </w:tc>
        <w:tc>
          <w:tcPr>
            <w:tcW w:w="2131" w:type="dxa"/>
            <w:vAlign w:val="center"/>
          </w:tcPr>
          <w:p w14:paraId="620B3293">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发证机关</w:t>
            </w:r>
          </w:p>
        </w:tc>
        <w:tc>
          <w:tcPr>
            <w:tcW w:w="1512" w:type="dxa"/>
            <w:vAlign w:val="center"/>
          </w:tcPr>
          <w:p w14:paraId="024C2D85">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有效期</w:t>
            </w:r>
          </w:p>
        </w:tc>
      </w:tr>
      <w:tr w14:paraId="2745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E1F2A18">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969" w:type="dxa"/>
            <w:vAlign w:val="center"/>
          </w:tcPr>
          <w:p w14:paraId="799DBA1C">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6B63FB94">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063B3F58">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r w14:paraId="6DE7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CF99725">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969" w:type="dxa"/>
            <w:vAlign w:val="center"/>
          </w:tcPr>
          <w:p w14:paraId="59A00AFB">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753E1ADF">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6AE84CEE">
            <w:pPr>
              <w:spacing w:line="360" w:lineRule="auto"/>
              <w:jc w:val="center"/>
              <w:rPr>
                <w:rFonts w:ascii="宋体" w:hAnsi="宋体" w:eastAsia="宋体" w:cs="MingLiU_HKSCS"/>
                <w:color w:val="000000" w:themeColor="text1"/>
                <w:sz w:val="24"/>
                <w:szCs w:val="24"/>
                <w14:textFill>
                  <w14:solidFill>
                    <w14:schemeClr w14:val="tx1"/>
                  </w14:solidFill>
                </w14:textFill>
              </w:rPr>
            </w:pPr>
          </w:p>
        </w:tc>
      </w:tr>
      <w:tr w14:paraId="16D9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4087D47F">
            <w:pPr>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备注</w:t>
            </w:r>
          </w:p>
        </w:tc>
        <w:tc>
          <w:tcPr>
            <w:tcW w:w="1969" w:type="dxa"/>
            <w:vAlign w:val="center"/>
          </w:tcPr>
          <w:p w14:paraId="34F294DA">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2131" w:type="dxa"/>
            <w:vAlign w:val="center"/>
          </w:tcPr>
          <w:p w14:paraId="47E0C1E2">
            <w:pPr>
              <w:spacing w:line="360" w:lineRule="auto"/>
              <w:jc w:val="center"/>
              <w:rPr>
                <w:rFonts w:ascii="宋体" w:hAnsi="宋体" w:eastAsia="宋体" w:cs="Times New Roman"/>
                <w:color w:val="000000" w:themeColor="text1"/>
                <w:sz w:val="24"/>
                <w:szCs w:val="24"/>
                <w14:textFill>
                  <w14:solidFill>
                    <w14:schemeClr w14:val="tx1"/>
                  </w14:solidFill>
                </w14:textFill>
              </w:rPr>
            </w:pPr>
          </w:p>
        </w:tc>
        <w:tc>
          <w:tcPr>
            <w:tcW w:w="1512" w:type="dxa"/>
            <w:vAlign w:val="center"/>
          </w:tcPr>
          <w:p w14:paraId="3775C75F">
            <w:pPr>
              <w:spacing w:line="360" w:lineRule="auto"/>
              <w:jc w:val="center"/>
              <w:rPr>
                <w:rFonts w:ascii="宋体" w:hAnsi="宋体" w:eastAsia="宋体" w:cs="Times New Roman"/>
                <w:color w:val="000000" w:themeColor="text1"/>
                <w:sz w:val="24"/>
                <w:szCs w:val="24"/>
                <w14:textFill>
                  <w14:solidFill>
                    <w14:schemeClr w14:val="tx1"/>
                  </w14:solidFill>
                </w14:textFill>
              </w:rPr>
            </w:pPr>
          </w:p>
        </w:tc>
      </w:tr>
    </w:tbl>
    <w:p w14:paraId="487D7F94">
      <w:pPr>
        <w:keepNext/>
        <w:keepLines/>
        <w:spacing w:before="280" w:after="290" w:line="360" w:lineRule="auto"/>
        <w:jc w:val="center"/>
        <w:outlineLvl w:val="3"/>
        <w:rPr>
          <w:rFonts w:ascii="Calibri Light" w:hAnsi="Calibri Light" w:eastAsia="宋体" w:cs="Times New Roman"/>
          <w:b/>
          <w:bCs/>
          <w:color w:val="000000" w:themeColor="text1"/>
          <w:kern w:val="0"/>
          <w:sz w:val="24"/>
          <w:szCs w:val="28"/>
          <w14:textFill>
            <w14:solidFill>
              <w14:schemeClr w14:val="tx1"/>
            </w14:solidFill>
          </w14:textFill>
        </w:rPr>
      </w:pPr>
      <w:bookmarkStart w:id="18" w:name="_Toc16264"/>
      <w:r>
        <w:rPr>
          <w:rFonts w:hint="eastAsia" w:ascii="Calibri Light" w:hAnsi="Calibri Light" w:eastAsia="宋体" w:cs="Times New Roman"/>
          <w:b/>
          <w:bCs/>
          <w:color w:val="000000" w:themeColor="text1"/>
          <w:kern w:val="0"/>
          <w:sz w:val="24"/>
          <w:szCs w:val="28"/>
          <w14:textFill>
            <w14:solidFill>
              <w14:schemeClr w14:val="tx1"/>
            </w14:solidFill>
          </w14:textFill>
        </w:rPr>
        <w:t>★附件5－</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w:t>
      </w:r>
      <w:r>
        <w:rPr>
          <w:rFonts w:ascii="Calibri Light" w:hAnsi="Calibri Light" w:eastAsia="宋体" w:cs="Times New Roman"/>
          <w:b/>
          <w:bCs/>
          <w:color w:val="000000" w:themeColor="text1"/>
          <w:kern w:val="0"/>
          <w:sz w:val="24"/>
          <w:szCs w:val="28"/>
          <w14:textFill>
            <w14:solidFill>
              <w14:schemeClr w14:val="tx1"/>
            </w14:solidFill>
          </w14:textFill>
        </w:rPr>
        <w:t>1</w:t>
      </w:r>
      <w:r>
        <w:rPr>
          <w:rFonts w:hint="eastAsia" w:ascii="Calibri Light" w:hAnsi="Calibri Light" w:eastAsia="宋体" w:cs="Times New Roman"/>
          <w:b/>
          <w:bCs/>
          <w:color w:val="000000" w:themeColor="text1"/>
          <w:kern w:val="0"/>
          <w:sz w:val="24"/>
          <w:szCs w:val="28"/>
          <w14:textFill>
            <w14:solidFill>
              <w14:schemeClr w14:val="tx1"/>
            </w14:solidFill>
          </w14:textFill>
        </w:rPr>
        <w:t>　具有独立承担民事责任的能力的证明材料</w:t>
      </w:r>
      <w:bookmarkEnd w:id="18"/>
    </w:p>
    <w:p w14:paraId="09FF4F95">
      <w:pPr>
        <w:spacing w:line="360" w:lineRule="auto"/>
        <w:ind w:firstLine="480" w:firstLineChars="200"/>
        <w:rPr>
          <w:rFonts w:cs="宋体"/>
          <w:sz w:val="24"/>
        </w:rPr>
      </w:pPr>
      <w:r>
        <w:rPr>
          <w:rFonts w:hint="eastAsia" w:ascii="宋体" w:hAnsi="宋体" w:eastAsia="宋体" w:cs="宋体"/>
          <w:color w:val="000000" w:themeColor="text1"/>
          <w:sz w:val="24"/>
          <w14:textFill>
            <w14:solidFill>
              <w14:schemeClr w14:val="tx1"/>
            </w14:solidFill>
          </w14:textFill>
        </w:rPr>
        <w:t>备注：</w:t>
      </w:r>
      <w:r>
        <w:rPr>
          <w:rFonts w:hint="eastAsia" w:cs="宋体"/>
          <w:sz w:val="24"/>
        </w:rPr>
        <w:t>供应商为企业（包括合伙企业）的，应提供有效的“营业执照”；供应商为事业单位的，应提供有效的“事业单位法人证书”；供应商是非企业机构的，应提供有效的“执业许可证”、“登记证书”等证明文件;供应商是个体工商户的，应提供有效的“个体工商户营业执照”；供应商是自然人的，应提供有效的自然人身份证明。”（上述资料须复印件加盖公章）。</w:t>
      </w:r>
    </w:p>
    <w:p w14:paraId="4D419855">
      <w:pPr>
        <w:spacing w:line="360" w:lineRule="auto"/>
        <w:ind w:firstLine="480" w:firstLineChars="200"/>
        <w:rPr>
          <w:rFonts w:cs="宋体"/>
          <w:sz w:val="24"/>
        </w:rPr>
      </w:pPr>
      <w:r>
        <w:rPr>
          <w:rFonts w:hint="eastAsia" w:cs="宋体"/>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以联合体形式参加投标的，联合体各方均须提供上述资料。</w:t>
      </w:r>
    </w:p>
    <w:p w14:paraId="2E30998A">
      <w:pPr>
        <w:tabs>
          <w:tab w:val="left" w:pos="3075"/>
        </w:tabs>
        <w:adjustRightInd w:val="0"/>
        <w:snapToGrid w:val="0"/>
        <w:spacing w:line="360" w:lineRule="auto"/>
        <w:ind w:firstLine="440" w:firstLineChars="200"/>
        <w:rPr>
          <w:rFonts w:ascii="仿宋_GB2312" w:hAnsi="华文中宋" w:eastAsia="仿宋_GB2312" w:cs="Times New Roman"/>
          <w:bCs/>
          <w:color w:val="000000" w:themeColor="text1"/>
          <w:spacing w:val="-10"/>
          <w:sz w:val="24"/>
          <w:szCs w:val="24"/>
          <w14:textFill>
            <w14:solidFill>
              <w14:schemeClr w14:val="tx1"/>
            </w14:solidFill>
          </w14:textFill>
        </w:rPr>
      </w:pPr>
    </w:p>
    <w:p w14:paraId="1B1C1090">
      <w:pPr>
        <w:keepNext/>
        <w:keepLines/>
        <w:spacing w:before="280" w:after="290" w:line="360" w:lineRule="auto"/>
        <w:jc w:val="center"/>
        <w:outlineLvl w:val="3"/>
        <w:rPr>
          <w:rFonts w:ascii="Calibri Light" w:hAnsi="Calibri Light" w:eastAsia="宋体" w:cs="Times New Roman"/>
          <w:b/>
          <w:bCs/>
          <w:color w:val="000000" w:themeColor="text1"/>
          <w:kern w:val="0"/>
          <w:sz w:val="24"/>
          <w:szCs w:val="28"/>
          <w14:textFill>
            <w14:solidFill>
              <w14:schemeClr w14:val="tx1"/>
            </w14:solidFill>
          </w14:textFill>
        </w:rPr>
      </w:pPr>
      <w:bookmarkStart w:id="19" w:name="_Toc3173"/>
      <w:r>
        <w:rPr>
          <w:rFonts w:hint="eastAsia" w:ascii="Calibri Light" w:hAnsi="Calibri Light" w:eastAsia="宋体" w:cs="Times New Roman"/>
          <w:b/>
          <w:bCs/>
          <w:color w:val="000000" w:themeColor="text1"/>
          <w:kern w:val="0"/>
          <w:sz w:val="24"/>
          <w:szCs w:val="28"/>
          <w14:textFill>
            <w14:solidFill>
              <w14:schemeClr w14:val="tx1"/>
            </w14:solidFill>
          </w14:textFill>
        </w:rPr>
        <w:t>★附件5－</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－2　具有良好的商业信誉和健全的财务会计制度的证明材料</w:t>
      </w:r>
      <w:bookmarkEnd w:id="19"/>
    </w:p>
    <w:p w14:paraId="2161FD38">
      <w:pPr>
        <w:adjustRightInd w:val="0"/>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提供本单位上一年度经会计师事务所出具的审计报告复印件并加盖供应商公章。如供应商无法提供上一年度审计报告，则需提供银行出具的资信证明或具有良好的商业信誉和健全的财务会计制度的承诺函（承诺函格式自拟）。</w:t>
      </w:r>
    </w:p>
    <w:p w14:paraId="405CC909">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说明：</w:t>
      </w:r>
    </w:p>
    <w:p w14:paraId="59CFDEF0">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1、审计报告复印件至少应包括资产负债表、利润表、现金流量表及其附注、加盖会计师事务所公章页。</w:t>
      </w:r>
    </w:p>
    <w:p w14:paraId="42558044">
      <w:pPr>
        <w:tabs>
          <w:tab w:val="left" w:pos="780"/>
          <w:tab w:val="left" w:pos="1680"/>
        </w:tabs>
        <w:spacing w:line="360" w:lineRule="auto"/>
        <w:ind w:firstLine="480" w:firstLineChars="20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2、银行资信证明是指供应商参加本次招标截止日前三个月内开立基本账户的银行开具的资信证明（成立一年内的公司可提交当年验资证明复印件并加盖公</w:t>
      </w:r>
      <w:r>
        <w:rPr>
          <w:rFonts w:hint="eastAsia" w:ascii="宋体" w:hAnsi="宋体" w:eastAsia="宋体" w:cs="宋体"/>
          <w:color w:val="000000" w:themeColor="text1"/>
          <w:sz w:val="24"/>
          <w:shd w:val="clear" w:color="auto" w:fill="FFFFFF"/>
          <w14:textFill>
            <w14:solidFill>
              <w14:schemeClr w14:val="tx1"/>
            </w14:solidFill>
          </w14:textFill>
        </w:rPr>
        <w:t>章），且无收受人和项目的限制，但开具银行有限制规定的除外。</w:t>
      </w:r>
    </w:p>
    <w:p w14:paraId="22696329">
      <w:pPr>
        <w:tabs>
          <w:tab w:val="left" w:pos="780"/>
          <w:tab w:val="left" w:pos="1680"/>
        </w:tabs>
        <w:spacing w:line="360" w:lineRule="auto"/>
        <w:ind w:firstLine="480" w:firstLineChars="20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3、银行资信证明可以是复印件并加盖供应商公章，招标小组保留审核原件的权利。</w:t>
      </w:r>
      <w:r>
        <w:rPr>
          <w:rFonts w:hint="eastAsia" w:ascii="宋体" w:hAnsi="宋体" w:eastAsia="宋体" w:cs="宋体"/>
          <w:b/>
          <w:color w:val="000000" w:themeColor="text1"/>
          <w:sz w:val="24"/>
          <w:shd w:val="clear" w:color="auto" w:fill="FFFFFF"/>
          <w14:textFill>
            <w14:solidFill>
              <w14:schemeClr w14:val="tx1"/>
            </w14:solidFill>
          </w14:textFill>
        </w:rPr>
        <w:t>但开具银行明确规定复印件无效的，须提交原件。</w:t>
      </w:r>
    </w:p>
    <w:p w14:paraId="351ED248">
      <w:pPr>
        <w:spacing w:line="360" w:lineRule="auto"/>
        <w:ind w:firstLine="480" w:firstLineChars="20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4、银行资信证明应能说明该供应商与银行之间业务往来正常，无不良记录，企业信誉良好等。银行出具的存款证明不能作为银行资信证明。</w:t>
      </w:r>
    </w:p>
    <w:p w14:paraId="52682658">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当月新成立公司不需要提供。</w:t>
      </w:r>
    </w:p>
    <w:p w14:paraId="0054E6B2">
      <w:pPr>
        <w:keepNext/>
        <w:keepLines/>
        <w:spacing w:before="280" w:after="290" w:line="360" w:lineRule="auto"/>
        <w:jc w:val="center"/>
        <w:outlineLvl w:val="3"/>
        <w:rPr>
          <w:rFonts w:ascii="Calibri Light" w:hAnsi="Calibri Light" w:eastAsia="宋体" w:cs="Times New Roman"/>
          <w:b/>
          <w:bCs/>
          <w:color w:val="000000" w:themeColor="text1"/>
          <w:kern w:val="0"/>
          <w:sz w:val="24"/>
          <w:szCs w:val="28"/>
          <w14:textFill>
            <w14:solidFill>
              <w14:schemeClr w14:val="tx1"/>
            </w14:solidFill>
          </w14:textFill>
        </w:rPr>
      </w:pPr>
      <w:bookmarkStart w:id="20" w:name="_Toc28289"/>
      <w:r>
        <w:rPr>
          <w:rFonts w:hint="eastAsia" w:ascii="Calibri Light" w:hAnsi="Calibri Light" w:eastAsia="宋体" w:cs="Times New Roman"/>
          <w:b/>
          <w:bCs/>
          <w:color w:val="000000" w:themeColor="text1"/>
          <w:kern w:val="0"/>
          <w:sz w:val="24"/>
          <w:szCs w:val="28"/>
          <w14:textFill>
            <w14:solidFill>
              <w14:schemeClr w14:val="tx1"/>
            </w14:solidFill>
          </w14:textFill>
        </w:rPr>
        <w:t>★附件5－</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－3　具备履行合同所必需的设备和专业技术能力的证明材料</w:t>
      </w:r>
      <w:bookmarkEnd w:id="20"/>
    </w:p>
    <w:p w14:paraId="78F5D730">
      <w:pPr>
        <w:spacing w:line="360" w:lineRule="auto"/>
        <w:ind w:firstLine="480" w:firstLineChars="200"/>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说明：供应商提供书面声明或相关证明材料（例如：相关设备的购置发票或相关人员的职称证书、用工合同等），证明材料可以是文字描述、图纸或数据等，能够说明供应商已具有履行本项目合同所必需的设备和专业技术能力。</w:t>
      </w:r>
    </w:p>
    <w:p w14:paraId="5112AEA1">
      <w:pPr>
        <w:spacing w:line="360" w:lineRule="auto"/>
        <w:rPr>
          <w:rFonts w:ascii="Calibri" w:hAnsi="Calibri" w:eastAsia="宋体" w:cs="Times New Roman"/>
          <w:color w:val="000000" w:themeColor="text1"/>
          <w14:textFill>
            <w14:solidFill>
              <w14:schemeClr w14:val="tx1"/>
            </w14:solidFill>
          </w14:textFill>
        </w:rPr>
      </w:pPr>
    </w:p>
    <w:p w14:paraId="48571D0A">
      <w:pPr>
        <w:keepNext/>
        <w:keepLines/>
        <w:spacing w:before="280" w:after="290" w:line="360" w:lineRule="auto"/>
        <w:jc w:val="center"/>
        <w:outlineLvl w:val="3"/>
        <w:rPr>
          <w:rFonts w:ascii="Calibri Light" w:hAnsi="Calibri Light" w:eastAsia="宋体" w:cs="Times New Roman"/>
          <w:b/>
          <w:bCs/>
          <w:color w:val="000000" w:themeColor="text1"/>
          <w:kern w:val="0"/>
          <w:sz w:val="24"/>
          <w:szCs w:val="28"/>
          <w14:textFill>
            <w14:solidFill>
              <w14:schemeClr w14:val="tx1"/>
            </w14:solidFill>
          </w14:textFill>
        </w:rPr>
      </w:pPr>
      <w:bookmarkStart w:id="21" w:name="_Toc456"/>
      <w:r>
        <w:rPr>
          <w:rFonts w:hint="eastAsia" w:ascii="Calibri Light" w:hAnsi="Calibri Light" w:eastAsia="宋体" w:cs="Times New Roman"/>
          <w:b/>
          <w:bCs/>
          <w:color w:val="000000" w:themeColor="text1"/>
          <w:kern w:val="0"/>
          <w:sz w:val="24"/>
          <w:szCs w:val="28"/>
          <w14:textFill>
            <w14:solidFill>
              <w14:schemeClr w14:val="tx1"/>
            </w14:solidFill>
          </w14:textFill>
        </w:rPr>
        <w:t>★附件5－</w:t>
      </w:r>
      <w:r>
        <w:rPr>
          <w:rFonts w:ascii="Calibri Light" w:hAnsi="Calibri Light" w:eastAsia="宋体" w:cs="Times New Roman"/>
          <w:b/>
          <w:bCs/>
          <w:color w:val="000000" w:themeColor="text1"/>
          <w:kern w:val="0"/>
          <w:sz w:val="24"/>
          <w:szCs w:val="28"/>
          <w14:textFill>
            <w14:solidFill>
              <w14:schemeClr w14:val="tx1"/>
            </w14:solidFill>
          </w14:textFill>
        </w:rPr>
        <w:t>2</w:t>
      </w:r>
      <w:r>
        <w:rPr>
          <w:rFonts w:hint="eastAsia" w:ascii="Calibri Light" w:hAnsi="Calibri Light" w:eastAsia="宋体" w:cs="Times New Roman"/>
          <w:b/>
          <w:bCs/>
          <w:color w:val="000000" w:themeColor="text1"/>
          <w:kern w:val="0"/>
          <w:sz w:val="24"/>
          <w:szCs w:val="28"/>
          <w14:textFill>
            <w14:solidFill>
              <w14:schemeClr w14:val="tx1"/>
            </w14:solidFill>
          </w14:textFill>
        </w:rPr>
        <w:t>－4有依法缴纳税收和社会保障资金的良好记录的证明材料</w:t>
      </w:r>
      <w:bookmarkEnd w:id="21"/>
    </w:p>
    <w:p w14:paraId="6C4C5327">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有依法缴纳社会保障资金的良好记录，须提供参加本次政府采购活动近期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当月新成立公司不需要提供；</w:t>
      </w:r>
    </w:p>
    <w:p w14:paraId="78E41393">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纳税证明（个人所得税除外），须提供参加本次政府采购活动近期的任意一月银行有效票据或税务部门证明材料凭证复印件，并加盖供应商公章。如近六个月未达到应缴税标准，须提供相应说明及证明材料（如：增值税纳税申报表</w:t>
      </w:r>
      <w:r>
        <w:rPr>
          <w:rFonts w:hint="eastAsia" w:ascii="宋体" w:hAnsi="宋体" w:eastAsia="宋体" w:cs="宋体"/>
          <w:color w:val="000000" w:themeColor="text1"/>
          <w:sz w:val="24"/>
          <w:szCs w:val="24"/>
          <w:shd w:val="clear" w:color="auto" w:fill="FFFFFF"/>
          <w14:textFill>
            <w14:solidFill>
              <w14:schemeClr w14:val="tx1"/>
            </w14:solidFill>
          </w14:textFill>
        </w:rPr>
        <w:t>或零纳税申报表</w:t>
      </w:r>
      <w:r>
        <w:rPr>
          <w:rFonts w:hint="eastAsia" w:ascii="宋体" w:hAnsi="宋体" w:eastAsia="宋体" w:cs="宋体"/>
          <w:color w:val="000000" w:themeColor="text1"/>
          <w:sz w:val="24"/>
          <w:szCs w:val="24"/>
          <w14:textFill>
            <w14:solidFill>
              <w14:schemeClr w14:val="tx1"/>
            </w14:solidFill>
          </w14:textFill>
        </w:rPr>
        <w:t xml:space="preserve">），并加盖供应商公章，当月新成立公司不需要提供。 </w:t>
      </w:r>
    </w:p>
    <w:p w14:paraId="6A3E2668">
      <w:pPr>
        <w:spacing w:after="120" w:line="360" w:lineRule="auto"/>
        <w:rPr>
          <w:rFonts w:ascii="宋体" w:hAnsi="宋体" w:eastAsia="宋体" w:cs="宋体"/>
          <w:b/>
          <w:color w:val="000000" w:themeColor="text1"/>
          <w:sz w:val="32"/>
          <w:szCs w:val="32"/>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3、依法免税或不需要缴纳社会保障资金的供应商，应提供相应的文件证明并加盖本单位公章。</w:t>
      </w:r>
    </w:p>
    <w:p w14:paraId="5E62BD84">
      <w:pPr>
        <w:keepNext/>
        <w:keepLines/>
        <w:spacing w:before="280" w:after="290" w:line="360" w:lineRule="auto"/>
        <w:jc w:val="left"/>
        <w:outlineLvl w:val="3"/>
        <w:rPr>
          <w:rFonts w:ascii="宋体" w:hAnsi="宋体" w:eastAsia="宋体" w:cs="Times New Roman"/>
          <w:bCs/>
          <w:color w:val="000000" w:themeColor="text1"/>
          <w:kern w:val="0"/>
          <w:sz w:val="24"/>
          <w:szCs w:val="24"/>
          <w14:textFill>
            <w14:solidFill>
              <w14:schemeClr w14:val="tx1"/>
            </w14:solidFill>
          </w14:textFill>
        </w:rPr>
      </w:pPr>
      <w:r>
        <w:rPr>
          <w:rFonts w:ascii="宋体" w:hAnsi="宋体" w:eastAsia="宋体" w:cs="Times New Roman"/>
          <w:b/>
          <w:bCs/>
          <w:color w:val="000000" w:themeColor="text1"/>
          <w:kern w:val="0"/>
          <w:sz w:val="24"/>
          <w:szCs w:val="28"/>
          <w14:textFill>
            <w14:solidFill>
              <w14:schemeClr w14:val="tx1"/>
            </w14:solidFill>
          </w14:textFill>
        </w:rPr>
        <w:br w:type="page"/>
      </w:r>
      <w:bookmarkStart w:id="22" w:name="_Toc8205"/>
      <w:r>
        <w:rPr>
          <w:rFonts w:hint="eastAsia" w:ascii="宋体" w:hAnsi="宋体" w:eastAsia="宋体" w:cs="Times New Roman"/>
          <w:bCs/>
          <w:color w:val="000000" w:themeColor="text1"/>
          <w:kern w:val="0"/>
          <w:sz w:val="24"/>
          <w:szCs w:val="24"/>
          <w14:textFill>
            <w14:solidFill>
              <w14:schemeClr w14:val="tx1"/>
            </w14:solidFill>
          </w14:textFill>
        </w:rPr>
        <w:t>★附件5－</w:t>
      </w:r>
      <w:r>
        <w:rPr>
          <w:rFonts w:ascii="宋体" w:hAnsi="宋体" w:eastAsia="宋体" w:cs="Times New Roman"/>
          <w:bCs/>
          <w:color w:val="000000" w:themeColor="text1"/>
          <w:kern w:val="0"/>
          <w:sz w:val="24"/>
          <w:szCs w:val="24"/>
          <w14:textFill>
            <w14:solidFill>
              <w14:schemeClr w14:val="tx1"/>
            </w14:solidFill>
          </w14:textFill>
        </w:rPr>
        <w:t>2</w:t>
      </w:r>
      <w:r>
        <w:rPr>
          <w:rFonts w:hint="eastAsia" w:ascii="宋体" w:hAnsi="宋体" w:eastAsia="宋体" w:cs="Times New Roman"/>
          <w:bCs/>
          <w:color w:val="000000" w:themeColor="text1"/>
          <w:kern w:val="0"/>
          <w:sz w:val="24"/>
          <w:szCs w:val="24"/>
          <w14:textFill>
            <w14:solidFill>
              <w14:schemeClr w14:val="tx1"/>
            </w14:solidFill>
          </w14:textFill>
        </w:rPr>
        <w:t>－</w:t>
      </w:r>
      <w:r>
        <w:rPr>
          <w:rFonts w:ascii="宋体" w:hAnsi="宋体" w:eastAsia="宋体" w:cs="Times New Roman"/>
          <w:bCs/>
          <w:color w:val="000000" w:themeColor="text1"/>
          <w:kern w:val="0"/>
          <w:sz w:val="24"/>
          <w:szCs w:val="24"/>
          <w14:textFill>
            <w14:solidFill>
              <w14:schemeClr w14:val="tx1"/>
            </w14:solidFill>
          </w14:textFill>
        </w:rPr>
        <w:t>5</w:t>
      </w:r>
      <w:bookmarkEnd w:id="22"/>
    </w:p>
    <w:p w14:paraId="508B0FB7">
      <w:pPr>
        <w:spacing w:line="360" w:lineRule="auto"/>
        <w:jc w:val="center"/>
        <w:rPr>
          <w:rFonts w:ascii="Calibri" w:hAnsi="Calibri" w:eastAsia="宋体" w:cs="Times New Roman"/>
          <w:b/>
          <w:color w:val="000000" w:themeColor="text1"/>
          <w:sz w:val="24"/>
          <w:szCs w:val="24"/>
          <w14:textFill>
            <w14:solidFill>
              <w14:schemeClr w14:val="tx1"/>
            </w14:solidFill>
          </w14:textFill>
        </w:rPr>
      </w:pPr>
      <w:r>
        <w:rPr>
          <w:rFonts w:hint="eastAsia" w:ascii="Calibri" w:hAnsi="Calibri" w:eastAsia="宋体" w:cs="Times New Roman"/>
          <w:b/>
          <w:color w:val="000000" w:themeColor="text1"/>
          <w:sz w:val="24"/>
          <w:szCs w:val="24"/>
          <w14:textFill>
            <w14:solidFill>
              <w14:schemeClr w14:val="tx1"/>
            </w14:solidFill>
          </w14:textFill>
        </w:rPr>
        <w:t>参加政府采购活动近三年内在经营活动中</w:t>
      </w:r>
    </w:p>
    <w:p w14:paraId="6235E330">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Calibri" w:hAnsi="Calibri" w:eastAsia="宋体" w:cs="Times New Roman"/>
          <w:b/>
          <w:color w:val="000000" w:themeColor="text1"/>
          <w:sz w:val="24"/>
          <w:szCs w:val="24"/>
          <w14:textFill>
            <w14:solidFill>
              <w14:schemeClr w14:val="tx1"/>
            </w14:solidFill>
          </w14:textFill>
        </w:rPr>
        <w:t>没有重大违法记录的书面声明</w:t>
      </w:r>
    </w:p>
    <w:p w14:paraId="63B1218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本单位郑重声明：</w:t>
      </w:r>
    </w:p>
    <w:p w14:paraId="0C7DA2E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我单位在参加采购活动前三年内在经营活动中没有《中华人民共和国政府采购法》第二十二条第一款第</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五</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项所称重大违法记录，包括：</w:t>
      </w:r>
    </w:p>
    <w:p w14:paraId="319C40F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我单位或者其法定代表人、董事、监事、高级管理人员未因经营活动中的违法行为受到刑事处罚或者责令停产停业、吊销许可证或者执照、较大数额罚款等行政处罚。</w:t>
      </w:r>
    </w:p>
    <w:p w14:paraId="1AB1B23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特此声明！</w:t>
      </w:r>
    </w:p>
    <w:p w14:paraId="2085DFF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10174E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131B2BA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370D6519">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343B127E">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23475A53">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363CCFED">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p>
    <w:p w14:paraId="45A804B7">
      <w:pPr>
        <w:rPr>
          <w:rFonts w:hint="eastAsia" w:ascii="宋体" w:hAnsi="宋体" w:eastAsia="宋体" w:cs="Times New Roman"/>
          <w:b/>
          <w:color w:val="000000" w:themeColor="text1"/>
          <w:kern w:val="0"/>
          <w:sz w:val="24"/>
          <w:szCs w:val="24"/>
          <w14:textFill>
            <w14:solidFill>
              <w14:schemeClr w14:val="tx1"/>
            </w14:solidFill>
          </w14:textFill>
        </w:rPr>
      </w:pPr>
      <w:bookmarkStart w:id="23" w:name="_Toc28191"/>
      <w:r>
        <w:rPr>
          <w:rFonts w:hint="eastAsia" w:ascii="宋体" w:hAnsi="宋体" w:eastAsia="宋体" w:cs="Times New Roman"/>
          <w:b/>
          <w:color w:val="000000" w:themeColor="text1"/>
          <w:kern w:val="0"/>
          <w:sz w:val="24"/>
          <w:szCs w:val="24"/>
          <w14:textFill>
            <w14:solidFill>
              <w14:schemeClr w14:val="tx1"/>
            </w14:solidFill>
          </w14:textFill>
        </w:rPr>
        <w:br w:type="page"/>
      </w:r>
    </w:p>
    <w:p w14:paraId="06B86D9F">
      <w:pPr>
        <w:spacing w:line="360" w:lineRule="auto"/>
        <w:ind w:firstLine="480" w:firstLineChars="200"/>
        <w:outlineLvl w:val="3"/>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附件5－</w:t>
      </w: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6</w:t>
      </w:r>
      <w:bookmarkEnd w:id="23"/>
    </w:p>
    <w:p w14:paraId="6A9AC9A7">
      <w:pPr>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无不良信用记录承诺函</w:t>
      </w:r>
      <w:r>
        <w:rPr>
          <w:rFonts w:ascii="宋体" w:hAnsi="宋体" w:eastAsia="宋体" w:cs="Times New Roman"/>
          <w:b/>
          <w:color w:val="000000" w:themeColor="text1"/>
          <w:sz w:val="24"/>
          <w:szCs w:val="24"/>
          <w14:textFill>
            <w14:solidFill>
              <w14:schemeClr w14:val="tx1"/>
            </w14:solidFill>
          </w14:textFill>
        </w:rPr>
        <w:t>(</w:t>
      </w:r>
      <w:r>
        <w:rPr>
          <w:rFonts w:hint="eastAsia" w:ascii="宋体" w:hAnsi="宋体" w:eastAsia="宋体" w:cs="Times New Roman"/>
          <w:b/>
          <w:color w:val="000000" w:themeColor="text1"/>
          <w:sz w:val="24"/>
          <w:szCs w:val="24"/>
          <w14:textFill>
            <w14:solidFill>
              <w14:schemeClr w14:val="tx1"/>
            </w14:solidFill>
          </w14:textFill>
        </w:rPr>
        <w:t>供应商自行查询适用</w:t>
      </w:r>
      <w:r>
        <w:rPr>
          <w:rFonts w:ascii="宋体" w:hAnsi="宋体" w:eastAsia="宋体" w:cs="Times New Roman"/>
          <w:b/>
          <w:color w:val="000000" w:themeColor="text1"/>
          <w:sz w:val="24"/>
          <w:szCs w:val="24"/>
          <w14:textFill>
            <w14:solidFill>
              <w14:schemeClr w14:val="tx1"/>
            </w14:solidFill>
          </w14:textFill>
        </w:rPr>
        <w:t>)</w:t>
      </w:r>
    </w:p>
    <w:p w14:paraId="0F246869">
      <w:pPr>
        <w:spacing w:line="360" w:lineRule="auto"/>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致</w:t>
      </w:r>
      <w:r>
        <w:rPr>
          <w:rFonts w:ascii="宋体" w:hAnsi="宋体" w:eastAsia="宋体" w:cs="Times New Roman"/>
          <w:color w:val="000000" w:themeColor="text1"/>
          <w:kern w:val="0"/>
          <w:sz w:val="24"/>
          <w:szCs w:val="24"/>
          <w14:textFill>
            <w14:solidFill>
              <w14:schemeClr w14:val="tx1"/>
            </w14:solidFill>
          </w14:textFill>
        </w:rPr>
        <w:t>____________(</w:t>
      </w:r>
      <w:r>
        <w:rPr>
          <w:rFonts w:hint="eastAsia" w:ascii="宋体" w:hAnsi="宋体" w:eastAsia="宋体" w:cs="Times New Roman"/>
          <w:color w:val="000000" w:themeColor="text1"/>
          <w:kern w:val="0"/>
          <w:sz w:val="24"/>
          <w:szCs w:val="24"/>
          <w14:textFill>
            <w14:solidFill>
              <w14:schemeClr w14:val="tx1"/>
            </w14:solidFill>
          </w14:textFill>
        </w:rPr>
        <w:t>采购人或采购代理机构</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p>
    <w:p w14:paraId="22306E6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本单位郑重承诺，我单位无以下不良信用记录情形：</w:t>
      </w:r>
    </w:p>
    <w:p w14:paraId="6D77808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1.</w:t>
      </w:r>
      <w:r>
        <w:rPr>
          <w:rFonts w:hint="eastAsia" w:ascii="宋体" w:hAnsi="宋体" w:eastAsia="宋体" w:cs="Times New Roman"/>
          <w:color w:val="000000" w:themeColor="text1"/>
          <w:kern w:val="0"/>
          <w:sz w:val="24"/>
          <w:szCs w:val="24"/>
          <w14:textFill>
            <w14:solidFill>
              <w14:schemeClr w14:val="tx1"/>
            </w14:solidFill>
          </w14:textFill>
        </w:rPr>
        <w:t>被人民法院列入失信被执行人；</w:t>
      </w:r>
    </w:p>
    <w:p w14:paraId="684A701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2.</w:t>
      </w:r>
      <w:r>
        <w:rPr>
          <w:rFonts w:hint="eastAsia" w:ascii="宋体" w:hAnsi="宋体" w:eastAsia="宋体" w:cs="Times New Roman"/>
          <w:color w:val="000000" w:themeColor="text1"/>
          <w:kern w:val="0"/>
          <w:sz w:val="24"/>
          <w:szCs w:val="24"/>
          <w14:textFill>
            <w14:solidFill>
              <w14:schemeClr w14:val="tx1"/>
            </w14:solidFill>
          </w14:textFill>
        </w:rPr>
        <w:t>被税务部门列入重大税收违法失信主体；</w:t>
      </w:r>
    </w:p>
    <w:p w14:paraId="695475A2">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3.</w:t>
      </w:r>
      <w:r>
        <w:rPr>
          <w:rFonts w:hint="eastAsia" w:ascii="宋体" w:hAnsi="宋体" w:eastAsia="宋体" w:cs="Times New Roman"/>
          <w:color w:val="000000" w:themeColor="text1"/>
          <w:kern w:val="0"/>
          <w:sz w:val="24"/>
          <w:szCs w:val="24"/>
          <w14:textFill>
            <w14:solidFill>
              <w14:schemeClr w14:val="tx1"/>
            </w14:solidFill>
          </w14:textFill>
        </w:rPr>
        <w:t>被政府采购监管部门列入政府采购严重违法失信行为记录名单；</w:t>
      </w:r>
    </w:p>
    <w:p w14:paraId="1960B8F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4.</w:t>
      </w:r>
      <w:r>
        <w:rPr>
          <w:rFonts w:hint="eastAsia" w:ascii="宋体" w:hAnsi="宋体" w:eastAsia="宋体" w:cs="Times New Roman"/>
          <w:color w:val="000000" w:themeColor="text1"/>
          <w:kern w:val="0"/>
          <w:sz w:val="24"/>
          <w:szCs w:val="24"/>
          <w14:textFill>
            <w14:solidFill>
              <w14:schemeClr w14:val="tx1"/>
            </w14:solidFill>
          </w14:textFill>
        </w:rPr>
        <w:t>不符合《中华人民共和国政府采购法》第二十二条规定的条件。</w:t>
      </w:r>
    </w:p>
    <w:p w14:paraId="5ABED44B">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我单位已就上述不良信用行为按照招标文件中供应商须知前附表规定进行了查询。我单位承诺：合同签订前，若我单位具有不良信用记录情形，贵方可取消我单位中标资格或者不授予合同，所有责任由我单位自行承担。同时，我单位愿意无条件接受监管部门的调查处理。</w:t>
      </w:r>
    </w:p>
    <w:p w14:paraId="3E9E368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3C9253D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盖公章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10F283F1">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764FD1BE">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68EBF0E8">
      <w:pPr>
        <w:spacing w:line="360" w:lineRule="auto"/>
        <w:ind w:firstLine="400" w:firstLineChars="200"/>
        <w:rPr>
          <w:rFonts w:ascii="宋体" w:hAnsi="宋体" w:eastAsia="宋体" w:cs="Times New Roman"/>
          <w:color w:val="000000" w:themeColor="text1"/>
          <w:kern w:val="0"/>
          <w:sz w:val="20"/>
          <w:szCs w:val="21"/>
          <w14:textFill>
            <w14:solidFill>
              <w14:schemeClr w14:val="tx1"/>
            </w14:solidFill>
          </w14:textFill>
        </w:rPr>
      </w:pPr>
      <w:r>
        <w:rPr>
          <w:rFonts w:ascii="宋体" w:hAnsi="宋体" w:eastAsia="宋体" w:cs="Times New Roman"/>
          <w:color w:val="000000" w:themeColor="text1"/>
          <w:kern w:val="0"/>
          <w:sz w:val="20"/>
          <w:szCs w:val="21"/>
          <w14:textFill>
            <w14:solidFill>
              <w14:schemeClr w14:val="tx1"/>
            </w14:solidFill>
          </w14:textFill>
        </w:rPr>
        <w:br w:type="page"/>
      </w:r>
    </w:p>
    <w:p w14:paraId="3ABCD0A8">
      <w:pPr>
        <w:spacing w:line="360" w:lineRule="auto"/>
        <w:outlineLvl w:val="3"/>
        <w:rPr>
          <w:rFonts w:ascii="宋体" w:hAnsi="宋体" w:eastAsia="宋体" w:cs="宋体"/>
          <w:color w:val="000000" w:themeColor="text1"/>
          <w:kern w:val="0"/>
          <w:sz w:val="24"/>
          <w:szCs w:val="24"/>
          <w14:textFill>
            <w14:solidFill>
              <w14:schemeClr w14:val="tx1"/>
            </w14:solidFill>
          </w14:textFill>
        </w:rPr>
      </w:pPr>
      <w:bookmarkStart w:id="24" w:name="_Toc13751"/>
      <w:r>
        <w:rPr>
          <w:rFonts w:hint="eastAsia" w:ascii="宋体" w:hAnsi="宋体" w:eastAsia="宋体" w:cs="宋体"/>
          <w:color w:val="000000" w:themeColor="text1"/>
          <w:kern w:val="0"/>
          <w:sz w:val="24"/>
          <w:szCs w:val="24"/>
          <w14:textFill>
            <w14:solidFill>
              <w14:schemeClr w14:val="tx1"/>
            </w14:solidFill>
          </w14:textFill>
        </w:rPr>
        <w:t>★附件5－</w:t>
      </w: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－7符合招标文件第二章“供应商须知前附表”4.3中第3条的证明材料；</w:t>
      </w:r>
      <w:bookmarkEnd w:id="24"/>
    </w:p>
    <w:p w14:paraId="4E964190">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新疆维吾尔自治区林业和草原局：</w:t>
      </w:r>
    </w:p>
    <w:p w14:paraId="1B201E9E">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我单位负责人</w:t>
      </w:r>
      <w:r>
        <w:rPr>
          <w:rFonts w:hint="eastAsia" w:ascii="宋体" w:hAnsi="宋体" w:eastAsia="宋体" w:cs="宋体"/>
          <w:color w:val="000000" w:themeColor="text1"/>
          <w:sz w:val="24"/>
          <w:szCs w:val="24"/>
          <w:u w:val="single"/>
          <w14:textFill>
            <w14:solidFill>
              <w14:schemeClr w14:val="tx1"/>
            </w14:solidFill>
          </w14:textFill>
        </w:rPr>
        <w:t>（负责人姓名、身份证号）</w:t>
      </w:r>
      <w:r>
        <w:rPr>
          <w:rFonts w:hint="eastAsia" w:ascii="宋体" w:hAnsi="宋体" w:eastAsia="宋体" w:cs="宋体"/>
          <w:color w:val="000000" w:themeColor="text1"/>
          <w:sz w:val="24"/>
          <w:szCs w:val="24"/>
          <w14:textFill>
            <w14:solidFill>
              <w14:schemeClr w14:val="tx1"/>
            </w14:solidFill>
          </w14:textFill>
        </w:rPr>
        <w:t>，不存在与我单位负责人为同一人的不同供应商同时参加本项目同一包投标的情形。</w:t>
      </w:r>
    </w:p>
    <w:p w14:paraId="704E65B7">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与我单位存在直接控股、管理关系的单位</w:t>
      </w:r>
      <w:r>
        <w:rPr>
          <w:rFonts w:hint="eastAsia" w:ascii="宋体" w:hAnsi="宋体" w:eastAsia="宋体" w:cs="宋体"/>
          <w:color w:val="000000" w:themeColor="text1"/>
          <w:sz w:val="24"/>
          <w:szCs w:val="24"/>
          <w:u w:val="single"/>
          <w14:textFill>
            <w14:solidFill>
              <w14:schemeClr w14:val="tx1"/>
            </w14:solidFill>
          </w14:textFill>
        </w:rPr>
        <w:t>（单位名称，如没有填“无”）</w:t>
      </w:r>
      <w:r>
        <w:rPr>
          <w:rFonts w:hint="eastAsia" w:ascii="宋体" w:hAnsi="宋体" w:eastAsia="宋体" w:cs="宋体"/>
          <w:color w:val="000000" w:themeColor="text1"/>
          <w:sz w:val="24"/>
          <w:szCs w:val="24"/>
          <w14:textFill>
            <w14:solidFill>
              <w14:schemeClr w14:val="tx1"/>
            </w14:solidFill>
          </w14:textFill>
        </w:rPr>
        <w:t>，不存在与我单位存在直接控股、管理的不同供应商同时参加本项目同一包投标的情形。</w:t>
      </w:r>
    </w:p>
    <w:p w14:paraId="44CC293A">
      <w:pPr>
        <w:spacing w:after="12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我单位不为本项目某包提供整体设计、规范编制或者项目管理、监理、检测等服务的供应商。</w:t>
      </w:r>
    </w:p>
    <w:p w14:paraId="4F7A0F94">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我单位确认本声明是真实的、正确的，如有虚假，相应后果和法律责任均由我单位</w:t>
      </w:r>
      <w:r>
        <w:rPr>
          <w:rFonts w:hint="eastAsia" w:ascii="宋体" w:hAnsi="宋体" w:eastAsia="宋体" w:cs="宋体"/>
          <w:color w:val="000000" w:themeColor="text1"/>
          <w:sz w:val="24"/>
          <w14:textFill>
            <w14:solidFill>
              <w14:schemeClr w14:val="tx1"/>
            </w14:solidFill>
          </w14:textFill>
        </w:rPr>
        <w:t>承担</w:t>
      </w:r>
      <w:r>
        <w:rPr>
          <w:rFonts w:hint="eastAsia" w:ascii="宋体" w:hAnsi="宋体" w:eastAsia="宋体" w:cs="宋体"/>
          <w:color w:val="000000" w:themeColor="text1"/>
          <w:sz w:val="24"/>
          <w:szCs w:val="24"/>
          <w14:textFill>
            <w14:solidFill>
              <w14:schemeClr w14:val="tx1"/>
            </w14:solidFill>
          </w14:textFill>
        </w:rPr>
        <w:t>。</w:t>
      </w:r>
    </w:p>
    <w:p w14:paraId="35952912">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特此声明。</w:t>
      </w:r>
    </w:p>
    <w:p w14:paraId="74B24A9B">
      <w:pPr>
        <w:spacing w:after="120" w:line="360" w:lineRule="auto"/>
        <w:ind w:firstLine="440"/>
        <w:rPr>
          <w:rFonts w:ascii="宋体" w:hAnsi="宋体" w:eastAsia="宋体" w:cs="宋体"/>
          <w:color w:val="000000" w:themeColor="text1"/>
          <w:szCs w:val="24"/>
          <w14:textFill>
            <w14:solidFill>
              <w14:schemeClr w14:val="tx1"/>
            </w14:solidFill>
          </w14:textFill>
        </w:rPr>
      </w:pPr>
    </w:p>
    <w:p w14:paraId="07AF479E">
      <w:pPr>
        <w:spacing w:line="360" w:lineRule="auto"/>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供应商法定代表人或授权代表（签字或盖章）：</w:t>
      </w:r>
    </w:p>
    <w:p w14:paraId="43E3F31C">
      <w:pPr>
        <w:spacing w:after="120" w:line="360" w:lineRule="auto"/>
        <w:ind w:firstLine="440"/>
        <w:rPr>
          <w:rFonts w:ascii="宋体" w:hAnsi="宋体" w:eastAsia="宋体" w:cs="宋体"/>
          <w:color w:val="000000" w:themeColor="text1"/>
          <w:szCs w:val="24"/>
          <w14:textFill>
            <w14:solidFill>
              <w14:schemeClr w14:val="tx1"/>
            </w14:solidFill>
          </w14:textFill>
        </w:rPr>
      </w:pPr>
    </w:p>
    <w:p w14:paraId="722039D8">
      <w:pPr>
        <w:spacing w:line="360" w:lineRule="auto"/>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供应商名称（加盖单位公章）：</w:t>
      </w:r>
    </w:p>
    <w:p w14:paraId="68C80124">
      <w:pPr>
        <w:spacing w:after="120" w:line="360" w:lineRule="auto"/>
        <w:ind w:firstLine="440"/>
        <w:rPr>
          <w:rFonts w:ascii="宋体" w:hAnsi="宋体" w:eastAsia="宋体" w:cs="宋体"/>
          <w:color w:val="000000" w:themeColor="text1"/>
          <w:szCs w:val="24"/>
          <w14:textFill>
            <w14:solidFill>
              <w14:schemeClr w14:val="tx1"/>
            </w14:solidFill>
          </w14:textFill>
        </w:rPr>
      </w:pPr>
    </w:p>
    <w:p w14:paraId="3A1A23A5">
      <w:pPr>
        <w:spacing w:line="360" w:lineRule="auto"/>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p w14:paraId="13F61C9A">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7B5DB58E">
      <w:pPr>
        <w:rPr>
          <w:rFonts w:hint="eastAsia" w:ascii="Calibri" w:hAnsi="Calibri" w:eastAsia="宋体" w:cs="Times New Roman"/>
          <w:b/>
          <w:color w:val="000000" w:themeColor="text1"/>
          <w:kern w:val="0"/>
          <w:sz w:val="24"/>
          <w:szCs w:val="20"/>
          <w14:textFill>
            <w14:solidFill>
              <w14:schemeClr w14:val="tx1"/>
            </w14:solidFill>
          </w14:textFill>
        </w:rPr>
      </w:pPr>
      <w:bookmarkStart w:id="25" w:name="_Toc1075"/>
      <w:r>
        <w:rPr>
          <w:rFonts w:hint="eastAsia" w:ascii="Calibri" w:hAnsi="Calibri" w:eastAsia="宋体" w:cs="Times New Roman"/>
          <w:b/>
          <w:color w:val="000000" w:themeColor="text1"/>
          <w:kern w:val="0"/>
          <w:sz w:val="24"/>
          <w:szCs w:val="20"/>
          <w14:textFill>
            <w14:solidFill>
              <w14:schemeClr w14:val="tx1"/>
            </w14:solidFill>
          </w14:textFill>
        </w:rPr>
        <w:br w:type="page"/>
      </w:r>
    </w:p>
    <w:p w14:paraId="12D361E7">
      <w:pPr>
        <w:keepNext/>
        <w:keepLines/>
        <w:spacing w:before="260" w:after="260" w:line="360"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hint="eastAsia" w:ascii="Calibri" w:hAnsi="Calibri" w:eastAsia="宋体" w:cs="Times New Roman"/>
          <w:b/>
          <w:color w:val="000000" w:themeColor="text1"/>
          <w:kern w:val="0"/>
          <w:sz w:val="24"/>
          <w:szCs w:val="20"/>
          <w14:textFill>
            <w14:solidFill>
              <w14:schemeClr w14:val="tx1"/>
            </w14:solidFill>
          </w14:textFill>
        </w:rPr>
        <w:t>六、供应商类似</w:t>
      </w:r>
      <w:bookmarkEnd w:id="25"/>
      <w:r>
        <w:rPr>
          <w:rFonts w:hint="eastAsia" w:ascii="Calibri" w:hAnsi="Calibri" w:eastAsia="宋体" w:cs="Times New Roman"/>
          <w:b/>
          <w:color w:val="000000" w:themeColor="text1"/>
          <w:kern w:val="0"/>
          <w:sz w:val="24"/>
          <w:szCs w:val="20"/>
          <w14:textFill>
            <w14:solidFill>
              <w14:schemeClr w14:val="tx1"/>
            </w14:solidFill>
          </w14:textFill>
        </w:rPr>
        <w:t>业绩</w:t>
      </w:r>
    </w:p>
    <w:tbl>
      <w:tblPr>
        <w:tblStyle w:val="35"/>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85"/>
        <w:gridCol w:w="1530"/>
        <w:gridCol w:w="1223"/>
        <w:gridCol w:w="1391"/>
        <w:gridCol w:w="2276"/>
      </w:tblGrid>
      <w:tr w14:paraId="2C50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7" w:type="dxa"/>
          </w:tcPr>
          <w:p w14:paraId="0DD30DCE">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序号</w:t>
            </w:r>
          </w:p>
        </w:tc>
        <w:tc>
          <w:tcPr>
            <w:tcW w:w="1485" w:type="dxa"/>
          </w:tcPr>
          <w:p w14:paraId="680483AE">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业主名称</w:t>
            </w:r>
          </w:p>
        </w:tc>
        <w:tc>
          <w:tcPr>
            <w:tcW w:w="1530" w:type="dxa"/>
          </w:tcPr>
          <w:p w14:paraId="3CBD765E">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项目名称</w:t>
            </w:r>
          </w:p>
        </w:tc>
        <w:tc>
          <w:tcPr>
            <w:tcW w:w="1223" w:type="dxa"/>
          </w:tcPr>
          <w:p w14:paraId="0402B662">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合同总价</w:t>
            </w:r>
          </w:p>
        </w:tc>
        <w:tc>
          <w:tcPr>
            <w:tcW w:w="1391" w:type="dxa"/>
          </w:tcPr>
          <w:p w14:paraId="64C259FD">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签约及完成时间</w:t>
            </w:r>
          </w:p>
        </w:tc>
        <w:tc>
          <w:tcPr>
            <w:tcW w:w="2276" w:type="dxa"/>
          </w:tcPr>
          <w:p w14:paraId="0CA59870">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单位联系人及电话</w:t>
            </w:r>
          </w:p>
        </w:tc>
      </w:tr>
      <w:tr w14:paraId="0B0A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7" w:type="dxa"/>
          </w:tcPr>
          <w:p w14:paraId="38F67503">
            <w:pPr>
              <w:spacing w:line="360" w:lineRule="auto"/>
              <w:jc w:val="center"/>
              <w:rPr>
                <w:rFonts w:ascii="宋体" w:hAnsi="宋体" w:eastAsia="宋体" w:cs="Times New Roman"/>
                <w:color w:val="000000" w:themeColor="text1"/>
                <w:szCs w:val="21"/>
                <w14:textFill>
                  <w14:solidFill>
                    <w14:schemeClr w14:val="tx1"/>
                  </w14:solidFill>
                </w14:textFill>
              </w:rPr>
            </w:pPr>
          </w:p>
          <w:p w14:paraId="3A554E8E">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p>
        </w:tc>
        <w:tc>
          <w:tcPr>
            <w:tcW w:w="1485" w:type="dxa"/>
          </w:tcPr>
          <w:p w14:paraId="4B959521">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1530" w:type="dxa"/>
          </w:tcPr>
          <w:p w14:paraId="63F12D72">
            <w:pPr>
              <w:spacing w:line="360" w:lineRule="auto"/>
              <w:jc w:val="left"/>
              <w:rPr>
                <w:rFonts w:ascii="宋体" w:hAnsi="宋体" w:eastAsia="宋体" w:cs="Times New Roman"/>
                <w:color w:val="000000" w:themeColor="text1"/>
                <w:szCs w:val="21"/>
                <w14:textFill>
                  <w14:solidFill>
                    <w14:schemeClr w14:val="tx1"/>
                  </w14:solidFill>
                </w14:textFill>
              </w:rPr>
            </w:pPr>
          </w:p>
        </w:tc>
        <w:tc>
          <w:tcPr>
            <w:tcW w:w="1223" w:type="dxa"/>
          </w:tcPr>
          <w:p w14:paraId="4121E19E">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1391" w:type="dxa"/>
          </w:tcPr>
          <w:p w14:paraId="7C064185">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2276" w:type="dxa"/>
          </w:tcPr>
          <w:p w14:paraId="433E4B60">
            <w:pPr>
              <w:spacing w:line="360" w:lineRule="auto"/>
              <w:jc w:val="center"/>
              <w:rPr>
                <w:rFonts w:ascii="宋体" w:hAnsi="宋体" w:eastAsia="宋体" w:cs="Times New Roman"/>
                <w:color w:val="000000" w:themeColor="text1"/>
                <w:szCs w:val="21"/>
                <w14:textFill>
                  <w14:solidFill>
                    <w14:schemeClr w14:val="tx1"/>
                  </w14:solidFill>
                </w14:textFill>
              </w:rPr>
            </w:pPr>
          </w:p>
        </w:tc>
      </w:tr>
      <w:tr w14:paraId="3809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33307B3B">
            <w:pPr>
              <w:spacing w:line="360" w:lineRule="auto"/>
              <w:jc w:val="center"/>
              <w:rPr>
                <w:rFonts w:ascii="宋体" w:hAnsi="宋体" w:eastAsia="宋体" w:cs="Times New Roman"/>
                <w:color w:val="000000" w:themeColor="text1"/>
                <w:szCs w:val="21"/>
                <w14:textFill>
                  <w14:solidFill>
                    <w14:schemeClr w14:val="tx1"/>
                  </w14:solidFill>
                </w14:textFill>
              </w:rPr>
            </w:pPr>
          </w:p>
          <w:p w14:paraId="360BE89C">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w:t>
            </w:r>
          </w:p>
        </w:tc>
        <w:tc>
          <w:tcPr>
            <w:tcW w:w="1485" w:type="dxa"/>
          </w:tcPr>
          <w:p w14:paraId="3B0DF531">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1530" w:type="dxa"/>
          </w:tcPr>
          <w:p w14:paraId="3AC3D59F">
            <w:pPr>
              <w:spacing w:line="360" w:lineRule="auto"/>
              <w:jc w:val="left"/>
              <w:rPr>
                <w:rFonts w:ascii="宋体" w:hAnsi="宋体" w:eastAsia="宋体" w:cs="Times New Roman"/>
                <w:color w:val="000000" w:themeColor="text1"/>
                <w:szCs w:val="21"/>
                <w14:textFill>
                  <w14:solidFill>
                    <w14:schemeClr w14:val="tx1"/>
                  </w14:solidFill>
                </w14:textFill>
              </w:rPr>
            </w:pPr>
          </w:p>
        </w:tc>
        <w:tc>
          <w:tcPr>
            <w:tcW w:w="1223" w:type="dxa"/>
          </w:tcPr>
          <w:p w14:paraId="61C55357">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1391" w:type="dxa"/>
          </w:tcPr>
          <w:p w14:paraId="75795350">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2276" w:type="dxa"/>
          </w:tcPr>
          <w:p w14:paraId="1DD90008">
            <w:pPr>
              <w:spacing w:line="360" w:lineRule="auto"/>
              <w:jc w:val="center"/>
              <w:rPr>
                <w:rFonts w:ascii="宋体" w:hAnsi="宋体" w:eastAsia="宋体" w:cs="Times New Roman"/>
                <w:color w:val="000000" w:themeColor="text1"/>
                <w:szCs w:val="21"/>
                <w14:textFill>
                  <w14:solidFill>
                    <w14:schemeClr w14:val="tx1"/>
                  </w14:solidFill>
                </w14:textFill>
              </w:rPr>
            </w:pPr>
          </w:p>
        </w:tc>
      </w:tr>
      <w:tr w14:paraId="28D5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5D371F5E">
            <w:pPr>
              <w:spacing w:line="360" w:lineRule="auto"/>
              <w:jc w:val="center"/>
              <w:rPr>
                <w:rFonts w:ascii="宋体" w:hAnsi="宋体" w:eastAsia="宋体" w:cs="Times New Roman"/>
                <w:color w:val="000000" w:themeColor="text1"/>
                <w:szCs w:val="21"/>
                <w14:textFill>
                  <w14:solidFill>
                    <w14:schemeClr w14:val="tx1"/>
                  </w14:solidFill>
                </w14:textFill>
              </w:rPr>
            </w:pPr>
          </w:p>
          <w:p w14:paraId="50657A8A">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p>
        </w:tc>
        <w:tc>
          <w:tcPr>
            <w:tcW w:w="1485" w:type="dxa"/>
          </w:tcPr>
          <w:p w14:paraId="2EA402E0">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1530" w:type="dxa"/>
          </w:tcPr>
          <w:p w14:paraId="6140AB0B">
            <w:pPr>
              <w:spacing w:line="360" w:lineRule="auto"/>
              <w:jc w:val="left"/>
              <w:rPr>
                <w:rFonts w:ascii="宋体" w:hAnsi="宋体" w:eastAsia="宋体" w:cs="Times New Roman"/>
                <w:color w:val="000000" w:themeColor="text1"/>
                <w:szCs w:val="21"/>
                <w14:textFill>
                  <w14:solidFill>
                    <w14:schemeClr w14:val="tx1"/>
                  </w14:solidFill>
                </w14:textFill>
              </w:rPr>
            </w:pPr>
          </w:p>
        </w:tc>
        <w:tc>
          <w:tcPr>
            <w:tcW w:w="1223" w:type="dxa"/>
          </w:tcPr>
          <w:p w14:paraId="32DEB07B">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1391" w:type="dxa"/>
          </w:tcPr>
          <w:p w14:paraId="72E8CE81">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2276" w:type="dxa"/>
          </w:tcPr>
          <w:p w14:paraId="36DBB33C">
            <w:pPr>
              <w:spacing w:line="360" w:lineRule="auto"/>
              <w:jc w:val="center"/>
              <w:rPr>
                <w:rFonts w:ascii="宋体" w:hAnsi="宋体" w:eastAsia="宋体" w:cs="Times New Roman"/>
                <w:color w:val="000000" w:themeColor="text1"/>
                <w:szCs w:val="21"/>
                <w14:textFill>
                  <w14:solidFill>
                    <w14:schemeClr w14:val="tx1"/>
                  </w14:solidFill>
                </w14:textFill>
              </w:rPr>
            </w:pPr>
          </w:p>
        </w:tc>
      </w:tr>
      <w:tr w14:paraId="2B56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3B49F4BF">
            <w:pPr>
              <w:spacing w:line="360" w:lineRule="auto"/>
              <w:jc w:val="center"/>
              <w:rPr>
                <w:rFonts w:ascii="宋体" w:hAnsi="宋体" w:eastAsia="宋体" w:cs="Times New Roman"/>
                <w:color w:val="000000" w:themeColor="text1"/>
                <w:szCs w:val="21"/>
                <w14:textFill>
                  <w14:solidFill>
                    <w14:schemeClr w14:val="tx1"/>
                  </w14:solidFill>
                </w14:textFill>
              </w:rPr>
            </w:pPr>
          </w:p>
          <w:p w14:paraId="1EB53B40">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p>
        </w:tc>
        <w:tc>
          <w:tcPr>
            <w:tcW w:w="1485" w:type="dxa"/>
          </w:tcPr>
          <w:p w14:paraId="1AC9DD08">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1530" w:type="dxa"/>
          </w:tcPr>
          <w:p w14:paraId="7C630149">
            <w:pPr>
              <w:spacing w:line="360" w:lineRule="auto"/>
              <w:jc w:val="left"/>
              <w:rPr>
                <w:rFonts w:ascii="宋体" w:hAnsi="宋体" w:eastAsia="宋体" w:cs="Times New Roman"/>
                <w:color w:val="000000" w:themeColor="text1"/>
                <w:szCs w:val="21"/>
                <w14:textFill>
                  <w14:solidFill>
                    <w14:schemeClr w14:val="tx1"/>
                  </w14:solidFill>
                </w14:textFill>
              </w:rPr>
            </w:pPr>
          </w:p>
        </w:tc>
        <w:tc>
          <w:tcPr>
            <w:tcW w:w="1223" w:type="dxa"/>
          </w:tcPr>
          <w:p w14:paraId="5D2ABB53">
            <w:pPr>
              <w:spacing w:line="360" w:lineRule="auto"/>
              <w:jc w:val="center"/>
              <w:rPr>
                <w:rFonts w:ascii="宋体" w:hAnsi="宋体" w:eastAsia="宋体" w:cs="Times New Roman"/>
                <w:color w:val="000000" w:themeColor="text1"/>
                <w:szCs w:val="21"/>
                <w14:textFill>
                  <w14:solidFill>
                    <w14:schemeClr w14:val="tx1"/>
                  </w14:solidFill>
                </w14:textFill>
              </w:rPr>
            </w:pPr>
          </w:p>
          <w:p w14:paraId="2282C2F6">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1391" w:type="dxa"/>
          </w:tcPr>
          <w:p w14:paraId="398EB6AF">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2276" w:type="dxa"/>
          </w:tcPr>
          <w:p w14:paraId="51761DBC">
            <w:pPr>
              <w:spacing w:line="360" w:lineRule="auto"/>
              <w:jc w:val="center"/>
              <w:rPr>
                <w:rFonts w:ascii="宋体" w:hAnsi="宋体" w:eastAsia="宋体" w:cs="Times New Roman"/>
                <w:color w:val="000000" w:themeColor="text1"/>
                <w:szCs w:val="21"/>
                <w14:textFill>
                  <w14:solidFill>
                    <w14:schemeClr w14:val="tx1"/>
                  </w14:solidFill>
                </w14:textFill>
              </w:rPr>
            </w:pPr>
          </w:p>
        </w:tc>
      </w:tr>
      <w:tr w14:paraId="2464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2EABBDCF">
            <w:pPr>
              <w:spacing w:line="360" w:lineRule="auto"/>
              <w:jc w:val="center"/>
              <w:rPr>
                <w:rFonts w:ascii="宋体" w:hAnsi="宋体" w:eastAsia="宋体" w:cs="Times New Roman"/>
                <w:color w:val="000000" w:themeColor="text1"/>
                <w:szCs w:val="21"/>
                <w14:textFill>
                  <w14:solidFill>
                    <w14:schemeClr w14:val="tx1"/>
                  </w14:solidFill>
                </w14:textFill>
              </w:rPr>
            </w:pPr>
          </w:p>
          <w:p w14:paraId="3266EAC6">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p>
        </w:tc>
        <w:tc>
          <w:tcPr>
            <w:tcW w:w="1485" w:type="dxa"/>
          </w:tcPr>
          <w:p w14:paraId="19432B17">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1530" w:type="dxa"/>
          </w:tcPr>
          <w:p w14:paraId="1297C7B9">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1223" w:type="dxa"/>
          </w:tcPr>
          <w:p w14:paraId="67DA7EC9">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1391" w:type="dxa"/>
          </w:tcPr>
          <w:p w14:paraId="35C32D96">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2276" w:type="dxa"/>
          </w:tcPr>
          <w:p w14:paraId="26BB2D22">
            <w:pPr>
              <w:spacing w:line="360" w:lineRule="auto"/>
              <w:jc w:val="center"/>
              <w:rPr>
                <w:rFonts w:ascii="宋体" w:hAnsi="宋体" w:eastAsia="宋体" w:cs="Times New Roman"/>
                <w:color w:val="000000" w:themeColor="text1"/>
                <w:szCs w:val="21"/>
                <w14:textFill>
                  <w14:solidFill>
                    <w14:schemeClr w14:val="tx1"/>
                  </w14:solidFill>
                </w14:textFill>
              </w:rPr>
            </w:pPr>
          </w:p>
        </w:tc>
      </w:tr>
      <w:tr w14:paraId="6A4B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792D052B">
            <w:pPr>
              <w:spacing w:line="360" w:lineRule="auto"/>
              <w:rPr>
                <w:rFonts w:ascii="宋体" w:hAnsi="宋体" w:eastAsia="宋体" w:cs="Times New Roman"/>
                <w:color w:val="000000" w:themeColor="text1"/>
                <w:szCs w:val="21"/>
                <w14:textFill>
                  <w14:solidFill>
                    <w14:schemeClr w14:val="tx1"/>
                  </w14:solidFill>
                </w14:textFill>
              </w:rPr>
            </w:pPr>
          </w:p>
          <w:p w14:paraId="7CC9D3BF">
            <w:pPr>
              <w:spacing w:line="360" w:lineRule="auto"/>
              <w:ind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w:t>
            </w:r>
          </w:p>
        </w:tc>
        <w:tc>
          <w:tcPr>
            <w:tcW w:w="1485" w:type="dxa"/>
          </w:tcPr>
          <w:p w14:paraId="2CED8EA5">
            <w:pPr>
              <w:spacing w:line="360" w:lineRule="auto"/>
              <w:jc w:val="center"/>
              <w:rPr>
                <w:rFonts w:ascii="宋体" w:hAnsi="宋体" w:eastAsia="宋体" w:cs="Times New Roman"/>
                <w:color w:val="000000" w:themeColor="text1"/>
                <w:szCs w:val="21"/>
                <w14:textFill>
                  <w14:solidFill>
                    <w14:schemeClr w14:val="tx1"/>
                  </w14:solidFill>
                </w14:textFill>
              </w:rPr>
            </w:pPr>
          </w:p>
          <w:p w14:paraId="34175BE4">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1530" w:type="dxa"/>
          </w:tcPr>
          <w:p w14:paraId="6F786403">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1223" w:type="dxa"/>
          </w:tcPr>
          <w:p w14:paraId="6C8A0219">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1391" w:type="dxa"/>
          </w:tcPr>
          <w:p w14:paraId="57D4FA92">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2276" w:type="dxa"/>
          </w:tcPr>
          <w:p w14:paraId="6E407D29">
            <w:pPr>
              <w:spacing w:line="360" w:lineRule="auto"/>
              <w:jc w:val="center"/>
              <w:rPr>
                <w:rFonts w:ascii="宋体" w:hAnsi="宋体" w:eastAsia="宋体" w:cs="Times New Roman"/>
                <w:color w:val="000000" w:themeColor="text1"/>
                <w:szCs w:val="21"/>
                <w14:textFill>
                  <w14:solidFill>
                    <w14:schemeClr w14:val="tx1"/>
                  </w14:solidFill>
                </w14:textFill>
              </w:rPr>
            </w:pPr>
          </w:p>
        </w:tc>
      </w:tr>
      <w:tr w14:paraId="18B5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5C0BFCC1">
            <w:pPr>
              <w:spacing w:line="360" w:lineRule="auto"/>
              <w:jc w:val="center"/>
              <w:rPr>
                <w:rFonts w:ascii="宋体" w:hAnsi="宋体" w:eastAsia="宋体" w:cs="Times New Roman"/>
                <w:color w:val="000000" w:themeColor="text1"/>
                <w:szCs w:val="21"/>
                <w14:textFill>
                  <w14:solidFill>
                    <w14:schemeClr w14:val="tx1"/>
                  </w14:solidFill>
                </w14:textFill>
              </w:rPr>
            </w:pPr>
          </w:p>
          <w:p w14:paraId="33AC41ED">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w:t>
            </w:r>
          </w:p>
        </w:tc>
        <w:tc>
          <w:tcPr>
            <w:tcW w:w="1485" w:type="dxa"/>
          </w:tcPr>
          <w:p w14:paraId="706D2027">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1530" w:type="dxa"/>
          </w:tcPr>
          <w:p w14:paraId="5A11E683">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1223" w:type="dxa"/>
          </w:tcPr>
          <w:p w14:paraId="5F93F38F">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1391" w:type="dxa"/>
          </w:tcPr>
          <w:p w14:paraId="3642BB00">
            <w:pPr>
              <w:spacing w:line="360" w:lineRule="auto"/>
              <w:jc w:val="center"/>
              <w:rPr>
                <w:rFonts w:ascii="宋体" w:hAnsi="宋体" w:eastAsia="宋体" w:cs="Times New Roman"/>
                <w:color w:val="000000" w:themeColor="text1"/>
                <w:szCs w:val="21"/>
                <w14:textFill>
                  <w14:solidFill>
                    <w14:schemeClr w14:val="tx1"/>
                  </w14:solidFill>
                </w14:textFill>
              </w:rPr>
            </w:pPr>
          </w:p>
          <w:p w14:paraId="61657EF4">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2276" w:type="dxa"/>
          </w:tcPr>
          <w:p w14:paraId="5DE0B35B">
            <w:pPr>
              <w:tabs>
                <w:tab w:val="center" w:pos="767"/>
                <w:tab w:val="right" w:pos="1415"/>
              </w:tabs>
              <w:spacing w:line="360" w:lineRule="auto"/>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ab/>
            </w:r>
          </w:p>
        </w:tc>
      </w:tr>
      <w:tr w14:paraId="6D11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37D383DE">
            <w:pPr>
              <w:spacing w:line="360" w:lineRule="auto"/>
              <w:jc w:val="center"/>
              <w:rPr>
                <w:rFonts w:ascii="宋体" w:hAnsi="宋体" w:eastAsia="宋体" w:cs="Times New Roman"/>
                <w:color w:val="000000" w:themeColor="text1"/>
                <w:szCs w:val="21"/>
                <w14:textFill>
                  <w14:solidFill>
                    <w14:schemeClr w14:val="tx1"/>
                  </w14:solidFill>
                </w14:textFill>
              </w:rPr>
            </w:pPr>
          </w:p>
          <w:p w14:paraId="057E59A4">
            <w:pPr>
              <w:spacing w:line="360" w:lineRule="auto"/>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w:t>
            </w:r>
          </w:p>
        </w:tc>
        <w:tc>
          <w:tcPr>
            <w:tcW w:w="1485" w:type="dxa"/>
          </w:tcPr>
          <w:p w14:paraId="5A429969">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1530" w:type="dxa"/>
          </w:tcPr>
          <w:p w14:paraId="4A8D80AD">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1223" w:type="dxa"/>
          </w:tcPr>
          <w:p w14:paraId="75463D62">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1391" w:type="dxa"/>
          </w:tcPr>
          <w:p w14:paraId="18083CAF">
            <w:pPr>
              <w:spacing w:line="360" w:lineRule="auto"/>
              <w:jc w:val="center"/>
              <w:rPr>
                <w:rFonts w:ascii="宋体" w:hAnsi="宋体" w:eastAsia="宋体" w:cs="Times New Roman"/>
                <w:color w:val="000000" w:themeColor="text1"/>
                <w:szCs w:val="21"/>
                <w14:textFill>
                  <w14:solidFill>
                    <w14:schemeClr w14:val="tx1"/>
                  </w14:solidFill>
                </w14:textFill>
              </w:rPr>
            </w:pPr>
          </w:p>
        </w:tc>
        <w:tc>
          <w:tcPr>
            <w:tcW w:w="2276" w:type="dxa"/>
          </w:tcPr>
          <w:p w14:paraId="52695E92">
            <w:pPr>
              <w:spacing w:line="360" w:lineRule="auto"/>
              <w:jc w:val="center"/>
              <w:rPr>
                <w:rFonts w:ascii="宋体" w:hAnsi="宋体" w:eastAsia="宋体" w:cs="Times New Roman"/>
                <w:color w:val="000000" w:themeColor="text1"/>
                <w:szCs w:val="21"/>
                <w14:textFill>
                  <w14:solidFill>
                    <w14:schemeClr w14:val="tx1"/>
                  </w14:solidFill>
                </w14:textFill>
              </w:rPr>
            </w:pPr>
          </w:p>
        </w:tc>
      </w:tr>
    </w:tbl>
    <w:p w14:paraId="49559D2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07B9C7D">
      <w:pPr>
        <w:spacing w:line="360" w:lineRule="auto"/>
        <w:ind w:left="720" w:hanging="720" w:hangingChars="3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备注：1、类似项目业绩为：类似业绩，以合同签订时间为准。</w:t>
      </w:r>
    </w:p>
    <w:p w14:paraId="569AD9E2">
      <w:pPr>
        <w:spacing w:line="360" w:lineRule="auto"/>
        <w:ind w:left="735" w:leftChars="35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2、本表后附</w:t>
      </w:r>
      <w:r>
        <w:rPr>
          <w:rFonts w:hint="eastAsia" w:asciiTheme="minorEastAsia" w:hAnsiTheme="minorEastAsia" w:cstheme="minorEastAsia"/>
          <w:color w:val="000000" w:themeColor="text1"/>
          <w:sz w:val="24"/>
          <w:szCs w:val="24"/>
          <w14:textFill>
            <w14:solidFill>
              <w14:schemeClr w14:val="tx1"/>
            </w14:solidFill>
          </w14:textFill>
        </w:rPr>
        <w:t>附合同或项目书或中标通知书复印件</w:t>
      </w:r>
      <w:r>
        <w:rPr>
          <w:rFonts w:hint="eastAsia" w:ascii="宋体" w:hAnsi="宋体" w:eastAsia="宋体" w:cs="Times New Roman"/>
          <w:color w:val="000000" w:themeColor="text1"/>
          <w:kern w:val="0"/>
          <w:sz w:val="24"/>
          <w:szCs w:val="24"/>
          <w14:textFill>
            <w14:solidFill>
              <w14:schemeClr w14:val="tx1"/>
            </w14:solidFill>
          </w14:textFill>
        </w:rPr>
        <w:t>。</w:t>
      </w:r>
    </w:p>
    <w:p w14:paraId="5FE8E656">
      <w:pPr>
        <w:spacing w:line="360" w:lineRule="auto"/>
        <w:ind w:firstLine="400" w:firstLineChars="200"/>
        <w:rPr>
          <w:rFonts w:ascii="宋体" w:hAnsi="宋体" w:eastAsia="宋体" w:cs="宋体"/>
          <w:b/>
          <w:bCs/>
          <w:color w:val="000000" w:themeColor="text1"/>
          <w:kern w:val="0"/>
          <w:sz w:val="20"/>
          <w14:textFill>
            <w14:solidFill>
              <w14:schemeClr w14:val="tx1"/>
            </w14:solidFill>
          </w14:textFill>
        </w:rPr>
      </w:pPr>
    </w:p>
    <w:p w14:paraId="56EA23E8">
      <w:pPr>
        <w:spacing w:line="360" w:lineRule="auto"/>
        <w:ind w:firstLine="400" w:firstLineChars="200"/>
        <w:rPr>
          <w:rFonts w:ascii="宋体" w:hAnsi="宋体" w:eastAsia="宋体" w:cs="宋体"/>
          <w:b/>
          <w:bCs/>
          <w:color w:val="000000" w:themeColor="text1"/>
          <w:kern w:val="0"/>
          <w:sz w:val="20"/>
          <w14:textFill>
            <w14:solidFill>
              <w14:schemeClr w14:val="tx1"/>
            </w14:solidFill>
          </w14:textFill>
        </w:rPr>
      </w:pPr>
    </w:p>
    <w:p w14:paraId="51EAB75E">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供应商</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15CCFD7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____________________</w:t>
      </w:r>
    </w:p>
    <w:p w14:paraId="1EAC22A9">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2B00B01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2C24691E">
      <w:pPr>
        <w:keepNext/>
        <w:keepLines/>
        <w:spacing w:before="260" w:after="260" w:line="360"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26" w:name="_Toc14565"/>
      <w:r>
        <w:rPr>
          <w:rFonts w:hint="eastAsia" w:ascii="Calibri" w:hAnsi="Calibri" w:eastAsia="宋体" w:cs="Times New Roman"/>
          <w:b/>
          <w:color w:val="000000" w:themeColor="text1"/>
          <w:kern w:val="0"/>
          <w:sz w:val="24"/>
          <w:szCs w:val="20"/>
          <w14:textFill>
            <w14:solidFill>
              <w14:schemeClr w14:val="tx1"/>
            </w14:solidFill>
          </w14:textFill>
        </w:rPr>
        <w:t>七、投标人认为需提供的其他资料</w:t>
      </w:r>
      <w:bookmarkEnd w:id="26"/>
    </w:p>
    <w:p w14:paraId="720E3472">
      <w:pPr>
        <w:spacing w:line="360" w:lineRule="auto"/>
        <w:ind w:firstLine="480" w:firstLineChars="200"/>
        <w:rPr>
          <w:rFonts w:ascii="宋体" w:hAnsi="宋体" w:eastAsia="宋体" w:cs="Times New Roman"/>
          <w:b/>
          <w:color w:val="000000" w:themeColor="text1"/>
          <w:kern w:val="0"/>
          <w:sz w:val="24"/>
          <w:szCs w:val="24"/>
          <w14:textFill>
            <w14:solidFill>
              <w14:schemeClr w14:val="tx1"/>
            </w14:solidFill>
          </w14:textFill>
        </w:rPr>
      </w:pPr>
      <w:r>
        <w:rPr>
          <w:rFonts w:hAnsi="宋体" w:cs="Times New Roman"/>
          <w:color w:val="000000" w:themeColor="text1"/>
          <w:sz w:val="24"/>
          <w:szCs w:val="24"/>
          <w14:textFill>
            <w14:solidFill>
              <w14:schemeClr w14:val="tx1"/>
            </w14:solidFill>
          </w14:textFill>
        </w:rPr>
        <w:t>供应商认为还需要提供其他资料的，</w:t>
      </w:r>
      <w:r>
        <w:rPr>
          <w:rFonts w:hint="eastAsia" w:hAnsi="宋体" w:cs="Times New Roman"/>
          <w:color w:val="000000" w:themeColor="text1"/>
          <w:sz w:val="24"/>
          <w:szCs w:val="24"/>
          <w14:textFill>
            <w14:solidFill>
              <w14:schemeClr w14:val="tx1"/>
            </w14:solidFill>
          </w14:textFill>
        </w:rPr>
        <w:t>自行</w:t>
      </w:r>
      <w:r>
        <w:rPr>
          <w:rFonts w:hAnsi="宋体" w:cs="Times New Roman"/>
          <w:color w:val="000000" w:themeColor="text1"/>
          <w:sz w:val="24"/>
          <w:szCs w:val="24"/>
          <w14:textFill>
            <w14:solidFill>
              <w14:schemeClr w14:val="tx1"/>
            </w14:solidFill>
          </w14:textFill>
        </w:rPr>
        <w:t>增加</w:t>
      </w:r>
      <w:r>
        <w:rPr>
          <w:rFonts w:hint="eastAsia" w:hAnsi="宋体" w:cs="Times New Roman"/>
          <w:color w:val="000000" w:themeColor="text1"/>
          <w:sz w:val="24"/>
          <w:szCs w:val="24"/>
          <w14:textFill>
            <w14:solidFill>
              <w14:schemeClr w14:val="tx1"/>
            </w14:solidFill>
          </w14:textFill>
        </w:rPr>
        <w:t>（可根据打分表自行拓展）</w:t>
      </w:r>
    </w:p>
    <w:p w14:paraId="7C675482">
      <w:pPr>
        <w:spacing w:line="360" w:lineRule="auto"/>
        <w:ind w:firstLine="480" w:firstLineChars="200"/>
        <w:rPr>
          <w:rFonts w:ascii="宋体" w:hAnsi="宋体" w:eastAsia="宋体" w:cs="Times New Roman"/>
          <w:b/>
          <w:color w:val="000000" w:themeColor="text1"/>
          <w:kern w:val="0"/>
          <w:sz w:val="24"/>
          <w:szCs w:val="24"/>
          <w14:textFill>
            <w14:solidFill>
              <w14:schemeClr w14:val="tx1"/>
            </w14:solidFill>
          </w14:textFill>
        </w:rPr>
      </w:pPr>
    </w:p>
    <w:p w14:paraId="3C120AF1">
      <w:pPr>
        <w:spacing w:line="360" w:lineRule="auto"/>
        <w:ind w:firstLine="480" w:firstLineChars="200"/>
        <w:rPr>
          <w:rFonts w:ascii="宋体" w:hAnsi="宋体" w:eastAsia="宋体" w:cs="Times New Roman"/>
          <w:b/>
          <w:color w:val="000000" w:themeColor="text1"/>
          <w:kern w:val="0"/>
          <w:sz w:val="24"/>
          <w:szCs w:val="24"/>
          <w14:textFill>
            <w14:solidFill>
              <w14:schemeClr w14:val="tx1"/>
            </w14:solidFill>
          </w14:textFill>
        </w:rPr>
      </w:pPr>
    </w:p>
    <w:p w14:paraId="505F647A">
      <w:pPr>
        <w:keepNext/>
        <w:keepLines/>
        <w:spacing w:before="260" w:after="260" w:line="360"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27" w:name="_Toc19086"/>
      <w:r>
        <w:rPr>
          <w:rFonts w:hint="eastAsia" w:ascii="Calibri" w:hAnsi="Calibri" w:eastAsia="宋体" w:cs="Times New Roman"/>
          <w:b/>
          <w:color w:val="000000" w:themeColor="text1"/>
          <w:kern w:val="0"/>
          <w:sz w:val="24"/>
          <w:szCs w:val="20"/>
          <w14:textFill>
            <w14:solidFill>
              <w14:schemeClr w14:val="tx1"/>
            </w14:solidFill>
          </w14:textFill>
        </w:rPr>
        <w:t>八、投标人企业类型声明函</w:t>
      </w:r>
      <w:bookmarkEnd w:id="27"/>
    </w:p>
    <w:p w14:paraId="50BA8404">
      <w:pPr>
        <w:widowControl/>
        <w:spacing w:line="360" w:lineRule="auto"/>
        <w:jc w:val="left"/>
        <w:rPr>
          <w:rFonts w:ascii="宋体" w:hAnsi="宋体" w:eastAsia="宋体" w:cs="Times New Roman"/>
          <w:b/>
          <w:color w:val="000000" w:themeColor="text1"/>
          <w:sz w:val="24"/>
          <w:szCs w:val="24"/>
          <w14:textFill>
            <w14:solidFill>
              <w14:schemeClr w14:val="tx1"/>
            </w14:solidFill>
          </w14:textFill>
        </w:rPr>
      </w:pPr>
    </w:p>
    <w:p w14:paraId="585BAF3C">
      <w:pPr>
        <w:widowControl/>
        <w:spacing w:line="360" w:lineRule="auto"/>
        <w:jc w:val="left"/>
        <w:rPr>
          <w:rFonts w:ascii="宋体" w:hAnsi="宋体" w:eastAsia="宋体" w:cs="Times New Roman"/>
          <w:b/>
          <w:color w:val="000000" w:themeColor="text1"/>
          <w:sz w:val="24"/>
          <w:szCs w:val="24"/>
          <w14:textFill>
            <w14:solidFill>
              <w14:schemeClr w14:val="tx1"/>
            </w14:solidFill>
          </w14:textFill>
        </w:rPr>
      </w:pPr>
    </w:p>
    <w:p w14:paraId="31E809AC">
      <w:pPr>
        <w:widowControl/>
        <w:spacing w:line="360" w:lineRule="auto"/>
        <w:jc w:val="left"/>
        <w:rPr>
          <w:rFonts w:ascii="宋体" w:hAnsi="宋体" w:eastAsia="宋体" w:cs="Times New Roman"/>
          <w:b/>
          <w:color w:val="000000" w:themeColor="text1"/>
          <w:sz w:val="24"/>
          <w:szCs w:val="24"/>
          <w14:textFill>
            <w14:solidFill>
              <w14:schemeClr w14:val="tx1"/>
            </w14:solidFill>
          </w14:textFill>
        </w:rPr>
      </w:pPr>
    </w:p>
    <w:p w14:paraId="7C72A6DB">
      <w:pPr>
        <w:widowControl/>
        <w:spacing w:line="360" w:lineRule="auto"/>
        <w:jc w:val="left"/>
        <w:rPr>
          <w:rFonts w:ascii="宋体" w:hAnsi="宋体" w:eastAsia="宋体" w:cs="Times New Roman"/>
          <w:b/>
          <w:color w:val="000000" w:themeColor="text1"/>
          <w:sz w:val="24"/>
          <w:szCs w:val="24"/>
          <w14:textFill>
            <w14:solidFill>
              <w14:schemeClr w14:val="tx1"/>
            </w14:solidFill>
          </w14:textFill>
        </w:rPr>
      </w:pPr>
    </w:p>
    <w:p w14:paraId="7F916C56">
      <w:pPr>
        <w:widowControl/>
        <w:spacing w:line="360" w:lineRule="auto"/>
        <w:jc w:val="left"/>
        <w:rPr>
          <w:rFonts w:ascii="宋体" w:hAnsi="宋体" w:eastAsia="宋体" w:cs="Times New Roman"/>
          <w:b/>
          <w:color w:val="000000" w:themeColor="text1"/>
          <w:sz w:val="24"/>
          <w:szCs w:val="24"/>
          <w14:textFill>
            <w14:solidFill>
              <w14:schemeClr w14:val="tx1"/>
            </w14:solidFill>
          </w14:textFill>
        </w:rPr>
      </w:pPr>
    </w:p>
    <w:p w14:paraId="715040DE">
      <w:pPr>
        <w:widowControl/>
        <w:spacing w:line="360" w:lineRule="auto"/>
        <w:jc w:val="left"/>
        <w:rPr>
          <w:rFonts w:ascii="宋体" w:hAnsi="宋体" w:eastAsia="宋体" w:cs="Times New Roman"/>
          <w:b/>
          <w:color w:val="000000" w:themeColor="text1"/>
          <w:sz w:val="24"/>
          <w:szCs w:val="24"/>
          <w14:textFill>
            <w14:solidFill>
              <w14:schemeClr w14:val="tx1"/>
            </w14:solidFill>
          </w14:textFill>
        </w:rPr>
      </w:pPr>
    </w:p>
    <w:p w14:paraId="6BD701AE">
      <w:pPr>
        <w:widowControl/>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（格式自拟）</w:t>
      </w:r>
    </w:p>
    <w:p w14:paraId="7EA19EEF">
      <w:pPr>
        <w:keepNext/>
        <w:keepLines/>
        <w:spacing w:before="260" w:after="260" w:line="360"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ascii="宋体" w:hAnsi="宋体" w:eastAsia="宋体" w:cs="Times New Roman"/>
          <w:b/>
          <w:color w:val="000000" w:themeColor="text1"/>
          <w:kern w:val="0"/>
          <w:sz w:val="24"/>
          <w:szCs w:val="24"/>
          <w14:textFill>
            <w14:solidFill>
              <w14:schemeClr w14:val="tx1"/>
            </w14:solidFill>
          </w14:textFill>
        </w:rPr>
        <w:br w:type="page"/>
      </w:r>
      <w:bookmarkStart w:id="28" w:name="_Toc5578"/>
      <w:r>
        <w:rPr>
          <w:rFonts w:hint="eastAsia" w:ascii="Calibri" w:hAnsi="Calibri" w:eastAsia="宋体" w:cs="Times New Roman"/>
          <w:b/>
          <w:color w:val="000000" w:themeColor="text1"/>
          <w:kern w:val="0"/>
          <w:sz w:val="24"/>
          <w:szCs w:val="20"/>
          <w14:textFill>
            <w14:solidFill>
              <w14:schemeClr w14:val="tx1"/>
            </w14:solidFill>
          </w14:textFill>
        </w:rPr>
        <w:t>九、中小微企业声明函</w:t>
      </w:r>
      <w:bookmarkEnd w:id="28"/>
    </w:p>
    <w:p w14:paraId="5B95FE86">
      <w:pPr>
        <w:widowControl/>
        <w:spacing w:line="360" w:lineRule="auto"/>
        <w:jc w:val="center"/>
        <w:rPr>
          <w:rFonts w:ascii="方正小标宋_GBK" w:hAnsi="方正小标宋_GBK" w:eastAsia="方正小标宋_GBK" w:cs="方正小标宋_GBK"/>
          <w:color w:val="000000" w:themeColor="text1"/>
          <w:sz w:val="36"/>
          <w14:textFill>
            <w14:solidFill>
              <w14:schemeClr w14:val="tx1"/>
            </w14:solidFill>
          </w14:textFill>
        </w:rPr>
      </w:pPr>
      <w:r>
        <w:rPr>
          <w:rFonts w:hint="eastAsia" w:ascii="方正小标宋_GBK" w:hAnsi="方正小标宋_GBK" w:eastAsia="方正小标宋_GBK" w:cs="方正小标宋_GBK"/>
          <w:color w:val="000000" w:themeColor="text1"/>
          <w:sz w:val="36"/>
          <w14:textFill>
            <w14:solidFill>
              <w14:schemeClr w14:val="tx1"/>
            </w14:solidFill>
          </w14:textFill>
        </w:rPr>
        <w:t>中小企业声明函（工程、服务）</w:t>
      </w:r>
    </w:p>
    <w:p w14:paraId="2E28EBB2">
      <w:pPr>
        <w:widowControl/>
        <w:spacing w:line="360" w:lineRule="auto"/>
        <w:jc w:val="center"/>
        <w:rPr>
          <w:rFonts w:ascii="方正小标宋_GBK" w:hAnsi="方正小标宋_GBK" w:eastAsia="方正小标宋_GBK" w:cs="方正小标宋_GBK"/>
          <w:color w:val="000000" w:themeColor="text1"/>
          <w:sz w:val="36"/>
          <w14:textFill>
            <w14:solidFill>
              <w14:schemeClr w14:val="tx1"/>
            </w14:solidFill>
          </w14:textFill>
        </w:rPr>
      </w:pPr>
    </w:p>
    <w:p w14:paraId="3FF13DE3">
      <w:pPr>
        <w:spacing w:before="156" w:beforeLines="50" w:after="156" w:afterLines="50" w:line="360" w:lineRule="auto"/>
        <w:ind w:firstLine="480" w:firstLineChars="200"/>
        <w:rPr>
          <w:rFonts w:ascii="宋体" w:hAnsi="宋体"/>
          <w:bCs/>
          <w:color w:val="000000" w:themeColor="text1"/>
          <w:sz w:val="24"/>
          <w:szCs w:val="21"/>
          <w14:textFill>
            <w14:solidFill>
              <w14:schemeClr w14:val="tx1"/>
            </w14:solidFill>
          </w14:textFill>
        </w:rPr>
      </w:pPr>
      <w:r>
        <w:rPr>
          <w:rFonts w:hint="eastAsia" w:ascii="宋体" w:hAnsi="宋体"/>
          <w:bCs/>
          <w:color w:val="000000" w:themeColor="text1"/>
          <w:sz w:val="24"/>
          <w:szCs w:val="21"/>
          <w14:textFill>
            <w14:solidFill>
              <w14:schemeClr w14:val="tx1"/>
            </w14:solidFill>
          </w14:textFill>
        </w:rPr>
        <w:t>本公司（联合体）郑重声明，根据《政府采购促进中小企业发展管理办法》（财库﹝2020﹞46 号）的规定，本公司（联合体）参加（</w:t>
      </w:r>
      <w:r>
        <w:rPr>
          <w:rFonts w:hint="eastAsia" w:ascii="宋体" w:hAnsi="宋体"/>
          <w:bCs/>
          <w:i/>
          <w:iCs/>
          <w:color w:val="000000" w:themeColor="text1"/>
          <w:sz w:val="24"/>
          <w:szCs w:val="21"/>
          <w:u w:val="single"/>
          <w14:textFill>
            <w14:solidFill>
              <w14:schemeClr w14:val="tx1"/>
            </w14:solidFill>
          </w14:textFill>
        </w:rPr>
        <w:t>单位名称</w:t>
      </w:r>
      <w:r>
        <w:rPr>
          <w:rFonts w:hint="eastAsia" w:ascii="宋体" w:hAnsi="宋体"/>
          <w:bCs/>
          <w:color w:val="000000" w:themeColor="text1"/>
          <w:sz w:val="24"/>
          <w:szCs w:val="21"/>
          <w14:textFill>
            <w14:solidFill>
              <w14:schemeClr w14:val="tx1"/>
            </w14:solidFill>
          </w14:textFill>
        </w:rPr>
        <w:t>）的（</w:t>
      </w:r>
      <w:r>
        <w:rPr>
          <w:rFonts w:hint="eastAsia" w:ascii="宋体" w:hAnsi="宋体"/>
          <w:bCs/>
          <w:i/>
          <w:iCs/>
          <w:color w:val="000000" w:themeColor="text1"/>
          <w:sz w:val="24"/>
          <w:szCs w:val="21"/>
          <w:u w:val="single"/>
          <w14:textFill>
            <w14:solidFill>
              <w14:schemeClr w14:val="tx1"/>
            </w14:solidFill>
          </w14:textFill>
        </w:rPr>
        <w:t>项目名称</w:t>
      </w:r>
      <w:r>
        <w:rPr>
          <w:rFonts w:hint="eastAsia" w:ascii="宋体" w:hAnsi="宋体"/>
          <w:bCs/>
          <w:color w:val="000000" w:themeColor="text1"/>
          <w:sz w:val="24"/>
          <w:szCs w:val="21"/>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17096C60">
      <w:pPr>
        <w:spacing w:before="156" w:beforeLines="50" w:after="156" w:afterLines="50" w:line="360" w:lineRule="auto"/>
        <w:ind w:firstLine="480" w:firstLineChars="200"/>
        <w:rPr>
          <w:rFonts w:ascii="宋体" w:hAnsi="宋体"/>
          <w:bCs/>
          <w:color w:val="000000" w:themeColor="text1"/>
          <w:sz w:val="24"/>
          <w:szCs w:val="21"/>
          <w14:textFill>
            <w14:solidFill>
              <w14:schemeClr w14:val="tx1"/>
            </w14:solidFill>
          </w14:textFill>
        </w:rPr>
      </w:pPr>
      <w:r>
        <w:rPr>
          <w:rFonts w:hint="eastAsia" w:ascii="宋体" w:hAnsi="宋体"/>
          <w:bCs/>
          <w:color w:val="000000" w:themeColor="text1"/>
          <w:sz w:val="24"/>
          <w:szCs w:val="21"/>
          <w14:textFill>
            <w14:solidFill>
              <w14:schemeClr w14:val="tx1"/>
            </w14:solidFill>
          </w14:textFill>
        </w:rPr>
        <w:t>1. （</w:t>
      </w:r>
      <w:r>
        <w:rPr>
          <w:rFonts w:hint="eastAsia" w:ascii="宋体" w:hAnsi="宋体"/>
          <w:bCs/>
          <w:i/>
          <w:iCs/>
          <w:color w:val="000000" w:themeColor="text1"/>
          <w:sz w:val="24"/>
          <w:szCs w:val="21"/>
          <w:u w:val="single"/>
          <w14:textFill>
            <w14:solidFill>
              <w14:schemeClr w14:val="tx1"/>
            </w14:solidFill>
          </w14:textFill>
        </w:rPr>
        <w:t>标的名称</w:t>
      </w:r>
      <w:r>
        <w:rPr>
          <w:rFonts w:hint="eastAsia" w:ascii="宋体" w:hAnsi="宋体"/>
          <w:bCs/>
          <w:color w:val="000000" w:themeColor="text1"/>
          <w:sz w:val="24"/>
          <w:szCs w:val="21"/>
          <w14:textFill>
            <w14:solidFill>
              <w14:schemeClr w14:val="tx1"/>
            </w14:solidFill>
          </w14:textFill>
        </w:rPr>
        <w:t>） ，属于（</w:t>
      </w:r>
      <w:r>
        <w:rPr>
          <w:rFonts w:hint="eastAsia" w:ascii="宋体" w:hAnsi="宋体"/>
          <w:bCs/>
          <w:i/>
          <w:iCs/>
          <w:color w:val="000000" w:themeColor="text1"/>
          <w:sz w:val="24"/>
          <w:szCs w:val="21"/>
          <w:u w:val="single"/>
          <w14:textFill>
            <w14:solidFill>
              <w14:schemeClr w14:val="tx1"/>
            </w14:solidFill>
          </w14:textFill>
        </w:rPr>
        <w:t>采购文件中明确的所属行业</w:t>
      </w:r>
      <w:r>
        <w:rPr>
          <w:rFonts w:hint="eastAsia" w:ascii="宋体" w:hAnsi="宋体"/>
          <w:bCs/>
          <w:color w:val="000000" w:themeColor="text1"/>
          <w:sz w:val="24"/>
          <w:szCs w:val="21"/>
          <w14:textFill>
            <w14:solidFill>
              <w14:schemeClr w14:val="tx1"/>
            </w14:solidFill>
          </w14:textFill>
        </w:rPr>
        <w:t>）；承建（承接）企业为（</w:t>
      </w:r>
      <w:r>
        <w:rPr>
          <w:rFonts w:hint="eastAsia" w:ascii="宋体" w:hAnsi="宋体"/>
          <w:bCs/>
          <w:i/>
          <w:iCs/>
          <w:color w:val="000000" w:themeColor="text1"/>
          <w:sz w:val="24"/>
          <w:szCs w:val="21"/>
          <w:u w:val="single"/>
          <w14:textFill>
            <w14:solidFill>
              <w14:schemeClr w14:val="tx1"/>
            </w14:solidFill>
          </w14:textFill>
        </w:rPr>
        <w:t>企业名称</w:t>
      </w:r>
      <w:r>
        <w:rPr>
          <w:rFonts w:hint="eastAsia" w:ascii="宋体" w:hAnsi="宋体"/>
          <w:bCs/>
          <w:color w:val="000000" w:themeColor="text1"/>
          <w:sz w:val="24"/>
          <w:szCs w:val="21"/>
          <w14:textFill>
            <w14:solidFill>
              <w14:schemeClr w14:val="tx1"/>
            </w14:solidFill>
          </w14:textFill>
        </w:rPr>
        <w:t>），从业人员</w:t>
      </w:r>
      <w:r>
        <w:rPr>
          <w:rFonts w:hint="eastAsia" w:ascii="宋体" w:hAnsi="宋体"/>
          <w:bCs/>
          <w:color w:val="000000" w:themeColor="text1"/>
          <w:sz w:val="24"/>
          <w:szCs w:val="21"/>
          <w:u w:val="single"/>
          <w14:textFill>
            <w14:solidFill>
              <w14:schemeClr w14:val="tx1"/>
            </w14:solidFill>
          </w14:textFill>
        </w:rPr>
        <w:t xml:space="preserve">      </w:t>
      </w:r>
      <w:r>
        <w:rPr>
          <w:rFonts w:hint="eastAsia" w:ascii="宋体" w:hAnsi="宋体"/>
          <w:bCs/>
          <w:color w:val="000000" w:themeColor="text1"/>
          <w:sz w:val="24"/>
          <w:szCs w:val="21"/>
          <w14:textFill>
            <w14:solidFill>
              <w14:schemeClr w14:val="tx1"/>
            </w14:solidFill>
          </w14:textFill>
        </w:rPr>
        <w:t>人，营业收入为</w:t>
      </w:r>
      <w:r>
        <w:rPr>
          <w:rFonts w:hint="eastAsia" w:ascii="宋体" w:hAnsi="宋体"/>
          <w:bCs/>
          <w:color w:val="000000" w:themeColor="text1"/>
          <w:sz w:val="24"/>
          <w:szCs w:val="21"/>
          <w:u w:val="single"/>
          <w14:textFill>
            <w14:solidFill>
              <w14:schemeClr w14:val="tx1"/>
            </w14:solidFill>
          </w14:textFill>
        </w:rPr>
        <w:t xml:space="preserve">      </w:t>
      </w:r>
      <w:r>
        <w:rPr>
          <w:rFonts w:hint="eastAsia" w:ascii="宋体" w:hAnsi="宋体"/>
          <w:bCs/>
          <w:color w:val="000000" w:themeColor="text1"/>
          <w:sz w:val="24"/>
          <w:szCs w:val="21"/>
          <w14:textFill>
            <w14:solidFill>
              <w14:schemeClr w14:val="tx1"/>
            </w14:solidFill>
          </w14:textFill>
        </w:rPr>
        <w:t>万元，资产总额为</w:t>
      </w:r>
      <w:r>
        <w:rPr>
          <w:rFonts w:hint="eastAsia" w:ascii="宋体" w:hAnsi="宋体"/>
          <w:bCs/>
          <w:color w:val="000000" w:themeColor="text1"/>
          <w:sz w:val="24"/>
          <w:szCs w:val="21"/>
          <w:u w:val="single"/>
          <w14:textFill>
            <w14:solidFill>
              <w14:schemeClr w14:val="tx1"/>
            </w14:solidFill>
          </w14:textFill>
        </w:rPr>
        <w:t xml:space="preserve">      </w:t>
      </w:r>
      <w:r>
        <w:rPr>
          <w:rFonts w:hint="eastAsia" w:ascii="宋体" w:hAnsi="宋体"/>
          <w:bCs/>
          <w:color w:val="000000" w:themeColor="text1"/>
          <w:sz w:val="24"/>
          <w:szCs w:val="21"/>
          <w14:textFill>
            <w14:solidFill>
              <w14:schemeClr w14:val="tx1"/>
            </w14:solidFill>
          </w14:textFill>
        </w:rPr>
        <w:t>万元，属于（</w:t>
      </w:r>
      <w:r>
        <w:rPr>
          <w:rFonts w:hint="eastAsia" w:ascii="宋体" w:hAnsi="宋体"/>
          <w:bCs/>
          <w:i/>
          <w:iCs/>
          <w:color w:val="000000" w:themeColor="text1"/>
          <w:sz w:val="24"/>
          <w:szCs w:val="21"/>
          <w:u w:val="single"/>
          <w14:textFill>
            <w14:solidFill>
              <w14:schemeClr w14:val="tx1"/>
            </w14:solidFill>
          </w14:textFill>
        </w:rPr>
        <w:t>中型企业、小型企业、微型企业</w:t>
      </w:r>
      <w:r>
        <w:rPr>
          <w:rFonts w:hint="eastAsia" w:ascii="宋体" w:hAnsi="宋体"/>
          <w:bCs/>
          <w:color w:val="000000" w:themeColor="text1"/>
          <w:sz w:val="24"/>
          <w:szCs w:val="21"/>
          <w14:textFill>
            <w14:solidFill>
              <w14:schemeClr w14:val="tx1"/>
            </w14:solidFill>
          </w14:textFill>
        </w:rPr>
        <w:t>）；</w:t>
      </w:r>
    </w:p>
    <w:p w14:paraId="210C1C6B">
      <w:pPr>
        <w:spacing w:before="156" w:beforeLines="50" w:after="156" w:afterLines="50" w:line="360" w:lineRule="auto"/>
        <w:ind w:firstLine="480" w:firstLineChars="200"/>
        <w:rPr>
          <w:rFonts w:ascii="宋体" w:hAnsi="宋体"/>
          <w:bCs/>
          <w:color w:val="000000" w:themeColor="text1"/>
          <w:sz w:val="24"/>
          <w:szCs w:val="21"/>
          <w14:textFill>
            <w14:solidFill>
              <w14:schemeClr w14:val="tx1"/>
            </w14:solidFill>
          </w14:textFill>
        </w:rPr>
      </w:pPr>
      <w:r>
        <w:rPr>
          <w:rFonts w:hint="eastAsia" w:ascii="宋体" w:hAnsi="宋体"/>
          <w:bCs/>
          <w:color w:val="000000" w:themeColor="text1"/>
          <w:sz w:val="24"/>
          <w:szCs w:val="21"/>
          <w14:textFill>
            <w14:solidFill>
              <w14:schemeClr w14:val="tx1"/>
            </w14:solidFill>
          </w14:textFill>
        </w:rPr>
        <w:t>2. （</w:t>
      </w:r>
      <w:r>
        <w:rPr>
          <w:rFonts w:hint="eastAsia" w:ascii="宋体" w:hAnsi="宋体"/>
          <w:bCs/>
          <w:i/>
          <w:iCs/>
          <w:color w:val="000000" w:themeColor="text1"/>
          <w:sz w:val="24"/>
          <w:szCs w:val="21"/>
          <w:u w:val="single"/>
          <w14:textFill>
            <w14:solidFill>
              <w14:schemeClr w14:val="tx1"/>
            </w14:solidFill>
          </w14:textFill>
        </w:rPr>
        <w:t>标的名称</w:t>
      </w:r>
      <w:r>
        <w:rPr>
          <w:rFonts w:hint="eastAsia" w:ascii="宋体" w:hAnsi="宋体"/>
          <w:bCs/>
          <w:color w:val="000000" w:themeColor="text1"/>
          <w:sz w:val="24"/>
          <w:szCs w:val="21"/>
          <w14:textFill>
            <w14:solidFill>
              <w14:schemeClr w14:val="tx1"/>
            </w14:solidFill>
          </w14:textFill>
        </w:rPr>
        <w:t>） ，属于（</w:t>
      </w:r>
      <w:r>
        <w:rPr>
          <w:rFonts w:hint="eastAsia" w:ascii="宋体" w:hAnsi="宋体"/>
          <w:bCs/>
          <w:i/>
          <w:iCs/>
          <w:color w:val="000000" w:themeColor="text1"/>
          <w:sz w:val="24"/>
          <w:szCs w:val="21"/>
          <w:u w:val="single"/>
          <w14:textFill>
            <w14:solidFill>
              <w14:schemeClr w14:val="tx1"/>
            </w14:solidFill>
          </w14:textFill>
        </w:rPr>
        <w:t>采购文件中明确的所属行业</w:t>
      </w:r>
      <w:r>
        <w:rPr>
          <w:rFonts w:hint="eastAsia" w:ascii="宋体" w:hAnsi="宋体"/>
          <w:bCs/>
          <w:color w:val="000000" w:themeColor="text1"/>
          <w:sz w:val="24"/>
          <w:szCs w:val="21"/>
          <w14:textFill>
            <w14:solidFill>
              <w14:schemeClr w14:val="tx1"/>
            </w14:solidFill>
          </w14:textFill>
        </w:rPr>
        <w:t>）；承建（承接）企业为（</w:t>
      </w:r>
      <w:r>
        <w:rPr>
          <w:rFonts w:hint="eastAsia" w:ascii="宋体" w:hAnsi="宋体"/>
          <w:bCs/>
          <w:i/>
          <w:iCs/>
          <w:color w:val="000000" w:themeColor="text1"/>
          <w:sz w:val="24"/>
          <w:szCs w:val="21"/>
          <w:u w:val="single"/>
          <w14:textFill>
            <w14:solidFill>
              <w14:schemeClr w14:val="tx1"/>
            </w14:solidFill>
          </w14:textFill>
        </w:rPr>
        <w:t>企业名称</w:t>
      </w:r>
      <w:r>
        <w:rPr>
          <w:rFonts w:hint="eastAsia" w:ascii="宋体" w:hAnsi="宋体"/>
          <w:bCs/>
          <w:color w:val="000000" w:themeColor="text1"/>
          <w:sz w:val="24"/>
          <w:szCs w:val="21"/>
          <w14:textFill>
            <w14:solidFill>
              <w14:schemeClr w14:val="tx1"/>
            </w14:solidFill>
          </w14:textFill>
        </w:rPr>
        <w:t>），从业人员</w:t>
      </w:r>
      <w:r>
        <w:rPr>
          <w:rFonts w:hint="eastAsia" w:ascii="宋体" w:hAnsi="宋体"/>
          <w:bCs/>
          <w:color w:val="000000" w:themeColor="text1"/>
          <w:sz w:val="24"/>
          <w:szCs w:val="21"/>
          <w:u w:val="single"/>
          <w14:textFill>
            <w14:solidFill>
              <w14:schemeClr w14:val="tx1"/>
            </w14:solidFill>
          </w14:textFill>
        </w:rPr>
        <w:t xml:space="preserve">      </w:t>
      </w:r>
      <w:r>
        <w:rPr>
          <w:rFonts w:hint="eastAsia" w:ascii="宋体" w:hAnsi="宋体"/>
          <w:bCs/>
          <w:color w:val="000000" w:themeColor="text1"/>
          <w:sz w:val="24"/>
          <w:szCs w:val="21"/>
          <w14:textFill>
            <w14:solidFill>
              <w14:schemeClr w14:val="tx1"/>
            </w14:solidFill>
          </w14:textFill>
        </w:rPr>
        <w:t>人，营业收入为</w:t>
      </w:r>
      <w:r>
        <w:rPr>
          <w:rFonts w:hint="eastAsia" w:ascii="宋体" w:hAnsi="宋体"/>
          <w:bCs/>
          <w:color w:val="000000" w:themeColor="text1"/>
          <w:sz w:val="24"/>
          <w:szCs w:val="21"/>
          <w:u w:val="single"/>
          <w14:textFill>
            <w14:solidFill>
              <w14:schemeClr w14:val="tx1"/>
            </w14:solidFill>
          </w14:textFill>
        </w:rPr>
        <w:t xml:space="preserve">      </w:t>
      </w:r>
      <w:r>
        <w:rPr>
          <w:rFonts w:hint="eastAsia" w:ascii="宋体" w:hAnsi="宋体"/>
          <w:bCs/>
          <w:color w:val="000000" w:themeColor="text1"/>
          <w:sz w:val="24"/>
          <w:szCs w:val="21"/>
          <w14:textFill>
            <w14:solidFill>
              <w14:schemeClr w14:val="tx1"/>
            </w14:solidFill>
          </w14:textFill>
        </w:rPr>
        <w:t>万元，资产总额为</w:t>
      </w:r>
      <w:r>
        <w:rPr>
          <w:rFonts w:hint="eastAsia" w:ascii="宋体" w:hAnsi="宋体"/>
          <w:bCs/>
          <w:color w:val="000000" w:themeColor="text1"/>
          <w:sz w:val="24"/>
          <w:szCs w:val="21"/>
          <w:u w:val="single"/>
          <w14:textFill>
            <w14:solidFill>
              <w14:schemeClr w14:val="tx1"/>
            </w14:solidFill>
          </w14:textFill>
        </w:rPr>
        <w:t xml:space="preserve">      </w:t>
      </w:r>
      <w:r>
        <w:rPr>
          <w:rFonts w:hint="eastAsia" w:ascii="宋体" w:hAnsi="宋体"/>
          <w:bCs/>
          <w:color w:val="000000" w:themeColor="text1"/>
          <w:sz w:val="24"/>
          <w:szCs w:val="21"/>
          <w14:textFill>
            <w14:solidFill>
              <w14:schemeClr w14:val="tx1"/>
            </w14:solidFill>
          </w14:textFill>
        </w:rPr>
        <w:t>万元，属于（</w:t>
      </w:r>
      <w:r>
        <w:rPr>
          <w:rFonts w:hint="eastAsia" w:ascii="宋体" w:hAnsi="宋体"/>
          <w:bCs/>
          <w:i/>
          <w:iCs/>
          <w:color w:val="000000" w:themeColor="text1"/>
          <w:sz w:val="24"/>
          <w:szCs w:val="21"/>
          <w:u w:val="single"/>
          <w14:textFill>
            <w14:solidFill>
              <w14:schemeClr w14:val="tx1"/>
            </w14:solidFill>
          </w14:textFill>
        </w:rPr>
        <w:t>中型企业、小型企业、微型企业</w:t>
      </w:r>
      <w:r>
        <w:rPr>
          <w:rFonts w:hint="eastAsia" w:ascii="宋体" w:hAnsi="宋体"/>
          <w:bCs/>
          <w:color w:val="000000" w:themeColor="text1"/>
          <w:sz w:val="24"/>
          <w:szCs w:val="21"/>
          <w14:textFill>
            <w14:solidFill>
              <w14:schemeClr w14:val="tx1"/>
            </w14:solidFill>
          </w14:textFill>
        </w:rPr>
        <w:t>）；</w:t>
      </w:r>
    </w:p>
    <w:p w14:paraId="5D262F3D">
      <w:pPr>
        <w:spacing w:before="156" w:beforeLines="50" w:after="156" w:afterLines="50" w:line="360" w:lineRule="auto"/>
        <w:rPr>
          <w:rFonts w:ascii="宋体" w:hAnsi="宋体"/>
          <w:bCs/>
          <w:color w:val="000000" w:themeColor="text1"/>
          <w:sz w:val="24"/>
          <w:szCs w:val="21"/>
          <w14:textFill>
            <w14:solidFill>
              <w14:schemeClr w14:val="tx1"/>
            </w14:solidFill>
          </w14:textFill>
        </w:rPr>
      </w:pPr>
      <w:r>
        <w:rPr>
          <w:rFonts w:hint="eastAsia" w:ascii="宋体" w:hAnsi="宋体"/>
          <w:bCs/>
          <w:color w:val="000000" w:themeColor="text1"/>
          <w:sz w:val="24"/>
          <w:szCs w:val="21"/>
          <w14:textFill>
            <w14:solidFill>
              <w14:schemeClr w14:val="tx1"/>
            </w14:solidFill>
          </w14:textFill>
        </w:rPr>
        <w:t>……</w:t>
      </w:r>
    </w:p>
    <w:p w14:paraId="712C1C87">
      <w:pPr>
        <w:spacing w:before="156" w:beforeLines="50" w:after="156" w:afterLines="50" w:line="360" w:lineRule="auto"/>
        <w:ind w:firstLine="480" w:firstLineChars="200"/>
        <w:rPr>
          <w:rFonts w:ascii="宋体" w:hAnsi="宋体"/>
          <w:bCs/>
          <w:color w:val="000000" w:themeColor="text1"/>
          <w:sz w:val="24"/>
          <w:szCs w:val="21"/>
          <w14:textFill>
            <w14:solidFill>
              <w14:schemeClr w14:val="tx1"/>
            </w14:solidFill>
          </w14:textFill>
        </w:rPr>
      </w:pPr>
      <w:r>
        <w:rPr>
          <w:rFonts w:hint="eastAsia" w:ascii="宋体" w:hAnsi="宋体"/>
          <w:bCs/>
          <w:color w:val="000000" w:themeColor="text1"/>
          <w:sz w:val="24"/>
          <w:szCs w:val="21"/>
          <w14:textFill>
            <w14:solidFill>
              <w14:schemeClr w14:val="tx1"/>
            </w14:solidFill>
          </w14:textFill>
        </w:rPr>
        <w:t>以上企业，不属于大企业的分支机构，不存在控股股东为大企业的情形，也不存在与大企业的负责人为同一人的情形。</w:t>
      </w:r>
    </w:p>
    <w:p w14:paraId="6D7F399B">
      <w:pPr>
        <w:spacing w:before="156" w:beforeLines="50" w:after="156" w:afterLines="50" w:line="360" w:lineRule="auto"/>
        <w:ind w:firstLine="480" w:firstLineChars="200"/>
        <w:rPr>
          <w:rFonts w:ascii="宋体" w:hAnsi="宋体"/>
          <w:bCs/>
          <w:color w:val="000000" w:themeColor="text1"/>
          <w:sz w:val="24"/>
          <w:szCs w:val="21"/>
          <w14:textFill>
            <w14:solidFill>
              <w14:schemeClr w14:val="tx1"/>
            </w14:solidFill>
          </w14:textFill>
        </w:rPr>
      </w:pPr>
      <w:r>
        <w:rPr>
          <w:rFonts w:hint="eastAsia" w:ascii="宋体" w:hAnsi="宋体"/>
          <w:bCs/>
          <w:color w:val="000000" w:themeColor="text1"/>
          <w:sz w:val="24"/>
          <w:szCs w:val="21"/>
          <w14:textFill>
            <w14:solidFill>
              <w14:schemeClr w14:val="tx1"/>
            </w14:solidFill>
          </w14:textFill>
        </w:rPr>
        <w:t>本企业对上述声明内容的真实性负责。如有虚假，将依法承担相应责任。</w:t>
      </w:r>
    </w:p>
    <w:p w14:paraId="743C2C0F">
      <w:pPr>
        <w:spacing w:before="156" w:beforeLines="50" w:after="156" w:afterLines="50" w:line="360" w:lineRule="auto"/>
        <w:ind w:firstLine="4320" w:firstLineChars="1800"/>
        <w:rPr>
          <w:rFonts w:ascii="宋体" w:hAnsi="宋体"/>
          <w:bCs/>
          <w:color w:val="000000" w:themeColor="text1"/>
          <w:sz w:val="24"/>
          <w:szCs w:val="21"/>
          <w14:textFill>
            <w14:solidFill>
              <w14:schemeClr w14:val="tx1"/>
            </w14:solidFill>
          </w14:textFill>
        </w:rPr>
      </w:pPr>
      <w:r>
        <w:rPr>
          <w:rFonts w:hint="eastAsia" w:ascii="宋体" w:hAnsi="宋体"/>
          <w:bCs/>
          <w:color w:val="000000" w:themeColor="text1"/>
          <w:sz w:val="24"/>
          <w:szCs w:val="21"/>
          <w14:textFill>
            <w14:solidFill>
              <w14:schemeClr w14:val="tx1"/>
            </w14:solidFill>
          </w14:textFill>
        </w:rPr>
        <w:t>企业名称（盖章）：</w:t>
      </w:r>
    </w:p>
    <w:p w14:paraId="3611FBC9">
      <w:pPr>
        <w:spacing w:before="156" w:beforeLines="50" w:after="156" w:afterLines="50" w:line="360" w:lineRule="auto"/>
        <w:ind w:firstLine="4320" w:firstLineChars="1800"/>
        <w:rPr>
          <w:rFonts w:ascii="宋体" w:hAnsi="宋体"/>
          <w:bCs/>
          <w:color w:val="000000" w:themeColor="text1"/>
          <w:sz w:val="24"/>
          <w:szCs w:val="21"/>
          <w14:textFill>
            <w14:solidFill>
              <w14:schemeClr w14:val="tx1"/>
            </w14:solidFill>
          </w14:textFill>
        </w:rPr>
      </w:pPr>
      <w:r>
        <w:rPr>
          <w:rFonts w:hint="eastAsia" w:ascii="宋体" w:hAnsi="宋体"/>
          <w:bCs/>
          <w:color w:val="000000" w:themeColor="text1"/>
          <w:sz w:val="24"/>
          <w:szCs w:val="21"/>
          <w14:textFill>
            <w14:solidFill>
              <w14:schemeClr w14:val="tx1"/>
            </w14:solidFill>
          </w14:textFill>
        </w:rPr>
        <w:t>日期：</w:t>
      </w:r>
    </w:p>
    <w:p w14:paraId="043C3D3D">
      <w:pPr>
        <w:widowControl/>
        <w:spacing w:line="360" w:lineRule="auto"/>
        <w:rPr>
          <w:rFonts w:ascii="宋体" w:hAnsi="宋体"/>
          <w:b/>
          <w:bCs/>
          <w:color w:val="000000" w:themeColor="text1"/>
          <w:sz w:val="18"/>
          <w:szCs w:val="21"/>
          <w14:textFill>
            <w14:solidFill>
              <w14:schemeClr w14:val="tx1"/>
            </w14:solidFill>
          </w14:textFill>
        </w:rPr>
      </w:pPr>
      <w:r>
        <w:rPr>
          <w:rFonts w:hint="eastAsia" w:ascii="宋体" w:hAnsi="宋体"/>
          <w:b/>
          <w:bCs/>
          <w:color w:val="000000" w:themeColor="text1"/>
          <w:sz w:val="18"/>
          <w:szCs w:val="21"/>
          <w14:textFill>
            <w14:solidFill>
              <w14:schemeClr w14:val="tx1"/>
            </w14:solidFill>
          </w14:textFill>
        </w:rPr>
        <w:t>备注：1、从业人员、营业收入、资产总额填报上一年度数据，无上一年度数据的新成立企业可不填报。</w:t>
      </w:r>
    </w:p>
    <w:p w14:paraId="732007A0">
      <w:pPr>
        <w:widowControl/>
        <w:spacing w:line="360" w:lineRule="auto"/>
        <w:ind w:firstLine="540" w:firstLineChars="300"/>
        <w:rPr>
          <w:rFonts w:ascii="宋体" w:hAnsi="宋体"/>
          <w:b/>
          <w:bCs/>
          <w:color w:val="000000" w:themeColor="text1"/>
          <w:sz w:val="18"/>
          <w14:textFill>
            <w14:solidFill>
              <w14:schemeClr w14:val="tx1"/>
            </w14:solidFill>
          </w14:textFill>
        </w:rPr>
      </w:pPr>
      <w:r>
        <w:rPr>
          <w:rFonts w:hint="eastAsia" w:ascii="宋体" w:hAnsi="宋体"/>
          <w:b/>
          <w:bCs/>
          <w:color w:val="000000" w:themeColor="text1"/>
          <w:sz w:val="18"/>
          <w14:textFill>
            <w14:solidFill>
              <w14:schemeClr w14:val="tx1"/>
            </w14:solidFill>
          </w14:textFill>
        </w:rPr>
        <w:t>2、投标人为中小企业时需提供本声明函，并完整填写从业人员、营业收入、资产总额等内容，投标人须按照第六章采购内容填报此表，不得缺项漏项，未按要求填报将不能享受10%价格扣除。</w:t>
      </w:r>
    </w:p>
    <w:p w14:paraId="6540AE79">
      <w:pPr>
        <w:widowControl/>
        <w:wordWrap w:val="0"/>
        <w:spacing w:line="360" w:lineRule="auto"/>
        <w:ind w:right="480" w:firstLine="480" w:firstLineChars="200"/>
        <w:jc w:val="right"/>
        <w:rPr>
          <w:rFonts w:ascii="宋体" w:hAnsi="宋体" w:eastAsia="宋体" w:cs="宋体"/>
          <w:color w:val="000000" w:themeColor="text1"/>
          <w:kern w:val="0"/>
          <w:sz w:val="24"/>
          <w:szCs w:val="24"/>
          <w14:textFill>
            <w14:solidFill>
              <w14:schemeClr w14:val="tx1"/>
            </w14:solidFill>
          </w14:textFill>
        </w:rPr>
      </w:pPr>
    </w:p>
    <w:p w14:paraId="05B95536">
      <w:pPr>
        <w:keepNext/>
        <w:keepLines/>
        <w:spacing w:before="260" w:after="260" w:line="360"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br w:type="page"/>
      </w:r>
      <w:bookmarkStart w:id="29" w:name="_Toc17692"/>
      <w:r>
        <w:rPr>
          <w:rFonts w:hint="eastAsia" w:ascii="Calibri" w:hAnsi="Calibri" w:eastAsia="宋体" w:cs="Times New Roman"/>
          <w:b/>
          <w:color w:val="000000" w:themeColor="text1"/>
          <w:kern w:val="0"/>
          <w:sz w:val="24"/>
          <w:szCs w:val="20"/>
          <w14:textFill>
            <w14:solidFill>
              <w14:schemeClr w14:val="tx1"/>
            </w14:solidFill>
          </w14:textFill>
        </w:rPr>
        <w:t>十、中小企业生产或销售的产品优惠明细表</w:t>
      </w:r>
      <w:bookmarkEnd w:id="29"/>
    </w:p>
    <w:p w14:paraId="5BA631A5">
      <w:pPr>
        <w:spacing w:line="360" w:lineRule="auto"/>
        <w:jc w:val="center"/>
        <w:rPr>
          <w:rFonts w:ascii="宋体" w:hAnsi="宋体" w:eastAsia="宋体" w:cs="Times New Roman"/>
          <w:b/>
          <w:bCs/>
          <w:color w:val="000000" w:themeColor="text1"/>
          <w:sz w:val="24"/>
          <w14:textFill>
            <w14:solidFill>
              <w14:schemeClr w14:val="tx1"/>
            </w14:solidFill>
          </w14:textFill>
        </w:rPr>
      </w:pPr>
      <w:bookmarkStart w:id="30" w:name="_Toc439149569"/>
      <w:r>
        <w:rPr>
          <w:rFonts w:hint="eastAsia" w:ascii="宋体" w:hAnsi="宋体" w:eastAsia="宋体" w:cs="Times New Roman"/>
          <w:b/>
          <w:bCs/>
          <w:color w:val="000000" w:themeColor="text1"/>
          <w:sz w:val="24"/>
          <w14:textFill>
            <w14:solidFill>
              <w14:schemeClr w14:val="tx1"/>
            </w14:solidFill>
          </w14:textFill>
        </w:rPr>
        <w:t>（若有，请如实填写）</w:t>
      </w:r>
      <w:bookmarkEnd w:id="30"/>
    </w:p>
    <w:p w14:paraId="2E46AC8A">
      <w:pPr>
        <w:tabs>
          <w:tab w:val="left" w:pos="480"/>
        </w:tabs>
        <w:adjustRightInd w:val="0"/>
        <w:spacing w:line="360" w:lineRule="auto"/>
        <w:ind w:left="1680" w:leftChars="800" w:firstLine="4320" w:firstLineChars="1800"/>
        <w:textAlignment w:val="baseline"/>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报价货币种类：</w:t>
      </w:r>
    </w:p>
    <w:tbl>
      <w:tblPr>
        <w:tblStyle w:val="3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348"/>
        <w:gridCol w:w="1348"/>
        <w:gridCol w:w="1766"/>
      </w:tblGrid>
      <w:tr w14:paraId="7A1E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vAlign w:val="center"/>
          </w:tcPr>
          <w:p w14:paraId="59B67EFC">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1</w:t>
            </w:r>
          </w:p>
        </w:tc>
        <w:tc>
          <w:tcPr>
            <w:tcW w:w="2012" w:type="dxa"/>
            <w:vAlign w:val="center"/>
          </w:tcPr>
          <w:p w14:paraId="68A429F1">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2</w:t>
            </w:r>
          </w:p>
        </w:tc>
        <w:tc>
          <w:tcPr>
            <w:tcW w:w="1123" w:type="dxa"/>
            <w:vAlign w:val="center"/>
          </w:tcPr>
          <w:p w14:paraId="66727692">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3</w:t>
            </w:r>
          </w:p>
        </w:tc>
        <w:tc>
          <w:tcPr>
            <w:tcW w:w="1050" w:type="dxa"/>
            <w:vAlign w:val="center"/>
          </w:tcPr>
          <w:p w14:paraId="66D34BB2">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4</w:t>
            </w:r>
          </w:p>
        </w:tc>
        <w:tc>
          <w:tcPr>
            <w:tcW w:w="1348" w:type="dxa"/>
            <w:vAlign w:val="center"/>
          </w:tcPr>
          <w:p w14:paraId="212D12BB">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5</w:t>
            </w:r>
          </w:p>
        </w:tc>
        <w:tc>
          <w:tcPr>
            <w:tcW w:w="1348" w:type="dxa"/>
            <w:vAlign w:val="center"/>
          </w:tcPr>
          <w:p w14:paraId="2411BC43">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6</w:t>
            </w:r>
          </w:p>
        </w:tc>
        <w:tc>
          <w:tcPr>
            <w:tcW w:w="1766" w:type="dxa"/>
            <w:vAlign w:val="center"/>
          </w:tcPr>
          <w:p w14:paraId="354BAB68">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7</w:t>
            </w:r>
          </w:p>
        </w:tc>
      </w:tr>
      <w:tr w14:paraId="2BE8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bottom w:val="single" w:color="auto" w:sz="6" w:space="0"/>
            </w:tcBorders>
            <w:vAlign w:val="center"/>
          </w:tcPr>
          <w:p w14:paraId="3D3E5FF7">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标段（包）</w:t>
            </w:r>
          </w:p>
        </w:tc>
        <w:tc>
          <w:tcPr>
            <w:tcW w:w="2012" w:type="dxa"/>
            <w:vAlign w:val="center"/>
          </w:tcPr>
          <w:p w14:paraId="7F9C1C72">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小型和微型企业产品名称</w:t>
            </w:r>
          </w:p>
        </w:tc>
        <w:tc>
          <w:tcPr>
            <w:tcW w:w="1123" w:type="dxa"/>
            <w:vAlign w:val="center"/>
          </w:tcPr>
          <w:p w14:paraId="6005C07F">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数量</w:t>
            </w:r>
          </w:p>
        </w:tc>
        <w:tc>
          <w:tcPr>
            <w:tcW w:w="1050" w:type="dxa"/>
            <w:vAlign w:val="center"/>
          </w:tcPr>
          <w:p w14:paraId="0D7F4F1C">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报价（元）</w:t>
            </w:r>
          </w:p>
        </w:tc>
        <w:tc>
          <w:tcPr>
            <w:tcW w:w="1348" w:type="dxa"/>
            <w:vAlign w:val="center"/>
          </w:tcPr>
          <w:p w14:paraId="7BD49150">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价格评审扣除金额（元）</w:t>
            </w:r>
          </w:p>
        </w:tc>
        <w:tc>
          <w:tcPr>
            <w:tcW w:w="1348" w:type="dxa"/>
            <w:vAlign w:val="center"/>
          </w:tcPr>
          <w:p w14:paraId="0E007E71">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品牌型号规格</w:t>
            </w:r>
          </w:p>
        </w:tc>
        <w:tc>
          <w:tcPr>
            <w:tcW w:w="1766" w:type="dxa"/>
            <w:vAlign w:val="center"/>
          </w:tcPr>
          <w:p w14:paraId="1C972200">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制造商</w:t>
            </w:r>
          </w:p>
          <w:p w14:paraId="3B5434DA">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全称</w:t>
            </w:r>
          </w:p>
        </w:tc>
      </w:tr>
      <w:tr w14:paraId="28D6F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14:paraId="7034DDBA">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p>
        </w:tc>
        <w:tc>
          <w:tcPr>
            <w:tcW w:w="2012" w:type="dxa"/>
          </w:tcPr>
          <w:p w14:paraId="361E99B5">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p>
        </w:tc>
        <w:tc>
          <w:tcPr>
            <w:tcW w:w="1123" w:type="dxa"/>
            <w:vAlign w:val="center"/>
          </w:tcPr>
          <w:p w14:paraId="033FCB11">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p>
        </w:tc>
        <w:tc>
          <w:tcPr>
            <w:tcW w:w="1050" w:type="dxa"/>
            <w:vAlign w:val="center"/>
          </w:tcPr>
          <w:p w14:paraId="7AE7A819">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p>
        </w:tc>
        <w:tc>
          <w:tcPr>
            <w:tcW w:w="1348" w:type="dxa"/>
            <w:vAlign w:val="center"/>
          </w:tcPr>
          <w:p w14:paraId="2E29C4C7">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p>
        </w:tc>
        <w:tc>
          <w:tcPr>
            <w:tcW w:w="1348" w:type="dxa"/>
            <w:vAlign w:val="center"/>
          </w:tcPr>
          <w:p w14:paraId="3AF2AD35">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p>
        </w:tc>
        <w:tc>
          <w:tcPr>
            <w:tcW w:w="1766" w:type="dxa"/>
            <w:vAlign w:val="center"/>
          </w:tcPr>
          <w:p w14:paraId="36B88226">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p>
        </w:tc>
      </w:tr>
      <w:tr w14:paraId="044D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14:paraId="41E24F29">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p>
        </w:tc>
        <w:tc>
          <w:tcPr>
            <w:tcW w:w="2012" w:type="dxa"/>
          </w:tcPr>
          <w:p w14:paraId="4B561F44">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p>
        </w:tc>
        <w:tc>
          <w:tcPr>
            <w:tcW w:w="1123" w:type="dxa"/>
            <w:vAlign w:val="center"/>
          </w:tcPr>
          <w:p w14:paraId="438D58CC">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p>
        </w:tc>
        <w:tc>
          <w:tcPr>
            <w:tcW w:w="1050" w:type="dxa"/>
            <w:vAlign w:val="center"/>
          </w:tcPr>
          <w:p w14:paraId="30D90C68">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p>
        </w:tc>
        <w:tc>
          <w:tcPr>
            <w:tcW w:w="1348" w:type="dxa"/>
            <w:vAlign w:val="center"/>
          </w:tcPr>
          <w:p w14:paraId="00A9C325">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p>
        </w:tc>
        <w:tc>
          <w:tcPr>
            <w:tcW w:w="1348" w:type="dxa"/>
            <w:vAlign w:val="center"/>
          </w:tcPr>
          <w:p w14:paraId="6953CEDD">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p>
        </w:tc>
        <w:tc>
          <w:tcPr>
            <w:tcW w:w="1766" w:type="dxa"/>
            <w:vAlign w:val="center"/>
          </w:tcPr>
          <w:p w14:paraId="6AB8B0EC">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p>
        </w:tc>
      </w:tr>
      <w:tr w14:paraId="7671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14:paraId="7E96BCAB">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p>
        </w:tc>
        <w:tc>
          <w:tcPr>
            <w:tcW w:w="8647" w:type="dxa"/>
            <w:gridSpan w:val="6"/>
            <w:vAlign w:val="center"/>
          </w:tcPr>
          <w:p w14:paraId="01DD4EAB">
            <w:pPr>
              <w:tabs>
                <w:tab w:val="left" w:pos="5355"/>
              </w:tabs>
              <w:spacing w:line="360" w:lineRule="auto"/>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本标段（包）报价总计：（元）</w:t>
            </w:r>
          </w:p>
        </w:tc>
      </w:tr>
      <w:tr w14:paraId="3AA9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14:paraId="378ADF90">
            <w:pPr>
              <w:tabs>
                <w:tab w:val="left" w:pos="5355"/>
              </w:tabs>
              <w:spacing w:line="360" w:lineRule="auto"/>
              <w:jc w:val="center"/>
              <w:rPr>
                <w:rFonts w:ascii="宋体" w:hAnsi="宋体" w:eastAsia="宋体" w:cs="Times New Roman"/>
                <w:color w:val="000000" w:themeColor="text1"/>
                <w:sz w:val="24"/>
                <w14:textFill>
                  <w14:solidFill>
                    <w14:schemeClr w14:val="tx1"/>
                  </w14:solidFill>
                </w14:textFill>
              </w:rPr>
            </w:pPr>
          </w:p>
        </w:tc>
        <w:tc>
          <w:tcPr>
            <w:tcW w:w="8647" w:type="dxa"/>
            <w:gridSpan w:val="6"/>
            <w:vAlign w:val="center"/>
          </w:tcPr>
          <w:p w14:paraId="6D89F428">
            <w:pPr>
              <w:tabs>
                <w:tab w:val="left" w:pos="5355"/>
              </w:tabs>
              <w:spacing w:line="360" w:lineRule="auto"/>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本标段（包）价格评审扣除金额总计：（元）</w:t>
            </w:r>
          </w:p>
        </w:tc>
      </w:tr>
    </w:tbl>
    <w:p w14:paraId="15EA3F4D">
      <w:pPr>
        <w:tabs>
          <w:tab w:val="left" w:pos="13000"/>
        </w:tabs>
        <w:spacing w:line="360" w:lineRule="auto"/>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注：</w:t>
      </w:r>
    </w:p>
    <w:p w14:paraId="342F3C4A">
      <w:pPr>
        <w:spacing w:line="360" w:lineRule="auto"/>
        <w:ind w:firstLine="420"/>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1</w:t>
      </w:r>
      <w:r>
        <w:rPr>
          <w:rFonts w:hint="eastAsia" w:ascii="宋体" w:hAnsi="宋体" w:eastAsia="宋体" w:cs="Times New Roman"/>
          <w:color w:val="000000" w:themeColor="text1"/>
          <w:sz w:val="24"/>
          <w14:textFill>
            <w14:solidFill>
              <w14:schemeClr w14:val="tx1"/>
            </w14:solidFill>
          </w14:textFill>
        </w:rPr>
        <w:t>、当一个标段（包）内有多个属于小型和微型企业的产品时，服务商应按序号详细填写。</w:t>
      </w:r>
    </w:p>
    <w:p w14:paraId="1358CC07">
      <w:pPr>
        <w:spacing w:line="360" w:lineRule="auto"/>
        <w:ind w:firstLine="420"/>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2</w:t>
      </w:r>
      <w:r>
        <w:rPr>
          <w:rFonts w:hint="eastAsia" w:ascii="宋体" w:hAnsi="宋体" w:eastAsia="宋体" w:cs="Times New Roman"/>
          <w:color w:val="000000" w:themeColor="text1"/>
          <w:sz w:val="24"/>
          <w14:textFill>
            <w14:solidFill>
              <w14:schemeClr w14:val="tx1"/>
            </w14:solidFill>
          </w14:textFill>
        </w:rPr>
        <w:t>、栏目</w:t>
      </w:r>
      <w:r>
        <w:rPr>
          <w:rFonts w:ascii="宋体" w:hAnsi="宋体" w:eastAsia="宋体" w:cs="Times New Roman"/>
          <w:color w:val="000000" w:themeColor="text1"/>
          <w:sz w:val="24"/>
          <w14:textFill>
            <w14:solidFill>
              <w14:schemeClr w14:val="tx1"/>
            </w14:solidFill>
          </w14:textFill>
        </w:rPr>
        <w:t>5=</w:t>
      </w:r>
      <w:r>
        <w:rPr>
          <w:rFonts w:hint="eastAsia" w:ascii="宋体" w:hAnsi="宋体" w:eastAsia="宋体" w:cs="Times New Roman"/>
          <w:color w:val="000000" w:themeColor="text1"/>
          <w:sz w:val="24"/>
          <w14:textFill>
            <w14:solidFill>
              <w14:schemeClr w14:val="tx1"/>
            </w14:solidFill>
          </w14:textFill>
        </w:rPr>
        <w:t>栏目</w:t>
      </w:r>
      <w:r>
        <w:rPr>
          <w:rFonts w:ascii="宋体" w:hAnsi="宋体" w:eastAsia="宋体" w:cs="Times New Roman"/>
          <w:color w:val="000000" w:themeColor="text1"/>
          <w:sz w:val="24"/>
          <w14:textFill>
            <w14:solidFill>
              <w14:schemeClr w14:val="tx1"/>
            </w14:solidFill>
          </w14:textFill>
        </w:rPr>
        <w:t>4</w:t>
      </w:r>
      <w:r>
        <w:rPr>
          <w:rFonts w:hint="eastAsia" w:ascii="宋体" w:hAnsi="宋体" w:eastAsia="宋体" w:cs="Times New Roman"/>
          <w:color w:val="000000" w:themeColor="text1"/>
          <w:sz w:val="24"/>
          <w14:textFill>
            <w14:solidFill>
              <w14:schemeClr w14:val="tx1"/>
            </w14:solidFill>
          </w14:textFill>
        </w:rPr>
        <w:t>×招标文件规定的价格扣除比率的优惠幅度。</w:t>
      </w:r>
    </w:p>
    <w:p w14:paraId="30C77BFF">
      <w:pPr>
        <w:spacing w:line="360" w:lineRule="auto"/>
        <w:ind w:firstLine="420"/>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3</w:t>
      </w:r>
      <w:r>
        <w:rPr>
          <w:rFonts w:hint="eastAsia" w:ascii="宋体" w:hAnsi="宋体" w:eastAsia="宋体" w:cs="Times New Roman"/>
          <w:color w:val="000000" w:themeColor="text1"/>
          <w:sz w:val="24"/>
          <w14:textFill>
            <w14:solidFill>
              <w14:schemeClr w14:val="tx1"/>
            </w14:solidFill>
          </w14:textFill>
        </w:rPr>
        <w:t>、若所供应的产品不具备此类评审优惠条件，本“中小价格扣除明细表”不必填写。</w:t>
      </w:r>
    </w:p>
    <w:p w14:paraId="56124B46">
      <w:pPr>
        <w:spacing w:line="360" w:lineRule="auto"/>
        <w:ind w:firstLine="600"/>
        <w:rPr>
          <w:rFonts w:ascii="宋体" w:hAnsi="宋体" w:eastAsia="宋体" w:cs="Times New Roman"/>
          <w:color w:val="000000" w:themeColor="text1"/>
          <w:sz w:val="24"/>
          <w14:textFill>
            <w14:solidFill>
              <w14:schemeClr w14:val="tx1"/>
            </w14:solidFill>
          </w14:textFill>
        </w:rPr>
      </w:pPr>
    </w:p>
    <w:p w14:paraId="7569641A">
      <w:pPr>
        <w:adjustRightInd w:val="0"/>
        <w:snapToGrid w:val="0"/>
        <w:spacing w:line="360" w:lineRule="auto"/>
        <w:ind w:right="480" w:firstLine="2760" w:firstLineChars="115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投标人（盖公章）：</w:t>
      </w:r>
    </w:p>
    <w:p w14:paraId="1E25A91A">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法定代表人或其授权代表</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签字或盖章</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____________</w:t>
      </w:r>
    </w:p>
    <w:p w14:paraId="29052095">
      <w:pPr>
        <w:adjustRightInd w:val="0"/>
        <w:snapToGrid w:val="0"/>
        <w:spacing w:line="360" w:lineRule="auto"/>
        <w:jc w:val="right"/>
        <w:rPr>
          <w:rFonts w:ascii="宋体" w:hAnsi="宋体" w:eastAsia="宋体" w:cs="Times New Roman"/>
          <w:color w:val="000000" w:themeColor="text1"/>
          <w:sz w:val="24"/>
          <w14:textFill>
            <w14:solidFill>
              <w14:schemeClr w14:val="tx1"/>
            </w14:solidFill>
          </w14:textFill>
        </w:rPr>
      </w:pPr>
    </w:p>
    <w:p w14:paraId="24B2AA75">
      <w:pPr>
        <w:adjustRightInd w:val="0"/>
        <w:snapToGrid w:val="0"/>
        <w:spacing w:line="360" w:lineRule="auto"/>
        <w:jc w:val="righ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日期：年月日</w:t>
      </w:r>
    </w:p>
    <w:p w14:paraId="2EA7B5F6">
      <w:pPr>
        <w:tabs>
          <w:tab w:val="left" w:pos="3600"/>
        </w:tabs>
        <w:adjustRightInd w:val="0"/>
        <w:snapToGrid w:val="0"/>
        <w:spacing w:line="360" w:lineRule="auto"/>
        <w:rPr>
          <w:rFonts w:ascii="宋体" w:hAnsi="宋体" w:eastAsia="宋体" w:cs="Times New Roman"/>
          <w:color w:val="000000" w:themeColor="text1"/>
          <w:sz w:val="24"/>
          <w14:textFill>
            <w14:solidFill>
              <w14:schemeClr w14:val="tx1"/>
            </w14:solidFill>
          </w14:textFill>
        </w:rPr>
      </w:pPr>
    </w:p>
    <w:p w14:paraId="2B1AA4A0">
      <w:pPr>
        <w:keepNext/>
        <w:keepLines/>
        <w:spacing w:before="260" w:after="260" w:line="360"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31" w:name="_Toc3845"/>
      <w:r>
        <w:rPr>
          <w:rFonts w:hint="eastAsia" w:ascii="Calibri" w:hAnsi="Calibri" w:eastAsia="宋体" w:cs="Times New Roman"/>
          <w:b/>
          <w:color w:val="000000" w:themeColor="text1"/>
          <w:kern w:val="0"/>
          <w:sz w:val="24"/>
          <w:szCs w:val="20"/>
          <w14:textFill>
            <w14:solidFill>
              <w14:schemeClr w14:val="tx1"/>
            </w14:solidFill>
          </w14:textFill>
        </w:rPr>
        <w:t>十一、监狱企业声明函</w:t>
      </w:r>
      <w:bookmarkEnd w:id="31"/>
    </w:p>
    <w:p w14:paraId="30690652">
      <w:pPr>
        <w:spacing w:line="360" w:lineRule="auto"/>
        <w:jc w:val="center"/>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（监狱企业适用）</w:t>
      </w:r>
    </w:p>
    <w:p w14:paraId="2DC4C290">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本公司郑重声明，根据《关于政府采购支持监狱企业发展有关问题的通知》（财库</w:t>
      </w:r>
      <w:r>
        <w:rPr>
          <w:rFonts w:ascii="宋体" w:hAnsi="宋体" w:eastAsia="宋体" w:cs="宋体"/>
          <w:color w:val="000000" w:themeColor="text1"/>
          <w:spacing w:val="6"/>
          <w:kern w:val="0"/>
          <w:sz w:val="24"/>
          <w14:textFill>
            <w14:solidFill>
              <w14:schemeClr w14:val="tx1"/>
            </w14:solidFill>
          </w14:textFill>
        </w:rPr>
        <w:t>[2014]68</w:t>
      </w:r>
      <w:r>
        <w:rPr>
          <w:rFonts w:hint="eastAsia" w:ascii="宋体" w:hAnsi="宋体" w:eastAsia="宋体" w:cs="宋体"/>
          <w:color w:val="000000" w:themeColor="text1"/>
          <w:spacing w:val="6"/>
          <w:kern w:val="0"/>
          <w:sz w:val="24"/>
          <w14:textFill>
            <w14:solidFill>
              <w14:schemeClr w14:val="tx1"/>
            </w14:solidFill>
          </w14:textFill>
        </w:rPr>
        <w:t>号）的规定，本公司为监狱企业。</w:t>
      </w:r>
    </w:p>
    <w:p w14:paraId="5DEDFE9D">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本公司参加</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单位的</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项目采购活动，采购活动提供本企业（填写制造的货物，由本企业承担工程、提供服务）。</w:t>
      </w:r>
    </w:p>
    <w:p w14:paraId="3B354DFD">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本条所称货物不包括使用大型企业注册商标的货物和服务。</w:t>
      </w:r>
    </w:p>
    <w:p w14:paraId="2C7B961E">
      <w:pPr>
        <w:spacing w:line="360" w:lineRule="auto"/>
        <w:ind w:firstLine="567" w:firstLineChars="225"/>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本公司对上述声明的真实性负责。如有虚假，将依法承担相应责任。</w:t>
      </w:r>
    </w:p>
    <w:p w14:paraId="7BD43FEC">
      <w:pPr>
        <w:spacing w:line="360" w:lineRule="auto"/>
        <w:ind w:firstLine="5103" w:firstLineChars="2025"/>
        <w:rPr>
          <w:rFonts w:ascii="宋体" w:hAnsi="宋体" w:eastAsia="宋体" w:cs="宋体"/>
          <w:color w:val="000000" w:themeColor="text1"/>
          <w:spacing w:val="6"/>
          <w:kern w:val="0"/>
          <w:sz w:val="24"/>
          <w14:textFill>
            <w14:solidFill>
              <w14:schemeClr w14:val="tx1"/>
            </w14:solidFill>
          </w14:textFill>
        </w:rPr>
      </w:pPr>
    </w:p>
    <w:p w14:paraId="39B6648B">
      <w:pPr>
        <w:spacing w:line="360" w:lineRule="auto"/>
        <w:ind w:firstLine="3780" w:firstLineChars="1500"/>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投标人（盖公章）：</w:t>
      </w:r>
    </w:p>
    <w:p w14:paraId="7F8CA908">
      <w:pPr>
        <w:spacing w:line="360" w:lineRule="auto"/>
        <w:ind w:firstLine="2640" w:firstLineChars="1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法定代表人或其授权代表</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签字或盖章</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____________</w:t>
      </w:r>
    </w:p>
    <w:p w14:paraId="4D3F63A0">
      <w:pPr>
        <w:spacing w:line="360" w:lineRule="auto"/>
        <w:ind w:firstLine="1260" w:firstLineChars="500"/>
        <w:rPr>
          <w:rFonts w:ascii="宋体" w:hAnsi="宋体" w:eastAsia="宋体" w:cs="宋体"/>
          <w:color w:val="000000" w:themeColor="text1"/>
          <w:spacing w:val="6"/>
          <w:kern w:val="0"/>
          <w:sz w:val="24"/>
          <w14:textFill>
            <w14:solidFill>
              <w14:schemeClr w14:val="tx1"/>
            </w14:solidFill>
          </w14:textFill>
        </w:rPr>
      </w:pPr>
    </w:p>
    <w:p w14:paraId="6D916FDC">
      <w:pPr>
        <w:tabs>
          <w:tab w:val="left" w:pos="2880"/>
        </w:tabs>
        <w:spacing w:line="360" w:lineRule="auto"/>
        <w:ind w:firstLine="5040" w:firstLineChars="2000"/>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日期：</w:t>
      </w:r>
      <w:r>
        <w:rPr>
          <w:rFonts w:hint="eastAsia" w:ascii="宋体" w:hAnsi="宋体" w:eastAsia="宋体" w:cs="Times New Roman"/>
          <w:color w:val="000000" w:themeColor="text1"/>
          <w:sz w:val="24"/>
          <w14:textFill>
            <w14:solidFill>
              <w14:schemeClr w14:val="tx1"/>
            </w14:solidFill>
          </w14:textFill>
        </w:rPr>
        <w:t>年月日</w:t>
      </w:r>
    </w:p>
    <w:p w14:paraId="1D3D2E04">
      <w:pPr>
        <w:keepNext/>
        <w:keepLines/>
        <w:spacing w:before="260" w:after="260" w:line="360"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bookmarkStart w:id="32" w:name="_Toc18654"/>
      <w:r>
        <w:rPr>
          <w:rFonts w:hint="eastAsia" w:ascii="Calibri" w:hAnsi="Calibri" w:eastAsia="宋体" w:cs="Times New Roman"/>
          <w:b/>
          <w:color w:val="000000" w:themeColor="text1"/>
          <w:kern w:val="0"/>
          <w:sz w:val="24"/>
          <w:szCs w:val="20"/>
          <w14:textFill>
            <w14:solidFill>
              <w14:schemeClr w14:val="tx1"/>
            </w14:solidFill>
          </w14:textFill>
        </w:rPr>
        <w:t>十二、残疾人福利性单位声明函</w:t>
      </w:r>
      <w:bookmarkEnd w:id="32"/>
    </w:p>
    <w:p w14:paraId="14966CB9">
      <w:pPr>
        <w:widowControl/>
        <w:adjustRightInd w:val="0"/>
        <w:snapToGrid w:val="0"/>
        <w:spacing w:line="360" w:lineRule="auto"/>
        <w:ind w:firstLine="504" w:firstLineChars="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本单位郑重声明，根据《财政部民政部中国残疾人联合会关于促进残疾人就业政府采购政策的通知》（财库〔</w:t>
      </w:r>
      <w:r>
        <w:rPr>
          <w:rFonts w:ascii="宋体" w:hAnsi="宋体" w:eastAsia="宋体" w:cs="宋体"/>
          <w:color w:val="000000" w:themeColor="text1"/>
          <w:spacing w:val="6"/>
          <w:kern w:val="0"/>
          <w:sz w:val="24"/>
          <w14:textFill>
            <w14:solidFill>
              <w14:schemeClr w14:val="tx1"/>
            </w14:solidFill>
          </w14:textFill>
        </w:rPr>
        <w:t>2017</w:t>
      </w:r>
      <w:r>
        <w:rPr>
          <w:rFonts w:hint="eastAsia" w:ascii="宋体" w:hAnsi="宋体" w:eastAsia="宋体" w:cs="宋体"/>
          <w:color w:val="000000" w:themeColor="text1"/>
          <w:spacing w:val="6"/>
          <w:kern w:val="0"/>
          <w:sz w:val="24"/>
          <w14:textFill>
            <w14:solidFill>
              <w14:schemeClr w14:val="tx1"/>
            </w14:solidFill>
          </w14:textFill>
        </w:rPr>
        <w:t>〕</w:t>
      </w:r>
      <w:r>
        <w:rPr>
          <w:rFonts w:ascii="宋体" w:hAnsi="宋体" w:eastAsia="宋体" w:cs="宋体"/>
          <w:color w:val="000000" w:themeColor="text1"/>
          <w:spacing w:val="6"/>
          <w:kern w:val="0"/>
          <w:sz w:val="24"/>
          <w14:textFill>
            <w14:solidFill>
              <w14:schemeClr w14:val="tx1"/>
            </w14:solidFill>
          </w14:textFill>
        </w:rPr>
        <w:t>141</w:t>
      </w:r>
      <w:r>
        <w:rPr>
          <w:rFonts w:hint="eastAsia" w:ascii="宋体" w:hAnsi="宋体" w:eastAsia="宋体" w:cs="宋体"/>
          <w:color w:val="000000" w:themeColor="text1"/>
          <w:spacing w:val="6"/>
          <w:kern w:val="0"/>
          <w:sz w:val="24"/>
          <w14:textFill>
            <w14:solidFill>
              <w14:schemeClr w14:val="tx1"/>
            </w14:solidFill>
          </w14:textFill>
        </w:rPr>
        <w:t>号）的规定，本单位为符合条件的残疾人福利性单位，且本单位参加</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单位的</w:t>
      </w:r>
      <w:r>
        <w:rPr>
          <w:rFonts w:ascii="宋体" w:hAnsi="宋体" w:eastAsia="宋体" w:cs="宋体"/>
          <w:color w:val="000000" w:themeColor="text1"/>
          <w:spacing w:val="6"/>
          <w:kern w:val="0"/>
          <w:sz w:val="24"/>
          <w14:textFill>
            <w14:solidFill>
              <w14:schemeClr w14:val="tx1"/>
            </w14:solidFill>
          </w14:textFill>
        </w:rPr>
        <w:t>______</w:t>
      </w:r>
      <w:r>
        <w:rPr>
          <w:rFonts w:hint="eastAsia" w:ascii="宋体" w:hAnsi="宋体" w:eastAsia="宋体" w:cs="宋体"/>
          <w:color w:val="000000" w:themeColor="text1"/>
          <w:spacing w:val="6"/>
          <w:kern w:val="0"/>
          <w:sz w:val="24"/>
          <w14:textFill>
            <w14:solidFill>
              <w14:schemeClr w14:val="tx1"/>
            </w14:solidFill>
          </w14:textFill>
        </w:rPr>
        <w:t>项目采购活动提供本单位制造的货物（由本单位承担工程</w:t>
      </w:r>
      <w:r>
        <w:rPr>
          <w:rFonts w:ascii="宋体" w:hAnsi="宋体" w:eastAsia="宋体" w:cs="宋体"/>
          <w:color w:val="000000" w:themeColor="text1"/>
          <w:spacing w:val="6"/>
          <w:kern w:val="0"/>
          <w:sz w:val="24"/>
          <w14:textFill>
            <w14:solidFill>
              <w14:schemeClr w14:val="tx1"/>
            </w14:solidFill>
          </w14:textFill>
        </w:rPr>
        <w:t>/</w:t>
      </w:r>
      <w:r>
        <w:rPr>
          <w:rFonts w:hint="eastAsia" w:ascii="宋体" w:hAnsi="宋体" w:eastAsia="宋体" w:cs="宋体"/>
          <w:color w:val="000000" w:themeColor="text1"/>
          <w:spacing w:val="6"/>
          <w:kern w:val="0"/>
          <w:sz w:val="24"/>
          <w14:textFill>
            <w14:solidFill>
              <w14:schemeClr w14:val="tx1"/>
            </w14:solidFill>
          </w14:textFill>
        </w:rPr>
        <w:t>提供服务），或者提供其他残疾人福利性单位制造的货物（不包括使用非残疾人福利性单位注册商标的货物）。</w:t>
      </w:r>
    </w:p>
    <w:p w14:paraId="59DABFA3">
      <w:pPr>
        <w:widowControl/>
        <w:adjustRightInd w:val="0"/>
        <w:snapToGrid w:val="0"/>
        <w:spacing w:line="360" w:lineRule="auto"/>
        <w:ind w:firstLine="504" w:firstLineChars="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本单位对上述声明的真实性负责。如有虚假，将依法承担相应责任。</w:t>
      </w:r>
    </w:p>
    <w:p w14:paraId="45BF2DEC">
      <w:pPr>
        <w:widowControl/>
        <w:adjustRightInd w:val="0"/>
        <w:snapToGrid w:val="0"/>
        <w:spacing w:line="360" w:lineRule="auto"/>
        <w:jc w:val="left"/>
        <w:rPr>
          <w:rFonts w:ascii="宋体" w:hAnsi="宋体" w:eastAsia="宋体" w:cs="宋体"/>
          <w:color w:val="000000" w:themeColor="text1"/>
          <w:spacing w:val="6"/>
          <w:kern w:val="0"/>
          <w:sz w:val="24"/>
          <w14:textFill>
            <w14:solidFill>
              <w14:schemeClr w14:val="tx1"/>
            </w14:solidFill>
          </w14:textFill>
        </w:rPr>
      </w:pPr>
    </w:p>
    <w:p w14:paraId="61889EDB">
      <w:pPr>
        <w:widowControl/>
        <w:adjustRightInd w:val="0"/>
        <w:snapToGrid w:val="0"/>
        <w:spacing w:line="360" w:lineRule="auto"/>
        <w:ind w:firstLine="5544" w:firstLineChars="2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单位名称（盖章）：</w:t>
      </w:r>
    </w:p>
    <w:p w14:paraId="1CF04A64">
      <w:pPr>
        <w:widowControl/>
        <w:adjustRightInd w:val="0"/>
        <w:snapToGrid w:val="0"/>
        <w:spacing w:line="360" w:lineRule="auto"/>
        <w:ind w:firstLine="504" w:firstLineChars="200"/>
        <w:jc w:val="left"/>
        <w:rPr>
          <w:rFonts w:ascii="宋体" w:hAnsi="宋体" w:eastAsia="宋体" w:cs="宋体"/>
          <w:color w:val="000000" w:themeColor="text1"/>
          <w:spacing w:val="6"/>
          <w:kern w:val="0"/>
          <w:sz w:val="24"/>
          <w14:textFill>
            <w14:solidFill>
              <w14:schemeClr w14:val="tx1"/>
            </w14:solidFill>
          </w14:textFill>
        </w:rPr>
      </w:pPr>
      <w:r>
        <w:rPr>
          <w:rFonts w:hint="eastAsia" w:ascii="宋体" w:hAnsi="宋体" w:eastAsia="宋体" w:cs="宋体"/>
          <w:color w:val="000000" w:themeColor="text1"/>
          <w:spacing w:val="6"/>
          <w:kern w:val="0"/>
          <w:sz w:val="24"/>
          <w14:textFill>
            <w14:solidFill>
              <w14:schemeClr w14:val="tx1"/>
            </w14:solidFill>
          </w14:textFill>
        </w:rPr>
        <w:t>日期：</w:t>
      </w:r>
    </w:p>
    <w:p w14:paraId="0BE11570">
      <w:pPr>
        <w:spacing w:line="360" w:lineRule="auto"/>
        <w:ind w:firstLine="360" w:firstLineChars="150"/>
        <w:rPr>
          <w:rFonts w:ascii="宋体" w:hAnsi="宋体" w:eastAsia="宋体" w:cs="Times New Roman"/>
          <w:color w:val="000000" w:themeColor="text1"/>
          <w14:textFill>
            <w14:solidFill>
              <w14:schemeClr w14:val="tx1"/>
            </w14:solidFill>
          </w14:textFill>
        </w:rPr>
      </w:pPr>
      <w:r>
        <w:rPr>
          <w:rFonts w:hint="eastAsia" w:ascii="宋体" w:hAnsi="宋体" w:eastAsia="宋体" w:cs="Courier New"/>
          <w:b/>
          <w:bCs/>
          <w:color w:val="000000" w:themeColor="text1"/>
          <w:sz w:val="24"/>
          <w:szCs w:val="21"/>
          <w:em w:val="dot"/>
          <w14:textFill>
            <w14:solidFill>
              <w14:schemeClr w14:val="tx1"/>
            </w14:solidFill>
          </w14:textFill>
        </w:rPr>
        <w:t>注：附件八至十二</w:t>
      </w:r>
      <w:r>
        <w:rPr>
          <w:rFonts w:hint="eastAsia" w:cs="宋体"/>
          <w:b/>
          <w:bCs/>
          <w:color w:val="000000"/>
          <w:sz w:val="24"/>
          <w:szCs w:val="21"/>
          <w:em w:val="dot"/>
        </w:rPr>
        <w:t>供应商根据情况自行选择，不享受相关政策的供应商无需提供。</w:t>
      </w:r>
    </w:p>
    <w:p w14:paraId="585E83C8">
      <w:pPr>
        <w:spacing w:line="360" w:lineRule="auto"/>
        <w:jc w:val="center"/>
        <w:outlineLvl w:val="0"/>
        <w:rPr>
          <w:rFonts w:ascii="宋体" w:hAnsi="宋体" w:eastAsia="宋体" w:cs="Times New Roman"/>
          <w:color w:val="000000" w:themeColor="text1"/>
          <w:kern w:val="0"/>
          <w:sz w:val="24"/>
          <w:szCs w:val="24"/>
          <w14:textFill>
            <w14:solidFill>
              <w14:schemeClr w14:val="tx1"/>
            </w14:solidFill>
          </w14:textFill>
        </w:rPr>
      </w:pPr>
      <w:r>
        <w:rPr>
          <w:rFonts w:hint="eastAsia" w:ascii="宋体" w:hAnsi="Courier New" w:eastAsia="宋体" w:cs="Times New Roman"/>
          <w:b/>
          <w:bCs/>
          <w:color w:val="000000" w:themeColor="text1"/>
          <w:kern w:val="0"/>
          <w:sz w:val="28"/>
          <w:szCs w:val="32"/>
          <w14:textFill>
            <w14:solidFill>
              <w14:schemeClr w14:val="tx1"/>
            </w14:solidFill>
          </w14:textFill>
        </w:rPr>
        <w:br w:type="page"/>
      </w:r>
      <w:r>
        <w:rPr>
          <w:rFonts w:hint="eastAsia" w:ascii="宋体" w:hAnsi="宋体" w:eastAsia="宋体" w:cs="Times New Roman"/>
          <w:color w:val="000000" w:themeColor="text1"/>
          <w:kern w:val="0"/>
          <w:sz w:val="20"/>
          <w:szCs w:val="21"/>
          <w14:textFill>
            <w14:solidFill>
              <w14:schemeClr w14:val="tx1"/>
            </w14:solidFill>
          </w14:textFill>
        </w:rPr>
        <w:t>　　</w:t>
      </w:r>
      <w:bookmarkStart w:id="33" w:name="_Toc14083"/>
      <w:r>
        <w:rPr>
          <w:rFonts w:hint="eastAsia" w:ascii="宋体" w:hAnsi="宋体" w:eastAsia="宋体" w:cs="Times New Roman"/>
          <w:color w:val="000000" w:themeColor="text1"/>
          <w:kern w:val="0"/>
          <w:sz w:val="24"/>
          <w:szCs w:val="24"/>
          <w14:textFill>
            <w14:solidFill>
              <w14:schemeClr w14:val="tx1"/>
            </w14:solidFill>
          </w14:textFill>
        </w:rPr>
        <w:t>第二部分　技术部分</w:t>
      </w:r>
      <w:bookmarkEnd w:id="33"/>
    </w:p>
    <w:p w14:paraId="0A705B5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4D4F72DE">
      <w:pPr>
        <w:spacing w:line="360" w:lineRule="auto"/>
        <w:ind w:firstLine="240" w:firstLineChars="100"/>
        <w:outlineLvl w:val="2"/>
        <w:rPr>
          <w:rFonts w:ascii="宋体" w:hAnsi="宋体" w:eastAsia="宋体" w:cs="Times New Roman"/>
          <w:b/>
          <w:bCs/>
          <w:color w:val="000000" w:themeColor="text1"/>
          <w:kern w:val="0"/>
          <w:sz w:val="24"/>
          <w:szCs w:val="24"/>
          <w14:textFill>
            <w14:solidFill>
              <w14:schemeClr w14:val="tx1"/>
            </w14:solidFill>
          </w14:textFill>
        </w:rPr>
      </w:pPr>
      <w:r>
        <w:rPr>
          <w:rFonts w:hint="eastAsia" w:ascii="宋体" w:hAnsi="宋体" w:eastAsia="宋体" w:cs="Times New Roman"/>
          <w:b/>
          <w:bCs/>
          <w:color w:val="000000" w:themeColor="text1"/>
          <w:kern w:val="0"/>
          <w:sz w:val="24"/>
          <w:szCs w:val="24"/>
          <w14:textFill>
            <w14:solidFill>
              <w14:schemeClr w14:val="tx1"/>
            </w14:solidFill>
          </w14:textFill>
        </w:rPr>
        <w:t>一、服务方案（包括但不限于以下内容）</w:t>
      </w:r>
    </w:p>
    <w:p w14:paraId="49833954">
      <w:pPr>
        <w:pStyle w:val="18"/>
        <w:numPr>
          <w:ilvl w:val="0"/>
          <w:numId w:val="3"/>
        </w:numPr>
        <w:spacing w:line="360" w:lineRule="auto"/>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项目负责人</w:t>
      </w:r>
    </w:p>
    <w:p w14:paraId="02D96CB9">
      <w:pPr>
        <w:pStyle w:val="18"/>
        <w:numPr>
          <w:ilvl w:val="0"/>
          <w:numId w:val="3"/>
        </w:numPr>
        <w:spacing w:line="360" w:lineRule="auto"/>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项目负责人业绩</w:t>
      </w:r>
    </w:p>
    <w:p w14:paraId="1DDD9D28">
      <w:pPr>
        <w:pStyle w:val="18"/>
        <w:numPr>
          <w:ilvl w:val="0"/>
          <w:numId w:val="3"/>
        </w:numPr>
        <w:spacing w:line="360" w:lineRule="auto"/>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项目团队人员</w:t>
      </w:r>
    </w:p>
    <w:p w14:paraId="25EF7A9A">
      <w:pPr>
        <w:pStyle w:val="18"/>
        <w:numPr>
          <w:ilvl w:val="0"/>
          <w:numId w:val="3"/>
        </w:numPr>
        <w:spacing w:line="360" w:lineRule="auto"/>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服务方案</w:t>
      </w:r>
    </w:p>
    <w:p w14:paraId="47CBEA11">
      <w:pPr>
        <w:pStyle w:val="18"/>
        <w:numPr>
          <w:ilvl w:val="0"/>
          <w:numId w:val="3"/>
        </w:numPr>
        <w:spacing w:line="360" w:lineRule="auto"/>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内控制度方案</w:t>
      </w:r>
    </w:p>
    <w:p w14:paraId="106FB3EA">
      <w:pPr>
        <w:pStyle w:val="18"/>
        <w:numPr>
          <w:ilvl w:val="0"/>
          <w:numId w:val="3"/>
        </w:numPr>
        <w:spacing w:line="360" w:lineRule="auto"/>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实施方案的管理措施</w:t>
      </w:r>
    </w:p>
    <w:p w14:paraId="5DADEDFC">
      <w:pPr>
        <w:pStyle w:val="18"/>
        <w:numPr>
          <w:ilvl w:val="0"/>
          <w:numId w:val="3"/>
        </w:numPr>
        <w:spacing w:line="360" w:lineRule="auto"/>
        <w:jc w:val="left"/>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调查评估方案</w:t>
      </w:r>
    </w:p>
    <w:p w14:paraId="2EA006C7">
      <w:pPr>
        <w:pStyle w:val="18"/>
        <w:numPr>
          <w:ilvl w:val="0"/>
          <w:numId w:val="3"/>
        </w:numPr>
        <w:spacing w:line="360" w:lineRule="auto"/>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质量保障服务措施</w:t>
      </w:r>
    </w:p>
    <w:p w14:paraId="4DE28EAF">
      <w:pPr>
        <w:pStyle w:val="18"/>
        <w:numPr>
          <w:ilvl w:val="0"/>
          <w:numId w:val="3"/>
        </w:numPr>
        <w:spacing w:line="360" w:lineRule="auto"/>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进度安排</w:t>
      </w:r>
    </w:p>
    <w:p w14:paraId="186EF329">
      <w:pPr>
        <w:pStyle w:val="18"/>
        <w:numPr>
          <w:ilvl w:val="0"/>
          <w:numId w:val="3"/>
        </w:numPr>
        <w:spacing w:line="360" w:lineRule="auto"/>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售后服务</w:t>
      </w:r>
    </w:p>
    <w:p w14:paraId="24E2D73D">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（根据技术需求编制详细可行的服务方案，请对照打分表进行逐条响应）</w:t>
      </w:r>
    </w:p>
    <w:p w14:paraId="4032A02F">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E2C5C30">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6197888">
      <w:pPr>
        <w:spacing w:line="360" w:lineRule="auto"/>
        <w:ind w:firstLine="240" w:firstLineChars="100"/>
        <w:outlineLvl w:val="2"/>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br w:type="page"/>
      </w:r>
      <w:bookmarkStart w:id="34" w:name="_Toc12856"/>
      <w:r>
        <w:rPr>
          <w:rFonts w:hint="eastAsia" w:ascii="宋体" w:hAnsi="宋体" w:eastAsia="宋体" w:cs="Times New Roman"/>
          <w:color w:val="000000" w:themeColor="text1"/>
          <w:kern w:val="0"/>
          <w:sz w:val="24"/>
          <w:szCs w:val="24"/>
          <w14:textFill>
            <w14:solidFill>
              <w14:schemeClr w14:val="tx1"/>
            </w14:solidFill>
          </w14:textFill>
        </w:rPr>
        <w:t>二、技术投标与偏离表</w:t>
      </w:r>
      <w:bookmarkEnd w:id="34"/>
    </w:p>
    <w:p w14:paraId="0BF0B29D">
      <w:pPr>
        <w:spacing w:line="360" w:lineRule="auto"/>
        <w:ind w:firstLine="480" w:firstLineChars="200"/>
        <w:jc w:val="center"/>
        <w:rPr>
          <w:rFonts w:ascii="宋体" w:hAnsi="宋体" w:eastAsia="宋体" w:cs="MingLiU_HKSCS"/>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技术投标与偏离表</w:t>
      </w:r>
    </w:p>
    <w:p w14:paraId="5C115CE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项目名称：</w:t>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ascii="宋体" w:hAnsi="宋体" w:eastAsia="宋体" w:cs="Times New Roman"/>
          <w:color w:val="000000" w:themeColor="text1"/>
          <w:kern w:val="0"/>
          <w:sz w:val="24"/>
          <w:szCs w:val="24"/>
          <w14:textFill>
            <w14:solidFill>
              <w14:schemeClr w14:val="tx1"/>
            </w14:solidFill>
          </w14:textFill>
        </w:rPr>
        <w:tab/>
      </w:r>
      <w:r>
        <w:rPr>
          <w:rFonts w:hint="eastAsia" w:ascii="宋体" w:hAnsi="宋体" w:eastAsia="宋体" w:cs="Times New Roman"/>
          <w:color w:val="000000" w:themeColor="text1"/>
          <w:kern w:val="0"/>
          <w:sz w:val="24"/>
          <w:szCs w:val="24"/>
          <w14:textFill>
            <w14:solidFill>
              <w14:schemeClr w14:val="tx1"/>
            </w14:solidFill>
          </w14:textFill>
        </w:rPr>
        <w:t>项目编号：</w:t>
      </w:r>
    </w:p>
    <w:p w14:paraId="69962F77">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　包号：</w:t>
      </w:r>
    </w:p>
    <w:tbl>
      <w:tblPr>
        <w:tblStyle w:val="35"/>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454"/>
        <w:gridCol w:w="2079"/>
        <w:gridCol w:w="1634"/>
        <w:gridCol w:w="1655"/>
      </w:tblGrid>
      <w:tr w14:paraId="1C07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12116451">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序号</w:t>
            </w:r>
          </w:p>
        </w:tc>
        <w:tc>
          <w:tcPr>
            <w:tcW w:w="2454" w:type="dxa"/>
            <w:vAlign w:val="center"/>
          </w:tcPr>
          <w:p w14:paraId="42E62BCC">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招标文件内容</w:t>
            </w:r>
          </w:p>
        </w:tc>
        <w:tc>
          <w:tcPr>
            <w:tcW w:w="2079" w:type="dxa"/>
            <w:vAlign w:val="center"/>
          </w:tcPr>
          <w:p w14:paraId="1A55D004">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投标文件内容</w:t>
            </w:r>
          </w:p>
        </w:tc>
        <w:tc>
          <w:tcPr>
            <w:tcW w:w="1634" w:type="dxa"/>
            <w:vAlign w:val="center"/>
          </w:tcPr>
          <w:p w14:paraId="6196DDCB">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偏离内容</w:t>
            </w:r>
          </w:p>
        </w:tc>
        <w:tc>
          <w:tcPr>
            <w:tcW w:w="1655" w:type="dxa"/>
            <w:vAlign w:val="center"/>
          </w:tcPr>
          <w:p w14:paraId="72BAB2C9">
            <w:pPr>
              <w:pStyle w:val="18"/>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说明</w:t>
            </w:r>
          </w:p>
        </w:tc>
      </w:tr>
      <w:tr w14:paraId="3576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5F018823">
            <w:pPr>
              <w:pStyle w:val="18"/>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035502B5">
            <w:pPr>
              <w:pStyle w:val="18"/>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4FDE31F3">
            <w:pPr>
              <w:pStyle w:val="18"/>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4FD22CCB">
            <w:pPr>
              <w:pStyle w:val="18"/>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5ED3FEC1">
            <w:pPr>
              <w:pStyle w:val="18"/>
              <w:spacing w:line="360" w:lineRule="auto"/>
              <w:jc w:val="center"/>
              <w:rPr>
                <w:rFonts w:hAnsi="宋体"/>
                <w:color w:val="000000" w:themeColor="text1"/>
                <w:sz w:val="24"/>
                <w:szCs w:val="24"/>
                <w14:textFill>
                  <w14:solidFill>
                    <w14:schemeClr w14:val="tx1"/>
                  </w14:solidFill>
                </w14:textFill>
              </w:rPr>
            </w:pPr>
          </w:p>
        </w:tc>
      </w:tr>
      <w:tr w14:paraId="672E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7554974B">
            <w:pPr>
              <w:pStyle w:val="18"/>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44CA6384">
            <w:pPr>
              <w:pStyle w:val="18"/>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5EEF000F">
            <w:pPr>
              <w:pStyle w:val="18"/>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28F697A5">
            <w:pPr>
              <w:pStyle w:val="18"/>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50925396">
            <w:pPr>
              <w:pStyle w:val="18"/>
              <w:spacing w:line="360" w:lineRule="auto"/>
              <w:jc w:val="center"/>
              <w:rPr>
                <w:rFonts w:hAnsi="宋体"/>
                <w:color w:val="000000" w:themeColor="text1"/>
                <w:sz w:val="24"/>
                <w:szCs w:val="24"/>
                <w14:textFill>
                  <w14:solidFill>
                    <w14:schemeClr w14:val="tx1"/>
                  </w14:solidFill>
                </w14:textFill>
              </w:rPr>
            </w:pPr>
          </w:p>
        </w:tc>
      </w:tr>
      <w:tr w14:paraId="710F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Align w:val="center"/>
          </w:tcPr>
          <w:p w14:paraId="016E8B02">
            <w:pPr>
              <w:pStyle w:val="18"/>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2ADA1054">
            <w:pPr>
              <w:pStyle w:val="18"/>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123943DE">
            <w:pPr>
              <w:pStyle w:val="18"/>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16FBC029">
            <w:pPr>
              <w:pStyle w:val="18"/>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372DDB67">
            <w:pPr>
              <w:pStyle w:val="18"/>
              <w:spacing w:line="360" w:lineRule="auto"/>
              <w:jc w:val="center"/>
              <w:rPr>
                <w:rFonts w:hAnsi="宋体"/>
                <w:color w:val="000000" w:themeColor="text1"/>
                <w:sz w:val="24"/>
                <w:szCs w:val="24"/>
                <w14:textFill>
                  <w14:solidFill>
                    <w14:schemeClr w14:val="tx1"/>
                  </w14:solidFill>
                </w14:textFill>
              </w:rPr>
            </w:pPr>
          </w:p>
        </w:tc>
      </w:tr>
      <w:tr w14:paraId="7F56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386AD27F">
            <w:pPr>
              <w:pStyle w:val="18"/>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34508A23">
            <w:pPr>
              <w:pStyle w:val="18"/>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46EA624B">
            <w:pPr>
              <w:pStyle w:val="18"/>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57104903">
            <w:pPr>
              <w:pStyle w:val="18"/>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54949B2C">
            <w:pPr>
              <w:pStyle w:val="18"/>
              <w:spacing w:line="360" w:lineRule="auto"/>
              <w:jc w:val="center"/>
              <w:rPr>
                <w:rFonts w:hAnsi="宋体"/>
                <w:color w:val="000000" w:themeColor="text1"/>
                <w:sz w:val="24"/>
                <w:szCs w:val="24"/>
                <w14:textFill>
                  <w14:solidFill>
                    <w14:schemeClr w14:val="tx1"/>
                  </w14:solidFill>
                </w14:textFill>
              </w:rPr>
            </w:pPr>
          </w:p>
        </w:tc>
      </w:tr>
      <w:tr w14:paraId="6EF0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87" w:type="dxa"/>
            <w:vAlign w:val="center"/>
          </w:tcPr>
          <w:p w14:paraId="27BDA8F6">
            <w:pPr>
              <w:pStyle w:val="18"/>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4DC7EC1E">
            <w:pPr>
              <w:pStyle w:val="18"/>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08B0A54D">
            <w:pPr>
              <w:pStyle w:val="18"/>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6BCD4705">
            <w:pPr>
              <w:pStyle w:val="18"/>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14165B3A">
            <w:pPr>
              <w:pStyle w:val="18"/>
              <w:spacing w:line="360" w:lineRule="auto"/>
              <w:jc w:val="center"/>
              <w:rPr>
                <w:rFonts w:hAnsi="宋体"/>
                <w:color w:val="000000" w:themeColor="text1"/>
                <w:sz w:val="24"/>
                <w:szCs w:val="24"/>
                <w14:textFill>
                  <w14:solidFill>
                    <w14:schemeClr w14:val="tx1"/>
                  </w14:solidFill>
                </w14:textFill>
              </w:rPr>
            </w:pPr>
          </w:p>
        </w:tc>
      </w:tr>
      <w:tr w14:paraId="0BB2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87" w:type="dxa"/>
            <w:vAlign w:val="center"/>
          </w:tcPr>
          <w:p w14:paraId="608AADB5">
            <w:pPr>
              <w:pStyle w:val="18"/>
              <w:spacing w:line="360" w:lineRule="auto"/>
              <w:jc w:val="center"/>
              <w:rPr>
                <w:rFonts w:hAnsi="宋体"/>
                <w:color w:val="000000" w:themeColor="text1"/>
                <w:sz w:val="24"/>
                <w:szCs w:val="24"/>
                <w14:textFill>
                  <w14:solidFill>
                    <w14:schemeClr w14:val="tx1"/>
                  </w14:solidFill>
                </w14:textFill>
              </w:rPr>
            </w:pPr>
          </w:p>
        </w:tc>
        <w:tc>
          <w:tcPr>
            <w:tcW w:w="2454" w:type="dxa"/>
            <w:vAlign w:val="center"/>
          </w:tcPr>
          <w:p w14:paraId="5302B235">
            <w:pPr>
              <w:pStyle w:val="18"/>
              <w:spacing w:line="360" w:lineRule="auto"/>
              <w:jc w:val="center"/>
              <w:rPr>
                <w:rFonts w:hAnsi="宋体"/>
                <w:color w:val="000000" w:themeColor="text1"/>
                <w:sz w:val="24"/>
                <w:szCs w:val="24"/>
                <w14:textFill>
                  <w14:solidFill>
                    <w14:schemeClr w14:val="tx1"/>
                  </w14:solidFill>
                </w14:textFill>
              </w:rPr>
            </w:pPr>
          </w:p>
        </w:tc>
        <w:tc>
          <w:tcPr>
            <w:tcW w:w="2079" w:type="dxa"/>
            <w:vAlign w:val="center"/>
          </w:tcPr>
          <w:p w14:paraId="1AA6658C">
            <w:pPr>
              <w:pStyle w:val="18"/>
              <w:spacing w:line="360" w:lineRule="auto"/>
              <w:jc w:val="center"/>
              <w:rPr>
                <w:rFonts w:hAnsi="宋体"/>
                <w:color w:val="000000" w:themeColor="text1"/>
                <w:sz w:val="24"/>
                <w:szCs w:val="24"/>
                <w14:textFill>
                  <w14:solidFill>
                    <w14:schemeClr w14:val="tx1"/>
                  </w14:solidFill>
                </w14:textFill>
              </w:rPr>
            </w:pPr>
          </w:p>
        </w:tc>
        <w:tc>
          <w:tcPr>
            <w:tcW w:w="1634" w:type="dxa"/>
            <w:vAlign w:val="center"/>
          </w:tcPr>
          <w:p w14:paraId="448FE015">
            <w:pPr>
              <w:pStyle w:val="18"/>
              <w:spacing w:line="360" w:lineRule="auto"/>
              <w:jc w:val="center"/>
              <w:rPr>
                <w:rFonts w:hAnsi="宋体"/>
                <w:color w:val="000000" w:themeColor="text1"/>
                <w:sz w:val="24"/>
                <w:szCs w:val="24"/>
                <w14:textFill>
                  <w14:solidFill>
                    <w14:schemeClr w14:val="tx1"/>
                  </w14:solidFill>
                </w14:textFill>
              </w:rPr>
            </w:pPr>
          </w:p>
        </w:tc>
        <w:tc>
          <w:tcPr>
            <w:tcW w:w="1655" w:type="dxa"/>
            <w:vAlign w:val="center"/>
          </w:tcPr>
          <w:p w14:paraId="2EB80836">
            <w:pPr>
              <w:pStyle w:val="18"/>
              <w:spacing w:line="360" w:lineRule="auto"/>
              <w:jc w:val="center"/>
              <w:rPr>
                <w:rFonts w:hAnsi="宋体"/>
                <w:color w:val="000000" w:themeColor="text1"/>
                <w:sz w:val="24"/>
                <w:szCs w:val="24"/>
                <w14:textFill>
                  <w14:solidFill>
                    <w14:schemeClr w14:val="tx1"/>
                  </w14:solidFill>
                </w14:textFill>
              </w:rPr>
            </w:pPr>
          </w:p>
        </w:tc>
      </w:tr>
    </w:tbl>
    <w:p w14:paraId="74861E96">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说明：在偏离项必须注明正偏离、负偏离或无偏离。</w:t>
      </w:r>
    </w:p>
    <w:p w14:paraId="6C47396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凡投标文件中技术条款（包括投标技术参数等所有技术内容）与招标文件有偏差的，均应在此表中列出（内容较多的可以标注见投标文件第几页，偏差包括正偏差和负偏差）。未在本表中列明的偏差视同响应招标文件规定。</w:t>
      </w:r>
    </w:p>
    <w:p w14:paraId="44BF764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5265B0E4">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1BAADFDD">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投标人名称</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公章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32F8E943">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法定代表人或其授权代表</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签字或盖章</w:t>
      </w:r>
      <w:r>
        <w:rPr>
          <w:rFonts w:ascii="宋体" w:hAnsi="宋体" w:eastAsia="宋体" w:cs="Times New Roman"/>
          <w:color w:val="000000" w:themeColor="text1"/>
          <w:kern w:val="0"/>
          <w:sz w:val="24"/>
          <w:szCs w:val="24"/>
          <w14:textFill>
            <w14:solidFill>
              <w14:schemeClr w14:val="tx1"/>
            </w14:solidFill>
          </w14:textFill>
        </w:rPr>
        <w:t>)</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____________</w:t>
      </w:r>
    </w:p>
    <w:p w14:paraId="0ADBE4BE">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日期：</w:t>
      </w:r>
      <w:r>
        <w:rPr>
          <w:rFonts w:ascii="宋体" w:hAnsi="宋体" w:eastAsia="宋体" w:cs="Times New Roman"/>
          <w:color w:val="000000" w:themeColor="text1"/>
          <w:kern w:val="0"/>
          <w:sz w:val="24"/>
          <w:szCs w:val="24"/>
          <w14:textFill>
            <w14:solidFill>
              <w14:schemeClr w14:val="tx1"/>
            </w14:solidFill>
          </w14:textFill>
        </w:rPr>
        <w:t>______</w:t>
      </w:r>
      <w:r>
        <w:rPr>
          <w:rFonts w:hint="eastAsia" w:ascii="宋体" w:hAnsi="宋体" w:eastAsia="宋体" w:cs="Times New Roman"/>
          <w:color w:val="000000" w:themeColor="text1"/>
          <w:kern w:val="0"/>
          <w:sz w:val="24"/>
          <w:szCs w:val="24"/>
          <w14:textFill>
            <w14:solidFill>
              <w14:schemeClr w14:val="tx1"/>
            </w14:solidFill>
          </w14:textFill>
        </w:rPr>
        <w:t>年</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月</w:t>
      </w:r>
      <w:r>
        <w:rPr>
          <w:rFonts w:ascii="宋体" w:hAnsi="宋体" w:eastAsia="宋体" w:cs="Times New Roman"/>
          <w:color w:val="000000" w:themeColor="text1"/>
          <w:kern w:val="0"/>
          <w:sz w:val="24"/>
          <w:szCs w:val="24"/>
          <w14:textFill>
            <w14:solidFill>
              <w14:schemeClr w14:val="tx1"/>
            </w14:solidFill>
          </w14:textFill>
        </w:rPr>
        <w:t>____</w:t>
      </w:r>
      <w:r>
        <w:rPr>
          <w:rFonts w:hint="eastAsia" w:ascii="宋体" w:hAnsi="宋体" w:eastAsia="宋体" w:cs="Times New Roman"/>
          <w:color w:val="000000" w:themeColor="text1"/>
          <w:kern w:val="0"/>
          <w:sz w:val="24"/>
          <w:szCs w:val="24"/>
          <w14:textFill>
            <w14:solidFill>
              <w14:schemeClr w14:val="tx1"/>
            </w14:solidFill>
          </w14:textFill>
        </w:rPr>
        <w:t>日</w:t>
      </w:r>
    </w:p>
    <w:p w14:paraId="6C0D12E5">
      <w:pPr>
        <w:spacing w:line="360" w:lineRule="auto"/>
        <w:ind w:firstLine="480" w:firstLineChars="200"/>
        <w:rPr>
          <w:rFonts w:ascii="宋体" w:hAnsi="宋体" w:eastAsia="宋体" w:cs="Times New Roman"/>
          <w:color w:val="000000" w:themeColor="text1"/>
          <w:kern w:val="0"/>
          <w:sz w:val="24"/>
          <w:szCs w:val="24"/>
          <w14:textFill>
            <w14:solidFill>
              <w14:schemeClr w14:val="tx1"/>
            </w14:solidFill>
          </w14:textFill>
        </w:rPr>
      </w:pPr>
    </w:p>
    <w:p w14:paraId="069E9E70">
      <w:pPr>
        <w:spacing w:line="360" w:lineRule="auto"/>
        <w:ind w:firstLine="480" w:firstLineChars="200"/>
        <w:rPr>
          <w:rFonts w:ascii="宋体" w:hAnsi="宋体" w:eastAsia="宋体" w:cs="Times New Roman"/>
          <w:color w:val="000000" w:themeColor="text1"/>
          <w:kern w:val="0"/>
          <w:sz w:val="20"/>
          <w:szCs w:val="21"/>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br w:type="page"/>
      </w:r>
    </w:p>
    <w:p w14:paraId="469E6DAF">
      <w:pPr>
        <w:spacing w:line="360" w:lineRule="auto"/>
        <w:outlineLvl w:val="2"/>
        <w:rPr>
          <w:rFonts w:ascii="宋体" w:hAnsi="宋体" w:eastAsia="宋体" w:cs="Times New Roman"/>
          <w:color w:val="000000" w:themeColor="text1"/>
          <w:kern w:val="0"/>
          <w:sz w:val="24"/>
          <w:szCs w:val="24"/>
          <w14:textFill>
            <w14:solidFill>
              <w14:schemeClr w14:val="tx1"/>
            </w14:solidFill>
          </w14:textFill>
        </w:rPr>
      </w:pPr>
      <w:bookmarkStart w:id="35" w:name="_Toc26011"/>
      <w:r>
        <w:rPr>
          <w:rFonts w:hint="eastAsia" w:ascii="宋体" w:hAnsi="宋体" w:eastAsia="宋体" w:cs="Times New Roman"/>
          <w:color w:val="000000" w:themeColor="text1"/>
          <w:kern w:val="0"/>
          <w:sz w:val="24"/>
          <w:szCs w:val="24"/>
          <w14:textFill>
            <w14:solidFill>
              <w14:schemeClr w14:val="tx1"/>
            </w14:solidFill>
          </w14:textFill>
        </w:rPr>
        <w:t>三、其他材料</w:t>
      </w:r>
      <w:bookmarkEnd w:id="35"/>
    </w:p>
    <w:p w14:paraId="6645B704">
      <w:pPr>
        <w:widowControl/>
        <w:spacing w:line="360" w:lineRule="auto"/>
        <w:jc w:val="left"/>
        <w:rPr>
          <w:rFonts w:hAnsi="宋体" w:cs="Times New Roman"/>
          <w:b/>
          <w:color w:val="000000" w:themeColor="text1"/>
          <w:sz w:val="24"/>
          <w:szCs w:val="24"/>
          <w14:textFill>
            <w14:solidFill>
              <w14:schemeClr w14:val="tx1"/>
            </w14:solidFill>
          </w14:textFill>
        </w:rPr>
      </w:pPr>
    </w:p>
    <w:p w14:paraId="18DE02A8">
      <w:pPr>
        <w:widowControl/>
        <w:spacing w:line="360" w:lineRule="auto"/>
        <w:jc w:val="left"/>
        <w:rPr>
          <w:rFonts w:ascii="宋体" w:hAnsi="宋体" w:eastAsia="宋体" w:cs="Times New Roman"/>
          <w:color w:val="000000" w:themeColor="text1"/>
          <w:kern w:val="0"/>
          <w:sz w:val="24"/>
          <w:szCs w:val="24"/>
          <w14:textFill>
            <w14:solidFill>
              <w14:schemeClr w14:val="tx1"/>
            </w14:solidFill>
          </w14:textFill>
        </w:rPr>
      </w:pPr>
      <w:r>
        <w:rPr>
          <w:rFonts w:hint="eastAsia" w:hAnsi="宋体" w:cs="Times New Roman"/>
          <w:b/>
          <w:color w:val="000000" w:themeColor="text1"/>
          <w:sz w:val="24"/>
          <w:szCs w:val="24"/>
          <w14:textFill>
            <w14:solidFill>
              <w14:schemeClr w14:val="tx1"/>
            </w14:solidFill>
          </w14:textFill>
        </w:rPr>
        <w:t>供应商可根据实际情况进行增加，可对照打分表进行逐条响应</w:t>
      </w:r>
    </w:p>
    <w:p w14:paraId="21BA2625">
      <w:pPr>
        <w:widowControl/>
        <w:spacing w:line="360" w:lineRule="auto"/>
        <w:jc w:val="left"/>
        <w:rPr>
          <w:rFonts w:ascii="宋体" w:hAnsi="宋体" w:eastAsia="宋体" w:cs="Times New Roman"/>
          <w:color w:val="000000" w:themeColor="text1"/>
          <w:kern w:val="0"/>
          <w:sz w:val="24"/>
          <w:szCs w:val="24"/>
          <w14:textFill>
            <w14:solidFill>
              <w14:schemeClr w14:val="tx1"/>
            </w14:solidFill>
          </w14:textFill>
        </w:rPr>
      </w:pPr>
    </w:p>
    <w:p w14:paraId="200A412B">
      <w:pPr>
        <w:widowControl/>
        <w:spacing w:line="360" w:lineRule="auto"/>
        <w:jc w:val="left"/>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br w:type="page"/>
      </w:r>
    </w:p>
    <w:p w14:paraId="2365D315">
      <w:pPr>
        <w:pStyle w:val="2"/>
        <w:spacing w:line="360" w:lineRule="auto"/>
      </w:pPr>
      <w:bookmarkStart w:id="36" w:name="_Toc15004"/>
      <w:r>
        <w:rPr>
          <w:rFonts w:hint="eastAsia"/>
        </w:rPr>
        <w:t>第二部分 技术部分</w:t>
      </w:r>
    </w:p>
    <w:p w14:paraId="0264809F">
      <w:pPr>
        <w:keepNext/>
        <w:keepLines/>
        <w:numPr>
          <w:ilvl w:val="0"/>
          <w:numId w:val="4"/>
        </w:numPr>
        <w:spacing w:before="260" w:after="260" w:line="360" w:lineRule="auto"/>
        <w:jc w:val="center"/>
        <w:outlineLvl w:val="2"/>
        <w:rPr>
          <w:rFonts w:ascii="Calibri" w:hAnsi="Calibri" w:eastAsia="宋体" w:cs="Times New Roman"/>
          <w:b/>
          <w:color w:val="000000" w:themeColor="text1"/>
          <w:kern w:val="0"/>
          <w:sz w:val="24"/>
          <w:szCs w:val="20"/>
          <w14:textFill>
            <w14:solidFill>
              <w14:schemeClr w14:val="tx1"/>
            </w14:solidFill>
          </w14:textFill>
        </w:rPr>
      </w:pPr>
      <w:r>
        <w:rPr>
          <w:rFonts w:hint="eastAsia" w:ascii="Calibri" w:hAnsi="Calibri" w:eastAsia="宋体" w:cs="Times New Roman"/>
          <w:b/>
          <w:color w:val="000000" w:themeColor="text1"/>
          <w:kern w:val="0"/>
          <w:sz w:val="24"/>
          <w:szCs w:val="20"/>
          <w14:textFill>
            <w14:solidFill>
              <w14:schemeClr w14:val="tx1"/>
            </w14:solidFill>
          </w14:textFill>
        </w:rPr>
        <w:t>项目采购需求</w:t>
      </w:r>
      <w:bookmarkEnd w:id="36"/>
    </w:p>
    <w:p w14:paraId="52C2FDBE">
      <w:pPr>
        <w:pStyle w:val="74"/>
        <w:spacing w:line="360" w:lineRule="auto"/>
        <w:ind w:firstLine="0" w:firstLineChars="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一、项目背景及重要意义</w:t>
      </w:r>
    </w:p>
    <w:p w14:paraId="2CEE41E2">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疆是世界干旱区中生物种质与基因资源极为独特和生物多样性保护极为关键的区域，植物种类的组成与国内其他地区相比有明显的差异，极大地丰富了我国的植物资源。新疆南北纬度地跨近15°,有暖、温、寒之分,东西部有明显的干湿之别,造成了新疆各地区自然地理景观的不同，同一地区因海拔差异具有鲜明的垂直气候特征,由下而上依次出现荒漠、草原、森林、山地草甸和高寒草甸以及冰雪带等。新疆复杂的自然地理条件和独特的区系成分孕育了113科800属4109种野生维管植物，有许多种植物在我国乃至世界仅分布于新疆。据统计，我国仅在新疆分布的高等植物有1773种，其中中国特有种328种，269种为新疆特有，例如新疆野苹果</w:t>
      </w:r>
      <w:r>
        <w:rPr>
          <w:rFonts w:hint="eastAsia" w:asciiTheme="minorEastAsia" w:hAnsiTheme="minorEastAsia" w:eastAsiaTheme="minorEastAsia" w:cstheme="minorEastAsia"/>
          <w:i/>
          <w:iCs/>
          <w:sz w:val="24"/>
          <w:szCs w:val="24"/>
        </w:rPr>
        <w:t>Malus sieversii</w:t>
      </w:r>
      <w:r>
        <w:rPr>
          <w:rFonts w:hint="eastAsia" w:asciiTheme="minorEastAsia" w:hAnsiTheme="minorEastAsia" w:eastAsiaTheme="minorEastAsia" w:cstheme="minorEastAsia"/>
          <w:sz w:val="24"/>
          <w:szCs w:val="24"/>
        </w:rPr>
        <w:t>、阿尔泰葱</w:t>
      </w:r>
      <w:r>
        <w:rPr>
          <w:rFonts w:hint="eastAsia" w:asciiTheme="minorEastAsia" w:hAnsiTheme="minorEastAsia" w:eastAsiaTheme="minorEastAsia" w:cstheme="minorEastAsia"/>
          <w:i/>
          <w:iCs/>
          <w:sz w:val="24"/>
          <w:szCs w:val="24"/>
        </w:rPr>
        <w:t>Allium altaicum</w:t>
      </w:r>
      <w:r>
        <w:rPr>
          <w:rFonts w:hint="eastAsia" w:asciiTheme="minorEastAsia" w:hAnsiTheme="minorEastAsia" w:eastAsiaTheme="minorEastAsia" w:cstheme="minorEastAsia"/>
          <w:sz w:val="24"/>
          <w:szCs w:val="24"/>
        </w:rPr>
        <w:t>、软紫草</w:t>
      </w:r>
      <w:r>
        <w:rPr>
          <w:rFonts w:hint="eastAsia" w:asciiTheme="minorEastAsia" w:hAnsiTheme="minorEastAsia" w:eastAsiaTheme="minorEastAsia" w:cstheme="minorEastAsia"/>
          <w:i/>
          <w:iCs/>
          <w:sz w:val="24"/>
          <w:szCs w:val="24"/>
        </w:rPr>
        <w:t>Arnebia euchroma</w:t>
      </w:r>
      <w:r>
        <w:rPr>
          <w:rFonts w:hint="eastAsia" w:asciiTheme="minorEastAsia" w:hAnsiTheme="minorEastAsia" w:eastAsiaTheme="minorEastAsia" w:cstheme="minorEastAsia"/>
          <w:sz w:val="24"/>
          <w:szCs w:val="24"/>
        </w:rPr>
        <w:t>、伊贝母</w:t>
      </w:r>
      <w:r>
        <w:rPr>
          <w:rFonts w:hint="eastAsia" w:asciiTheme="minorEastAsia" w:hAnsiTheme="minorEastAsia" w:eastAsiaTheme="minorEastAsia" w:cstheme="minorEastAsia"/>
          <w:i/>
          <w:iCs/>
          <w:sz w:val="24"/>
          <w:szCs w:val="24"/>
        </w:rPr>
        <w:t>Fritillaria pallidiflora</w:t>
      </w:r>
      <w:r>
        <w:rPr>
          <w:rFonts w:hint="eastAsia" w:asciiTheme="minorEastAsia" w:hAnsiTheme="minorEastAsia" w:eastAsiaTheme="minorEastAsia" w:cstheme="minorEastAsia"/>
          <w:sz w:val="24"/>
          <w:szCs w:val="24"/>
        </w:rPr>
        <w:t>等。</w:t>
      </w:r>
    </w:p>
    <w:p w14:paraId="783CC644">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然而，近年来气候变化、人为活动以及不合理的资源利用不断加剧，野生物种资源大量丧失，直接影响了新疆干旱区生物种质资源保护和可持续开发利用。新疆目前有80余种植物被列入国家具有生物多样性国际意义的优先保护物种和中国濒危保护植物，如新疆野苹果</w:t>
      </w:r>
      <w:r>
        <w:rPr>
          <w:rFonts w:hint="eastAsia" w:asciiTheme="minorEastAsia" w:hAnsiTheme="minorEastAsia" w:eastAsiaTheme="minorEastAsia" w:cstheme="minorEastAsia"/>
          <w:i/>
          <w:iCs/>
          <w:sz w:val="24"/>
          <w:szCs w:val="24"/>
        </w:rPr>
        <w:t>Malus sieversii</w:t>
      </w:r>
      <w:r>
        <w:rPr>
          <w:rFonts w:hint="eastAsia" w:asciiTheme="minorEastAsia" w:hAnsiTheme="minorEastAsia" w:eastAsiaTheme="minorEastAsia" w:cstheme="minorEastAsia"/>
          <w:sz w:val="24"/>
          <w:szCs w:val="24"/>
        </w:rPr>
        <w:t>、新疆阿魏</w:t>
      </w:r>
      <w:r>
        <w:rPr>
          <w:rFonts w:hint="eastAsia" w:asciiTheme="minorEastAsia" w:hAnsiTheme="minorEastAsia" w:eastAsiaTheme="minorEastAsia" w:cstheme="minorEastAsia"/>
          <w:i/>
          <w:iCs/>
          <w:sz w:val="24"/>
          <w:szCs w:val="24"/>
        </w:rPr>
        <w:t>Ferula sinkiangensis</w:t>
      </w:r>
      <w:r>
        <w:rPr>
          <w:rFonts w:hint="eastAsia" w:asciiTheme="minorEastAsia" w:hAnsiTheme="minorEastAsia" w:eastAsiaTheme="minorEastAsia" w:cstheme="minorEastAsia"/>
          <w:sz w:val="24"/>
          <w:szCs w:val="24"/>
        </w:rPr>
        <w:t>、软紫草</w:t>
      </w:r>
      <w:r>
        <w:rPr>
          <w:rFonts w:hint="eastAsia" w:asciiTheme="minorEastAsia" w:hAnsiTheme="minorEastAsia" w:eastAsiaTheme="minorEastAsia" w:cstheme="minorEastAsia"/>
          <w:i/>
          <w:iCs/>
          <w:sz w:val="24"/>
          <w:szCs w:val="24"/>
        </w:rPr>
        <w:t>Arnebia euchroma</w:t>
      </w:r>
      <w:r>
        <w:rPr>
          <w:rFonts w:hint="eastAsia" w:asciiTheme="minorEastAsia" w:hAnsiTheme="minorEastAsia" w:eastAsiaTheme="minorEastAsia" w:cstheme="minorEastAsia"/>
          <w:sz w:val="24"/>
          <w:szCs w:val="24"/>
        </w:rPr>
        <w:t>、雪莲</w:t>
      </w:r>
      <w:r>
        <w:rPr>
          <w:rFonts w:hint="eastAsia" w:asciiTheme="minorEastAsia" w:hAnsiTheme="minorEastAsia" w:eastAsiaTheme="minorEastAsia" w:cstheme="minorEastAsia"/>
          <w:i/>
          <w:iCs/>
          <w:sz w:val="24"/>
          <w:szCs w:val="24"/>
        </w:rPr>
        <w:t>Saussurea involucrata</w:t>
      </w:r>
      <w:r>
        <w:rPr>
          <w:rFonts w:hint="eastAsia" w:asciiTheme="minorEastAsia" w:hAnsiTheme="minorEastAsia" w:eastAsiaTheme="minorEastAsia" w:cstheme="minorEastAsia"/>
          <w:sz w:val="24"/>
          <w:szCs w:val="24"/>
        </w:rPr>
        <w:t>、新疆郁金香</w:t>
      </w:r>
      <w:r>
        <w:rPr>
          <w:rFonts w:hint="eastAsia" w:asciiTheme="minorEastAsia" w:hAnsiTheme="minorEastAsia" w:eastAsiaTheme="minorEastAsia" w:cstheme="minorEastAsia"/>
          <w:i/>
          <w:iCs/>
          <w:sz w:val="24"/>
          <w:szCs w:val="24"/>
        </w:rPr>
        <w:t>Tulipa sinkiangensis</w:t>
      </w:r>
      <w:r>
        <w:rPr>
          <w:rFonts w:hint="eastAsia" w:asciiTheme="minorEastAsia" w:hAnsiTheme="minorEastAsia" w:eastAsiaTheme="minorEastAsia" w:cstheme="minorEastAsia"/>
          <w:sz w:val="24"/>
          <w:szCs w:val="24"/>
        </w:rPr>
        <w:t>等。其中超过60%的新疆濒危植物种群处于衰退状态，例如作为世界栽培落叶果树重要起源中心的天山野果林，其中的新疆野苹果、野杏、樱桃李、野核桃等关键种对维持生态系统的健康稳定起着至关重要的作用。但近30年来，极端天气、过度放牧、旅游开发、田地以及外来病虫害的侵袭，使得野果林生态系统遭受重创，出现了成片、大量衰败和死亡的现象。另外，阿魏属作为一种特殊的药用植物类群，在全球范围内具有独特的生态和药用价值。新疆阿魏和阜康阿魏是我国特有的阿魏属植物，仅分布在新疆伊犁和阜康地区，其独特的药用价值使得它们成为中药市场中的重要药材。然而，由于开荒、无节制的采挖以及气候变化的影响，新疆阿魏属植物的野生资源面积逐年萎缩。新疆阿魏和阜康阿魏目前均已被列为国家二级保护植物，尽管已有部分阿魏属植物实现了人工栽培，但野生种群仍面临灭绝的威胁。</w:t>
      </w:r>
    </w:p>
    <w:p w14:paraId="4E66212A">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来，我国重新修订实施了多项政策和法律，特别是《野生植物保护条例》和《国家重点保护野生植物名录》相继颁布，奠定了我国植物保护的法律和政策框架。新疆在野生植物保护政策条例与保护行动方面也总体呈现出积极向好的态势，重新修订实施野生植物保护相关法律条例以及修复保护计划，但濒危野生植物种群数量及生存态势仍面临较大威胁。一是随着经济继续发展、资源持续开发，栖息地破碎化和缩小、外来物种竞争以及极端气候事件仍严重威胁濒危野生植物的生存；二是除少数关注度高的“明星物种”外，对其余多数濒危野生植物的保护应对措施和工作还不到位，如就地保护分散、保护存在空缺地区、保护地体系有待优化等。</w:t>
      </w:r>
    </w:p>
    <w:p w14:paraId="7D1FF348">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就地保护和迁地保护是保护濒危野生植物种群的重要措施。对生境被破坏、繁衍受到威胁的野生植物，在原自然栖息地就地保护是最为有效的措施，但为降低风险，以种子库和精细管理的活植物保育等迁地保护手段则是拯救可能灭绝植物的最后机会。为遏制新疆生物多样性丧失，本项目旨在以迁地保育为核心，通过引种、繁育及科学管理，保护新疆重点保护野生植物种群，维护遗传多样性，并为生态修复和开发利用等提供种质资源。</w:t>
      </w:r>
    </w:p>
    <w:p w14:paraId="3657CC6A">
      <w:pPr>
        <w:pStyle w:val="74"/>
        <w:spacing w:line="360" w:lineRule="auto"/>
        <w:ind w:firstLine="0" w:firstLineChars="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二、项目目标</w:t>
      </w:r>
    </w:p>
    <w:p w14:paraId="194234A2">
      <w:pPr>
        <w:widowControl/>
        <w:shd w:val="clear" w:color="auto" w:fill="FFFFFF"/>
        <w:spacing w:line="360" w:lineRule="auto"/>
        <w:ind w:firstLine="496" w:firstLineChars="200"/>
        <w:jc w:val="left"/>
        <w:textAlignment w:val="baseline"/>
        <w:rPr>
          <w:rFonts w:asciiTheme="minorEastAsia" w:hAnsiTheme="minorEastAsia" w:cstheme="minorEastAsia"/>
          <w:color w:val="060607"/>
          <w:spacing w:val="4"/>
          <w:kern w:val="0"/>
          <w:sz w:val="24"/>
          <w:szCs w:val="24"/>
        </w:rPr>
      </w:pPr>
      <w:r>
        <w:rPr>
          <w:rFonts w:hint="eastAsia" w:asciiTheme="minorEastAsia" w:hAnsiTheme="minorEastAsia" w:cstheme="minorEastAsia"/>
          <w:color w:val="060607"/>
          <w:spacing w:val="4"/>
          <w:kern w:val="0"/>
          <w:sz w:val="24"/>
          <w:szCs w:val="24"/>
        </w:rPr>
        <w:t>本项目以新疆地区重点保护野生植物迁地保护为核心，旨在通过科学的迁地保育和管理措施，确保重点保护野生植物的种群延续和生物多样性保护，同时提升公众保护意识，具体目标如下：</w:t>
      </w:r>
    </w:p>
    <w:p w14:paraId="6B73E6DB">
      <w:pPr>
        <w:pStyle w:val="74"/>
        <w:numPr>
          <w:ilvl w:val="0"/>
          <w:numId w:val="5"/>
        </w:numPr>
        <w:shd w:val="clear" w:color="auto" w:fill="FFFFFF"/>
        <w:spacing w:line="360" w:lineRule="auto"/>
        <w:ind w:firstLineChars="0"/>
        <w:textAlignment w:val="baseline"/>
        <w:rPr>
          <w:rFonts w:asciiTheme="minorEastAsia" w:hAnsiTheme="minorEastAsia" w:eastAsiaTheme="minorEastAsia" w:cstheme="minorEastAsia"/>
          <w:b/>
          <w:bCs/>
          <w:color w:val="060607"/>
          <w:spacing w:val="4"/>
          <w:sz w:val="24"/>
          <w:szCs w:val="24"/>
        </w:rPr>
      </w:pPr>
      <w:r>
        <w:rPr>
          <w:rFonts w:hint="eastAsia" w:asciiTheme="minorEastAsia" w:hAnsiTheme="minorEastAsia" w:eastAsiaTheme="minorEastAsia" w:cstheme="minorEastAsia"/>
          <w:b/>
          <w:bCs/>
          <w:color w:val="060607"/>
          <w:spacing w:val="4"/>
          <w:sz w:val="24"/>
          <w:szCs w:val="24"/>
        </w:rPr>
        <w:t>引种目标</w:t>
      </w:r>
    </w:p>
    <w:p w14:paraId="17A840AE">
      <w:pPr>
        <w:pStyle w:val="74"/>
        <w:shd w:val="clear" w:color="auto" w:fill="FFFFFF"/>
        <w:spacing w:line="360" w:lineRule="auto"/>
        <w:ind w:firstLine="496"/>
        <w:textAlignment w:val="baseline"/>
        <w:rPr>
          <w:rFonts w:asciiTheme="minorEastAsia" w:hAnsiTheme="minorEastAsia" w:eastAsiaTheme="minorEastAsia" w:cstheme="minorEastAsia"/>
          <w:color w:val="060607"/>
          <w:spacing w:val="4"/>
          <w:sz w:val="24"/>
          <w:szCs w:val="24"/>
        </w:rPr>
      </w:pPr>
      <w:r>
        <w:rPr>
          <w:rFonts w:hint="eastAsia" w:asciiTheme="minorEastAsia" w:hAnsiTheme="minorEastAsia" w:eastAsiaTheme="minorEastAsia" w:cstheme="minorEastAsia"/>
          <w:color w:val="060607"/>
          <w:spacing w:val="4"/>
          <w:sz w:val="24"/>
          <w:szCs w:val="24"/>
        </w:rPr>
        <w:t>成功将至少50种新疆地区重点野生植物引种至迁地保护基地，优化</w:t>
      </w:r>
      <w:r>
        <w:rPr>
          <w:rFonts w:hint="eastAsia" w:asciiTheme="minorEastAsia" w:hAnsiTheme="minorEastAsia" w:eastAsiaTheme="minorEastAsia" w:cstheme="minorEastAsia"/>
          <w:sz w:val="24"/>
          <w:szCs w:val="24"/>
        </w:rPr>
        <w:t>迁地保育</w:t>
      </w:r>
      <w:r>
        <w:rPr>
          <w:rFonts w:hint="eastAsia" w:asciiTheme="minorEastAsia" w:hAnsiTheme="minorEastAsia" w:eastAsiaTheme="minorEastAsia" w:cstheme="minorEastAsia"/>
          <w:color w:val="060607"/>
          <w:spacing w:val="4"/>
          <w:sz w:val="24"/>
          <w:szCs w:val="24"/>
        </w:rPr>
        <w:t>流程，确保</w:t>
      </w:r>
      <w:r>
        <w:rPr>
          <w:rFonts w:hint="eastAsia" w:asciiTheme="minorEastAsia" w:hAnsiTheme="minorEastAsia" w:eastAsiaTheme="minorEastAsia" w:cstheme="minorEastAsia"/>
          <w:sz w:val="24"/>
          <w:szCs w:val="24"/>
        </w:rPr>
        <w:t>迁地保育</w:t>
      </w:r>
      <w:r>
        <w:rPr>
          <w:rFonts w:hint="eastAsia" w:asciiTheme="minorEastAsia" w:hAnsiTheme="minorEastAsia" w:eastAsiaTheme="minorEastAsia" w:cstheme="minorEastAsia"/>
          <w:color w:val="060607"/>
          <w:spacing w:val="4"/>
          <w:sz w:val="24"/>
          <w:szCs w:val="24"/>
        </w:rPr>
        <w:t>成活率达到85%以上，为重点野生植物的异地保护奠定基础。</w:t>
      </w:r>
    </w:p>
    <w:p w14:paraId="58513394">
      <w:pPr>
        <w:pStyle w:val="74"/>
        <w:numPr>
          <w:ilvl w:val="0"/>
          <w:numId w:val="5"/>
        </w:numPr>
        <w:shd w:val="clear" w:color="auto" w:fill="FFFFFF"/>
        <w:spacing w:line="360" w:lineRule="auto"/>
        <w:ind w:firstLineChars="0"/>
        <w:textAlignment w:val="baseline"/>
        <w:rPr>
          <w:rFonts w:asciiTheme="minorEastAsia" w:hAnsiTheme="minorEastAsia" w:eastAsiaTheme="minorEastAsia" w:cstheme="minorEastAsia"/>
          <w:color w:val="060607"/>
          <w:spacing w:val="4"/>
          <w:sz w:val="24"/>
          <w:szCs w:val="24"/>
        </w:rPr>
      </w:pPr>
      <w:r>
        <w:rPr>
          <w:rFonts w:hint="eastAsia" w:asciiTheme="minorEastAsia" w:hAnsiTheme="minorEastAsia" w:eastAsiaTheme="minorEastAsia" w:cstheme="minorEastAsia"/>
          <w:b/>
          <w:bCs/>
          <w:color w:val="060607"/>
          <w:spacing w:val="4"/>
          <w:sz w:val="24"/>
          <w:szCs w:val="24"/>
        </w:rPr>
        <w:t>培育目标</w:t>
      </w:r>
    </w:p>
    <w:p w14:paraId="750DF38C">
      <w:pPr>
        <w:widowControl/>
        <w:shd w:val="clear" w:color="auto" w:fill="FFFFFF"/>
        <w:spacing w:line="360" w:lineRule="auto"/>
        <w:ind w:firstLine="496" w:firstLineChars="200"/>
        <w:jc w:val="left"/>
        <w:textAlignment w:val="baseline"/>
        <w:rPr>
          <w:rFonts w:asciiTheme="minorEastAsia" w:hAnsiTheme="minorEastAsia" w:cstheme="minorEastAsia"/>
          <w:color w:val="060607"/>
          <w:spacing w:val="4"/>
          <w:kern w:val="0"/>
          <w:sz w:val="24"/>
          <w:szCs w:val="24"/>
        </w:rPr>
      </w:pPr>
      <w:r>
        <w:rPr>
          <w:rFonts w:hint="eastAsia" w:asciiTheme="minorEastAsia" w:hAnsiTheme="minorEastAsia" w:cstheme="minorEastAsia"/>
          <w:color w:val="060607"/>
          <w:spacing w:val="4"/>
          <w:kern w:val="0"/>
          <w:sz w:val="24"/>
          <w:szCs w:val="24"/>
        </w:rPr>
        <w:t>在迁地保护基地内建立完善的培育体系，确保迁地保育的重点野生植物能够健康生长并实现自然繁殖，形成稳定的种群，为后续的生态保护提供种质资源。</w:t>
      </w:r>
    </w:p>
    <w:p w14:paraId="72FB56C4">
      <w:pPr>
        <w:pStyle w:val="74"/>
        <w:numPr>
          <w:ilvl w:val="0"/>
          <w:numId w:val="5"/>
        </w:numPr>
        <w:shd w:val="clear" w:color="auto" w:fill="FFFFFF"/>
        <w:spacing w:line="360" w:lineRule="auto"/>
        <w:ind w:firstLineChars="0"/>
        <w:textAlignment w:val="baseline"/>
        <w:rPr>
          <w:rFonts w:asciiTheme="minorEastAsia" w:hAnsiTheme="minorEastAsia" w:eastAsiaTheme="minorEastAsia" w:cstheme="minorEastAsia"/>
          <w:color w:val="060607"/>
          <w:spacing w:val="4"/>
          <w:sz w:val="24"/>
          <w:szCs w:val="24"/>
        </w:rPr>
      </w:pPr>
      <w:r>
        <w:rPr>
          <w:rFonts w:hint="eastAsia" w:asciiTheme="minorEastAsia" w:hAnsiTheme="minorEastAsia" w:eastAsiaTheme="minorEastAsia" w:cstheme="minorEastAsia"/>
          <w:b/>
          <w:bCs/>
          <w:color w:val="060607"/>
          <w:spacing w:val="4"/>
          <w:sz w:val="24"/>
          <w:szCs w:val="24"/>
        </w:rPr>
        <w:t>监测体系建设目标</w:t>
      </w:r>
    </w:p>
    <w:p w14:paraId="79221A46">
      <w:pPr>
        <w:widowControl/>
        <w:shd w:val="clear" w:color="auto" w:fill="FFFFFF"/>
        <w:spacing w:line="360" w:lineRule="auto"/>
        <w:ind w:firstLine="496" w:firstLineChars="200"/>
        <w:jc w:val="left"/>
        <w:textAlignment w:val="baseline"/>
        <w:rPr>
          <w:rFonts w:asciiTheme="minorEastAsia" w:hAnsiTheme="minorEastAsia" w:cstheme="minorEastAsia"/>
          <w:spacing w:val="4"/>
          <w:kern w:val="0"/>
          <w:sz w:val="24"/>
          <w:szCs w:val="24"/>
        </w:rPr>
      </w:pPr>
      <w:r>
        <w:rPr>
          <w:rFonts w:hint="eastAsia" w:asciiTheme="minorEastAsia" w:hAnsiTheme="minorEastAsia" w:cstheme="minorEastAsia"/>
          <w:spacing w:val="4"/>
          <w:kern w:val="0"/>
          <w:sz w:val="24"/>
          <w:szCs w:val="24"/>
        </w:rPr>
        <w:t>构建</w:t>
      </w:r>
      <w:r>
        <w:rPr>
          <w:rFonts w:hint="eastAsia" w:asciiTheme="minorEastAsia" w:hAnsiTheme="minorEastAsia" w:cstheme="minorEastAsia"/>
          <w:color w:val="060607"/>
          <w:spacing w:val="4"/>
          <w:kern w:val="0"/>
          <w:sz w:val="24"/>
          <w:szCs w:val="24"/>
        </w:rPr>
        <w:t>新疆地区重点野生植物</w:t>
      </w:r>
      <w:r>
        <w:rPr>
          <w:rFonts w:hint="eastAsia" w:asciiTheme="minorEastAsia" w:hAnsiTheme="minorEastAsia" w:cstheme="minorEastAsia"/>
          <w:spacing w:val="4"/>
          <w:kern w:val="0"/>
          <w:sz w:val="24"/>
          <w:szCs w:val="24"/>
        </w:rPr>
        <w:t>迁地保护数据库，详细记录迁地保育过程中的关键信息，包括植物的生物学特性、生长状况、遗传多样性等，综合各类生长信息，进行生长适应性评价，为科学管理和迁地保育决策提供数据支持。</w:t>
      </w:r>
    </w:p>
    <w:p w14:paraId="25DD4AB8">
      <w:pPr>
        <w:pStyle w:val="74"/>
        <w:spacing w:line="360" w:lineRule="auto"/>
        <w:ind w:firstLine="0" w:firstLineChars="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三、项目内容与实施方案</w:t>
      </w:r>
    </w:p>
    <w:p w14:paraId="588B1744">
      <w:pPr>
        <w:pStyle w:val="74"/>
        <w:spacing w:line="360" w:lineRule="auto"/>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（一）项目主要内容</w:t>
      </w:r>
    </w:p>
    <w:p w14:paraId="1C22D6A7">
      <w:pPr>
        <w:spacing w:line="360" w:lineRule="auto"/>
        <w:rPr>
          <w:rFonts w:asciiTheme="minorEastAsia" w:hAnsiTheme="minorEastAsia" w:cstheme="minorEastAsia"/>
          <w:sz w:val="24"/>
          <w:szCs w:val="24"/>
        </w:rPr>
      </w:pPr>
      <w:r>
        <w:rPr>
          <w:rFonts w:hint="eastAsia" w:asciiTheme="minorEastAsia" w:hAnsiTheme="minorEastAsia" w:cstheme="minorEastAsia"/>
          <w:b/>
          <w:bCs/>
          <w:sz w:val="24"/>
          <w:szCs w:val="24"/>
        </w:rPr>
        <w:t>1. 新疆地区重点保护野生植物的野外采集</w:t>
      </w:r>
    </w:p>
    <w:p w14:paraId="1C76E996">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重点保护野生植物受威胁程度、迁地保育基地伊犁园区和吐鲁番园区自然生境适宜性及设施设备条件和引种策略的可行性，筛选出具有重要生态、经济和保护价值的特有或重点保护野生植物作为迁地保育目标对象，详见附表：《拟迁地保护重点保护野生植物名录》。根据已有资料定位目标植物的分布区域，依据其生态习性和濒危程度，制定针对性的野外采集方案。在采集过程中，严格遵循保护性采集原则，确保不对原生种群造成破坏，同时详细记录植物的地理坐标、生境特征、采集时间等关键信息，为后续的迁地保育提供准确的生态背景。此外，后续优化运输和暂存条件，采用适宜的包装和保湿措施，确保植物材料在运输过程中的存活率，为迁地保护基地的定植奠定基础。</w:t>
      </w:r>
    </w:p>
    <w:p w14:paraId="1EF69EC6">
      <w:pPr>
        <w:spacing w:line="360" w:lineRule="auto"/>
        <w:rPr>
          <w:rFonts w:asciiTheme="minorEastAsia" w:hAnsiTheme="minorEastAsia" w:cstheme="minorEastAsia"/>
          <w:sz w:val="24"/>
          <w:szCs w:val="24"/>
        </w:rPr>
      </w:pPr>
      <w:r>
        <w:rPr>
          <w:rFonts w:hint="eastAsia" w:asciiTheme="minorEastAsia" w:hAnsiTheme="minorEastAsia" w:cstheme="minorEastAsia"/>
          <w:b/>
          <w:bCs/>
          <w:sz w:val="24"/>
          <w:szCs w:val="24"/>
        </w:rPr>
        <w:t>2. 新疆地区重点保护野生植物迁地保育</w:t>
      </w:r>
    </w:p>
    <w:p w14:paraId="584655E5">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目标物种在迁地保护条件下的生态适应性能力评价基础上，完成至少50种新疆特有重点保护野生植物的迁地保育试种，开展5-10种新疆特有重点保护野生植物植物资源种质保藏技术、人工栽培和繁殖技术研发。重点摸清新疆濒危野生植物的生物学特性，解析物种从种子到种子各个环节生物学特性及濒危机制，并因地制宜提出物种保育策略。研发、集成、建立重点保护野生植物引种、育苗、扩繁、培育等一系列迁地保育关键技术体系，形成多套具有开发潜质的重点保护野生植物繁育技术规程。</w:t>
      </w:r>
    </w:p>
    <w:p w14:paraId="277D2F0F">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优化建立三个重点保护野生植物保育区：①</w:t>
      </w:r>
      <w:r>
        <w:rPr>
          <w:rFonts w:hint="eastAsia" w:asciiTheme="minorEastAsia" w:hAnsiTheme="minorEastAsia" w:eastAsiaTheme="minorEastAsia" w:cstheme="minorEastAsia"/>
          <w:b/>
          <w:bCs/>
          <w:sz w:val="24"/>
          <w:szCs w:val="24"/>
        </w:rPr>
        <w:t>荒漠-山地过渡带植物保育区</w:t>
      </w:r>
      <w:r>
        <w:rPr>
          <w:rFonts w:hint="eastAsia" w:asciiTheme="minorEastAsia" w:hAnsiTheme="minorEastAsia" w:eastAsiaTheme="minorEastAsia" w:cstheme="minorEastAsia"/>
          <w:sz w:val="24"/>
          <w:szCs w:val="24"/>
        </w:rPr>
        <w:t>：在伊犁园区扩建荒漠-山地过渡带植物保育区，扩建面积5000m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，重点迁地保育荒漠-山地过渡带重点保护野生植物，如郁金香属、贝母属植物，集成和建立育苗、扩繁、培育的田间抚育体系，完善植物配置及景观设计方案，建成伊犁园区精品专类园园；②</w:t>
      </w:r>
      <w:r>
        <w:rPr>
          <w:rFonts w:hint="eastAsia" w:asciiTheme="minorEastAsia" w:hAnsiTheme="minorEastAsia" w:eastAsiaTheme="minorEastAsia" w:cstheme="minorEastAsia"/>
          <w:b/>
          <w:bCs/>
          <w:sz w:val="24"/>
          <w:szCs w:val="24"/>
        </w:rPr>
        <w:t>极端抗逆植物保育区</w:t>
      </w:r>
      <w:r>
        <w:rPr>
          <w:rFonts w:hint="eastAsia" w:asciiTheme="minorEastAsia" w:hAnsiTheme="minorEastAsia" w:eastAsiaTheme="minorEastAsia" w:cstheme="minorEastAsia"/>
          <w:sz w:val="24"/>
          <w:szCs w:val="24"/>
        </w:rPr>
        <w:t>：吐鲁番园重点收集干旱区抗旱、抗寒、耐盐、耐碱等抗逆重点保护野生植物，包括半日花、沙冬青、沙拐枣等，驯化筛选并培育出一批可应用于园林绿化、生态恢复等的优异抗逆种植资源材料。③</w:t>
      </w:r>
      <w:r>
        <w:rPr>
          <w:rFonts w:hint="eastAsia" w:asciiTheme="minorEastAsia" w:hAnsiTheme="minorEastAsia" w:eastAsiaTheme="minorEastAsia" w:cstheme="minorEastAsia"/>
          <w:b/>
          <w:bCs/>
          <w:sz w:val="24"/>
          <w:szCs w:val="24"/>
        </w:rPr>
        <w:t>高寒植物保育温室</w:t>
      </w:r>
      <w:r>
        <w:rPr>
          <w:rFonts w:hint="eastAsia" w:asciiTheme="minorEastAsia" w:hAnsiTheme="minorEastAsia" w:eastAsiaTheme="minorEastAsia" w:cstheme="minorEastAsia"/>
          <w:sz w:val="24"/>
          <w:szCs w:val="24"/>
        </w:rPr>
        <w:t>：在伊犁园区建设120m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高寒植物保育温室，营造低温、低氧、强光照等条件，用于后续雪莲、红景天、高山杜鹃等高山植物的引种驯化。</w:t>
      </w:r>
    </w:p>
    <w:p w14:paraId="57EE0BA8">
      <w:pPr>
        <w:spacing w:line="360" w:lineRule="auto"/>
        <w:rPr>
          <w:rFonts w:asciiTheme="minorEastAsia" w:hAnsiTheme="minorEastAsia" w:cstheme="minorEastAsia"/>
          <w:sz w:val="24"/>
          <w:szCs w:val="24"/>
        </w:rPr>
      </w:pPr>
      <w:r>
        <w:rPr>
          <w:rFonts w:hint="eastAsia" w:asciiTheme="minorEastAsia" w:hAnsiTheme="minorEastAsia" w:cstheme="minorEastAsia"/>
          <w:b/>
          <w:bCs/>
          <w:sz w:val="24"/>
          <w:szCs w:val="24"/>
        </w:rPr>
        <w:t>3. 新疆地区重点保护野生植物资源开发利用</w:t>
      </w:r>
    </w:p>
    <w:p w14:paraId="321DB434">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为实现对重点保护野生植物的有效保护，本项目将通过资源开发利用，推动其可持续保护。具体措施包括：</w:t>
      </w:r>
    </w:p>
    <w:p w14:paraId="662ABA80">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（1）药用植物开发</w:t>
      </w:r>
    </w:p>
    <w:p w14:paraId="2F2F67C2">
      <w:pPr>
        <w:pStyle w:val="74"/>
        <w:spacing w:line="360" w:lineRule="auto"/>
        <w:ind w:firstLine="480"/>
        <w:rPr>
          <w:rFonts w:asciiTheme="minorEastAsia" w:hAnsiTheme="minorEastAsia" w:eastAsiaTheme="minorEastAsia" w:cstheme="minorEastAsia"/>
          <w:sz w:val="24"/>
          <w:szCs w:val="24"/>
        </w:rPr>
      </w:pPr>
      <w:bookmarkStart w:id="37" w:name="_Hlk197944411"/>
      <w:r>
        <w:rPr>
          <w:rFonts w:hint="eastAsia" w:asciiTheme="minorEastAsia" w:hAnsiTheme="minorEastAsia" w:eastAsiaTheme="minorEastAsia" w:cstheme="minorEastAsia"/>
          <w:sz w:val="24"/>
          <w:szCs w:val="24"/>
        </w:rPr>
        <w:t>针对红景天、软紫草等濒危药用植物，以及具有较好研究基础的刺山柑等物种作为先导，开展资源收集与保护工作，并进行良种选育和药用成分提取研究。通过分析不同种群的种子特性、适应性、抗逆性、抗病虫性及药材产量等性状，筛选出适应性强、抗性高的品系。进一步对药用部位进行有效成分提取与分析，构建完整的适应性和质量一致性评价体系，为药用植物的标准化种植和开发提供科学依据。</w:t>
      </w:r>
      <w:bookmarkEnd w:id="37"/>
    </w:p>
    <w:p w14:paraId="3075C879">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（2）生态修复应用</w:t>
      </w:r>
    </w:p>
    <w:p w14:paraId="37904BA2">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展柽柳属、苋科等濒危抗旱、抗寒、耐盐碱植物的驯化选育，建立抗逆种质资源圃，筛选高抗性种质资源。通过迁地保育和种质评价，为荒漠化治理、盐碱地修复等生态修复工程提供种子和种苗，助力退化生态系统的恢复。</w:t>
      </w:r>
    </w:p>
    <w:p w14:paraId="610D696C">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（3）观赏植物开发</w:t>
      </w:r>
    </w:p>
    <w:p w14:paraId="1B284FC6">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迁地保育郁金香属、贝母属等濒危观赏花卉，开展规模化种植和景观营造技术研究。结合景观优化和物种配置，开发适宜城市园林绿化的观赏植物品种。同时，引入国内外优质花卉种质资源进行杂交育种，筛选优异杂交后代，并探索大型快繁基地建设技术，为观赏植物的产业化发展提供支撑。</w:t>
      </w:r>
    </w:p>
    <w:p w14:paraId="4C026FE4">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4.监测体系与公众参与</w:t>
      </w:r>
    </w:p>
    <w:p w14:paraId="7DE8C49C">
      <w:pPr>
        <w:pStyle w:val="74"/>
        <w:spacing w:line="360" w:lineRule="auto"/>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建立监测体系</w:t>
      </w:r>
      <w:r>
        <w:rPr>
          <w:rFonts w:hint="eastAsia" w:asciiTheme="minorEastAsia" w:hAnsiTheme="minorEastAsia" w:eastAsiaTheme="minorEastAsia" w:cstheme="minorEastAsia"/>
          <w:sz w:val="24"/>
          <w:szCs w:val="24"/>
        </w:rPr>
        <w:t>：</w:t>
      </w:r>
      <w:bookmarkStart w:id="38" w:name="_Hlk197944653"/>
      <w:r>
        <w:rPr>
          <w:rFonts w:hint="eastAsia" w:asciiTheme="minorEastAsia" w:hAnsiTheme="minorEastAsia" w:eastAsiaTheme="minorEastAsia" w:cstheme="minorEastAsia"/>
          <w:sz w:val="24"/>
          <w:szCs w:val="24"/>
        </w:rPr>
        <w:t>优先以国家二级和自治区一级重点保护植物为对象，制定科学的监测指标和方法，种质资源的分布区域、生态环境、生长状况（物候期、病虫害记录）、遗传多样性（DNA条形码等）以及生长适应性指标（生长期测定，根、茎、叶、花、果实特征测定，生物量、产种量、种子性状等）多个方面进行监测。</w:t>
      </w:r>
      <w:bookmarkEnd w:id="38"/>
    </w:p>
    <w:p w14:paraId="4DC71596">
      <w:pPr>
        <w:pStyle w:val="74"/>
        <w:spacing w:line="360" w:lineRule="auto"/>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公众科普计划</w:t>
      </w:r>
      <w:r>
        <w:rPr>
          <w:rFonts w:hint="eastAsia" w:asciiTheme="minorEastAsia" w:hAnsiTheme="minorEastAsia" w:eastAsiaTheme="minorEastAsia" w:cstheme="minorEastAsia"/>
          <w:sz w:val="24"/>
          <w:szCs w:val="24"/>
        </w:rPr>
        <w:t>：举办各类科普活动，如“重点保护野生植物保护周”、设置温室开放日、亲子种植体验等。开展教育合作，与中小学共建“植物保护实践基地”，参与重点保护野生植物迁地保护环节。</w:t>
      </w:r>
    </w:p>
    <w:p w14:paraId="6171C34E">
      <w:pPr>
        <w:pStyle w:val="74"/>
        <w:spacing w:line="360" w:lineRule="auto"/>
        <w:ind w:firstLine="0" w:firstLineChars="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（二）项目实施方案</w:t>
      </w:r>
    </w:p>
    <w:p w14:paraId="048BDBBC">
      <w:pPr>
        <w:spacing w:line="360" w:lineRule="auto"/>
        <w:rPr>
          <w:rFonts w:asciiTheme="minorEastAsia" w:hAnsiTheme="minorEastAsia" w:cstheme="minorEastAsia"/>
          <w:sz w:val="24"/>
          <w:szCs w:val="24"/>
        </w:rPr>
      </w:pPr>
      <w:r>
        <w:rPr>
          <w:rFonts w:hint="eastAsia" w:asciiTheme="minorEastAsia" w:hAnsiTheme="minorEastAsia" w:cstheme="minorEastAsia"/>
          <w:b/>
          <w:bCs/>
          <w:sz w:val="24"/>
          <w:szCs w:val="24"/>
        </w:rPr>
        <w:t>1. 迁地保育流程与方法</w:t>
      </w:r>
    </w:p>
    <w:p w14:paraId="2C1A8C32">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（1）迁地保育前的准备</w:t>
      </w:r>
    </w:p>
    <w:p w14:paraId="7B3D7FF8">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物种调研与筛选：重点关注植物的濒危程度、保护价值、生长适应性和引种可行性。结合文献资料、实地考察和专家咨询，确定迁地保育植物的种类、分布范围和适宜生境。</w:t>
      </w:r>
    </w:p>
    <w:p w14:paraId="4D32E8F5">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迁地保育基地建设：选择适宜的迁地保护基地，根据目标植物的生境需求，建设相应的保育设施，如温室、苗圃、灌溉系统等，并配备环境监测设备，实时监控温湿度、光照、土壤条件等。</w:t>
      </w:r>
    </w:p>
    <w:p w14:paraId="47241D67">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迁地保育材料采集：与新疆当地植物保护机构合作，获取合法的引种许可。根据植物的繁殖方式，采集种子、幼苗、扦插枝条等繁殖材料。对于种子繁殖的植物，需在成熟期采集种子，并进行干燥、低温保存；对于营养繁殖的植物，需选择健康、无病虫害的植株作为母本。</w:t>
      </w:r>
    </w:p>
    <w:p w14:paraId="0687FEB9">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（2）野外引种</w:t>
      </w:r>
    </w:p>
    <w:p w14:paraId="04D25CDD">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种子引种：对于种子繁殖的植物，需在原生境采集成熟种子，并记录采集地点、时间、海拔等信息。采集后，将种子进行干燥处理，降低水分含量至15%以下，并在-20℃的低温条件下保存，以延长种子寿命。在引种前，根据植物的生物学特性，进行种子萌发实验，优化萌发条件，如光照周期、温度、基质类型等，提高萌发率。</w:t>
      </w:r>
    </w:p>
    <w:p w14:paraId="62B2B373">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幼苗与植株引种：对于难以通过种子繁殖或繁殖周期较长的植物，可直接采集幼苗或植株进行移栽。在移栽过程中，需尽量保留根系和原生土壤，减少对植物的损伤。移栽后，及时浇水并遮荫处理，确保植物适应新环境。</w:t>
      </w:r>
    </w:p>
    <w:p w14:paraId="4B3230DA">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殊植物引种：对于一些对生境要求较高的重点保护野生植物，如高山植物（如雪莲）或抗逆植物（如沙拐枣），需模拟其原生境条件进行引种。例如，为高山植物提供低温、低氧的环境，为抗逆植物提供干旱、盐碱的土壤条件。</w:t>
      </w:r>
    </w:p>
    <w:p w14:paraId="60120A23">
      <w:pPr>
        <w:spacing w:line="360" w:lineRule="auto"/>
        <w:rPr>
          <w:rFonts w:asciiTheme="minorEastAsia" w:hAnsiTheme="minorEastAsia" w:cstheme="minorEastAsia"/>
          <w:sz w:val="24"/>
          <w:szCs w:val="24"/>
        </w:rPr>
      </w:pPr>
      <w:r>
        <w:rPr>
          <w:rFonts w:hint="eastAsia" w:asciiTheme="minorEastAsia" w:hAnsiTheme="minorEastAsia" w:cstheme="minorEastAsia"/>
          <w:b/>
          <w:bCs/>
          <w:sz w:val="24"/>
          <w:szCs w:val="24"/>
        </w:rPr>
        <w:t>2.繁殖技术</w:t>
      </w:r>
    </w:p>
    <w:p w14:paraId="29DEC9A1">
      <w:pPr>
        <w:widowControl/>
        <w:shd w:val="clear" w:color="auto" w:fill="FFFFFF"/>
        <w:spacing w:line="360" w:lineRule="auto"/>
        <w:jc w:val="left"/>
        <w:textAlignment w:val="baseline"/>
        <w:rPr>
          <w:rFonts w:asciiTheme="minorEastAsia" w:hAnsiTheme="minorEastAsia" w:cstheme="minorEastAsia"/>
          <w:color w:val="060607"/>
          <w:spacing w:val="4"/>
          <w:kern w:val="0"/>
          <w:sz w:val="24"/>
          <w:szCs w:val="24"/>
        </w:rPr>
      </w:pPr>
      <w:r>
        <w:rPr>
          <w:rFonts w:hint="eastAsia" w:asciiTheme="minorEastAsia" w:hAnsiTheme="minorEastAsia" w:cstheme="minorEastAsia"/>
          <w:color w:val="060607"/>
          <w:spacing w:val="4"/>
          <w:kern w:val="0"/>
          <w:sz w:val="24"/>
          <w:szCs w:val="24"/>
        </w:rPr>
        <w:t>（1）种子繁殖技术</w:t>
      </w:r>
    </w:p>
    <w:p w14:paraId="5B10D5F4">
      <w:pPr>
        <w:widowControl/>
        <w:shd w:val="clear" w:color="auto" w:fill="FFFFFF"/>
        <w:spacing w:line="360" w:lineRule="auto"/>
        <w:ind w:firstLine="496" w:firstLineChars="200"/>
        <w:jc w:val="left"/>
        <w:textAlignment w:val="baseline"/>
        <w:rPr>
          <w:rFonts w:asciiTheme="minorEastAsia" w:hAnsiTheme="minorEastAsia" w:cstheme="minorEastAsia"/>
          <w:color w:val="060607"/>
          <w:spacing w:val="4"/>
          <w:kern w:val="0"/>
          <w:sz w:val="24"/>
          <w:szCs w:val="24"/>
        </w:rPr>
      </w:pPr>
      <w:r>
        <w:rPr>
          <w:rFonts w:hint="eastAsia" w:asciiTheme="minorEastAsia" w:hAnsiTheme="minorEastAsia" w:cstheme="minorEastAsia"/>
          <w:color w:val="060607"/>
          <w:spacing w:val="4"/>
          <w:kern w:val="0"/>
          <w:sz w:val="24"/>
          <w:szCs w:val="24"/>
        </w:rPr>
        <w:t>建立新疆重点保护野生植物种子资源库，采用低温干燥储存（-20℃、湿度&lt;15%），保存种子样本≥500份。</w:t>
      </w:r>
    </w:p>
    <w:p w14:paraId="4394990F">
      <w:pPr>
        <w:widowControl/>
        <w:shd w:val="clear" w:color="auto" w:fill="FFFFFF"/>
        <w:spacing w:line="360" w:lineRule="auto"/>
        <w:ind w:firstLine="496" w:firstLineChars="200"/>
        <w:jc w:val="left"/>
        <w:textAlignment w:val="baseline"/>
        <w:rPr>
          <w:rFonts w:asciiTheme="minorEastAsia" w:hAnsiTheme="minorEastAsia" w:cstheme="minorEastAsia"/>
          <w:color w:val="060607"/>
          <w:spacing w:val="4"/>
          <w:kern w:val="0"/>
          <w:sz w:val="24"/>
          <w:szCs w:val="24"/>
        </w:rPr>
      </w:pPr>
      <w:r>
        <w:rPr>
          <w:rFonts w:hint="eastAsia" w:asciiTheme="minorEastAsia" w:hAnsiTheme="minorEastAsia" w:cstheme="minorEastAsia"/>
          <w:color w:val="060607"/>
          <w:spacing w:val="4"/>
          <w:kern w:val="0"/>
          <w:sz w:val="24"/>
          <w:szCs w:val="24"/>
        </w:rPr>
        <w:t>针对不同物种设计萌发基质（如沙土-泥炭混合比例），优化光照周期（8-16小时/天），通过低温层积、摩擦划刻或使用赤霉素等植物生长调节剂处理，提升种子发芽率至70%以上。</w:t>
      </w:r>
    </w:p>
    <w:p w14:paraId="5491291C">
      <w:pPr>
        <w:widowControl/>
        <w:shd w:val="clear" w:color="auto" w:fill="FFFFFF"/>
        <w:spacing w:line="360" w:lineRule="auto"/>
        <w:jc w:val="left"/>
        <w:textAlignment w:val="baseline"/>
        <w:rPr>
          <w:rFonts w:asciiTheme="minorEastAsia" w:hAnsiTheme="minorEastAsia" w:cstheme="minorEastAsia"/>
          <w:color w:val="060607"/>
          <w:spacing w:val="4"/>
          <w:kern w:val="0"/>
          <w:sz w:val="24"/>
          <w:szCs w:val="24"/>
        </w:rPr>
      </w:pPr>
      <w:r>
        <w:rPr>
          <w:rFonts w:hint="eastAsia" w:asciiTheme="minorEastAsia" w:hAnsiTheme="minorEastAsia" w:cstheme="minorEastAsia"/>
          <w:color w:val="060607"/>
          <w:spacing w:val="4"/>
          <w:kern w:val="0"/>
          <w:sz w:val="24"/>
          <w:szCs w:val="24"/>
        </w:rPr>
        <w:t>（2）营养繁殖技术</w:t>
      </w:r>
    </w:p>
    <w:p w14:paraId="33FBC80C">
      <w:pPr>
        <w:widowControl/>
        <w:shd w:val="clear" w:color="auto" w:fill="FFFFFF"/>
        <w:spacing w:line="360" w:lineRule="auto"/>
        <w:ind w:firstLine="496" w:firstLineChars="200"/>
        <w:jc w:val="left"/>
        <w:textAlignment w:val="baseline"/>
        <w:rPr>
          <w:rFonts w:asciiTheme="minorEastAsia" w:hAnsiTheme="minorEastAsia" w:cstheme="minorEastAsia"/>
          <w:color w:val="060607"/>
          <w:spacing w:val="4"/>
          <w:kern w:val="0"/>
          <w:sz w:val="24"/>
          <w:szCs w:val="24"/>
        </w:rPr>
      </w:pPr>
      <w:r>
        <w:rPr>
          <w:rFonts w:hint="eastAsia" w:asciiTheme="minorEastAsia" w:hAnsiTheme="minorEastAsia" w:cstheme="minorEastAsia"/>
          <w:color w:val="060607"/>
          <w:spacing w:val="4"/>
          <w:kern w:val="0"/>
          <w:sz w:val="24"/>
          <w:szCs w:val="24"/>
        </w:rPr>
        <w:t>扦插技术：对木本植物（如新疆野苹果、新疆野杏），探索最适IBA激素处理浓度，结合沙床育苗，使目标生根率达到60%以上。</w:t>
      </w:r>
    </w:p>
    <w:p w14:paraId="21D57906">
      <w:pPr>
        <w:widowControl/>
        <w:shd w:val="clear" w:color="auto" w:fill="FFFFFF"/>
        <w:spacing w:line="360" w:lineRule="auto"/>
        <w:ind w:firstLine="496" w:firstLineChars="200"/>
        <w:jc w:val="left"/>
        <w:textAlignment w:val="baseline"/>
        <w:rPr>
          <w:rFonts w:asciiTheme="minorEastAsia" w:hAnsiTheme="minorEastAsia" w:cstheme="minorEastAsia"/>
          <w:color w:val="060607"/>
          <w:spacing w:val="4"/>
          <w:kern w:val="0"/>
          <w:sz w:val="24"/>
          <w:szCs w:val="24"/>
        </w:rPr>
      </w:pPr>
      <w:r>
        <w:rPr>
          <w:rFonts w:hint="eastAsia" w:asciiTheme="minorEastAsia" w:hAnsiTheme="minorEastAsia" w:cstheme="minorEastAsia"/>
          <w:color w:val="060607"/>
          <w:spacing w:val="4"/>
          <w:kern w:val="0"/>
          <w:sz w:val="24"/>
          <w:szCs w:val="24"/>
        </w:rPr>
        <w:t>嫁接与分株：针对荒漠灌木（如柽柳），探索砧木适配性，促成嫁接成活率≥80%。</w:t>
      </w:r>
    </w:p>
    <w:p w14:paraId="6DAE8D80">
      <w:pPr>
        <w:widowControl/>
        <w:shd w:val="clear" w:color="auto" w:fill="FFFFFF"/>
        <w:spacing w:line="360" w:lineRule="auto"/>
        <w:jc w:val="left"/>
        <w:textAlignment w:val="baseline"/>
        <w:rPr>
          <w:rFonts w:asciiTheme="minorEastAsia" w:hAnsiTheme="minorEastAsia" w:cstheme="minorEastAsia"/>
          <w:color w:val="060607"/>
          <w:spacing w:val="4"/>
          <w:kern w:val="0"/>
          <w:sz w:val="24"/>
          <w:szCs w:val="24"/>
        </w:rPr>
      </w:pPr>
      <w:r>
        <w:rPr>
          <w:rFonts w:hint="eastAsia" w:asciiTheme="minorEastAsia" w:hAnsiTheme="minorEastAsia" w:cstheme="minorEastAsia"/>
          <w:color w:val="060607"/>
          <w:spacing w:val="4"/>
          <w:kern w:val="0"/>
          <w:sz w:val="24"/>
          <w:szCs w:val="24"/>
        </w:rPr>
        <w:t>（3）组织培养技术</w:t>
      </w:r>
    </w:p>
    <w:p w14:paraId="75902EF5">
      <w:pPr>
        <w:widowControl/>
        <w:shd w:val="clear" w:color="auto" w:fill="FFFFFF"/>
        <w:spacing w:line="360" w:lineRule="auto"/>
        <w:ind w:firstLine="496" w:firstLineChars="200"/>
        <w:jc w:val="left"/>
        <w:textAlignment w:val="baseline"/>
        <w:rPr>
          <w:rFonts w:asciiTheme="minorEastAsia" w:hAnsiTheme="minorEastAsia" w:cstheme="minorEastAsia"/>
          <w:color w:val="060607"/>
          <w:spacing w:val="4"/>
          <w:kern w:val="0"/>
          <w:sz w:val="24"/>
          <w:szCs w:val="24"/>
        </w:rPr>
      </w:pPr>
      <w:r>
        <w:rPr>
          <w:rFonts w:hint="eastAsia" w:asciiTheme="minorEastAsia" w:hAnsiTheme="minorEastAsia" w:cstheme="minorEastAsia"/>
          <w:color w:val="060607"/>
          <w:spacing w:val="4"/>
          <w:kern w:val="0"/>
          <w:sz w:val="24"/>
          <w:szCs w:val="24"/>
        </w:rPr>
        <w:t>无菌体系建立：选取雪莲茎尖、伊犁郁金香鳞茎等重点保护野生植物外植体，测试消毒体系，使用MS培养基，设置不同的NAA和6-BA浓度梯度，探索诱导愈伤组织分化最适条件，建立组培体系。</w:t>
      </w:r>
    </w:p>
    <w:p w14:paraId="19B100EB">
      <w:pPr>
        <w:widowControl/>
        <w:shd w:val="clear" w:color="auto" w:fill="FFFFFF"/>
        <w:spacing w:line="360" w:lineRule="auto"/>
        <w:ind w:firstLine="496" w:firstLineChars="200"/>
        <w:jc w:val="left"/>
        <w:textAlignment w:val="baseline"/>
        <w:rPr>
          <w:rFonts w:asciiTheme="minorEastAsia" w:hAnsiTheme="minorEastAsia" w:cstheme="minorEastAsia"/>
          <w:color w:val="060607"/>
          <w:spacing w:val="4"/>
          <w:kern w:val="0"/>
          <w:sz w:val="24"/>
          <w:szCs w:val="24"/>
        </w:rPr>
      </w:pPr>
      <w:r>
        <w:rPr>
          <w:rFonts w:hint="eastAsia" w:asciiTheme="minorEastAsia" w:hAnsiTheme="minorEastAsia" w:cstheme="minorEastAsia"/>
          <w:color w:val="060607"/>
          <w:spacing w:val="4"/>
          <w:kern w:val="0"/>
          <w:sz w:val="24"/>
          <w:szCs w:val="24"/>
        </w:rPr>
        <w:t>规模化生产：通过生物反应器批量增殖组培苗，年产重点保护野生植物组培苗≥5万株，为迁地保护和生态修复提供种苗支持。</w:t>
      </w:r>
    </w:p>
    <w:p w14:paraId="59986D9B">
      <w:pPr>
        <w:spacing w:line="360" w:lineRule="auto"/>
        <w:rPr>
          <w:rFonts w:asciiTheme="minorEastAsia" w:hAnsiTheme="minorEastAsia" w:cstheme="minorEastAsia"/>
          <w:sz w:val="24"/>
          <w:szCs w:val="24"/>
        </w:rPr>
      </w:pPr>
      <w:r>
        <w:rPr>
          <w:rFonts w:hint="eastAsia" w:asciiTheme="minorEastAsia" w:hAnsiTheme="minorEastAsia" w:cstheme="minorEastAsia"/>
          <w:b/>
          <w:bCs/>
          <w:sz w:val="24"/>
          <w:szCs w:val="24"/>
        </w:rPr>
        <w:t>3.开发利用</w:t>
      </w:r>
    </w:p>
    <w:p w14:paraId="6ECEE94C">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（1）药用价值开发</w:t>
      </w:r>
    </w:p>
    <w:p w14:paraId="0EFD1A43">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择红景天、软紫草等濒危植物，以及具有较好研究基础的刺山柑等物种筛选性状优异的种质资源进行优抚驯化，摸清其生物学特性，从种子（苗）特性，检测种子净度、发芽率、发芽整齐性、合理规划播种、按照株形和田管机械技术要求，制定栽培模式，株行距，根据药用植物生长特性以及药材质量要求，合理设定水肥、动态监测药用植物的主要有效成分含量、以及药用部位的产量，筛选出高产、质优的种质资源。</w:t>
      </w:r>
    </w:p>
    <w:p w14:paraId="52A239ED">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（2）生态修复应用</w:t>
      </w:r>
    </w:p>
    <w:p w14:paraId="6ABA58C7">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建立对特有重点保护野生植物抗逆性状定向选育资源圃，筛选一批抗寒、抗旱、耐盐碱的耐逆植物材料（如梭梭、沙拐枣），对有产业化发展潜力的耐逆植物建立完整的适应于大型快繁基地建设的技术体系。</w:t>
      </w:r>
    </w:p>
    <w:p w14:paraId="63B40EB0">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（3）观赏植物种质创制与开发</w:t>
      </w:r>
    </w:p>
    <w:p w14:paraId="7D663CC3">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引种观赏开发潜力郁金香属、贝母属等重点保护野生植物，摸清其种子萌发、幼苗建成、开花结实、种子扩散等植物生物学特性，开展无性材料的栽培繁殖和栽培技术等实验，并在此基础上筛选花色、花型、叶色等优异的种质材料和品系，集成和建立优异观赏资源、品系育苗、扩繁、培育的田间抚育体系，为园艺新品种、品系大规模生产提供技术和资源支撑。</w:t>
      </w:r>
    </w:p>
    <w:p w14:paraId="5384ED51">
      <w:pPr>
        <w:spacing w:line="360" w:lineRule="auto"/>
        <w:rPr>
          <w:rFonts w:asciiTheme="minorEastAsia" w:hAnsiTheme="minorEastAsia" w:cstheme="minorEastAsia"/>
          <w:sz w:val="24"/>
          <w:szCs w:val="24"/>
        </w:rPr>
      </w:pPr>
      <w:r>
        <w:rPr>
          <w:rFonts w:hint="eastAsia" w:asciiTheme="minorEastAsia" w:hAnsiTheme="minorEastAsia" w:cstheme="minorEastAsia"/>
          <w:b/>
          <w:bCs/>
          <w:sz w:val="24"/>
          <w:szCs w:val="24"/>
        </w:rPr>
        <w:t>4.监测体系与公众参与</w:t>
      </w:r>
    </w:p>
    <w:p w14:paraId="76F99F9E">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（1）迁地保护监测体系</w:t>
      </w:r>
    </w:p>
    <w:p w14:paraId="7C578573">
      <w:pPr>
        <w:pStyle w:val="74"/>
        <w:spacing w:line="360" w:lineRule="auto"/>
        <w:ind w:firstLine="480"/>
        <w:rPr>
          <w:rFonts w:asciiTheme="minorEastAsia" w:hAnsiTheme="minorEastAsia" w:eastAsiaTheme="minorEastAsia" w:cstheme="minorEastAsia"/>
          <w:sz w:val="24"/>
          <w:szCs w:val="24"/>
        </w:rPr>
      </w:pPr>
      <w:bookmarkStart w:id="39" w:name="_Hlk197944691"/>
      <w:r>
        <w:rPr>
          <w:rFonts w:hint="eastAsia" w:asciiTheme="minorEastAsia" w:hAnsiTheme="minorEastAsia" w:eastAsiaTheme="minorEastAsia" w:cstheme="minorEastAsia"/>
          <w:sz w:val="24"/>
          <w:szCs w:val="24"/>
        </w:rPr>
        <w:t>优先以国家二级和自治区一级重点保护植物为对象，构建迁地保护植物监测体系，通过建立地面监测网络，长期收集气象、水文和植被动态等数据。</w:t>
      </w:r>
      <w:bookmarkEnd w:id="39"/>
      <w:r>
        <w:rPr>
          <w:rFonts w:hint="eastAsia" w:asciiTheme="minorEastAsia" w:hAnsiTheme="minorEastAsia" w:eastAsiaTheme="minorEastAsia" w:cstheme="minorEastAsia"/>
          <w:sz w:val="24"/>
          <w:szCs w:val="24"/>
        </w:rPr>
        <w:t>根据评估目标，选择合适的评估指标，形成综合监测评估体系，初步构建适用于新疆地区重点保护植物的综合监测评估框架。具体指标包括：</w:t>
      </w:r>
    </w:p>
    <w:p w14:paraId="11AFD434">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生态指标：物种多样性、群落结构、生态位和生态适应性等，用于评估植物的生态功能和稳定性。</w:t>
      </w:r>
    </w:p>
    <w:p w14:paraId="4344219B">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生长状况指标：株高、冠幅、叶片数量、生长速度、开花结果情况等，用于监测植物的健康和生长状况。</w:t>
      </w:r>
    </w:p>
    <w:p w14:paraId="51FA4D13">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生长适应性指标：物候期（出苗期、伸长期、展叶期、现蕾期、果期、休眠期等）、生物量、产种量、种子性状等，用于植物的生长适应性评价。</w:t>
      </w:r>
    </w:p>
    <w:p w14:paraId="74515CBE">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经济价值指标：药用价值、食用价值、木材价值、观赏价值等，用于评估植物的经济潜力和市场价值。</w:t>
      </w:r>
    </w:p>
    <w:p w14:paraId="0924945C">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观赏价值指标：花色、花型、叶形、叶色、整体造型等，用于评价植物的美学价值。</w:t>
      </w:r>
    </w:p>
    <w:p w14:paraId="42D1DF59">
      <w:pPr>
        <w:pStyle w:val="74"/>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保护等级指标：濒危等级、保护级别等，用于评估植物的保护需求和价值。</w:t>
      </w:r>
    </w:p>
    <w:p w14:paraId="6F507549">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（2）公众科普计划</w:t>
      </w:r>
    </w:p>
    <w:p w14:paraId="41D90B4C">
      <w:pPr>
        <w:pStyle w:val="74"/>
        <w:spacing w:line="360" w:lineRule="auto"/>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科普活动：</w:t>
      </w:r>
      <w:r>
        <w:rPr>
          <w:rFonts w:hint="eastAsia" w:asciiTheme="minorEastAsia" w:hAnsiTheme="minorEastAsia" w:eastAsiaTheme="minorEastAsia" w:cstheme="minorEastAsia"/>
          <w:sz w:val="24"/>
          <w:szCs w:val="24"/>
        </w:rPr>
        <w:t>线上和线下举办“重点保护野生植物保护周”，设置温室开放日、亲子种植体验等科普活动，提升大众保护意识。</w:t>
      </w:r>
    </w:p>
    <w:p w14:paraId="3A54D8A4">
      <w:pPr>
        <w:pStyle w:val="74"/>
        <w:spacing w:line="360" w:lineRule="auto"/>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教育合作：</w:t>
      </w:r>
      <w:r>
        <w:rPr>
          <w:rFonts w:hint="eastAsia" w:asciiTheme="minorEastAsia" w:hAnsiTheme="minorEastAsia" w:eastAsiaTheme="minorEastAsia" w:cstheme="minorEastAsia"/>
          <w:sz w:val="24"/>
          <w:szCs w:val="24"/>
        </w:rPr>
        <w:t>科普进校园</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与中小学共建“植物保护实践基地”，邀请教师和学生参与新疆重点保护野生植物迁地保护的部分环节，筛选适宜的重点保护野生植物保育在校园中。</w:t>
      </w:r>
    </w:p>
    <w:p w14:paraId="46D68D17">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四、期限及资金额度</w:t>
      </w:r>
    </w:p>
    <w:p w14:paraId="085BD701">
      <w:pPr>
        <w:widowControl/>
        <w:shd w:val="clear" w:color="auto" w:fill="FFFFFF"/>
        <w:spacing w:line="360" w:lineRule="auto"/>
        <w:ind w:firstLine="512" w:firstLineChars="200"/>
        <w:jc w:val="left"/>
        <w:textAlignment w:val="baseline"/>
        <w:rPr>
          <w:rFonts w:asciiTheme="minorEastAsia" w:hAnsiTheme="minorEastAsia" w:cstheme="minorEastAsia"/>
          <w:color w:val="060607"/>
          <w:spacing w:val="8"/>
          <w:kern w:val="0"/>
          <w:sz w:val="24"/>
          <w:szCs w:val="24"/>
        </w:rPr>
      </w:pPr>
      <w:r>
        <w:rPr>
          <w:rFonts w:hint="eastAsia" w:asciiTheme="minorEastAsia" w:hAnsiTheme="minorEastAsia" w:cstheme="minorEastAsia"/>
          <w:color w:val="060607"/>
          <w:spacing w:val="8"/>
          <w:kern w:val="0"/>
          <w:sz w:val="24"/>
          <w:szCs w:val="24"/>
        </w:rPr>
        <w:t>2025年7月至2026年6月。</w:t>
      </w:r>
    </w:p>
    <w:p w14:paraId="71D4AC2B">
      <w:pPr>
        <w:widowControl/>
        <w:shd w:val="clear" w:color="auto" w:fill="FFFFFF"/>
        <w:spacing w:line="360" w:lineRule="auto"/>
        <w:ind w:firstLine="512" w:firstLineChars="200"/>
        <w:jc w:val="left"/>
        <w:textAlignment w:val="baseline"/>
        <w:rPr>
          <w:rFonts w:asciiTheme="minorEastAsia" w:hAnsiTheme="minorEastAsia" w:cstheme="minorEastAsia"/>
          <w:spacing w:val="4"/>
          <w:kern w:val="0"/>
          <w:sz w:val="24"/>
          <w:szCs w:val="24"/>
        </w:rPr>
      </w:pPr>
      <w:r>
        <w:rPr>
          <w:rFonts w:hint="eastAsia" w:asciiTheme="minorEastAsia" w:hAnsiTheme="minorEastAsia" w:cstheme="minorEastAsia"/>
          <w:color w:val="060607"/>
          <w:spacing w:val="8"/>
          <w:kern w:val="0"/>
          <w:sz w:val="24"/>
          <w:szCs w:val="24"/>
        </w:rPr>
        <w:t>资金额度为399万元。</w:t>
      </w:r>
    </w:p>
    <w:p w14:paraId="7B053C5B">
      <w:pPr>
        <w:pStyle w:val="74"/>
        <w:spacing w:line="360" w:lineRule="auto"/>
        <w:ind w:firstLine="0" w:firstLineChars="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五、考核指标</w:t>
      </w:r>
    </w:p>
    <w:p w14:paraId="5D2A609C">
      <w:pPr>
        <w:widowControl/>
        <w:shd w:val="clear" w:color="auto" w:fill="FFFFFF"/>
        <w:spacing w:line="360" w:lineRule="auto"/>
        <w:jc w:val="left"/>
        <w:textAlignment w:val="baseline"/>
        <w:rPr>
          <w:rFonts w:asciiTheme="minorEastAsia" w:hAnsiTheme="minorEastAsia" w:cstheme="minorEastAsia"/>
          <w:b/>
          <w:bCs/>
          <w:color w:val="060607"/>
          <w:spacing w:val="8"/>
          <w:kern w:val="0"/>
          <w:sz w:val="24"/>
          <w:szCs w:val="24"/>
        </w:rPr>
      </w:pPr>
      <w:r>
        <w:rPr>
          <w:rFonts w:hint="eastAsia" w:asciiTheme="minorEastAsia" w:hAnsiTheme="minorEastAsia" w:cstheme="minorEastAsia"/>
          <w:b/>
          <w:bCs/>
          <w:color w:val="060607"/>
          <w:spacing w:val="8"/>
          <w:kern w:val="0"/>
          <w:sz w:val="24"/>
          <w:szCs w:val="24"/>
        </w:rPr>
        <w:t>迁地保育目标</w:t>
      </w:r>
    </w:p>
    <w:p w14:paraId="61D3942D">
      <w:pPr>
        <w:widowControl/>
        <w:shd w:val="clear" w:color="auto" w:fill="FFFFFF"/>
        <w:spacing w:line="360" w:lineRule="auto"/>
        <w:ind w:firstLine="496" w:firstLineChars="200"/>
        <w:jc w:val="left"/>
        <w:textAlignment w:val="baseline"/>
        <w:rPr>
          <w:rFonts w:asciiTheme="minorEastAsia" w:hAnsiTheme="minorEastAsia" w:cstheme="minorEastAsia"/>
          <w:color w:val="060607"/>
          <w:spacing w:val="4"/>
          <w:kern w:val="0"/>
          <w:sz w:val="24"/>
          <w:szCs w:val="24"/>
        </w:rPr>
      </w:pPr>
      <w:r>
        <w:rPr>
          <w:rFonts w:hint="eastAsia" w:asciiTheme="minorEastAsia" w:hAnsiTheme="minorEastAsia" w:cstheme="minorEastAsia"/>
          <w:color w:val="060607"/>
          <w:spacing w:val="4"/>
          <w:kern w:val="0"/>
          <w:sz w:val="24"/>
          <w:szCs w:val="24"/>
        </w:rPr>
        <w:t>成功</w:t>
      </w:r>
      <w:r>
        <w:rPr>
          <w:rFonts w:hint="eastAsia" w:asciiTheme="minorEastAsia" w:hAnsiTheme="minorEastAsia" w:cstheme="minorEastAsia"/>
          <w:sz w:val="24"/>
          <w:szCs w:val="24"/>
        </w:rPr>
        <w:t>迁地保育</w:t>
      </w:r>
      <w:r>
        <w:rPr>
          <w:rFonts w:hint="eastAsia" w:asciiTheme="minorEastAsia" w:hAnsiTheme="minorEastAsia" w:cstheme="minorEastAsia"/>
          <w:color w:val="060607"/>
          <w:spacing w:val="4"/>
          <w:kern w:val="0"/>
          <w:sz w:val="24"/>
          <w:szCs w:val="24"/>
        </w:rPr>
        <w:t>至少50种新疆地区重点保护野生植物（国家二级保护物种5种以上、自治区一级保护物种15种以上）至迁地保护基地，</w:t>
      </w:r>
      <w:bookmarkStart w:id="40" w:name="_Hlk197945116"/>
      <w:r>
        <w:rPr>
          <w:rFonts w:hint="eastAsia" w:asciiTheme="minorEastAsia" w:hAnsiTheme="minorEastAsia" w:cstheme="minorEastAsia"/>
          <w:color w:val="060607"/>
          <w:spacing w:val="4"/>
          <w:kern w:val="0"/>
          <w:sz w:val="24"/>
          <w:szCs w:val="24"/>
        </w:rPr>
        <w:t>每季度进行成活率评估</w:t>
      </w:r>
      <w:bookmarkEnd w:id="40"/>
      <w:r>
        <w:rPr>
          <w:rFonts w:hint="eastAsia" w:asciiTheme="minorEastAsia" w:hAnsiTheme="minorEastAsia" w:cstheme="minorEastAsia"/>
          <w:color w:val="060607"/>
          <w:spacing w:val="4"/>
          <w:kern w:val="0"/>
          <w:sz w:val="24"/>
          <w:szCs w:val="24"/>
        </w:rPr>
        <w:t>，确保</w:t>
      </w:r>
      <w:r>
        <w:rPr>
          <w:rFonts w:hint="eastAsia" w:asciiTheme="minorEastAsia" w:hAnsiTheme="minorEastAsia" w:cstheme="minorEastAsia"/>
          <w:sz w:val="24"/>
          <w:szCs w:val="24"/>
        </w:rPr>
        <w:t>迁地保育</w:t>
      </w:r>
      <w:r>
        <w:rPr>
          <w:rFonts w:hint="eastAsia" w:asciiTheme="minorEastAsia" w:hAnsiTheme="minorEastAsia" w:cstheme="minorEastAsia"/>
          <w:color w:val="060607"/>
          <w:spacing w:val="4"/>
          <w:kern w:val="0"/>
          <w:sz w:val="24"/>
          <w:szCs w:val="24"/>
        </w:rPr>
        <w:t>成活率达到85%以上。</w:t>
      </w:r>
    </w:p>
    <w:p w14:paraId="02443D52">
      <w:pPr>
        <w:widowControl/>
        <w:shd w:val="clear" w:color="auto" w:fill="FFFFFF"/>
        <w:spacing w:line="360" w:lineRule="auto"/>
        <w:ind w:firstLine="496" w:firstLineChars="200"/>
        <w:jc w:val="left"/>
        <w:textAlignment w:val="baseline"/>
        <w:rPr>
          <w:rFonts w:asciiTheme="minorEastAsia" w:hAnsiTheme="minorEastAsia" w:cstheme="minorEastAsia"/>
          <w:color w:val="060607"/>
          <w:spacing w:val="4"/>
          <w:kern w:val="0"/>
          <w:sz w:val="24"/>
          <w:szCs w:val="24"/>
        </w:rPr>
      </w:pPr>
      <w:bookmarkStart w:id="41" w:name="_Hlk197944871"/>
      <w:r>
        <w:rPr>
          <w:rFonts w:hint="eastAsia" w:asciiTheme="minorEastAsia" w:hAnsiTheme="minorEastAsia" w:cstheme="minorEastAsia"/>
          <w:color w:val="060607"/>
          <w:spacing w:val="4"/>
          <w:kern w:val="0"/>
          <w:sz w:val="24"/>
          <w:szCs w:val="24"/>
        </w:rPr>
        <w:t>完成5种新疆地区重点保护野生植物的繁育，形成有性及无性繁殖技术体系，每种植物编制 1 份标准操作规程 ，确保繁育流程标准化。</w:t>
      </w:r>
    </w:p>
    <w:bookmarkEnd w:id="41"/>
    <w:p w14:paraId="424F2233">
      <w:pPr>
        <w:widowControl/>
        <w:shd w:val="clear" w:color="auto" w:fill="FFFFFF"/>
        <w:spacing w:line="360" w:lineRule="auto"/>
        <w:ind w:firstLine="496" w:firstLineChars="200"/>
        <w:jc w:val="left"/>
        <w:textAlignment w:val="baseline"/>
        <w:rPr>
          <w:rFonts w:asciiTheme="minorEastAsia" w:hAnsiTheme="minorEastAsia" w:cstheme="minorEastAsia"/>
          <w:color w:val="060607"/>
          <w:spacing w:val="4"/>
          <w:kern w:val="0"/>
          <w:sz w:val="24"/>
          <w:szCs w:val="24"/>
        </w:rPr>
      </w:pPr>
      <w:r>
        <w:rPr>
          <w:rFonts w:hint="eastAsia" w:asciiTheme="minorEastAsia" w:hAnsiTheme="minorEastAsia" w:cstheme="minorEastAsia"/>
          <w:color w:val="060607"/>
          <w:spacing w:val="4"/>
          <w:kern w:val="0"/>
          <w:sz w:val="24"/>
          <w:szCs w:val="24"/>
        </w:rPr>
        <w:t>完成3项新疆地区重点保护野生植物迁地保育关键技术和规程的制定。</w:t>
      </w:r>
    </w:p>
    <w:p w14:paraId="3E2F41C3">
      <w:pPr>
        <w:widowControl/>
        <w:shd w:val="clear" w:color="auto" w:fill="FFFFFF"/>
        <w:spacing w:line="360" w:lineRule="auto"/>
        <w:jc w:val="left"/>
        <w:textAlignment w:val="baseline"/>
        <w:rPr>
          <w:rFonts w:asciiTheme="minorEastAsia" w:hAnsiTheme="minorEastAsia" w:cstheme="minorEastAsia"/>
          <w:b/>
          <w:bCs/>
          <w:color w:val="060607"/>
          <w:spacing w:val="8"/>
          <w:kern w:val="0"/>
          <w:sz w:val="24"/>
          <w:szCs w:val="24"/>
        </w:rPr>
      </w:pPr>
      <w:r>
        <w:rPr>
          <w:rFonts w:hint="eastAsia" w:asciiTheme="minorEastAsia" w:hAnsiTheme="minorEastAsia" w:cstheme="minorEastAsia"/>
          <w:b/>
          <w:bCs/>
          <w:color w:val="060607"/>
          <w:spacing w:val="8"/>
          <w:kern w:val="0"/>
          <w:sz w:val="24"/>
          <w:szCs w:val="24"/>
        </w:rPr>
        <w:t>资源开发利用目标</w:t>
      </w:r>
    </w:p>
    <w:p w14:paraId="52D1F342">
      <w:pPr>
        <w:widowControl/>
        <w:shd w:val="clear" w:color="auto" w:fill="FFFFFF"/>
        <w:spacing w:line="360" w:lineRule="auto"/>
        <w:ind w:firstLine="496" w:firstLineChars="200"/>
        <w:jc w:val="left"/>
        <w:textAlignment w:val="baseline"/>
        <w:rPr>
          <w:rFonts w:asciiTheme="minorEastAsia" w:hAnsiTheme="minorEastAsia" w:cstheme="minorEastAsia"/>
          <w:color w:val="060607"/>
          <w:spacing w:val="4"/>
          <w:kern w:val="0"/>
          <w:sz w:val="24"/>
          <w:szCs w:val="24"/>
        </w:rPr>
      </w:pPr>
      <w:r>
        <w:rPr>
          <w:rFonts w:hint="eastAsia" w:asciiTheme="minorEastAsia" w:hAnsiTheme="minorEastAsia" w:cstheme="minorEastAsia"/>
          <w:color w:val="060607"/>
          <w:spacing w:val="4"/>
          <w:kern w:val="0"/>
          <w:sz w:val="24"/>
          <w:szCs w:val="24"/>
        </w:rPr>
        <w:t>筛选并培育5份优异药用植物品系，</w:t>
      </w:r>
      <w:bookmarkStart w:id="42" w:name="_Hlk197944965"/>
      <w:r>
        <w:rPr>
          <w:rFonts w:hint="eastAsia" w:asciiTheme="minorEastAsia" w:hAnsiTheme="minorEastAsia" w:cstheme="minorEastAsia"/>
          <w:color w:val="060607"/>
          <w:spacing w:val="4"/>
          <w:kern w:val="0"/>
          <w:sz w:val="24"/>
          <w:szCs w:val="24"/>
        </w:rPr>
        <w:t>完成药用成分测定</w:t>
      </w:r>
      <w:bookmarkEnd w:id="42"/>
      <w:r>
        <w:rPr>
          <w:rFonts w:hint="eastAsia" w:asciiTheme="minorEastAsia" w:hAnsiTheme="minorEastAsia" w:cstheme="minorEastAsia"/>
          <w:color w:val="060607"/>
          <w:spacing w:val="4"/>
          <w:kern w:val="0"/>
          <w:sz w:val="24"/>
          <w:szCs w:val="24"/>
        </w:rPr>
        <w:t>。</w:t>
      </w:r>
    </w:p>
    <w:p w14:paraId="01A9882A">
      <w:pPr>
        <w:widowControl/>
        <w:shd w:val="clear" w:color="auto" w:fill="FFFFFF"/>
        <w:spacing w:line="360" w:lineRule="auto"/>
        <w:ind w:firstLine="496" w:firstLineChars="200"/>
        <w:jc w:val="left"/>
        <w:textAlignment w:val="baseline"/>
        <w:rPr>
          <w:rFonts w:asciiTheme="minorEastAsia" w:hAnsiTheme="minorEastAsia" w:cstheme="minorEastAsia"/>
          <w:color w:val="060607"/>
          <w:spacing w:val="4"/>
          <w:kern w:val="0"/>
          <w:sz w:val="24"/>
          <w:szCs w:val="24"/>
        </w:rPr>
      </w:pPr>
      <w:r>
        <w:rPr>
          <w:rFonts w:hint="eastAsia" w:asciiTheme="minorEastAsia" w:hAnsiTheme="minorEastAsia" w:cstheme="minorEastAsia"/>
          <w:color w:val="060607"/>
          <w:spacing w:val="4"/>
          <w:kern w:val="0"/>
          <w:sz w:val="24"/>
          <w:szCs w:val="24"/>
        </w:rPr>
        <w:t>筛选5种抗逆性强的植物材料，</w:t>
      </w:r>
      <w:bookmarkStart w:id="43" w:name="_Hlk197944978"/>
      <w:r>
        <w:rPr>
          <w:rFonts w:hint="eastAsia" w:asciiTheme="minorEastAsia" w:hAnsiTheme="minorEastAsia" w:cstheme="minorEastAsia"/>
          <w:color w:val="060607"/>
          <w:spacing w:val="4"/>
          <w:kern w:val="0"/>
          <w:sz w:val="24"/>
          <w:szCs w:val="24"/>
        </w:rPr>
        <w:t>结合温室与露地条件进行对比实验</w:t>
      </w:r>
      <w:bookmarkEnd w:id="43"/>
      <w:r>
        <w:rPr>
          <w:rFonts w:hint="eastAsia" w:asciiTheme="minorEastAsia" w:hAnsiTheme="minorEastAsia" w:cstheme="minorEastAsia"/>
          <w:color w:val="060607"/>
          <w:spacing w:val="4"/>
          <w:kern w:val="0"/>
          <w:sz w:val="24"/>
          <w:szCs w:val="24"/>
        </w:rPr>
        <w:t>。</w:t>
      </w:r>
    </w:p>
    <w:p w14:paraId="52E70276">
      <w:pPr>
        <w:widowControl/>
        <w:shd w:val="clear" w:color="auto" w:fill="FFFFFF"/>
        <w:spacing w:line="360" w:lineRule="auto"/>
        <w:jc w:val="left"/>
        <w:textAlignment w:val="baseline"/>
        <w:rPr>
          <w:rFonts w:asciiTheme="minorEastAsia" w:hAnsiTheme="minorEastAsia" w:cstheme="minorEastAsia"/>
          <w:b/>
          <w:bCs/>
          <w:color w:val="060607"/>
          <w:spacing w:val="8"/>
          <w:kern w:val="0"/>
          <w:sz w:val="24"/>
          <w:szCs w:val="24"/>
        </w:rPr>
      </w:pPr>
      <w:r>
        <w:rPr>
          <w:rFonts w:hint="eastAsia" w:asciiTheme="minorEastAsia" w:hAnsiTheme="minorEastAsia" w:cstheme="minorEastAsia"/>
          <w:b/>
          <w:bCs/>
          <w:color w:val="060607"/>
          <w:spacing w:val="8"/>
          <w:kern w:val="0"/>
          <w:sz w:val="24"/>
          <w:szCs w:val="24"/>
        </w:rPr>
        <w:t>监测体系建设目标</w:t>
      </w:r>
    </w:p>
    <w:p w14:paraId="4DB59382">
      <w:pPr>
        <w:widowControl/>
        <w:shd w:val="clear" w:color="auto" w:fill="FFFFFF"/>
        <w:spacing w:line="360" w:lineRule="auto"/>
        <w:ind w:firstLine="496" w:firstLineChars="200"/>
        <w:jc w:val="left"/>
        <w:textAlignment w:val="baseline"/>
        <w:rPr>
          <w:rFonts w:asciiTheme="minorEastAsia" w:hAnsiTheme="minorEastAsia" w:cstheme="minorEastAsia"/>
          <w:color w:val="060607"/>
          <w:spacing w:val="4"/>
          <w:kern w:val="0"/>
          <w:sz w:val="24"/>
          <w:szCs w:val="24"/>
        </w:rPr>
      </w:pPr>
      <w:bookmarkStart w:id="44" w:name="_Hlk197945017"/>
      <w:r>
        <w:rPr>
          <w:rFonts w:hint="eastAsia" w:asciiTheme="minorEastAsia" w:hAnsiTheme="minorEastAsia" w:cstheme="minorEastAsia"/>
          <w:color w:val="060607"/>
          <w:spacing w:val="4"/>
          <w:kern w:val="0"/>
          <w:sz w:val="24"/>
          <w:szCs w:val="24"/>
        </w:rPr>
        <w:t>构建新疆地区重点保护野生植物迁地保护数据库，涵盖50种以上濒危保护物种</w:t>
      </w:r>
      <w:bookmarkEnd w:id="44"/>
      <w:r>
        <w:rPr>
          <w:rFonts w:hint="eastAsia" w:asciiTheme="minorEastAsia" w:hAnsiTheme="minorEastAsia" w:cstheme="minorEastAsia"/>
          <w:color w:val="060607"/>
          <w:spacing w:val="4"/>
          <w:kern w:val="0"/>
          <w:sz w:val="24"/>
          <w:szCs w:val="24"/>
        </w:rPr>
        <w:t>（国家二级保护物种5种以上、自治区一级保护物种15种以上）地理分布、GPS位点、野外生态照片、关键生物学性状、物种资源量及种群结构等信息。</w:t>
      </w:r>
    </w:p>
    <w:p w14:paraId="13AE047B">
      <w:pPr>
        <w:widowControl/>
        <w:shd w:val="clear" w:color="auto" w:fill="FFFFFF"/>
        <w:spacing w:line="360" w:lineRule="auto"/>
        <w:ind w:firstLine="496" w:firstLineChars="200"/>
        <w:jc w:val="left"/>
        <w:textAlignment w:val="baseline"/>
        <w:rPr>
          <w:rFonts w:asciiTheme="minorEastAsia" w:hAnsiTheme="minorEastAsia" w:cstheme="minorEastAsia"/>
          <w:color w:val="060607"/>
          <w:spacing w:val="4"/>
          <w:kern w:val="0"/>
          <w:sz w:val="24"/>
          <w:szCs w:val="24"/>
        </w:rPr>
      </w:pPr>
      <w:r>
        <w:rPr>
          <w:rFonts w:hint="eastAsia" w:asciiTheme="minorEastAsia" w:hAnsiTheme="minorEastAsia" w:cstheme="minorEastAsia"/>
          <w:color w:val="060607"/>
          <w:spacing w:val="4"/>
          <w:kern w:val="0"/>
          <w:sz w:val="24"/>
          <w:szCs w:val="24"/>
        </w:rPr>
        <w:t>完成对新疆地区迁地保护植物的长期季度生态监测，包括生态指标（物种多样性、群落结构）、生长状况指标（株高、冠幅、开花结果情况）、经济价值指标（药用、观赏价值）和保护等级指标（濒危等级、保护级别）。</w:t>
      </w:r>
    </w:p>
    <w:p w14:paraId="3199A5AD">
      <w:pPr>
        <w:pStyle w:val="74"/>
        <w:spacing w:line="360" w:lineRule="auto"/>
        <w:ind w:firstLine="0" w:firstLineChars="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七、风险控制</w:t>
      </w:r>
    </w:p>
    <w:p w14:paraId="1F578E4A">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b/>
          <w:bCs/>
          <w:sz w:val="24"/>
          <w:szCs w:val="24"/>
        </w:rPr>
        <w:t>迁地保育失败风险：</w:t>
      </w:r>
      <w:r>
        <w:rPr>
          <w:rFonts w:hint="eastAsia" w:asciiTheme="minorEastAsia" w:hAnsiTheme="minorEastAsia" w:cstheme="minorEastAsia"/>
          <w:sz w:val="24"/>
          <w:szCs w:val="24"/>
        </w:rPr>
        <w:t>一是拟迁地保育濒危野生植物分布范围广，生存环境复杂，需在不同季节、不同海拔区域进行采种和活体移栽；二是部分濒危野生植物原生境条件特殊，引种后的人工环境营造困难，不易于成活；三是相当部分的重点保护野生植物没有前期基础，需要从头开始构建迁地保育的技术体系；四是干旱、霜冻等突发极端气候对迁地保育的影响。</w:t>
      </w:r>
    </w:p>
    <w:p w14:paraId="2F497689">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迁地保育风险对策：根据植物的原生境情况（如高山、荒漠；高海拔、低海拔等）、生活型和生长特性（如一年生、多年生；乔木、灌木）等，分成几个大类，制定不同的引种和保育策略，分阶段引种，先从大类中试点5-10种适应性强的物种，再逐步扩展。对相同分类群、同属的植物，优先选取代表性的物种进行迁地保育技术的探索，触类旁通，再扩展至其余物种。加强迁地保护中心基础设施建设，增强保育温室等的温湿度、灌溉等调配应对能力，以应对极端气候的影响。</w:t>
      </w:r>
    </w:p>
    <w:p w14:paraId="50F210AC">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b/>
          <w:bCs/>
          <w:sz w:val="24"/>
          <w:szCs w:val="24"/>
        </w:rPr>
        <w:t>技术瓶颈：</w:t>
      </w:r>
      <w:r>
        <w:rPr>
          <w:rFonts w:hint="eastAsia" w:asciiTheme="minorEastAsia" w:hAnsiTheme="minorEastAsia" w:cstheme="minorEastAsia"/>
          <w:sz w:val="24"/>
          <w:szCs w:val="24"/>
        </w:rPr>
        <w:t>新疆濒危野生植物迁地保护是一个系统的、长期的工程，涉及到物种的收集、筛选、保育、开发利用等方方面面，因此，需要迁地保育技术、人工扩繁及抚育技术、物种种群复壮关键技术、病虫害防控技术以及种质评价与筛选技术等，需要多个技术环节的有效结合，是一个多方位、多层次的联动机制，存在一定的技术风险。因此，新疆濒危野生植物迁地保护不是一个短、平、快且近期就可以见成效的项目，是一个长期的、艰巨的系统工程。</w:t>
      </w:r>
    </w:p>
    <w:p w14:paraId="124B5FF9">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技术瓶颈对策：注重顶层设计，注重交流与合作，与相关院校、科研单位合作，引入专家团队攻关，及时实现信息共享，并实现联合行动、集中攻关，使得各环节既有侧重，又有交叉，最终形成一整套成熟的、可行的技术体系，并进一步实现技术集成与示范，成为一个有机的整体。</w:t>
      </w:r>
    </w:p>
    <w:p w14:paraId="74E87A51">
      <w:pPr>
        <w:spacing w:line="360" w:lineRule="auto"/>
        <w:ind w:firstLine="480" w:firstLineChars="200"/>
        <w:rPr>
          <w:rFonts w:asciiTheme="minorEastAsia" w:hAnsiTheme="minorEastAsia" w:cstheme="minorEastAsia"/>
          <w:sz w:val="24"/>
          <w:szCs w:val="24"/>
        </w:rPr>
      </w:pPr>
    </w:p>
    <w:p w14:paraId="0FF24265">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br w:type="page"/>
      </w:r>
    </w:p>
    <w:p w14:paraId="582D685F">
      <w:pPr>
        <w:spacing w:line="360" w:lineRule="auto"/>
        <w:jc w:val="center"/>
        <w:outlineLvl w:val="0"/>
        <w:rPr>
          <w:rFonts w:asciiTheme="minorEastAsia" w:hAnsiTheme="minorEastAsia" w:cstheme="minorEastAsia"/>
          <w:sz w:val="24"/>
          <w:szCs w:val="24"/>
        </w:rPr>
      </w:pPr>
      <w:r>
        <w:rPr>
          <w:rFonts w:hint="eastAsia" w:asciiTheme="minorEastAsia" w:hAnsiTheme="minorEastAsia" w:cstheme="minorEastAsia"/>
          <w:sz w:val="24"/>
          <w:szCs w:val="24"/>
        </w:rPr>
        <w:t>附表：拟迁地保护濒危野生植物名录</w:t>
      </w:r>
    </w:p>
    <w:tbl>
      <w:tblPr>
        <w:tblStyle w:val="35"/>
        <w:tblW w:w="10428" w:type="dxa"/>
        <w:jc w:val="center"/>
        <w:tblLayout w:type="fixed"/>
        <w:tblCellMar>
          <w:top w:w="0" w:type="dxa"/>
          <w:left w:w="108" w:type="dxa"/>
          <w:bottom w:w="0" w:type="dxa"/>
          <w:right w:w="108" w:type="dxa"/>
        </w:tblCellMar>
      </w:tblPr>
      <w:tblGrid>
        <w:gridCol w:w="555"/>
        <w:gridCol w:w="964"/>
        <w:gridCol w:w="1538"/>
        <w:gridCol w:w="1304"/>
        <w:gridCol w:w="1531"/>
        <w:gridCol w:w="1531"/>
        <w:gridCol w:w="3005"/>
      </w:tblGrid>
      <w:tr w14:paraId="0FB5C8F8">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D421">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序号</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DFA4">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4F9E">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科拉丁名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B073">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26DE">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属拉丁名</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6ED5">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中文名</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E632">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拉丁名</w:t>
            </w:r>
          </w:p>
        </w:tc>
      </w:tr>
      <w:tr w14:paraId="6CEAD365">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37D4">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4F0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石松科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DBB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Lycopodiaceae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C06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石杉属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532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Huperzia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A6F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小杉兰</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D50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Huperzia selago</w:t>
            </w:r>
          </w:p>
        </w:tc>
      </w:tr>
      <w:tr w14:paraId="3990D991">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8057">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28F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麻黄科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FE5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Ephedraceae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56A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麻黄属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023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Ephedra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35A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蓝枝麻黄</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1EE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Ephedra glauca</w:t>
            </w:r>
          </w:p>
        </w:tc>
      </w:tr>
      <w:tr w14:paraId="145B6AE4">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7DD3">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D5B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麻黄科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1FA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Ephedraceae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EC2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麻黄属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F12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Ephedra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6C1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木贼麻黄</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37E7">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Ephedra equisetina</w:t>
            </w:r>
          </w:p>
        </w:tc>
      </w:tr>
      <w:tr w14:paraId="10F715B7">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3017">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24B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麻黄科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780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Ephedraceae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807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麻黄属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6B3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Ephedra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AFA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西藏麻黄</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C29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Ephedra tibetica</w:t>
            </w:r>
          </w:p>
        </w:tc>
      </w:tr>
      <w:tr w14:paraId="6C0AA666">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C1D4">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E1C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麻黄科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6A3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Ephedraceae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785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麻黄属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E6D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Ephedra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F03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中麻黄</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61A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Ephedra intermedia</w:t>
            </w:r>
          </w:p>
        </w:tc>
      </w:tr>
      <w:tr w14:paraId="72336B59">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73BC">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BC0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睡莲科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6F57">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Nymphaeaceae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DE9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睡莲属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E1F7">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Nymphaea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E17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雪白睡莲</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025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Nymphaea candida</w:t>
            </w:r>
          </w:p>
        </w:tc>
      </w:tr>
      <w:tr w14:paraId="24D49696">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E8A0">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B61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泽泻科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295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Alismataceae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0A6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慈姑属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3613">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Sagittaria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DC57">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浮叶慈姑</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D9C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Sagittaria natans</w:t>
            </w:r>
          </w:p>
        </w:tc>
      </w:tr>
      <w:tr w14:paraId="6D00AB9A">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2E3C">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05D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EA77">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C38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E09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Lilium</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32B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天山百合</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AF9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Lilium tianschanicum</w:t>
            </w:r>
          </w:p>
        </w:tc>
      </w:tr>
      <w:tr w14:paraId="27D59F48">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5348">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345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B61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01D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贝母属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C57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Fritillaria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2E9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阿尔泰贝母</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6BE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Fritillaria meleagris</w:t>
            </w:r>
          </w:p>
        </w:tc>
      </w:tr>
      <w:tr w14:paraId="18890AA7">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DEC8">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9B7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8B1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F6D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贝母属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B6D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Fritillaria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FB4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额敏贝母</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B48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Fritillaria meleagroides</w:t>
            </w:r>
          </w:p>
        </w:tc>
      </w:tr>
      <w:tr w14:paraId="473EADB6">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0DBA">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11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1F2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51B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8DD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贝母属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0BC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Fritillaria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594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黄花贝母</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8E23">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Fritillaria verticillata</w:t>
            </w:r>
          </w:p>
        </w:tc>
      </w:tr>
      <w:tr w14:paraId="7883CF6E">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0EDD">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12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CDE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9CF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65E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贝母属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888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Fritillaria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E3B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砂贝母</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D0B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Fritillaria karelinii</w:t>
            </w:r>
          </w:p>
        </w:tc>
      </w:tr>
      <w:tr w14:paraId="03485DF8">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5DFB">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13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BA36">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257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1E9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贝母属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252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Fritillaria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D6F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托星贝母</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660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Fritillaria tortifolia</w:t>
            </w:r>
          </w:p>
        </w:tc>
      </w:tr>
      <w:tr w14:paraId="2DB752EB">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B1AD">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14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F27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017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D02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贝母属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54A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Fritillaria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47F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乌恰贝母</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1C86">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Fritillaria ferganensis</w:t>
            </w:r>
          </w:p>
        </w:tc>
      </w:tr>
      <w:tr w14:paraId="262A47E5">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38BF">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15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520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45C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44E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贝母属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F593">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Fritillaria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0D3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新疆贝母</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62C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Fritillaria walujewii</w:t>
            </w:r>
          </w:p>
        </w:tc>
      </w:tr>
      <w:tr w14:paraId="02FE9FC2">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96D1">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16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122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EB4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248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贝母属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872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Fritillaria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092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新源贝母</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7DE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Fritillaria walujewii var. xinyansis</w:t>
            </w:r>
          </w:p>
        </w:tc>
      </w:tr>
      <w:tr w14:paraId="3D50099D">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4B5B">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17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108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70D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F3B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贝母属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263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Fritillaria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466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伊贝母</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BEC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Fritillaria pallidiflora</w:t>
            </w:r>
          </w:p>
        </w:tc>
      </w:tr>
      <w:tr w14:paraId="5DCA800E">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4D0B">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18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C7E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CAE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31D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贝母属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95D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Fritillaria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6C7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裕民贝母</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72A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Fritillaria yuminensis</w:t>
            </w:r>
          </w:p>
        </w:tc>
      </w:tr>
      <w:tr w14:paraId="7A0B07CA">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2705">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19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506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111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F97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郁金香属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A20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E43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阿尔泰郁金香</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8F9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 altaica</w:t>
            </w:r>
          </w:p>
        </w:tc>
      </w:tr>
      <w:tr w14:paraId="4EE75F4A">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E0CA">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20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9DF7">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E88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8E27">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郁金香属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20E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B557">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迟花郁金香</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F78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 kolpakowskiana</w:t>
            </w:r>
          </w:p>
        </w:tc>
      </w:tr>
      <w:tr w14:paraId="7C09D793">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B08F">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21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7593">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DA86">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E99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郁金香属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FCD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D74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垂蕾郁金香</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192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 patens</w:t>
            </w:r>
          </w:p>
        </w:tc>
      </w:tr>
      <w:tr w14:paraId="5641EA72">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CC91">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22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EAD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81B6">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A5E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郁金香属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463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33F3">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单花郁金香</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D393">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 uniflora</w:t>
            </w:r>
          </w:p>
        </w:tc>
      </w:tr>
      <w:tr w14:paraId="4DE68492">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3B6B">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23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494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4FE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8533">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郁金香属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D5F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1F9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毛蕊郁金香</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EC5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 dasystemon</w:t>
            </w:r>
          </w:p>
        </w:tc>
      </w:tr>
      <w:tr w14:paraId="1A349F0E">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7485">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24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2C1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48A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F42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郁金香属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9213">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A3D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柔毛郁金香</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F65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 biflora</w:t>
            </w:r>
          </w:p>
        </w:tc>
      </w:tr>
      <w:tr w14:paraId="7EA20830">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8741">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25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C40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38A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C63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郁金香属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4F53">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37E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赛里木湖郁金香</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F23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 thianschanica var. sailimuensis</w:t>
            </w:r>
          </w:p>
        </w:tc>
      </w:tr>
      <w:tr w14:paraId="6DE3E40D">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9638">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26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707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C3A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DEA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郁金香属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7E1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96F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四叶郁金香</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1CA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 tetraphylla</w:t>
            </w:r>
          </w:p>
        </w:tc>
      </w:tr>
      <w:tr w14:paraId="6BE2A124">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4A80">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27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400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052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1FC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郁金香属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60B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CBE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塔城郁金香</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201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 tarbagataica</w:t>
            </w:r>
          </w:p>
        </w:tc>
      </w:tr>
      <w:tr w14:paraId="3AF9C9EA">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E524">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28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308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E3B7">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A59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郁金香属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19B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962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天山郁金香</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500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 thianschanica</w:t>
            </w:r>
          </w:p>
        </w:tc>
      </w:tr>
      <w:tr w14:paraId="790EE54C">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851A">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29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A10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8E37">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869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郁金香属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7AA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3D2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新疆郁金香</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A5C7">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 sinkiangensis</w:t>
            </w:r>
          </w:p>
        </w:tc>
      </w:tr>
      <w:tr w14:paraId="51D86B3F">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EC14">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30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0D67">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C74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E22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郁金香属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3A03">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DDC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伊犁郁金香</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4A8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 iliensis</w:t>
            </w:r>
          </w:p>
        </w:tc>
      </w:tr>
      <w:tr w14:paraId="7A1632CA">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AD6E">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31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80E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5A3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365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郁金香属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0D9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AFF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异瓣郁金香</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BBD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 heteropetala</w:t>
            </w:r>
          </w:p>
        </w:tc>
      </w:tr>
      <w:tr w14:paraId="701422B7">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F51A">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32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CBE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07B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CBB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郁金香属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ED4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2E8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异叶郁金香</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04D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 heterophylla</w:t>
            </w:r>
          </w:p>
        </w:tc>
      </w:tr>
      <w:tr w14:paraId="36DDDADE">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590C">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33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65C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百合科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EDF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Liliaceae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9D56">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郁金香属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0BE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533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准噶尔郁金香</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DB4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Tulipa suaveolens</w:t>
            </w:r>
          </w:p>
        </w:tc>
      </w:tr>
      <w:tr w14:paraId="08C59069">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E41A">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34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9B9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石蒜科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055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Amaryllidaceae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39C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葱属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4427">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Allium</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467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阿尔泰葱</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E41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Allium altaicum</w:t>
            </w:r>
          </w:p>
        </w:tc>
      </w:tr>
      <w:tr w14:paraId="7AA99F09">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7503">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35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A68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石蒜科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753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Amaryllidaceae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3CC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葱属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267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Allium</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BEF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多籽蒜</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D54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Allium fetisowii</w:t>
            </w:r>
          </w:p>
        </w:tc>
      </w:tr>
      <w:tr w14:paraId="1F537B20">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F17B">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36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238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石蒜科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208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Amaryllidaceae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8F6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葱属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C44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Allium</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0703">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高莛韭</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556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Allium obliquum</w:t>
            </w:r>
          </w:p>
        </w:tc>
      </w:tr>
      <w:tr w14:paraId="0DB1BD7D">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518B">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37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9413">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石蒜科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76A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Amaryllidaceae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A04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葱属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CFA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Allium</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D5D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实莛葱</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B7C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Allium galanthum</w:t>
            </w:r>
          </w:p>
        </w:tc>
      </w:tr>
      <w:tr w14:paraId="2E0F4DAE">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E163">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38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52C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石蒜科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FD9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Amaryllidaceae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071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葱属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E67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Allium</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399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新疆蒜</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B76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Allium roborowskianum</w:t>
            </w:r>
          </w:p>
        </w:tc>
      </w:tr>
      <w:tr w14:paraId="3A0AC59A">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D755">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39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0DD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石蒜科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EFA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Amaryllidaceae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C34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葱属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F40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Allium</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D01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星花蒜</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81A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Allium decipiens</w:t>
            </w:r>
          </w:p>
        </w:tc>
      </w:tr>
      <w:tr w14:paraId="08951EA5">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D383">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40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929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毛茛科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95E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Ranunculaceae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C1A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翠雀属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D00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Delphinium</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B45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三出翠雀花</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951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Delphinium biternatum</w:t>
            </w:r>
          </w:p>
        </w:tc>
      </w:tr>
      <w:tr w14:paraId="695C8280">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90D6">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41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EBE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毛茛科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00B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Ranunculaceae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7A1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翠雀属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6153">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Delphinium</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E5A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新源翠雀花</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5516">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Delphinium mollifolium</w:t>
            </w:r>
          </w:p>
        </w:tc>
      </w:tr>
      <w:tr w14:paraId="38CE5125">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1E8E">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42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9B7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毛茛科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819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Ranunculaceae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BBF6">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金莲花属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1B2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Trollius</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02F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淡紫金莲花</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0B0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Trollius lilacinus</w:t>
            </w:r>
          </w:p>
        </w:tc>
      </w:tr>
      <w:tr w14:paraId="3C4A483A">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9AF8">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43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EFE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芍药科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FE4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Paeoniaceae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BA1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芍药属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205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Paeonia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6D9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块根芍药</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6CB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Paeonia intermedia</w:t>
            </w:r>
          </w:p>
        </w:tc>
      </w:tr>
      <w:tr w14:paraId="7FF3FA03">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8C44">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44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ACE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芍药科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340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Paeoniaceae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D1B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芍药属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869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Paeonia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959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窄叶芍药</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87B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Paeonia anomala</w:t>
            </w:r>
          </w:p>
        </w:tc>
      </w:tr>
      <w:tr w14:paraId="42B44B20">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EA28">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45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C03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景天科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401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Crassulaceae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D137">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红景天属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45F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Rhodiola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142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红景天</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D59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Rhodiola rosea</w:t>
            </w:r>
          </w:p>
        </w:tc>
      </w:tr>
      <w:tr w14:paraId="341AEE15">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B78D">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46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A2B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景天科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0AE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Crassulaceae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E52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红景天属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4FE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Rhodiola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D5F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四裂红景天</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8DA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Rhodiola quadrifida</w:t>
            </w:r>
          </w:p>
        </w:tc>
      </w:tr>
      <w:tr w14:paraId="24720200">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450E">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47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38E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豆科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BEE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Fabaceae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232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甘草属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9DF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Glycyrrhiza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C2B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甘草</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1583">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Glycyrrhiza uralensis</w:t>
            </w:r>
          </w:p>
        </w:tc>
      </w:tr>
      <w:tr w14:paraId="29AB742F">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F1D3">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48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0A7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豆科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4CA7">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Fabaceae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885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甘草属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AF73">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Glycyrrhiza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7D1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胀果甘草</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1C0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Glycyrrhiza inflata</w:t>
            </w:r>
          </w:p>
        </w:tc>
      </w:tr>
      <w:tr w14:paraId="2BB19BD1">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D330">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49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67E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豆科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404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Fabaceae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A60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沙冬青属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A0F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Ammopiptanthus</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D80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新疆沙冬青</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138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Ammopiptanthus nanus</w:t>
            </w:r>
          </w:p>
        </w:tc>
      </w:tr>
      <w:tr w14:paraId="3F816068">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BE3A">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50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82E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蔷薇科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101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Rosaceae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B58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李属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70B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Prunus</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55D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矮扁桃</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EBF3">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Prunus tenella</w:t>
            </w:r>
          </w:p>
        </w:tc>
      </w:tr>
      <w:tr w14:paraId="23A24CF3">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38D1">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51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460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蔷薇科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452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Rosaceae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684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李属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2C0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Prunus</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C38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欧洲李</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037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Prunus domestica</w:t>
            </w:r>
          </w:p>
        </w:tc>
      </w:tr>
      <w:tr w14:paraId="4981AD01">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DB6E">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52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F30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蔷薇科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8D3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Rosaceae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3B6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李属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0596">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Prunus</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E453">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天山樱桃</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4177">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Prunus tianshanica</w:t>
            </w:r>
          </w:p>
        </w:tc>
      </w:tr>
      <w:tr w14:paraId="1534E3BF">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C012">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53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04F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蔷薇科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B07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Rosaceae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714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李属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731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Prunus</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A29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新疆野杏</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3C2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Prunus armeniaca</w:t>
            </w:r>
          </w:p>
        </w:tc>
      </w:tr>
      <w:tr w14:paraId="28B96B41">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C754">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54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52A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蔷薇科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FA07">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Rosaceae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38D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李属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F3E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Prunus</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BA2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樱桃李</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FAF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Prunus cerasifera</w:t>
            </w:r>
          </w:p>
        </w:tc>
      </w:tr>
      <w:tr w14:paraId="51DA3CA0">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0048">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55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C99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蔷薇科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8D1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Rosaceae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0D5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苹果属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C3C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Malus</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99F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新疆野苹果</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630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Malus sieversii</w:t>
            </w:r>
          </w:p>
        </w:tc>
      </w:tr>
      <w:tr w14:paraId="5A9E3FD9">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C88E">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56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6B4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蔷薇科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6EB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Rosaceae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859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蔷薇属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2AA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Rosa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3BB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小檗叶蔷薇</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9F8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Rosa berberifolia</w:t>
            </w:r>
          </w:p>
        </w:tc>
      </w:tr>
      <w:tr w14:paraId="06BF54EA">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EB96">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57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331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蔷薇科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9B6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Rosaceae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87B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山楂属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ABD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Crataegus</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5B9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准噶尔山楂</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20A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Crataegus songarica</w:t>
            </w:r>
          </w:p>
        </w:tc>
      </w:tr>
      <w:tr w14:paraId="5AC64844">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9B51">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58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ABB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胡桃科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5C7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Juglandaceae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45C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胡桃属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0C4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Juglans</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8F5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胡桃</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55F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Juglans regia</w:t>
            </w:r>
          </w:p>
        </w:tc>
      </w:tr>
      <w:tr w14:paraId="406A48E2">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555B">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59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A8E3">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半日花科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662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Cistaceae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4DE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半日花属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AEA3">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Helianthemum</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1F3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半日花</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F3D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Helianthemum songaricum</w:t>
            </w:r>
          </w:p>
        </w:tc>
      </w:tr>
      <w:tr w14:paraId="475F63FB">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8226">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60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996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瓣鳞花科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D20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Frankeniaceae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AD9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瓣鳞花属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C9D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Frankenia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6AC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瓣鳞花</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685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Frankenia pulverulenta</w:t>
            </w:r>
          </w:p>
        </w:tc>
      </w:tr>
      <w:tr w14:paraId="1526AEE4">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29F7">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61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E02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蓼科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038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Polygonaceae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A75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大黄属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F7A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Rheum</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416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圆叶大黄</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62D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Rheum tataricum</w:t>
            </w:r>
          </w:p>
        </w:tc>
      </w:tr>
      <w:tr w14:paraId="1507A98F">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6C75">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62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9B4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蓼科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AC8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Polygonaceae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065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沙拐枣属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54D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Calligonum</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8DE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吉木乃沙拐枣</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5A53">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Calligonum jeminaicum</w:t>
            </w:r>
          </w:p>
        </w:tc>
      </w:tr>
      <w:tr w14:paraId="76203606">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3D0F">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63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54B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报春花科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D38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Primulaceae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A14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羽叶点地梅属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94B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Pomatosace</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451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羽叶点地梅</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806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Pomatosace filicula</w:t>
            </w:r>
          </w:p>
        </w:tc>
      </w:tr>
      <w:tr w14:paraId="698761F0">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8FEF">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64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4CF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紫草科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916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Boraginaceae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2E9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软紫草属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FD8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Arnebia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8DD7">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软紫草</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7A0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Arnebia euchroma</w:t>
            </w:r>
          </w:p>
        </w:tc>
      </w:tr>
      <w:tr w14:paraId="5711E33E">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53F7">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65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FF8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茄科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142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Solanaceae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2B57">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枸杞属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58B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Lycium</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F9F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黑果枸杞</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51B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Lycium ruthenicum</w:t>
            </w:r>
          </w:p>
        </w:tc>
      </w:tr>
      <w:tr w14:paraId="0CAE04AE">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F9F6">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66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1E1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列当科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E206">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Orobanchaceae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637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肉苁蓉属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FA5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Cistanche</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03D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管花肉苁蓉</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654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Cistanche mongolica</w:t>
            </w:r>
          </w:p>
        </w:tc>
      </w:tr>
      <w:tr w14:paraId="5096C3A0">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EAA6">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67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7076">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列当科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2F3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Orobanchaceae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B50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肉苁蓉属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478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Cistanche</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D48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肉苁蓉</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EBA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Cistanche deserticola</w:t>
            </w:r>
          </w:p>
        </w:tc>
      </w:tr>
      <w:tr w14:paraId="792F1CA4">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F036">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68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437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菊科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06D2">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Asteraceae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AFFD">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风毛菊属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4D7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Saussurea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280B">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阿尔泰雪莲</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3CA9">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Saussurea orgaadayi</w:t>
            </w:r>
          </w:p>
        </w:tc>
      </w:tr>
      <w:tr w14:paraId="26C112CB">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45C6">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69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276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菊科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0A5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Asteraceae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DA7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风毛菊属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A454">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Saussurea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D460">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雪莲花</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897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Saussurea involucrata</w:t>
            </w:r>
          </w:p>
        </w:tc>
      </w:tr>
      <w:tr w14:paraId="3BBC1D39">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93DC">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70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4B9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伞形科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F16A">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Apiaceae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5C9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阿魏属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A427">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Ferula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C40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阜康阿魏</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C7B5">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Ferula fukanensis</w:t>
            </w:r>
          </w:p>
        </w:tc>
      </w:tr>
      <w:tr w14:paraId="6027CA16">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D177">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71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EE5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伞形科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EF86">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Apiaceae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6B77">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阿魏属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D7DC">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Ferula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D33E">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麝香阿魏</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31E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Ferula moschata</w:t>
            </w:r>
          </w:p>
        </w:tc>
      </w:tr>
      <w:tr w14:paraId="226DE502">
        <w:tblPrEx>
          <w:tblCellMar>
            <w:top w:w="0" w:type="dxa"/>
            <w:left w:w="108" w:type="dxa"/>
            <w:bottom w:w="0" w:type="dxa"/>
            <w:right w:w="108" w:type="dxa"/>
          </w:tblCellMar>
        </w:tblPrEx>
        <w:trPr>
          <w:trHeight w:val="3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33E2">
            <w:pPr>
              <w:widowControl/>
              <w:spacing w:line="36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72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C986">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伞形科</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76A1">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Apiaceae</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2A8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阿魏属</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35B8">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Ferula</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4DDF">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新疆阿魏</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8733">
            <w:pPr>
              <w:widowControl/>
              <w:spacing w:line="360" w:lineRule="auto"/>
              <w:jc w:val="lef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kern w:val="0"/>
                <w:sz w:val="24"/>
                <w:szCs w:val="24"/>
              </w:rPr>
              <w:t>Ferula sinkiangensis</w:t>
            </w:r>
          </w:p>
        </w:tc>
      </w:tr>
    </w:tbl>
    <w:p w14:paraId="6E7A2DB8">
      <w:pPr>
        <w:spacing w:line="360" w:lineRule="auto"/>
        <w:rPr>
          <w:rFonts w:asciiTheme="minorEastAsia" w:hAnsiTheme="minorEastAsia" w:cstheme="minorEastAsia"/>
          <w:sz w:val="24"/>
          <w:szCs w:val="24"/>
        </w:rPr>
      </w:pPr>
    </w:p>
    <w:p w14:paraId="2EAEE696">
      <w:pPr>
        <w:spacing w:line="360" w:lineRule="auto"/>
        <w:rPr>
          <w:rFonts w:ascii="宋体" w:hAnsi="宋体" w:eastAsia="宋体" w:cs="宋体"/>
          <w:b/>
          <w:color w:val="000000" w:themeColor="text1"/>
          <w:kern w:val="0"/>
          <w:sz w:val="24"/>
          <w:szCs w:val="24"/>
          <w:lang w:bidi="zh-CN"/>
          <w14:textFill>
            <w14:solidFill>
              <w14:schemeClr w14:val="tx1"/>
            </w14:solidFill>
          </w14:textFill>
        </w:rPr>
      </w:pPr>
    </w:p>
    <w:sectPr>
      <w:footerReference r:id="rId5" w:type="default"/>
      <w:pgSz w:w="11906" w:h="16838"/>
      <w:pgMar w:top="1440" w:right="1797" w:bottom="1440" w:left="1797"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C5B86">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ED428">
    <w:pPr>
      <w:pStyle w:val="22"/>
      <w:jc w:val="center"/>
    </w:pPr>
    <w:r>
      <w:fldChar w:fldCharType="begin"/>
    </w:r>
    <w:r>
      <w:instrText xml:space="preserve"> PAGE   \* MERGEFORMAT </w:instrText>
    </w:r>
    <w:r>
      <w:fldChar w:fldCharType="separate"/>
    </w:r>
    <w:r>
      <w:rPr>
        <w:lang w:val="zh-CN"/>
      </w:rPr>
      <w:t>28</w:t>
    </w:r>
    <w:r>
      <w:rPr>
        <w:lang w:val="zh-CN"/>
      </w:rPr>
      <w:fldChar w:fldCharType="end"/>
    </w:r>
  </w:p>
  <w:p w14:paraId="6F49F656">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9FA9C">
    <w:pPr>
      <w:autoSpaceDE w:val="0"/>
      <w:autoSpaceDN w:val="0"/>
      <w:adjustRightInd w:val="0"/>
      <w:spacing w:line="360" w:lineRule="auto"/>
      <w:jc w:val="right"/>
      <w:rPr>
        <w:rFonts w:ascii="仿宋" w:hAnsi="仿宋" w:eastAsia="仿宋"/>
        <w:kern w:val="0"/>
        <w:sz w:val="11"/>
        <w:szCs w:val="11"/>
      </w:rPr>
    </w:pPr>
    <w:r>
      <w:rPr>
        <w:rFonts w:ascii="Times New Roman" w:hAnsi="Times New Roman"/>
        <w:sz w:val="11"/>
        <w:szCs w:val="11"/>
      </w:rPr>
      <w:drawing>
        <wp:inline distT="0" distB="0" distL="114300" distR="114300">
          <wp:extent cx="354965" cy="218440"/>
          <wp:effectExtent l="1905" t="3175" r="5080" b="6985"/>
          <wp:docPr id="1" name="图片 1" descr="徽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2"/>
                  <pic:cNvPicPr>
                    <a:picLocks noChangeAspect="1"/>
                  </pic:cNvPicPr>
                </pic:nvPicPr>
                <pic:blipFill>
                  <a:blip r:embed="rId1"/>
                  <a:stretch>
                    <a:fillRect/>
                  </a:stretch>
                </pic:blipFill>
                <pic:spPr>
                  <a:xfrm rot="60000">
                    <a:off x="0" y="0"/>
                    <a:ext cx="354965" cy="218440"/>
                  </a:xfrm>
                  <a:prstGeom prst="rect">
                    <a:avLst/>
                  </a:prstGeom>
                  <a:noFill/>
                  <a:ln>
                    <a:noFill/>
                  </a:ln>
                </pic:spPr>
              </pic:pic>
            </a:graphicData>
          </a:graphic>
        </wp:inline>
      </w:drawing>
    </w:r>
    <w:r>
      <w:rPr>
        <w:rFonts w:ascii="仿宋" w:hAnsi="仿宋" w:eastAsia="仿宋"/>
        <w:kern w:val="16"/>
        <w:sz w:val="11"/>
        <w:szCs w:val="11"/>
      </w:rPr>
      <w:pict>
        <v:shape id="_x0000_i1025" o:spt="136" type="#_x0000_t136" style="height:14.95pt;width:161.65pt;" fillcolor="#FFCC99" filled="t" coordsize="21600,21600">
          <v:path/>
          <v:fill type="tile" on="t" o:title="weave" focussize="0,0" r:id="rId2"/>
          <v:stroke/>
          <v:imagedata o:title=""/>
          <o:lock v:ext="edit" text="f"/>
          <v:textpath on="t" fitshape="t" fitpath="t" trim="t" xscale="f" string="新疆金正建设工程管理有限公司" style="font-family:宋体;font-size:36pt;v-text-align:center;"/>
          <o:extrusion backdepth="10pt" brightness="4000f" color="#663300" lightlevel="52000f" lightlevel2="14000f" lightposition="-50000,0,10000" lightposition2="50000,0,10000" on="t" skewangle="180" viewpoint="34.7222222222222mm,0mm,250mm" viewpointorigin="0,0"/>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5F301"/>
    <w:multiLevelType w:val="singleLevel"/>
    <w:tmpl w:val="E885F301"/>
    <w:lvl w:ilvl="0" w:tentative="0">
      <w:start w:val="2"/>
      <w:numFmt w:val="chineseCounting"/>
      <w:suff w:val="nothing"/>
      <w:lvlText w:val="第%1部分　"/>
      <w:lvlJc w:val="left"/>
      <w:rPr>
        <w:rFonts w:hint="eastAsia"/>
      </w:rPr>
    </w:lvl>
  </w:abstractNum>
  <w:abstractNum w:abstractNumId="1">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245095B"/>
    <w:multiLevelType w:val="singleLevel"/>
    <w:tmpl w:val="0245095B"/>
    <w:lvl w:ilvl="0" w:tentative="0">
      <w:start w:val="6"/>
      <w:numFmt w:val="chineseCounting"/>
      <w:suff w:val="nothing"/>
      <w:lvlText w:val="第%1章　"/>
      <w:lvlJc w:val="left"/>
      <w:rPr>
        <w:rFonts w:hint="eastAsia"/>
      </w:rPr>
    </w:lvl>
  </w:abstractNum>
  <w:abstractNum w:abstractNumId="3">
    <w:nsid w:val="277C6737"/>
    <w:multiLevelType w:val="multilevel"/>
    <w:tmpl w:val="277C6737"/>
    <w:lvl w:ilvl="0" w:tentative="0">
      <w:start w:val="1"/>
      <w:numFmt w:val="japaneseCounting"/>
      <w:pStyle w:val="129"/>
      <w:lvlText w:val="第%1章"/>
      <w:lvlJc w:val="left"/>
      <w:pPr>
        <w:ind w:left="1020" w:hanging="10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E2F8307"/>
    <w:multiLevelType w:val="singleLevel"/>
    <w:tmpl w:val="7E2F8307"/>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4OWNjYWNkMjBmNGE5ZDI4M2VkY2U0NTkwZjBmOTIifQ=="/>
    <w:docVar w:name="KSO_WPS_MARK_KEY" w:val="44459013-c84c-4a84-a347-f2af6ab0d2dd"/>
  </w:docVars>
  <w:rsids>
    <w:rsidRoot w:val="00347557"/>
    <w:rsid w:val="00016C5E"/>
    <w:rsid w:val="000316D5"/>
    <w:rsid w:val="000318DA"/>
    <w:rsid w:val="00033FEF"/>
    <w:rsid w:val="00081457"/>
    <w:rsid w:val="00090A31"/>
    <w:rsid w:val="00091F55"/>
    <w:rsid w:val="000A788E"/>
    <w:rsid w:val="000B0CEC"/>
    <w:rsid w:val="000B27D9"/>
    <w:rsid w:val="000E0EE7"/>
    <w:rsid w:val="000E7AC0"/>
    <w:rsid w:val="00103E93"/>
    <w:rsid w:val="00117F41"/>
    <w:rsid w:val="001227CC"/>
    <w:rsid w:val="001246BD"/>
    <w:rsid w:val="00133A0B"/>
    <w:rsid w:val="00153A54"/>
    <w:rsid w:val="00175792"/>
    <w:rsid w:val="00190229"/>
    <w:rsid w:val="00195274"/>
    <w:rsid w:val="00197275"/>
    <w:rsid w:val="00197EEE"/>
    <w:rsid w:val="001A2BF8"/>
    <w:rsid w:val="001C3297"/>
    <w:rsid w:val="00200BE1"/>
    <w:rsid w:val="00214D3B"/>
    <w:rsid w:val="00245DC0"/>
    <w:rsid w:val="00250FC7"/>
    <w:rsid w:val="00267283"/>
    <w:rsid w:val="00272C41"/>
    <w:rsid w:val="002A0F05"/>
    <w:rsid w:val="002C0AC5"/>
    <w:rsid w:val="002C319C"/>
    <w:rsid w:val="00300CE0"/>
    <w:rsid w:val="003022B5"/>
    <w:rsid w:val="0031418D"/>
    <w:rsid w:val="00342A1D"/>
    <w:rsid w:val="00347557"/>
    <w:rsid w:val="00380D8E"/>
    <w:rsid w:val="00394A24"/>
    <w:rsid w:val="003B55D2"/>
    <w:rsid w:val="003C2C58"/>
    <w:rsid w:val="003D7C7B"/>
    <w:rsid w:val="003E3268"/>
    <w:rsid w:val="00427012"/>
    <w:rsid w:val="00443042"/>
    <w:rsid w:val="00463175"/>
    <w:rsid w:val="004B0646"/>
    <w:rsid w:val="004B0A71"/>
    <w:rsid w:val="004D59AD"/>
    <w:rsid w:val="005067D9"/>
    <w:rsid w:val="0054775D"/>
    <w:rsid w:val="00573187"/>
    <w:rsid w:val="00591B01"/>
    <w:rsid w:val="005A29B6"/>
    <w:rsid w:val="005B6165"/>
    <w:rsid w:val="005B7B45"/>
    <w:rsid w:val="005C6091"/>
    <w:rsid w:val="005E43CD"/>
    <w:rsid w:val="005F4201"/>
    <w:rsid w:val="00627F15"/>
    <w:rsid w:val="006320D9"/>
    <w:rsid w:val="006459DC"/>
    <w:rsid w:val="00680230"/>
    <w:rsid w:val="006920F3"/>
    <w:rsid w:val="006B2F3A"/>
    <w:rsid w:val="006C385E"/>
    <w:rsid w:val="006F03A0"/>
    <w:rsid w:val="0071136F"/>
    <w:rsid w:val="00716263"/>
    <w:rsid w:val="00723436"/>
    <w:rsid w:val="007350D3"/>
    <w:rsid w:val="00735230"/>
    <w:rsid w:val="00751C12"/>
    <w:rsid w:val="00761F8A"/>
    <w:rsid w:val="007903A5"/>
    <w:rsid w:val="007A0998"/>
    <w:rsid w:val="007A63B1"/>
    <w:rsid w:val="007B67C0"/>
    <w:rsid w:val="007C0B3F"/>
    <w:rsid w:val="007D245F"/>
    <w:rsid w:val="007F1223"/>
    <w:rsid w:val="007F3137"/>
    <w:rsid w:val="008003C6"/>
    <w:rsid w:val="00805D33"/>
    <w:rsid w:val="00814D41"/>
    <w:rsid w:val="008209F6"/>
    <w:rsid w:val="00822049"/>
    <w:rsid w:val="00833EEE"/>
    <w:rsid w:val="0085078A"/>
    <w:rsid w:val="00893777"/>
    <w:rsid w:val="008D0F61"/>
    <w:rsid w:val="008F700D"/>
    <w:rsid w:val="00910F3D"/>
    <w:rsid w:val="009206EF"/>
    <w:rsid w:val="00921747"/>
    <w:rsid w:val="00930020"/>
    <w:rsid w:val="0093006C"/>
    <w:rsid w:val="00954EDF"/>
    <w:rsid w:val="009562E9"/>
    <w:rsid w:val="009C62D7"/>
    <w:rsid w:val="009C7FAE"/>
    <w:rsid w:val="009D235E"/>
    <w:rsid w:val="009D572C"/>
    <w:rsid w:val="009D7E86"/>
    <w:rsid w:val="009E355D"/>
    <w:rsid w:val="009E5980"/>
    <w:rsid w:val="00A04EF4"/>
    <w:rsid w:val="00A05665"/>
    <w:rsid w:val="00A130F2"/>
    <w:rsid w:val="00A52801"/>
    <w:rsid w:val="00A63208"/>
    <w:rsid w:val="00A633B8"/>
    <w:rsid w:val="00A678B3"/>
    <w:rsid w:val="00A74C29"/>
    <w:rsid w:val="00A844D7"/>
    <w:rsid w:val="00A95F40"/>
    <w:rsid w:val="00A967F0"/>
    <w:rsid w:val="00AA0AC4"/>
    <w:rsid w:val="00AB658F"/>
    <w:rsid w:val="00B21A84"/>
    <w:rsid w:val="00B51AA6"/>
    <w:rsid w:val="00B55F9B"/>
    <w:rsid w:val="00B9132A"/>
    <w:rsid w:val="00BA1430"/>
    <w:rsid w:val="00BA470B"/>
    <w:rsid w:val="00BB2222"/>
    <w:rsid w:val="00BB5CC0"/>
    <w:rsid w:val="00BC62B1"/>
    <w:rsid w:val="00BF4B29"/>
    <w:rsid w:val="00C125ED"/>
    <w:rsid w:val="00C17CBB"/>
    <w:rsid w:val="00C33C4C"/>
    <w:rsid w:val="00C36136"/>
    <w:rsid w:val="00C76FD6"/>
    <w:rsid w:val="00C9092C"/>
    <w:rsid w:val="00C93F6F"/>
    <w:rsid w:val="00CA2366"/>
    <w:rsid w:val="00CB0BFA"/>
    <w:rsid w:val="00CD1948"/>
    <w:rsid w:val="00CD34AF"/>
    <w:rsid w:val="00CE73CE"/>
    <w:rsid w:val="00CF6616"/>
    <w:rsid w:val="00D07BAD"/>
    <w:rsid w:val="00D119DC"/>
    <w:rsid w:val="00D550B0"/>
    <w:rsid w:val="00D76834"/>
    <w:rsid w:val="00DA0B9B"/>
    <w:rsid w:val="00DB1A6F"/>
    <w:rsid w:val="00DE1796"/>
    <w:rsid w:val="00DE2C9D"/>
    <w:rsid w:val="00DF12FB"/>
    <w:rsid w:val="00E041BD"/>
    <w:rsid w:val="00E62496"/>
    <w:rsid w:val="00E634FA"/>
    <w:rsid w:val="00E6424B"/>
    <w:rsid w:val="00E64900"/>
    <w:rsid w:val="00E742C7"/>
    <w:rsid w:val="00E847B8"/>
    <w:rsid w:val="00EA6E1E"/>
    <w:rsid w:val="00EB4AC5"/>
    <w:rsid w:val="00EC1F8F"/>
    <w:rsid w:val="00ED67D8"/>
    <w:rsid w:val="00EE2944"/>
    <w:rsid w:val="00F115FE"/>
    <w:rsid w:val="00F1425C"/>
    <w:rsid w:val="00F14333"/>
    <w:rsid w:val="00F556D4"/>
    <w:rsid w:val="00F70E11"/>
    <w:rsid w:val="00FA491A"/>
    <w:rsid w:val="02A35FD5"/>
    <w:rsid w:val="0314419D"/>
    <w:rsid w:val="03A472FE"/>
    <w:rsid w:val="05151950"/>
    <w:rsid w:val="05791C6C"/>
    <w:rsid w:val="05D27519"/>
    <w:rsid w:val="064829DB"/>
    <w:rsid w:val="0988141C"/>
    <w:rsid w:val="09D936F7"/>
    <w:rsid w:val="0A937AE7"/>
    <w:rsid w:val="0C085D6A"/>
    <w:rsid w:val="0C152432"/>
    <w:rsid w:val="0C4A4530"/>
    <w:rsid w:val="0D072DEE"/>
    <w:rsid w:val="0D082A6E"/>
    <w:rsid w:val="0DF57B00"/>
    <w:rsid w:val="0E9C6708"/>
    <w:rsid w:val="0FF3196A"/>
    <w:rsid w:val="10E01064"/>
    <w:rsid w:val="113D59D7"/>
    <w:rsid w:val="114D01EF"/>
    <w:rsid w:val="11A223B5"/>
    <w:rsid w:val="11E71BE9"/>
    <w:rsid w:val="12AD10B0"/>
    <w:rsid w:val="13882DC4"/>
    <w:rsid w:val="13F10443"/>
    <w:rsid w:val="144F4060"/>
    <w:rsid w:val="15016082"/>
    <w:rsid w:val="15023B03"/>
    <w:rsid w:val="15597637"/>
    <w:rsid w:val="157F4881"/>
    <w:rsid w:val="15E35027"/>
    <w:rsid w:val="16EB272A"/>
    <w:rsid w:val="18D64F13"/>
    <w:rsid w:val="18E86D07"/>
    <w:rsid w:val="1AEF6A73"/>
    <w:rsid w:val="1AFC4CEC"/>
    <w:rsid w:val="1B01155A"/>
    <w:rsid w:val="1C5D6688"/>
    <w:rsid w:val="1CD43891"/>
    <w:rsid w:val="1CF538F9"/>
    <w:rsid w:val="1D027DA6"/>
    <w:rsid w:val="1D640D44"/>
    <w:rsid w:val="1E8A6792"/>
    <w:rsid w:val="1E946EB8"/>
    <w:rsid w:val="1E95493A"/>
    <w:rsid w:val="1E9D0594"/>
    <w:rsid w:val="1E9F0ACC"/>
    <w:rsid w:val="1ED541FF"/>
    <w:rsid w:val="1F9522DE"/>
    <w:rsid w:val="1FA215F4"/>
    <w:rsid w:val="1FDF0DA5"/>
    <w:rsid w:val="20124F0C"/>
    <w:rsid w:val="201D7A78"/>
    <w:rsid w:val="2078587E"/>
    <w:rsid w:val="21222FD3"/>
    <w:rsid w:val="222E0E2D"/>
    <w:rsid w:val="22395DB5"/>
    <w:rsid w:val="23236BD0"/>
    <w:rsid w:val="23E925A3"/>
    <w:rsid w:val="2496301F"/>
    <w:rsid w:val="24F07227"/>
    <w:rsid w:val="26924756"/>
    <w:rsid w:val="26E63E5F"/>
    <w:rsid w:val="2759091B"/>
    <w:rsid w:val="27AE55C0"/>
    <w:rsid w:val="27CA1ED3"/>
    <w:rsid w:val="28830B00"/>
    <w:rsid w:val="28EF7C3E"/>
    <w:rsid w:val="29B42CF8"/>
    <w:rsid w:val="2B497345"/>
    <w:rsid w:val="2B6568DD"/>
    <w:rsid w:val="2B773C5E"/>
    <w:rsid w:val="2C5524AE"/>
    <w:rsid w:val="2C68486B"/>
    <w:rsid w:val="2C8D1C48"/>
    <w:rsid w:val="2CD94E8D"/>
    <w:rsid w:val="2DB2688A"/>
    <w:rsid w:val="2FE853E7"/>
    <w:rsid w:val="3075660F"/>
    <w:rsid w:val="319B75A8"/>
    <w:rsid w:val="31A33CBC"/>
    <w:rsid w:val="31CC0DBF"/>
    <w:rsid w:val="32AF53D1"/>
    <w:rsid w:val="33964DB2"/>
    <w:rsid w:val="33BC6368"/>
    <w:rsid w:val="33C67C80"/>
    <w:rsid w:val="3523213B"/>
    <w:rsid w:val="35B74BAD"/>
    <w:rsid w:val="35C72C49"/>
    <w:rsid w:val="3696201C"/>
    <w:rsid w:val="372B09DB"/>
    <w:rsid w:val="3827300B"/>
    <w:rsid w:val="382F44FB"/>
    <w:rsid w:val="38521F98"/>
    <w:rsid w:val="386D514E"/>
    <w:rsid w:val="395E6FAD"/>
    <w:rsid w:val="3986639D"/>
    <w:rsid w:val="39F03816"/>
    <w:rsid w:val="3A190ACD"/>
    <w:rsid w:val="3A237115"/>
    <w:rsid w:val="3AA55FA3"/>
    <w:rsid w:val="3B042FB4"/>
    <w:rsid w:val="3B69242B"/>
    <w:rsid w:val="3C4547B3"/>
    <w:rsid w:val="3C771FCD"/>
    <w:rsid w:val="3C795D45"/>
    <w:rsid w:val="3CB12907"/>
    <w:rsid w:val="3D243E5F"/>
    <w:rsid w:val="3EDB405D"/>
    <w:rsid w:val="3EF065CE"/>
    <w:rsid w:val="3F302536"/>
    <w:rsid w:val="3F61340A"/>
    <w:rsid w:val="3FB908AE"/>
    <w:rsid w:val="40903AFC"/>
    <w:rsid w:val="410D1152"/>
    <w:rsid w:val="4198129E"/>
    <w:rsid w:val="41A41AB6"/>
    <w:rsid w:val="424B6FED"/>
    <w:rsid w:val="43040124"/>
    <w:rsid w:val="440D0C6D"/>
    <w:rsid w:val="447B78EA"/>
    <w:rsid w:val="44B41A58"/>
    <w:rsid w:val="45505343"/>
    <w:rsid w:val="4577303D"/>
    <w:rsid w:val="468123C6"/>
    <w:rsid w:val="46EE37D3"/>
    <w:rsid w:val="475D79CE"/>
    <w:rsid w:val="47E67906"/>
    <w:rsid w:val="47EF27B7"/>
    <w:rsid w:val="484A586D"/>
    <w:rsid w:val="48A84141"/>
    <w:rsid w:val="48B82823"/>
    <w:rsid w:val="48C73E6E"/>
    <w:rsid w:val="48F04535"/>
    <w:rsid w:val="49A52D5F"/>
    <w:rsid w:val="49C95F9C"/>
    <w:rsid w:val="49D1083E"/>
    <w:rsid w:val="4AE32C0A"/>
    <w:rsid w:val="4BB26C34"/>
    <w:rsid w:val="4C3A6B73"/>
    <w:rsid w:val="4C4E00DA"/>
    <w:rsid w:val="4C8B4024"/>
    <w:rsid w:val="4CE82F18"/>
    <w:rsid w:val="4D3F38CB"/>
    <w:rsid w:val="4E4B5067"/>
    <w:rsid w:val="4FB3621C"/>
    <w:rsid w:val="4FE21920"/>
    <w:rsid w:val="500362F0"/>
    <w:rsid w:val="52B97D06"/>
    <w:rsid w:val="52C825DD"/>
    <w:rsid w:val="5376147C"/>
    <w:rsid w:val="5413131F"/>
    <w:rsid w:val="54766E20"/>
    <w:rsid w:val="55481377"/>
    <w:rsid w:val="55886BA1"/>
    <w:rsid w:val="56336B0D"/>
    <w:rsid w:val="5645161A"/>
    <w:rsid w:val="570268B8"/>
    <w:rsid w:val="57045E05"/>
    <w:rsid w:val="58616E3F"/>
    <w:rsid w:val="58A545FC"/>
    <w:rsid w:val="59456704"/>
    <w:rsid w:val="5A6F20DD"/>
    <w:rsid w:val="5ABA1AE9"/>
    <w:rsid w:val="5B574A14"/>
    <w:rsid w:val="5BAB0599"/>
    <w:rsid w:val="5C6D3184"/>
    <w:rsid w:val="5D764607"/>
    <w:rsid w:val="5E556A51"/>
    <w:rsid w:val="6005158B"/>
    <w:rsid w:val="601B4929"/>
    <w:rsid w:val="60335A82"/>
    <w:rsid w:val="60695F4D"/>
    <w:rsid w:val="60AD570E"/>
    <w:rsid w:val="61453A66"/>
    <w:rsid w:val="61812E22"/>
    <w:rsid w:val="61BE5C44"/>
    <w:rsid w:val="629C7631"/>
    <w:rsid w:val="62B83782"/>
    <w:rsid w:val="634D79FB"/>
    <w:rsid w:val="637A07EE"/>
    <w:rsid w:val="637F7835"/>
    <w:rsid w:val="63EA73A4"/>
    <w:rsid w:val="65654809"/>
    <w:rsid w:val="658A543A"/>
    <w:rsid w:val="659B0E35"/>
    <w:rsid w:val="666D7E19"/>
    <w:rsid w:val="672A213D"/>
    <w:rsid w:val="673B646A"/>
    <w:rsid w:val="6759260E"/>
    <w:rsid w:val="677C7FF0"/>
    <w:rsid w:val="67E320BC"/>
    <w:rsid w:val="67F35C18"/>
    <w:rsid w:val="68BC0BE4"/>
    <w:rsid w:val="69382246"/>
    <w:rsid w:val="6949691B"/>
    <w:rsid w:val="6AA73F08"/>
    <w:rsid w:val="6B961BC0"/>
    <w:rsid w:val="6B9F44A0"/>
    <w:rsid w:val="6C700663"/>
    <w:rsid w:val="6CC1587C"/>
    <w:rsid w:val="6CD50C99"/>
    <w:rsid w:val="6CD61F9E"/>
    <w:rsid w:val="6CD86F6B"/>
    <w:rsid w:val="6CD97D2D"/>
    <w:rsid w:val="6D2A25C0"/>
    <w:rsid w:val="6DA170E8"/>
    <w:rsid w:val="6DD775C2"/>
    <w:rsid w:val="6E2039C3"/>
    <w:rsid w:val="6FEA072C"/>
    <w:rsid w:val="705636CC"/>
    <w:rsid w:val="711A6178"/>
    <w:rsid w:val="71B0198F"/>
    <w:rsid w:val="72027272"/>
    <w:rsid w:val="725B417D"/>
    <w:rsid w:val="726915C0"/>
    <w:rsid w:val="726A28C4"/>
    <w:rsid w:val="72A0578F"/>
    <w:rsid w:val="72C651DC"/>
    <w:rsid w:val="73075151"/>
    <w:rsid w:val="73D03795"/>
    <w:rsid w:val="73EE4C3F"/>
    <w:rsid w:val="74237697"/>
    <w:rsid w:val="7457466E"/>
    <w:rsid w:val="752E6CBD"/>
    <w:rsid w:val="758645D5"/>
    <w:rsid w:val="75DA6B4D"/>
    <w:rsid w:val="77400C32"/>
    <w:rsid w:val="775C3661"/>
    <w:rsid w:val="7870537D"/>
    <w:rsid w:val="79CC46E0"/>
    <w:rsid w:val="7A484613"/>
    <w:rsid w:val="7A4C04B1"/>
    <w:rsid w:val="7AF4420D"/>
    <w:rsid w:val="7B455C67"/>
    <w:rsid w:val="7B712812"/>
    <w:rsid w:val="7BB3085C"/>
    <w:rsid w:val="7CAC235D"/>
    <w:rsid w:val="7CC55842"/>
    <w:rsid w:val="7D060110"/>
    <w:rsid w:val="7D641B1E"/>
    <w:rsid w:val="7D87580C"/>
    <w:rsid w:val="7E0B10E3"/>
    <w:rsid w:val="7E225337"/>
    <w:rsid w:val="7E6E1817"/>
    <w:rsid w:val="7EAB72D9"/>
    <w:rsid w:val="7FA204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4"/>
    <w:qFormat/>
    <w:uiPriority w:val="0"/>
    <w:pPr>
      <w:keepNext/>
      <w:keepLines/>
      <w:spacing w:line="360" w:lineRule="auto"/>
      <w:jc w:val="center"/>
      <w:outlineLvl w:val="0"/>
    </w:pPr>
    <w:rPr>
      <w:rFonts w:ascii="Calibri" w:hAnsi="Calibri" w:eastAsia="宋体" w:cs="Times New Roman"/>
      <w:b/>
      <w:bCs/>
      <w:kern w:val="44"/>
      <w:sz w:val="28"/>
      <w:szCs w:val="44"/>
    </w:rPr>
  </w:style>
  <w:style w:type="paragraph" w:styleId="3">
    <w:name w:val="heading 2"/>
    <w:basedOn w:val="1"/>
    <w:next w:val="1"/>
    <w:link w:val="44"/>
    <w:qFormat/>
    <w:uiPriority w:val="9"/>
    <w:pPr>
      <w:keepNext/>
      <w:keepLines/>
      <w:spacing w:before="260" w:after="260" w:line="413" w:lineRule="auto"/>
      <w:jc w:val="center"/>
      <w:outlineLvl w:val="1"/>
    </w:pPr>
    <w:rPr>
      <w:rFonts w:ascii="Arial" w:hAnsi="Arial" w:eastAsia="黑体" w:cs="Times New Roman"/>
      <w:b/>
      <w:kern w:val="0"/>
      <w:sz w:val="28"/>
      <w:szCs w:val="20"/>
    </w:rPr>
  </w:style>
  <w:style w:type="paragraph" w:styleId="4">
    <w:name w:val="heading 3"/>
    <w:basedOn w:val="1"/>
    <w:next w:val="1"/>
    <w:link w:val="45"/>
    <w:qFormat/>
    <w:uiPriority w:val="9"/>
    <w:pPr>
      <w:keepNext/>
      <w:keepLines/>
      <w:spacing w:line="360" w:lineRule="auto"/>
      <w:jc w:val="center"/>
      <w:outlineLvl w:val="2"/>
    </w:pPr>
    <w:rPr>
      <w:rFonts w:ascii="Calibri" w:hAnsi="Calibri" w:eastAsia="宋体" w:cs="Times New Roman"/>
      <w:b/>
      <w:kern w:val="0"/>
      <w:sz w:val="24"/>
      <w:szCs w:val="20"/>
    </w:rPr>
  </w:style>
  <w:style w:type="paragraph" w:styleId="5">
    <w:name w:val="heading 4"/>
    <w:basedOn w:val="1"/>
    <w:next w:val="1"/>
    <w:link w:val="46"/>
    <w:qFormat/>
    <w:uiPriority w:val="99"/>
    <w:pPr>
      <w:keepNext/>
      <w:keepLines/>
      <w:spacing w:before="280" w:after="290" w:line="376" w:lineRule="auto"/>
      <w:jc w:val="center"/>
      <w:outlineLvl w:val="3"/>
    </w:pPr>
    <w:rPr>
      <w:rFonts w:ascii="Calibri Light" w:hAnsi="Calibri Light" w:eastAsia="宋体" w:cs="Times New Roman"/>
      <w:b/>
      <w:bCs/>
      <w:kern w:val="0"/>
      <w:sz w:val="24"/>
      <w:szCs w:val="28"/>
    </w:rPr>
  </w:style>
  <w:style w:type="paragraph" w:styleId="6">
    <w:name w:val="heading 5"/>
    <w:basedOn w:val="1"/>
    <w:next w:val="1"/>
    <w:link w:val="47"/>
    <w:qFormat/>
    <w:uiPriority w:val="0"/>
    <w:pPr>
      <w:keepNext/>
      <w:keepLines/>
      <w:spacing w:before="280" w:after="290" w:line="376" w:lineRule="auto"/>
      <w:jc w:val="center"/>
      <w:outlineLvl w:val="4"/>
    </w:pPr>
    <w:rPr>
      <w:rFonts w:ascii="Calibri" w:hAnsi="Calibri" w:eastAsia="宋体" w:cs="Times New Roman"/>
      <w:b/>
      <w:bCs/>
      <w:kern w:val="0"/>
      <w:szCs w:val="28"/>
    </w:rPr>
  </w:style>
  <w:style w:type="paragraph" w:styleId="7">
    <w:name w:val="heading 6"/>
    <w:basedOn w:val="1"/>
    <w:next w:val="1"/>
    <w:link w:val="48"/>
    <w:qFormat/>
    <w:uiPriority w:val="99"/>
    <w:pPr>
      <w:keepNext/>
      <w:keepLines/>
      <w:spacing w:before="240" w:after="64" w:line="320" w:lineRule="auto"/>
      <w:outlineLvl w:val="5"/>
    </w:pPr>
    <w:rPr>
      <w:rFonts w:ascii="Calibri Light" w:hAnsi="Calibri Light" w:eastAsia="宋体" w:cs="Times New Roman"/>
      <w:b/>
      <w:bCs/>
      <w:kern w:val="0"/>
      <w:sz w:val="24"/>
      <w:szCs w:val="24"/>
    </w:rPr>
  </w:style>
  <w:style w:type="paragraph" w:styleId="8">
    <w:name w:val="heading 7"/>
    <w:basedOn w:val="1"/>
    <w:next w:val="1"/>
    <w:link w:val="49"/>
    <w:qFormat/>
    <w:uiPriority w:val="99"/>
    <w:pPr>
      <w:keepNext/>
      <w:keepLines/>
      <w:spacing w:before="240" w:after="64" w:line="320" w:lineRule="auto"/>
      <w:outlineLvl w:val="6"/>
    </w:pPr>
    <w:rPr>
      <w:rFonts w:ascii="Calibri" w:hAnsi="Calibri" w:eastAsia="宋体" w:cs="Times New Roman"/>
      <w:b/>
      <w:bCs/>
      <w:kern w:val="0"/>
      <w:sz w:val="24"/>
      <w:szCs w:val="24"/>
    </w:rPr>
  </w:style>
  <w:style w:type="paragraph" w:styleId="9">
    <w:name w:val="heading 8"/>
    <w:basedOn w:val="1"/>
    <w:next w:val="1"/>
    <w:link w:val="50"/>
    <w:qFormat/>
    <w:uiPriority w:val="99"/>
    <w:pPr>
      <w:keepNext/>
      <w:keepLines/>
      <w:spacing w:before="240" w:after="64" w:line="320" w:lineRule="auto"/>
      <w:outlineLvl w:val="7"/>
    </w:pPr>
    <w:rPr>
      <w:rFonts w:ascii="Calibri Light" w:hAnsi="Calibri Light" w:eastAsia="宋体" w:cs="Times New Roman"/>
      <w:kern w:val="0"/>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unhideWhenUsed/>
    <w:qFormat/>
    <w:uiPriority w:val="39"/>
    <w:pPr>
      <w:ind w:left="2520" w:leftChars="1200"/>
    </w:pPr>
    <w:rPr>
      <w:rFonts w:ascii="Calibri" w:hAnsi="Calibri" w:eastAsia="宋体" w:cs="Times New Roman"/>
    </w:rPr>
  </w:style>
  <w:style w:type="paragraph" w:styleId="11">
    <w:name w:val="Normal Indent"/>
    <w:basedOn w:val="1"/>
    <w:qFormat/>
    <w:uiPriority w:val="99"/>
    <w:pPr>
      <w:ind w:firstLine="420"/>
    </w:pPr>
    <w:rPr>
      <w:rFonts w:ascii="Calibri" w:hAnsi="Calibri" w:eastAsia="宋体" w:cs="Times New Roman"/>
      <w:szCs w:val="20"/>
    </w:rPr>
  </w:style>
  <w:style w:type="paragraph" w:styleId="12">
    <w:name w:val="Document Map"/>
    <w:basedOn w:val="1"/>
    <w:link w:val="51"/>
    <w:unhideWhenUsed/>
    <w:qFormat/>
    <w:uiPriority w:val="99"/>
    <w:rPr>
      <w:rFonts w:ascii="宋体" w:hAnsi="Calibri" w:eastAsia="宋体" w:cs="Times New Roman"/>
      <w:sz w:val="18"/>
      <w:szCs w:val="18"/>
    </w:rPr>
  </w:style>
  <w:style w:type="paragraph" w:styleId="13">
    <w:name w:val="annotation text"/>
    <w:basedOn w:val="1"/>
    <w:link w:val="52"/>
    <w:qFormat/>
    <w:uiPriority w:val="99"/>
    <w:pPr>
      <w:jc w:val="left"/>
    </w:pPr>
    <w:rPr>
      <w:rFonts w:ascii="Calibri" w:hAnsi="Calibri" w:eastAsia="宋体" w:cs="Times New Roman"/>
      <w:kern w:val="0"/>
      <w:sz w:val="20"/>
      <w:szCs w:val="20"/>
    </w:rPr>
  </w:style>
  <w:style w:type="paragraph" w:styleId="14">
    <w:name w:val="Body Text"/>
    <w:basedOn w:val="1"/>
    <w:next w:val="1"/>
    <w:link w:val="53"/>
    <w:unhideWhenUsed/>
    <w:qFormat/>
    <w:uiPriority w:val="0"/>
    <w:pPr>
      <w:spacing w:after="120"/>
    </w:pPr>
    <w:rPr>
      <w:rFonts w:ascii="Times New Roman" w:hAnsi="Times New Roman" w:eastAsia="宋体" w:cs="Times New Roman"/>
      <w:szCs w:val="24"/>
    </w:rPr>
  </w:style>
  <w:style w:type="paragraph" w:styleId="15">
    <w:name w:val="Body Text Indent"/>
    <w:basedOn w:val="1"/>
    <w:next w:val="1"/>
    <w:link w:val="54"/>
    <w:qFormat/>
    <w:uiPriority w:val="0"/>
    <w:pPr>
      <w:tabs>
        <w:tab w:val="left" w:pos="3075"/>
      </w:tabs>
      <w:adjustRightInd w:val="0"/>
      <w:snapToGrid w:val="0"/>
      <w:spacing w:line="420" w:lineRule="exact"/>
      <w:ind w:firstLine="538" w:firstLineChars="207"/>
    </w:pPr>
    <w:rPr>
      <w:rFonts w:ascii="仿宋_GB2312" w:hAnsi="华文中宋" w:eastAsia="仿宋_GB2312" w:cs="Times New Roman"/>
      <w:bCs/>
      <w:color w:val="000000"/>
      <w:spacing w:val="-10"/>
      <w:sz w:val="24"/>
      <w:szCs w:val="24"/>
    </w:rPr>
  </w:style>
  <w:style w:type="paragraph" w:styleId="16">
    <w:name w:val="toc 5"/>
    <w:basedOn w:val="1"/>
    <w:next w:val="1"/>
    <w:unhideWhenUsed/>
    <w:qFormat/>
    <w:uiPriority w:val="39"/>
    <w:pPr>
      <w:ind w:left="1680" w:leftChars="800"/>
    </w:pPr>
    <w:rPr>
      <w:rFonts w:ascii="Calibri" w:hAnsi="Calibri" w:eastAsia="宋体" w:cs="Times New Roman"/>
    </w:rPr>
  </w:style>
  <w:style w:type="paragraph" w:styleId="17">
    <w:name w:val="toc 3"/>
    <w:basedOn w:val="1"/>
    <w:next w:val="1"/>
    <w:qFormat/>
    <w:uiPriority w:val="39"/>
    <w:pPr>
      <w:widowControl/>
      <w:ind w:left="400" w:right="255"/>
    </w:pPr>
    <w:rPr>
      <w:rFonts w:ascii="Times New Roman" w:hAnsi="Times New Roman" w:eastAsia="宋体" w:cs="Times New Roman"/>
      <w:kern w:val="0"/>
      <w:sz w:val="24"/>
      <w:szCs w:val="20"/>
    </w:rPr>
  </w:style>
  <w:style w:type="paragraph" w:styleId="18">
    <w:name w:val="Plain Text"/>
    <w:basedOn w:val="1"/>
    <w:link w:val="55"/>
    <w:qFormat/>
    <w:uiPriority w:val="99"/>
    <w:rPr>
      <w:rFonts w:ascii="宋体" w:hAnsi="Courier New" w:eastAsia="宋体" w:cs="Times New Roman"/>
      <w:kern w:val="0"/>
      <w:sz w:val="20"/>
      <w:szCs w:val="21"/>
    </w:rPr>
  </w:style>
  <w:style w:type="paragraph" w:styleId="19">
    <w:name w:val="Date"/>
    <w:basedOn w:val="1"/>
    <w:next w:val="1"/>
    <w:link w:val="56"/>
    <w:unhideWhenUsed/>
    <w:qFormat/>
    <w:uiPriority w:val="99"/>
    <w:pPr>
      <w:ind w:left="100" w:leftChars="2500"/>
    </w:pPr>
    <w:rPr>
      <w:rFonts w:ascii="Calibri" w:hAnsi="Calibri" w:eastAsia="宋体" w:cs="Times New Roman"/>
    </w:rPr>
  </w:style>
  <w:style w:type="paragraph" w:styleId="20">
    <w:name w:val="Body Text Indent 2"/>
    <w:basedOn w:val="1"/>
    <w:link w:val="57"/>
    <w:qFormat/>
    <w:uiPriority w:val="99"/>
    <w:pPr>
      <w:ind w:firstLine="480"/>
    </w:pPr>
    <w:rPr>
      <w:rFonts w:ascii="宋体" w:hAnsi="宋体" w:eastAsia="宋体" w:cs="Times New Roman"/>
      <w:sz w:val="30"/>
      <w:szCs w:val="24"/>
    </w:rPr>
  </w:style>
  <w:style w:type="paragraph" w:styleId="21">
    <w:name w:val="Balloon Text"/>
    <w:basedOn w:val="1"/>
    <w:link w:val="65"/>
    <w:qFormat/>
    <w:uiPriority w:val="99"/>
    <w:rPr>
      <w:rFonts w:ascii="Calibri" w:hAnsi="Calibri" w:eastAsia="宋体" w:cs="Times New Roman"/>
      <w:kern w:val="0"/>
      <w:sz w:val="18"/>
      <w:szCs w:val="18"/>
    </w:rPr>
  </w:style>
  <w:style w:type="paragraph" w:styleId="22">
    <w:name w:val="footer"/>
    <w:basedOn w:val="1"/>
    <w:link w:val="59"/>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23">
    <w:name w:val="header"/>
    <w:basedOn w:val="1"/>
    <w:link w:val="60"/>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4">
    <w:name w:val="toc 1"/>
    <w:basedOn w:val="1"/>
    <w:next w:val="1"/>
    <w:qFormat/>
    <w:uiPriority w:val="39"/>
    <w:rPr>
      <w:rFonts w:ascii="Times New Roman" w:hAnsi="Times New Roman" w:eastAsia="宋体" w:cs="Times New Roman"/>
      <w:szCs w:val="20"/>
    </w:rPr>
  </w:style>
  <w:style w:type="paragraph" w:styleId="25">
    <w:name w:val="toc 4"/>
    <w:basedOn w:val="1"/>
    <w:next w:val="1"/>
    <w:unhideWhenUsed/>
    <w:qFormat/>
    <w:uiPriority w:val="39"/>
    <w:pPr>
      <w:ind w:left="1260" w:leftChars="600"/>
    </w:pPr>
    <w:rPr>
      <w:rFonts w:ascii="Calibri" w:hAnsi="Calibri" w:eastAsia="宋体" w:cs="Times New Roman"/>
    </w:rPr>
  </w:style>
  <w:style w:type="paragraph" w:styleId="26">
    <w:name w:val="footnote text"/>
    <w:basedOn w:val="1"/>
    <w:qFormat/>
    <w:uiPriority w:val="0"/>
    <w:pPr>
      <w:jc w:val="left"/>
    </w:pPr>
    <w:rPr>
      <w:sz w:val="18"/>
    </w:rPr>
  </w:style>
  <w:style w:type="paragraph" w:styleId="27">
    <w:name w:val="toc 6"/>
    <w:basedOn w:val="1"/>
    <w:next w:val="1"/>
    <w:unhideWhenUsed/>
    <w:qFormat/>
    <w:uiPriority w:val="39"/>
    <w:pPr>
      <w:tabs>
        <w:tab w:val="right" w:leader="dot" w:pos="8296"/>
      </w:tabs>
      <w:ind w:left="2100" w:leftChars="1000"/>
      <w:jc w:val="left"/>
    </w:pPr>
    <w:rPr>
      <w:rFonts w:ascii="Calibri" w:hAnsi="Calibri" w:eastAsia="宋体" w:cs="Times New Roman"/>
    </w:rPr>
  </w:style>
  <w:style w:type="paragraph" w:styleId="28">
    <w:name w:val="index 9"/>
    <w:basedOn w:val="1"/>
    <w:next w:val="1"/>
    <w:qFormat/>
    <w:uiPriority w:val="0"/>
    <w:pPr>
      <w:ind w:left="1600" w:leftChars="1600"/>
    </w:pPr>
    <w:rPr>
      <w:rFonts w:ascii="Times New Roman" w:hAnsi="Times New Roman" w:eastAsia="宋体" w:cs="Times New Roman"/>
      <w:szCs w:val="20"/>
    </w:rPr>
  </w:style>
  <w:style w:type="paragraph" w:styleId="29">
    <w:name w:val="toc 2"/>
    <w:basedOn w:val="1"/>
    <w:next w:val="1"/>
    <w:qFormat/>
    <w:uiPriority w:val="39"/>
    <w:pPr>
      <w:ind w:left="420" w:leftChars="200"/>
    </w:pPr>
    <w:rPr>
      <w:rFonts w:ascii="Times New Roman" w:hAnsi="Times New Roman" w:eastAsia="宋体" w:cs="Times New Roman"/>
      <w:szCs w:val="20"/>
    </w:rPr>
  </w:style>
  <w:style w:type="paragraph" w:styleId="3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1">
    <w:name w:val="Title"/>
    <w:basedOn w:val="1"/>
    <w:qFormat/>
    <w:uiPriority w:val="0"/>
    <w:pPr>
      <w:spacing w:before="240" w:after="60"/>
      <w:jc w:val="center"/>
      <w:outlineLvl w:val="0"/>
    </w:pPr>
    <w:rPr>
      <w:rFonts w:ascii="等线 Light" w:hAnsi="等线 Light" w:eastAsia="宋体" w:cs="等线 Light"/>
      <w:b/>
      <w:bCs/>
      <w:sz w:val="32"/>
      <w:szCs w:val="32"/>
    </w:rPr>
  </w:style>
  <w:style w:type="paragraph" w:styleId="32">
    <w:name w:val="annotation subject"/>
    <w:basedOn w:val="13"/>
    <w:next w:val="13"/>
    <w:link w:val="61"/>
    <w:qFormat/>
    <w:uiPriority w:val="99"/>
    <w:rPr>
      <w:b/>
      <w:bCs/>
    </w:rPr>
  </w:style>
  <w:style w:type="paragraph" w:styleId="33">
    <w:name w:val="Body Text First Indent"/>
    <w:basedOn w:val="14"/>
    <w:link w:val="66"/>
    <w:qFormat/>
    <w:uiPriority w:val="0"/>
    <w:pPr>
      <w:ind w:firstLine="420" w:firstLineChars="100"/>
    </w:pPr>
  </w:style>
  <w:style w:type="paragraph" w:styleId="34">
    <w:name w:val="Body Text First Indent 2"/>
    <w:basedOn w:val="15"/>
    <w:link w:val="63"/>
    <w:qFormat/>
    <w:uiPriority w:val="0"/>
    <w:pPr>
      <w:ind w:firstLine="420" w:firstLineChars="2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22"/>
    <w:rPr>
      <w:b/>
      <w:bCs/>
    </w:rPr>
  </w:style>
  <w:style w:type="character" w:styleId="39">
    <w:name w:val="page number"/>
    <w:qFormat/>
    <w:uiPriority w:val="0"/>
  </w:style>
  <w:style w:type="character" w:styleId="40">
    <w:name w:val="Hyperlink"/>
    <w:qFormat/>
    <w:uiPriority w:val="99"/>
    <w:rPr>
      <w:color w:val="0563C1"/>
      <w:u w:val="single"/>
    </w:rPr>
  </w:style>
  <w:style w:type="character" w:styleId="41">
    <w:name w:val="annotation reference"/>
    <w:qFormat/>
    <w:uiPriority w:val="99"/>
    <w:rPr>
      <w:sz w:val="21"/>
      <w:szCs w:val="21"/>
    </w:rPr>
  </w:style>
  <w:style w:type="character" w:styleId="42">
    <w:name w:val="HTML Sample"/>
    <w:unhideWhenUsed/>
    <w:qFormat/>
    <w:uiPriority w:val="99"/>
    <w:rPr>
      <w:rFonts w:ascii="宋体" w:hAnsi="宋体" w:eastAsia="宋体" w:cs="宋体"/>
    </w:rPr>
  </w:style>
  <w:style w:type="character" w:customStyle="1" w:styleId="43">
    <w:name w:val="标题 1 Char"/>
    <w:basedOn w:val="37"/>
    <w:qFormat/>
    <w:uiPriority w:val="0"/>
    <w:rPr>
      <w:b/>
      <w:bCs/>
      <w:kern w:val="44"/>
      <w:sz w:val="44"/>
      <w:szCs w:val="44"/>
    </w:rPr>
  </w:style>
  <w:style w:type="character" w:customStyle="1" w:styleId="44">
    <w:name w:val="标题 2 Char"/>
    <w:basedOn w:val="37"/>
    <w:link w:val="3"/>
    <w:qFormat/>
    <w:uiPriority w:val="9"/>
    <w:rPr>
      <w:rFonts w:ascii="Arial" w:hAnsi="Arial" w:eastAsia="黑体" w:cs="Times New Roman"/>
      <w:b/>
      <w:kern w:val="0"/>
      <w:sz w:val="28"/>
      <w:szCs w:val="20"/>
    </w:rPr>
  </w:style>
  <w:style w:type="character" w:customStyle="1" w:styleId="45">
    <w:name w:val="标题 3 Char"/>
    <w:basedOn w:val="37"/>
    <w:link w:val="4"/>
    <w:qFormat/>
    <w:uiPriority w:val="9"/>
    <w:rPr>
      <w:rFonts w:ascii="Calibri" w:hAnsi="Calibri" w:eastAsia="宋体" w:cs="Times New Roman"/>
      <w:b/>
      <w:kern w:val="0"/>
      <w:sz w:val="24"/>
      <w:szCs w:val="20"/>
    </w:rPr>
  </w:style>
  <w:style w:type="character" w:customStyle="1" w:styleId="46">
    <w:name w:val="标题 4 Char"/>
    <w:basedOn w:val="37"/>
    <w:link w:val="5"/>
    <w:qFormat/>
    <w:uiPriority w:val="99"/>
    <w:rPr>
      <w:rFonts w:ascii="Calibri Light" w:hAnsi="Calibri Light" w:eastAsia="宋体" w:cs="Times New Roman"/>
      <w:b/>
      <w:bCs/>
      <w:kern w:val="0"/>
      <w:sz w:val="24"/>
      <w:szCs w:val="28"/>
    </w:rPr>
  </w:style>
  <w:style w:type="character" w:customStyle="1" w:styleId="47">
    <w:name w:val="标题 5 Char"/>
    <w:basedOn w:val="37"/>
    <w:link w:val="6"/>
    <w:qFormat/>
    <w:uiPriority w:val="0"/>
    <w:rPr>
      <w:rFonts w:ascii="Calibri" w:hAnsi="Calibri" w:eastAsia="宋体" w:cs="Times New Roman"/>
      <w:b/>
      <w:bCs/>
      <w:kern w:val="0"/>
      <w:szCs w:val="28"/>
    </w:rPr>
  </w:style>
  <w:style w:type="character" w:customStyle="1" w:styleId="48">
    <w:name w:val="标题 6 Char"/>
    <w:basedOn w:val="37"/>
    <w:link w:val="7"/>
    <w:qFormat/>
    <w:uiPriority w:val="99"/>
    <w:rPr>
      <w:rFonts w:ascii="Calibri Light" w:hAnsi="Calibri Light" w:eastAsia="宋体" w:cs="Times New Roman"/>
      <w:b/>
      <w:bCs/>
      <w:kern w:val="0"/>
      <w:sz w:val="24"/>
      <w:szCs w:val="24"/>
    </w:rPr>
  </w:style>
  <w:style w:type="character" w:customStyle="1" w:styleId="49">
    <w:name w:val="标题 7 Char"/>
    <w:basedOn w:val="37"/>
    <w:link w:val="8"/>
    <w:qFormat/>
    <w:uiPriority w:val="99"/>
    <w:rPr>
      <w:rFonts w:ascii="Calibri" w:hAnsi="Calibri" w:eastAsia="宋体" w:cs="Times New Roman"/>
      <w:b/>
      <w:bCs/>
      <w:kern w:val="0"/>
      <w:sz w:val="24"/>
      <w:szCs w:val="24"/>
    </w:rPr>
  </w:style>
  <w:style w:type="character" w:customStyle="1" w:styleId="50">
    <w:name w:val="标题 8 Char"/>
    <w:basedOn w:val="37"/>
    <w:link w:val="9"/>
    <w:qFormat/>
    <w:uiPriority w:val="99"/>
    <w:rPr>
      <w:rFonts w:ascii="Calibri Light" w:hAnsi="Calibri Light" w:eastAsia="宋体" w:cs="Times New Roman"/>
      <w:kern w:val="0"/>
      <w:sz w:val="24"/>
      <w:szCs w:val="24"/>
    </w:rPr>
  </w:style>
  <w:style w:type="character" w:customStyle="1" w:styleId="51">
    <w:name w:val="文档结构图 Char"/>
    <w:basedOn w:val="37"/>
    <w:link w:val="12"/>
    <w:qFormat/>
    <w:uiPriority w:val="99"/>
    <w:rPr>
      <w:rFonts w:ascii="宋体" w:hAnsi="Calibri" w:eastAsia="宋体" w:cs="Times New Roman"/>
      <w:sz w:val="18"/>
      <w:szCs w:val="18"/>
    </w:rPr>
  </w:style>
  <w:style w:type="character" w:customStyle="1" w:styleId="52">
    <w:name w:val="批注文字 Char"/>
    <w:basedOn w:val="37"/>
    <w:link w:val="13"/>
    <w:qFormat/>
    <w:uiPriority w:val="99"/>
    <w:rPr>
      <w:rFonts w:ascii="Calibri" w:hAnsi="Calibri" w:eastAsia="宋体" w:cs="Times New Roman"/>
      <w:kern w:val="0"/>
      <w:sz w:val="20"/>
      <w:szCs w:val="20"/>
    </w:rPr>
  </w:style>
  <w:style w:type="character" w:customStyle="1" w:styleId="53">
    <w:name w:val="正文文本 Char"/>
    <w:basedOn w:val="37"/>
    <w:link w:val="14"/>
    <w:qFormat/>
    <w:uiPriority w:val="0"/>
    <w:rPr>
      <w:rFonts w:ascii="Times New Roman" w:hAnsi="Times New Roman" w:eastAsia="宋体" w:cs="Times New Roman"/>
      <w:szCs w:val="24"/>
    </w:rPr>
  </w:style>
  <w:style w:type="character" w:customStyle="1" w:styleId="54">
    <w:name w:val="正文文本缩进 Char"/>
    <w:basedOn w:val="37"/>
    <w:link w:val="15"/>
    <w:qFormat/>
    <w:uiPriority w:val="0"/>
    <w:rPr>
      <w:rFonts w:ascii="仿宋_GB2312" w:hAnsi="华文中宋" w:eastAsia="仿宋_GB2312" w:cs="Times New Roman"/>
      <w:bCs/>
      <w:color w:val="000000"/>
      <w:spacing w:val="-10"/>
      <w:sz w:val="24"/>
      <w:szCs w:val="24"/>
    </w:rPr>
  </w:style>
  <w:style w:type="character" w:customStyle="1" w:styleId="55">
    <w:name w:val="纯文本 Char"/>
    <w:basedOn w:val="37"/>
    <w:link w:val="18"/>
    <w:qFormat/>
    <w:uiPriority w:val="99"/>
    <w:rPr>
      <w:rFonts w:ascii="宋体" w:hAnsi="Courier New" w:eastAsia="宋体" w:cs="Times New Roman"/>
      <w:kern w:val="0"/>
      <w:sz w:val="20"/>
      <w:szCs w:val="21"/>
    </w:rPr>
  </w:style>
  <w:style w:type="character" w:customStyle="1" w:styleId="56">
    <w:name w:val="日期 Char"/>
    <w:basedOn w:val="37"/>
    <w:link w:val="19"/>
    <w:qFormat/>
    <w:uiPriority w:val="99"/>
    <w:rPr>
      <w:rFonts w:ascii="Calibri" w:hAnsi="Calibri" w:eastAsia="宋体" w:cs="Times New Roman"/>
    </w:rPr>
  </w:style>
  <w:style w:type="character" w:customStyle="1" w:styleId="57">
    <w:name w:val="正文文本缩进 2 Char"/>
    <w:basedOn w:val="37"/>
    <w:link w:val="20"/>
    <w:qFormat/>
    <w:uiPriority w:val="99"/>
    <w:rPr>
      <w:rFonts w:ascii="宋体" w:hAnsi="宋体" w:eastAsia="宋体" w:cs="Times New Roman"/>
      <w:sz w:val="30"/>
      <w:szCs w:val="24"/>
    </w:rPr>
  </w:style>
  <w:style w:type="character" w:customStyle="1" w:styleId="58">
    <w:name w:val="批注框文本 Char"/>
    <w:basedOn w:val="37"/>
    <w:qFormat/>
    <w:uiPriority w:val="99"/>
    <w:rPr>
      <w:sz w:val="18"/>
      <w:szCs w:val="18"/>
    </w:rPr>
  </w:style>
  <w:style w:type="character" w:customStyle="1" w:styleId="59">
    <w:name w:val="页脚 Char"/>
    <w:basedOn w:val="37"/>
    <w:link w:val="22"/>
    <w:qFormat/>
    <w:uiPriority w:val="99"/>
    <w:rPr>
      <w:rFonts w:ascii="Times New Roman" w:hAnsi="Times New Roman" w:eastAsia="宋体" w:cs="Times New Roman"/>
      <w:kern w:val="0"/>
      <w:sz w:val="18"/>
      <w:szCs w:val="18"/>
    </w:rPr>
  </w:style>
  <w:style w:type="character" w:customStyle="1" w:styleId="60">
    <w:name w:val="页眉 Char"/>
    <w:basedOn w:val="37"/>
    <w:link w:val="23"/>
    <w:qFormat/>
    <w:uiPriority w:val="99"/>
    <w:rPr>
      <w:rFonts w:ascii="Times New Roman" w:hAnsi="Times New Roman" w:eastAsia="宋体" w:cs="Times New Roman"/>
      <w:kern w:val="0"/>
      <w:sz w:val="18"/>
      <w:szCs w:val="18"/>
    </w:rPr>
  </w:style>
  <w:style w:type="character" w:customStyle="1" w:styleId="61">
    <w:name w:val="批注主题 Char"/>
    <w:basedOn w:val="52"/>
    <w:link w:val="32"/>
    <w:qFormat/>
    <w:uiPriority w:val="0"/>
    <w:rPr>
      <w:rFonts w:ascii="Calibri" w:hAnsi="Calibri" w:eastAsia="宋体" w:cs="Times New Roman"/>
      <w:b/>
      <w:bCs/>
      <w:kern w:val="0"/>
      <w:sz w:val="20"/>
      <w:szCs w:val="20"/>
    </w:rPr>
  </w:style>
  <w:style w:type="character" w:customStyle="1" w:styleId="62">
    <w:name w:val="正文首行缩进 Char"/>
    <w:basedOn w:val="53"/>
    <w:qFormat/>
    <w:uiPriority w:val="0"/>
    <w:rPr>
      <w:rFonts w:ascii="Times New Roman" w:hAnsi="Times New Roman" w:eastAsia="宋体" w:cs="Times New Roman"/>
      <w:szCs w:val="24"/>
    </w:rPr>
  </w:style>
  <w:style w:type="character" w:customStyle="1" w:styleId="63">
    <w:name w:val="正文首行缩进 2 Char"/>
    <w:basedOn w:val="54"/>
    <w:link w:val="34"/>
    <w:qFormat/>
    <w:uiPriority w:val="0"/>
    <w:rPr>
      <w:rFonts w:ascii="仿宋_GB2312" w:hAnsi="华文中宋" w:eastAsia="仿宋_GB2312" w:cs="Times New Roman"/>
      <w:color w:val="000000"/>
      <w:spacing w:val="-10"/>
      <w:sz w:val="24"/>
      <w:szCs w:val="24"/>
    </w:rPr>
  </w:style>
  <w:style w:type="character" w:customStyle="1" w:styleId="64">
    <w:name w:val="标题 1 Char1"/>
    <w:link w:val="2"/>
    <w:qFormat/>
    <w:uiPriority w:val="0"/>
    <w:rPr>
      <w:rFonts w:ascii="Calibri" w:hAnsi="Calibri" w:eastAsia="宋体" w:cs="Times New Roman"/>
      <w:b/>
      <w:bCs/>
      <w:kern w:val="44"/>
      <w:sz w:val="28"/>
      <w:szCs w:val="44"/>
    </w:rPr>
  </w:style>
  <w:style w:type="character" w:customStyle="1" w:styleId="65">
    <w:name w:val="批注框文本 Char1"/>
    <w:link w:val="21"/>
    <w:qFormat/>
    <w:uiPriority w:val="0"/>
    <w:rPr>
      <w:rFonts w:ascii="Calibri" w:hAnsi="Calibri" w:eastAsia="宋体" w:cs="Times New Roman"/>
      <w:kern w:val="0"/>
      <w:sz w:val="18"/>
      <w:szCs w:val="18"/>
    </w:rPr>
  </w:style>
  <w:style w:type="character" w:customStyle="1" w:styleId="66">
    <w:name w:val="正文首行缩进 Char1"/>
    <w:link w:val="33"/>
    <w:qFormat/>
    <w:uiPriority w:val="0"/>
    <w:rPr>
      <w:rFonts w:ascii="Times New Roman" w:hAnsi="Times New Roman" w:eastAsia="宋体" w:cs="Times New Roman"/>
      <w:szCs w:val="24"/>
    </w:rPr>
  </w:style>
  <w:style w:type="character" w:customStyle="1" w:styleId="67">
    <w:name w:val="Default Text Char"/>
    <w:link w:val="68"/>
    <w:qFormat/>
    <w:uiPriority w:val="0"/>
    <w:rPr>
      <w:rFonts w:ascii="Calibri" w:hAnsi="Calibri" w:cs="宋体"/>
      <w:color w:val="000000"/>
      <w:sz w:val="24"/>
    </w:rPr>
  </w:style>
  <w:style w:type="paragraph" w:customStyle="1" w:styleId="68">
    <w:name w:val="Default Text"/>
    <w:link w:val="67"/>
    <w:qFormat/>
    <w:uiPriority w:val="0"/>
    <w:pPr>
      <w:widowControl w:val="0"/>
      <w:autoSpaceDE w:val="0"/>
      <w:autoSpaceDN w:val="0"/>
      <w:adjustRightInd w:val="0"/>
    </w:pPr>
    <w:rPr>
      <w:rFonts w:ascii="Calibri" w:hAnsi="Calibri" w:cs="宋体" w:eastAsiaTheme="minorEastAsia"/>
      <w:color w:val="000000"/>
      <w:kern w:val="2"/>
      <w:sz w:val="24"/>
      <w:szCs w:val="22"/>
      <w:lang w:val="en-US" w:eastAsia="zh-CN" w:bidi="ar-SA"/>
    </w:rPr>
  </w:style>
  <w:style w:type="paragraph" w:customStyle="1" w:styleId="69">
    <w:name w:val="Table Paragraph"/>
    <w:basedOn w:val="1"/>
    <w:qFormat/>
    <w:uiPriority w:val="1"/>
    <w:pPr>
      <w:jc w:val="left"/>
    </w:pPr>
    <w:rPr>
      <w:rFonts w:ascii="宋体" w:hAnsi="宋体" w:eastAsia="宋体" w:cs="宋体"/>
      <w:kern w:val="0"/>
      <w:sz w:val="22"/>
      <w:lang w:eastAsia="en-US"/>
    </w:rPr>
  </w:style>
  <w:style w:type="paragraph" w:customStyle="1" w:styleId="70">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71">
    <w:name w:val="Default"/>
    <w:basedOn w:val="31"/>
    <w:qFormat/>
    <w:uiPriority w:val="0"/>
    <w:pPr>
      <w:autoSpaceDE w:val="0"/>
      <w:autoSpaceDN w:val="0"/>
      <w:adjustRightInd w:val="0"/>
    </w:pPr>
    <w:rPr>
      <w:rFonts w:ascii="宋体" w:hAnsi="Calibri" w:cs="宋体"/>
      <w:color w:val="000000"/>
      <w:sz w:val="24"/>
      <w:szCs w:val="24"/>
    </w:rPr>
  </w:style>
  <w:style w:type="character" w:customStyle="1" w:styleId="72">
    <w:name w:val="bookmark-item"/>
    <w:qFormat/>
    <w:uiPriority w:val="0"/>
  </w:style>
  <w:style w:type="paragraph" w:customStyle="1" w:styleId="73">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4">
    <w:name w:val="List Paragraph"/>
    <w:basedOn w:val="1"/>
    <w:qFormat/>
    <w:uiPriority w:val="34"/>
    <w:pPr>
      <w:widowControl/>
      <w:ind w:firstLine="420" w:firstLineChars="200"/>
      <w:jc w:val="left"/>
    </w:pPr>
    <w:rPr>
      <w:rFonts w:ascii="Times" w:hAnsi="Times" w:eastAsia="宋体" w:cs="Times New Roman"/>
      <w:kern w:val="0"/>
      <w:sz w:val="20"/>
      <w:szCs w:val="20"/>
    </w:rPr>
  </w:style>
  <w:style w:type="paragraph" w:customStyle="1" w:styleId="75">
    <w:name w:val="p15"/>
    <w:basedOn w:val="1"/>
    <w:qFormat/>
    <w:uiPriority w:val="0"/>
    <w:pPr>
      <w:widowControl/>
      <w:spacing w:before="260" w:after="260" w:line="412" w:lineRule="auto"/>
    </w:pPr>
    <w:rPr>
      <w:rFonts w:ascii="Times New Roman" w:hAnsi="Times New Roman" w:eastAsia="宋体" w:cs="Times New Roman"/>
      <w:b/>
      <w:bCs/>
      <w:kern w:val="0"/>
      <w:sz w:val="30"/>
      <w:szCs w:val="30"/>
    </w:rPr>
  </w:style>
  <w:style w:type="paragraph" w:styleId="76">
    <w:name w:val="No Spacing"/>
    <w:qFormat/>
    <w:uiPriority w:val="1"/>
    <w:rPr>
      <w:rFonts w:ascii="Times New Roman" w:hAnsi="Times New Roman" w:eastAsia="宋体" w:cs="Times New Roman"/>
      <w:lang w:val="en-US" w:eastAsia="zh-CN" w:bidi="ar-SA"/>
    </w:rPr>
  </w:style>
  <w:style w:type="character" w:customStyle="1" w:styleId="77">
    <w:name w:val="font51"/>
    <w:qFormat/>
    <w:uiPriority w:val="0"/>
    <w:rPr>
      <w:rFonts w:hint="default" w:ascii="Calibri" w:hAnsi="Calibri" w:cs="Calibri"/>
      <w:color w:val="000000"/>
      <w:sz w:val="21"/>
      <w:szCs w:val="21"/>
      <w:u w:val="none"/>
    </w:rPr>
  </w:style>
  <w:style w:type="paragraph" w:customStyle="1" w:styleId="78">
    <w:name w:val="_Style 30"/>
    <w:basedOn w:val="1"/>
    <w:next w:val="74"/>
    <w:qFormat/>
    <w:uiPriority w:val="0"/>
    <w:pPr>
      <w:widowControl/>
      <w:ind w:firstLine="420" w:firstLineChars="200"/>
      <w:jc w:val="left"/>
    </w:pPr>
    <w:rPr>
      <w:rFonts w:ascii="Times" w:hAnsi="Times" w:eastAsia="宋体" w:cs="Times New Roman"/>
      <w:kern w:val="0"/>
      <w:sz w:val="20"/>
      <w:szCs w:val="20"/>
    </w:rPr>
  </w:style>
  <w:style w:type="character" w:customStyle="1" w:styleId="79">
    <w:name w:val="NormalCharacter"/>
    <w:semiHidden/>
    <w:qFormat/>
    <w:uiPriority w:val="0"/>
  </w:style>
  <w:style w:type="character" w:customStyle="1" w:styleId="80">
    <w:name w:val="font11"/>
    <w:qFormat/>
    <w:uiPriority w:val="99"/>
    <w:rPr>
      <w:rFonts w:ascii="Arial" w:hAnsi="Arial" w:cs="Arial"/>
      <w:color w:val="000000"/>
      <w:sz w:val="24"/>
      <w:szCs w:val="24"/>
      <w:u w:val="single"/>
    </w:rPr>
  </w:style>
  <w:style w:type="character" w:customStyle="1" w:styleId="81">
    <w:name w:val="font41"/>
    <w:qFormat/>
    <w:uiPriority w:val="0"/>
    <w:rPr>
      <w:rFonts w:hint="eastAsia" w:ascii="宋体" w:hAnsi="宋体" w:eastAsia="宋体" w:cs="宋体"/>
      <w:color w:val="000000"/>
      <w:sz w:val="24"/>
      <w:szCs w:val="24"/>
      <w:u w:val="none"/>
    </w:rPr>
  </w:style>
  <w:style w:type="character" w:customStyle="1" w:styleId="82">
    <w:name w:val="dbvalue"/>
    <w:qFormat/>
    <w:uiPriority w:val="0"/>
  </w:style>
  <w:style w:type="character" w:customStyle="1" w:styleId="83">
    <w:name w:val="head 1.1 Char"/>
    <w:link w:val="84"/>
    <w:qFormat/>
    <w:uiPriority w:val="0"/>
    <w:rPr>
      <w:rFonts w:ascii="宋体" w:hAnsi="宋体"/>
      <w:bCs/>
      <w:szCs w:val="24"/>
    </w:rPr>
  </w:style>
  <w:style w:type="paragraph" w:customStyle="1" w:styleId="84">
    <w:name w:val="head 1.1"/>
    <w:basedOn w:val="74"/>
    <w:link w:val="83"/>
    <w:qFormat/>
    <w:uiPriority w:val="0"/>
    <w:pPr>
      <w:widowControl w:val="0"/>
      <w:spacing w:before="260" w:after="260"/>
      <w:ind w:firstLine="0" w:firstLineChars="0"/>
      <w:jc w:val="both"/>
    </w:pPr>
    <w:rPr>
      <w:rFonts w:ascii="宋体" w:hAnsi="宋体" w:eastAsiaTheme="minorEastAsia" w:cstheme="minorBidi"/>
      <w:bCs/>
      <w:kern w:val="2"/>
      <w:sz w:val="21"/>
      <w:szCs w:val="24"/>
    </w:rPr>
  </w:style>
  <w:style w:type="character" w:customStyle="1" w:styleId="85">
    <w:name w:val="font81"/>
    <w:qFormat/>
    <w:uiPriority w:val="0"/>
    <w:rPr>
      <w:rFonts w:hint="default" w:ascii="Times New Roman" w:hAnsi="Times New Roman" w:cs="Times New Roman"/>
      <w:color w:val="000000"/>
      <w:sz w:val="21"/>
      <w:szCs w:val="21"/>
      <w:u w:val="none"/>
    </w:rPr>
  </w:style>
  <w:style w:type="character" w:customStyle="1" w:styleId="86">
    <w:name w:val="font91"/>
    <w:qFormat/>
    <w:uiPriority w:val="0"/>
    <w:rPr>
      <w:rFonts w:hint="eastAsia" w:ascii="宋体" w:hAnsi="宋体" w:eastAsia="宋体" w:cs="宋体"/>
      <w:color w:val="000000"/>
      <w:sz w:val="24"/>
      <w:szCs w:val="24"/>
      <w:u w:val="single"/>
    </w:rPr>
  </w:style>
  <w:style w:type="character" w:customStyle="1" w:styleId="87">
    <w:name w:val="font101"/>
    <w:qFormat/>
    <w:uiPriority w:val="0"/>
    <w:rPr>
      <w:rFonts w:hint="eastAsia" w:ascii="楷体_GB2312" w:eastAsia="楷体_GB2312" w:cs="楷体_GB2312"/>
      <w:color w:val="000000"/>
      <w:sz w:val="24"/>
      <w:szCs w:val="24"/>
      <w:u w:val="single"/>
    </w:rPr>
  </w:style>
  <w:style w:type="character" w:customStyle="1" w:styleId="88">
    <w:name w:val="font112"/>
    <w:qFormat/>
    <w:uiPriority w:val="0"/>
    <w:rPr>
      <w:rFonts w:hint="eastAsia" w:ascii="宋体" w:hAnsi="宋体" w:eastAsia="宋体" w:cs="宋体"/>
      <w:color w:val="000000"/>
      <w:sz w:val="21"/>
      <w:szCs w:val="21"/>
      <w:u w:val="none"/>
    </w:rPr>
  </w:style>
  <w:style w:type="character" w:customStyle="1" w:styleId="89">
    <w:name w:val="正文文本 字符1"/>
    <w:qFormat/>
    <w:uiPriority w:val="0"/>
    <w:rPr>
      <w:kern w:val="2"/>
      <w:sz w:val="21"/>
      <w:szCs w:val="24"/>
    </w:rPr>
  </w:style>
  <w:style w:type="character" w:customStyle="1" w:styleId="90">
    <w:name w:val="font121"/>
    <w:qFormat/>
    <w:uiPriority w:val="0"/>
    <w:rPr>
      <w:rFonts w:hint="eastAsia" w:ascii="宋体" w:hAnsi="宋体" w:eastAsia="宋体" w:cs="宋体"/>
      <w:color w:val="000000"/>
      <w:sz w:val="21"/>
      <w:szCs w:val="21"/>
      <w:u w:val="none"/>
    </w:rPr>
  </w:style>
  <w:style w:type="character" w:customStyle="1" w:styleId="91">
    <w:name w:val="font71"/>
    <w:qFormat/>
    <w:uiPriority w:val="0"/>
    <w:rPr>
      <w:rFonts w:hint="eastAsia" w:ascii="仿宋" w:hAnsi="仿宋" w:eastAsia="仿宋" w:cs="仿宋"/>
      <w:color w:val="000000"/>
      <w:sz w:val="21"/>
      <w:szCs w:val="21"/>
      <w:u w:val="none"/>
    </w:rPr>
  </w:style>
  <w:style w:type="character" w:customStyle="1" w:styleId="92">
    <w:name w:val="font131"/>
    <w:qFormat/>
    <w:uiPriority w:val="0"/>
    <w:rPr>
      <w:rFonts w:hint="default" w:ascii="Calibri" w:hAnsi="Calibri" w:cs="Calibri"/>
      <w:color w:val="000000"/>
      <w:sz w:val="21"/>
      <w:szCs w:val="21"/>
      <w:u w:val="none"/>
    </w:rPr>
  </w:style>
  <w:style w:type="character" w:customStyle="1" w:styleId="93">
    <w:name w:val="未处理的提及1"/>
    <w:unhideWhenUsed/>
    <w:qFormat/>
    <w:uiPriority w:val="99"/>
    <w:rPr>
      <w:color w:val="605E5C"/>
      <w:shd w:val="clear" w:color="auto" w:fill="E1DFDD"/>
    </w:rPr>
  </w:style>
  <w:style w:type="character" w:customStyle="1" w:styleId="94">
    <w:name w:val="font61"/>
    <w:qFormat/>
    <w:uiPriority w:val="0"/>
    <w:rPr>
      <w:rFonts w:hint="eastAsia" w:ascii="仿宋" w:hAnsi="仿宋" w:eastAsia="仿宋" w:cs="仿宋"/>
      <w:color w:val="000000"/>
      <w:sz w:val="21"/>
      <w:szCs w:val="21"/>
      <w:u w:val="none"/>
    </w:rPr>
  </w:style>
  <w:style w:type="character" w:customStyle="1" w:styleId="95">
    <w:name w:val="font31"/>
    <w:qFormat/>
    <w:uiPriority w:val="0"/>
    <w:rPr>
      <w:rFonts w:hint="default" w:ascii="Calibri" w:hAnsi="Calibri" w:cs="Calibri"/>
      <w:color w:val="000000"/>
      <w:sz w:val="24"/>
      <w:szCs w:val="24"/>
      <w:u w:val="none"/>
    </w:rPr>
  </w:style>
  <w:style w:type="character" w:customStyle="1" w:styleId="96">
    <w:name w:val="head 1.1.1 Char"/>
    <w:link w:val="97"/>
    <w:qFormat/>
    <w:uiPriority w:val="0"/>
    <w:rPr>
      <w:bCs/>
      <w:szCs w:val="24"/>
    </w:rPr>
  </w:style>
  <w:style w:type="paragraph" w:customStyle="1" w:styleId="97">
    <w:name w:val="head 1.1.1"/>
    <w:basedOn w:val="74"/>
    <w:link w:val="96"/>
    <w:qFormat/>
    <w:uiPriority w:val="0"/>
    <w:pPr>
      <w:widowControl w:val="0"/>
      <w:ind w:firstLine="0" w:firstLineChars="0"/>
      <w:jc w:val="both"/>
    </w:pPr>
    <w:rPr>
      <w:rFonts w:asciiTheme="minorHAnsi" w:hAnsiTheme="minorHAnsi" w:eastAsiaTheme="minorEastAsia" w:cstheme="minorBidi"/>
      <w:bCs/>
      <w:kern w:val="2"/>
      <w:sz w:val="21"/>
      <w:szCs w:val="24"/>
    </w:rPr>
  </w:style>
  <w:style w:type="character" w:customStyle="1" w:styleId="98">
    <w:name w:val="font151"/>
    <w:qFormat/>
    <w:uiPriority w:val="0"/>
    <w:rPr>
      <w:rFonts w:hint="default" w:ascii="Calibri" w:hAnsi="Calibri" w:cs="Calibri"/>
      <w:color w:val="000000"/>
      <w:sz w:val="21"/>
      <w:szCs w:val="21"/>
      <w:u w:val="none"/>
    </w:rPr>
  </w:style>
  <w:style w:type="character" w:customStyle="1" w:styleId="99">
    <w:name w:val="font21"/>
    <w:qFormat/>
    <w:uiPriority w:val="0"/>
    <w:rPr>
      <w:rFonts w:hint="default" w:ascii="Calibri" w:hAnsi="Calibri" w:cs="Calibri"/>
      <w:color w:val="000000"/>
      <w:sz w:val="24"/>
      <w:szCs w:val="24"/>
      <w:u w:val="single"/>
    </w:rPr>
  </w:style>
  <w:style w:type="character" w:customStyle="1" w:styleId="100">
    <w:name w:val="正文文本缩进 字符"/>
    <w:qFormat/>
    <w:locked/>
    <w:uiPriority w:val="0"/>
    <w:rPr>
      <w:rFonts w:ascii="仿宋_GB2312" w:hAnsi="华文中宋" w:eastAsia="仿宋_GB2312"/>
      <w:bCs/>
      <w:color w:val="000000"/>
      <w:spacing w:val="-10"/>
      <w:kern w:val="2"/>
      <w:sz w:val="24"/>
      <w:szCs w:val="24"/>
      <w:lang w:bidi="ar-SA"/>
    </w:rPr>
  </w:style>
  <w:style w:type="character" w:customStyle="1" w:styleId="101">
    <w:name w:val="fontstyle01"/>
    <w:qFormat/>
    <w:uiPriority w:val="0"/>
    <w:rPr>
      <w:rFonts w:ascii="宋体" w:hAnsi="宋体" w:eastAsia="宋体" w:cs="宋体"/>
      <w:color w:val="000000"/>
      <w:sz w:val="22"/>
      <w:szCs w:val="22"/>
    </w:rPr>
  </w:style>
  <w:style w:type="character" w:customStyle="1" w:styleId="102">
    <w:name w:val="fgray1"/>
    <w:qFormat/>
    <w:uiPriority w:val="0"/>
    <w:rPr>
      <w:color w:val="666666"/>
    </w:rPr>
  </w:style>
  <w:style w:type="paragraph" w:customStyle="1" w:styleId="103">
    <w:name w:val="正文 New New New"/>
    <w:qFormat/>
    <w:uiPriority w:val="0"/>
    <w:pPr>
      <w:spacing w:line="560" w:lineRule="exact"/>
      <w:ind w:firstLine="200" w:firstLineChars="200"/>
    </w:pPr>
    <w:rPr>
      <w:rFonts w:ascii="Calibri" w:hAnsi="Calibri" w:eastAsia="仿宋_GB2312" w:cs="Times New Roman"/>
      <w:sz w:val="32"/>
      <w:szCs w:val="24"/>
      <w:lang w:val="en-US" w:eastAsia="en-US" w:bidi="en-US"/>
    </w:rPr>
  </w:style>
  <w:style w:type="paragraph" w:customStyle="1" w:styleId="104">
    <w:name w:val="reader-word-layer reader-word-s1-10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5">
    <w:name w:val="正文1"/>
    <w:basedOn w:val="1"/>
    <w:qFormat/>
    <w:uiPriority w:val="0"/>
    <w:pPr>
      <w:spacing w:line="400" w:lineRule="exact"/>
      <w:ind w:firstLine="1280" w:firstLineChars="200"/>
    </w:pPr>
    <w:rPr>
      <w:rFonts w:ascii="Calibri" w:hAnsi="Calibri" w:eastAsia="宋体" w:cs="Times New Roman"/>
      <w:sz w:val="24"/>
      <w:szCs w:val="24"/>
    </w:rPr>
  </w:style>
  <w:style w:type="paragraph" w:customStyle="1" w:styleId="106">
    <w:name w:val="reader-word-layer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7">
    <w:name w:val="正文首行缩进 字符1"/>
    <w:semiHidden/>
    <w:qFormat/>
    <w:uiPriority w:val="99"/>
    <w:rPr>
      <w:rFonts w:ascii="Times New Roman" w:hAnsi="Times New Roman"/>
      <w:kern w:val="2"/>
      <w:sz w:val="21"/>
      <w:szCs w:val="22"/>
    </w:rPr>
  </w:style>
  <w:style w:type="paragraph" w:customStyle="1" w:styleId="108">
    <w:name w:val="Char Char Char Char Char1 Char Char Char Char"/>
    <w:basedOn w:val="1"/>
    <w:qFormat/>
    <w:uiPriority w:val="0"/>
    <w:pPr>
      <w:tabs>
        <w:tab w:val="left" w:pos="1360"/>
      </w:tabs>
      <w:ind w:left="1360" w:hanging="720"/>
    </w:pPr>
    <w:rPr>
      <w:rFonts w:ascii="Calibri" w:hAnsi="Calibri" w:eastAsia="宋体" w:cs="Times New Roman"/>
      <w:szCs w:val="20"/>
    </w:rPr>
  </w:style>
  <w:style w:type="character" w:customStyle="1" w:styleId="109">
    <w:name w:val="正文文本缩进 字符2"/>
    <w:semiHidden/>
    <w:qFormat/>
    <w:uiPriority w:val="99"/>
    <w:rPr>
      <w:kern w:val="2"/>
      <w:sz w:val="21"/>
      <w:szCs w:val="22"/>
    </w:rPr>
  </w:style>
  <w:style w:type="paragraph" w:customStyle="1" w:styleId="110">
    <w:name w:val="表格"/>
    <w:qFormat/>
    <w:uiPriority w:val="0"/>
    <w:pPr>
      <w:jc w:val="center"/>
    </w:pPr>
    <w:rPr>
      <w:rFonts w:ascii="Calibri" w:hAnsi="Calibri" w:eastAsia="宋体" w:cs="Tahoma"/>
      <w:color w:val="000000"/>
      <w:sz w:val="21"/>
      <w:szCs w:val="24"/>
      <w:lang w:val="en-US" w:eastAsia="zh-CN" w:bidi="ar-SA"/>
    </w:rPr>
  </w:style>
  <w:style w:type="paragraph" w:customStyle="1" w:styleId="111">
    <w:name w:val="五号字体"/>
    <w:basedOn w:val="1"/>
    <w:qFormat/>
    <w:uiPriority w:val="0"/>
    <w:pPr>
      <w:spacing w:line="400" w:lineRule="exact"/>
      <w:jc w:val="center"/>
    </w:pPr>
    <w:rPr>
      <w:rFonts w:ascii="Calibri" w:hAnsi="Calibri" w:eastAsia="宋体" w:cs="Times New Roman"/>
      <w:kern w:val="0"/>
      <w:szCs w:val="21"/>
    </w:rPr>
  </w:style>
  <w:style w:type="paragraph" w:customStyle="1" w:styleId="112">
    <w:name w:val="reader-word-layer reader-word-s2-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3">
    <w:name w:val="reader-word-layer reader-word-s2-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4">
    <w:name w:val="Char Char1 Char Char Char Char Char Char Char Char Char Char Char Char Char Char"/>
    <w:basedOn w:val="1"/>
    <w:qFormat/>
    <w:uiPriority w:val="0"/>
    <w:pPr>
      <w:widowControl/>
      <w:spacing w:after="160" w:line="240" w:lineRule="exact"/>
      <w:jc w:val="left"/>
    </w:pPr>
    <w:rPr>
      <w:rFonts w:ascii="Calibri" w:hAnsi="Calibri" w:eastAsia="宋体" w:cs="Times New Roman"/>
      <w:szCs w:val="24"/>
    </w:rPr>
  </w:style>
  <w:style w:type="paragraph" w:customStyle="1" w:styleId="115">
    <w:name w:val="_Style 2"/>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116">
    <w:name w:val="Main_heading"/>
    <w:basedOn w:val="1"/>
    <w:next w:val="1"/>
    <w:qFormat/>
    <w:uiPriority w:val="0"/>
    <w:pPr>
      <w:spacing w:before="240" w:after="240" w:line="240" w:lineRule="atLeast"/>
    </w:pPr>
    <w:rPr>
      <w:rFonts w:ascii="Calibri" w:hAnsi="Calibri" w:eastAsia="MS Mincho" w:cs="Times New Roman"/>
      <w:b/>
      <w:sz w:val="28"/>
      <w:szCs w:val="24"/>
      <w:lang w:eastAsia="ja-JP"/>
    </w:rPr>
  </w:style>
  <w:style w:type="paragraph" w:customStyle="1" w:styleId="117">
    <w:name w:val="Char Char Char Char"/>
    <w:basedOn w:val="1"/>
    <w:qFormat/>
    <w:uiPriority w:val="0"/>
    <w:rPr>
      <w:rFonts w:ascii="Calibri" w:hAnsi="Calibri" w:eastAsia="Times New Roman" w:cs="Times New Roman"/>
      <w:kern w:val="0"/>
      <w:sz w:val="20"/>
      <w:szCs w:val="20"/>
    </w:rPr>
  </w:style>
  <w:style w:type="paragraph" w:customStyle="1" w:styleId="118">
    <w:name w:val="列出段落1"/>
    <w:basedOn w:val="1"/>
    <w:qFormat/>
    <w:uiPriority w:val="0"/>
    <w:pPr>
      <w:ind w:firstLine="420" w:firstLineChars="200"/>
    </w:pPr>
    <w:rPr>
      <w:rFonts w:ascii="等线" w:hAnsi="等线" w:eastAsia="等线" w:cs="Times New Roman"/>
    </w:rPr>
  </w:style>
  <w:style w:type="paragraph" w:customStyle="1" w:styleId="119">
    <w:name w:val="reader-word-layer reader-word-s1-0 reader-word-s1-1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0">
    <w:name w:val="列表段落1"/>
    <w:basedOn w:val="1"/>
    <w:qFormat/>
    <w:uiPriority w:val="0"/>
    <w:pPr>
      <w:ind w:firstLine="420" w:firstLineChars="200"/>
    </w:pPr>
    <w:rPr>
      <w:rFonts w:ascii="Calibri" w:hAnsi="Calibri" w:eastAsia="宋体" w:cs="Times New Roman"/>
    </w:rPr>
  </w:style>
  <w:style w:type="paragraph" w:customStyle="1" w:styleId="121">
    <w:name w:val="reader-word-layer reader-word-s2-2"/>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122">
    <w:name w:val="网格型1"/>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3">
    <w:name w:val="detail-info"/>
    <w:basedOn w:val="1"/>
    <w:qFormat/>
    <w:uiPriority w:val="0"/>
    <w:pPr>
      <w:widowControl/>
      <w:pBdr>
        <w:bottom w:val="dotted" w:color="999999" w:sz="6" w:space="8"/>
      </w:pBdr>
      <w:spacing w:before="100" w:beforeAutospacing="1" w:after="300"/>
      <w:jc w:val="left"/>
    </w:pPr>
    <w:rPr>
      <w:rFonts w:ascii="宋体" w:hAnsi="宋体" w:eastAsia="宋体" w:cs="宋体"/>
      <w:color w:val="666666"/>
      <w:kern w:val="0"/>
      <w:szCs w:val="21"/>
    </w:rPr>
  </w:style>
  <w:style w:type="paragraph" w:customStyle="1" w:styleId="124">
    <w:name w:val="TOC 标题1"/>
    <w:basedOn w:val="2"/>
    <w:next w:val="1"/>
    <w:qFormat/>
    <w:uiPriority w:val="39"/>
    <w:pPr>
      <w:widowControl/>
      <w:spacing w:before="480" w:line="276" w:lineRule="auto"/>
      <w:jc w:val="left"/>
      <w:outlineLvl w:val="9"/>
    </w:pPr>
    <w:rPr>
      <w:rFonts w:ascii="Cambria" w:hAnsi="Cambria"/>
      <w:color w:val="365F91"/>
      <w:kern w:val="0"/>
      <w:szCs w:val="28"/>
    </w:rPr>
  </w:style>
  <w:style w:type="paragraph" w:customStyle="1" w:styleId="12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正文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标号标题"/>
    <w:basedOn w:val="1"/>
    <w:qFormat/>
    <w:uiPriority w:val="0"/>
    <w:pPr>
      <w:widowControl/>
      <w:numPr>
        <w:ilvl w:val="0"/>
        <w:numId w:val="1"/>
      </w:numPr>
      <w:spacing w:line="360" w:lineRule="auto"/>
      <w:jc w:val="left"/>
    </w:pPr>
    <w:rPr>
      <w:rFonts w:ascii="Calibri" w:hAnsi="Calibri" w:eastAsia="宋体" w:cs="Times New Roman"/>
      <w:b/>
      <w:szCs w:val="24"/>
    </w:rPr>
  </w:style>
  <w:style w:type="paragraph" w:customStyle="1" w:styleId="130">
    <w:name w:val="正文_6_0"/>
    <w:qFormat/>
    <w:uiPriority w:val="0"/>
    <w:pPr>
      <w:widowControl w:val="0"/>
      <w:jc w:val="both"/>
    </w:pPr>
    <w:rPr>
      <w:rFonts w:ascii="Calibri" w:hAnsi="Calibri" w:eastAsia="Calibri" w:cs="Times New Roman"/>
      <w:kern w:val="2"/>
      <w:sz w:val="21"/>
      <w:szCs w:val="22"/>
      <w:lang w:val="en-US" w:eastAsia="zh-CN" w:bidi="ar-SA"/>
    </w:rPr>
  </w:style>
  <w:style w:type="paragraph" w:customStyle="1" w:styleId="13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Calibri" w:hAnsi="Calibri" w:eastAsia="宋体" w:cs="Times New Roman"/>
      <w:sz w:val="24"/>
    </w:rPr>
  </w:style>
  <w:style w:type="paragraph" w:customStyle="1" w:styleId="132">
    <w:name w:val="样式 宋体 五号 行距: 单倍行距"/>
    <w:basedOn w:val="1"/>
    <w:qFormat/>
    <w:uiPriority w:val="0"/>
    <w:pPr>
      <w:adjustRightInd w:val="0"/>
      <w:jc w:val="left"/>
      <w:textAlignment w:val="baseline"/>
    </w:pPr>
    <w:rPr>
      <w:rFonts w:ascii="宋体" w:hAnsi="宋体" w:eastAsia="宋体" w:cs="Times New Roman"/>
      <w:kern w:val="0"/>
    </w:rPr>
  </w:style>
  <w:style w:type="paragraph" w:customStyle="1" w:styleId="133">
    <w:name w:val="Char1"/>
    <w:basedOn w:val="1"/>
    <w:qFormat/>
    <w:uiPriority w:val="0"/>
    <w:rPr>
      <w:rFonts w:ascii="Tahoma" w:hAnsi="Tahoma" w:eastAsia="宋体" w:cs="Times New Roman"/>
      <w:sz w:val="24"/>
    </w:rPr>
  </w:style>
  <w:style w:type="paragraph" w:customStyle="1" w:styleId="13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5">
    <w:name w:val="List Paragraph1"/>
    <w:basedOn w:val="1"/>
    <w:qFormat/>
    <w:uiPriority w:val="99"/>
    <w:pPr>
      <w:ind w:firstLine="420" w:firstLineChars="200"/>
    </w:pPr>
    <w:rPr>
      <w:rFonts w:ascii="Calibri" w:hAnsi="Calibri" w:eastAsia="宋体" w:cs="Times New Roman"/>
      <w:szCs w:val="21"/>
    </w:rPr>
  </w:style>
  <w:style w:type="table" w:customStyle="1" w:styleId="136">
    <w:name w:val="Table Normal"/>
    <w:semiHidden/>
    <w:unhideWhenUsed/>
    <w:qFormat/>
    <w:uiPriority w:val="0"/>
    <w:rPr>
      <w:rFonts w:ascii="Arial" w:hAnsi="Arial" w:cs="Arial"/>
    </w:rPr>
    <w:tblPr>
      <w:tblCellMar>
        <w:top w:w="0" w:type="dxa"/>
        <w:left w:w="0" w:type="dxa"/>
        <w:bottom w:w="0" w:type="dxa"/>
        <w:right w:w="0" w:type="dxa"/>
      </w:tblCellMar>
    </w:tblPr>
  </w:style>
  <w:style w:type="character" w:customStyle="1" w:styleId="137">
    <w:name w:val="param-name"/>
    <w:qFormat/>
    <w:uiPriority w:val="0"/>
  </w:style>
  <w:style w:type="character" w:customStyle="1" w:styleId="138">
    <w:name w:val="apple-converted-space"/>
    <w:qFormat/>
    <w:uiPriority w:val="0"/>
  </w:style>
  <w:style w:type="character" w:customStyle="1" w:styleId="139">
    <w:name w:val="font01"/>
    <w:basedOn w:val="37"/>
    <w:qFormat/>
    <w:uiPriority w:val="99"/>
    <w:rPr>
      <w:rFonts w:ascii="Times New Roman" w:hAnsi="Times New Roman" w:cs="Times New Roman"/>
      <w:color w:val="000000"/>
      <w:sz w:val="24"/>
      <w:szCs w:val="24"/>
      <w:u w:val="none"/>
    </w:rPr>
  </w:style>
  <w:style w:type="table" w:customStyle="1" w:styleId="140">
    <w:name w:val="网格型2"/>
    <w:basedOn w:val="3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1">
    <w:name w:val="页脚1"/>
    <w:next w:val="26"/>
    <w:qFormat/>
    <w:uiPriority w:val="0"/>
    <w:pPr>
      <w:tabs>
        <w:tab w:val="center" w:pos="4153"/>
        <w:tab w:val="right" w:pos="8306"/>
      </w:tabs>
    </w:pPr>
    <w:rPr>
      <w:rFonts w:ascii="Calibri" w:hAnsi="Calibri" w:eastAsia="宋体" w:cs="宋体"/>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daohangxitong.com</Company>
  <Pages>81</Pages>
  <Words>15431</Words>
  <Characters>17058</Characters>
  <Lines>305</Lines>
  <Paragraphs>86</Paragraphs>
  <TotalTime>35</TotalTime>
  <ScaleCrop>false</ScaleCrop>
  <LinksUpToDate>false</LinksUpToDate>
  <CharactersWithSpaces>17196</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2023-03-16T05:44:00Z</dcterms:created>
  <dc:creator>Administrator</dc:creator>
  <cp:lastModifiedBy>初夏</cp:lastModifiedBy>
  <cp:lastPrinted>2025-07-14T02:39:00Z</cp:lastPrinted>
  <dcterms:modified xsi:type="dcterms:W3CDTF">2025-07-14T07:28:29Z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95B01AEDAD824E299D79F1A1D1554CCE_13</vt:lpwstr>
  </property>
  <property fmtid="{D5CDD505-2E9C-101B-9397-08002B2CF9AE}" pid="4" name="KSOTemplateDocerSaveRecord">
    <vt:lpwstr>eyJoZGlkIjoiYmEwMjk2ZmJlMDRkZmFjMGY0MmQyNjc0Zjk4OWVhOWMiLCJ1c2VySWQiOiIyMDM4MzE0ODkifQ==</vt:lpwstr>
  </property>
</Properties>
</file>