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B33BA">
      <w:pPr>
        <w:spacing w:line="266" w:lineRule="auto"/>
        <w:rPr>
          <w:rFonts w:ascii="Arial"/>
          <w:color w:val="auto"/>
          <w:sz w:val="21"/>
          <w:highlight w:val="none"/>
        </w:rPr>
      </w:pPr>
      <w:bookmarkStart w:id="21" w:name="_GoBack"/>
    </w:p>
    <w:p w14:paraId="2A5C2C86">
      <w:pPr>
        <w:spacing w:line="266" w:lineRule="auto"/>
        <w:rPr>
          <w:rFonts w:ascii="Arial"/>
          <w:color w:val="auto"/>
          <w:sz w:val="21"/>
          <w:highlight w:val="none"/>
        </w:rPr>
      </w:pPr>
    </w:p>
    <w:p w14:paraId="38C0914A">
      <w:pPr>
        <w:spacing w:line="266" w:lineRule="auto"/>
        <w:rPr>
          <w:rFonts w:ascii="Arial"/>
          <w:color w:val="auto"/>
          <w:sz w:val="21"/>
          <w:highlight w:val="none"/>
        </w:rPr>
      </w:pPr>
    </w:p>
    <w:p w14:paraId="784C3859">
      <w:pPr>
        <w:spacing w:line="267" w:lineRule="auto"/>
        <w:rPr>
          <w:rFonts w:ascii="Arial"/>
          <w:color w:val="auto"/>
          <w:sz w:val="21"/>
          <w:highlight w:val="none"/>
        </w:rPr>
      </w:pPr>
    </w:p>
    <w:p w14:paraId="46A2A38C">
      <w:pPr>
        <w:spacing w:line="267" w:lineRule="auto"/>
        <w:rPr>
          <w:rFonts w:ascii="Arial"/>
          <w:color w:val="auto"/>
          <w:sz w:val="21"/>
          <w:highlight w:val="none"/>
        </w:rPr>
      </w:pPr>
    </w:p>
    <w:p w14:paraId="21B2D00A">
      <w:pPr>
        <w:jc w:val="center"/>
        <w:rPr>
          <w:b/>
          <w:bCs/>
          <w:color w:val="auto"/>
          <w:spacing w:val="-3"/>
          <w:sz w:val="54"/>
          <w:szCs w:val="54"/>
          <w:highlight w:val="none"/>
        </w:rPr>
      </w:pPr>
      <w:r>
        <w:rPr>
          <w:rFonts w:hint="eastAsia"/>
          <w:b/>
          <w:bCs/>
          <w:color w:val="auto"/>
          <w:spacing w:val="-3"/>
          <w:sz w:val="54"/>
          <w:szCs w:val="54"/>
          <w:highlight w:val="none"/>
          <w:lang w:val="en-US" w:eastAsia="zh-CN"/>
        </w:rPr>
        <w:t>伊犁哈萨克自治州纤维检验所2025年棉花公证检验空调、空压机等辅助设备维护服务项目</w:t>
      </w:r>
    </w:p>
    <w:p w14:paraId="1E94E5A0">
      <w:pPr>
        <w:spacing w:line="318" w:lineRule="auto"/>
        <w:rPr>
          <w:rFonts w:ascii="Arial"/>
          <w:color w:val="auto"/>
          <w:sz w:val="21"/>
          <w:highlight w:val="none"/>
        </w:rPr>
      </w:pPr>
    </w:p>
    <w:p w14:paraId="4C5E5387">
      <w:pPr>
        <w:spacing w:line="319" w:lineRule="auto"/>
        <w:rPr>
          <w:rFonts w:ascii="Arial"/>
          <w:color w:val="auto"/>
          <w:sz w:val="21"/>
          <w:highlight w:val="none"/>
        </w:rPr>
      </w:pPr>
    </w:p>
    <w:p w14:paraId="62A7D11A">
      <w:pPr>
        <w:pStyle w:val="4"/>
        <w:spacing w:before="103" w:line="188" w:lineRule="auto"/>
        <w:jc w:val="center"/>
        <w:rPr>
          <w:rFonts w:hint="default" w:eastAsia="微软雅黑"/>
          <w:color w:val="auto"/>
          <w:sz w:val="24"/>
          <w:szCs w:val="24"/>
          <w:highlight w:val="none"/>
          <w:lang w:val="en-US" w:eastAsia="zh-CN"/>
        </w:rPr>
      </w:pPr>
      <w:r>
        <w:rPr>
          <w:b/>
          <w:bCs/>
          <w:color w:val="auto"/>
          <w:spacing w:val="-29"/>
          <w:sz w:val="24"/>
          <w:szCs w:val="24"/>
          <w:highlight w:val="none"/>
        </w:rPr>
        <w:t>项目编码：</w:t>
      </w:r>
      <w:r>
        <w:rPr>
          <w:rFonts w:hint="eastAsia"/>
          <w:b/>
          <w:bCs/>
          <w:color w:val="auto"/>
          <w:spacing w:val="-29"/>
          <w:sz w:val="24"/>
          <w:szCs w:val="24"/>
          <w:highlight w:val="none"/>
          <w:lang w:val="en-US" w:eastAsia="zh-CN"/>
        </w:rPr>
        <w:t>MHGZJC-2025-005</w:t>
      </w:r>
    </w:p>
    <w:p w14:paraId="0CF7CE4D">
      <w:pPr>
        <w:rPr>
          <w:rFonts w:ascii="Arial"/>
          <w:color w:val="auto"/>
          <w:sz w:val="21"/>
          <w:highlight w:val="none"/>
        </w:rPr>
      </w:pPr>
    </w:p>
    <w:p w14:paraId="19353848">
      <w:pPr>
        <w:rPr>
          <w:rFonts w:ascii="Arial"/>
          <w:color w:val="auto"/>
          <w:sz w:val="21"/>
          <w:highlight w:val="none"/>
        </w:rPr>
      </w:pPr>
    </w:p>
    <w:p w14:paraId="0B229035">
      <w:pPr>
        <w:rPr>
          <w:rFonts w:ascii="Arial"/>
          <w:color w:val="auto"/>
          <w:sz w:val="21"/>
          <w:highlight w:val="none"/>
        </w:rPr>
      </w:pPr>
    </w:p>
    <w:p w14:paraId="33976E65">
      <w:pPr>
        <w:rPr>
          <w:rFonts w:ascii="Arial"/>
          <w:color w:val="auto"/>
          <w:sz w:val="21"/>
          <w:highlight w:val="none"/>
        </w:rPr>
      </w:pPr>
    </w:p>
    <w:p w14:paraId="3F72CC36">
      <w:pPr>
        <w:rPr>
          <w:rFonts w:ascii="Arial"/>
          <w:color w:val="auto"/>
          <w:sz w:val="21"/>
          <w:highlight w:val="none"/>
        </w:rPr>
      </w:pPr>
    </w:p>
    <w:p w14:paraId="527263D3">
      <w:pPr>
        <w:rPr>
          <w:rFonts w:ascii="Arial"/>
          <w:color w:val="auto"/>
          <w:sz w:val="21"/>
          <w:highlight w:val="none"/>
        </w:rPr>
      </w:pPr>
    </w:p>
    <w:p w14:paraId="7DEA82D9">
      <w:pPr>
        <w:rPr>
          <w:rFonts w:ascii="Arial"/>
          <w:color w:val="auto"/>
          <w:sz w:val="21"/>
          <w:highlight w:val="none"/>
        </w:rPr>
      </w:pPr>
    </w:p>
    <w:p w14:paraId="0A20905C">
      <w:pPr>
        <w:pStyle w:val="4"/>
        <w:spacing w:line="240" w:lineRule="auto"/>
        <w:ind w:left="0"/>
        <w:jc w:val="center"/>
        <w:outlineLvl w:val="0"/>
        <w:rPr>
          <w:rFonts w:hint="default" w:eastAsia="微软雅黑"/>
          <w:color w:val="auto"/>
          <w:sz w:val="84"/>
          <w:szCs w:val="84"/>
          <w:highlight w:val="none"/>
          <w:lang w:val="en-US" w:eastAsia="zh-CN"/>
        </w:rPr>
      </w:pPr>
      <w:r>
        <w:rPr>
          <w:b/>
          <w:bCs/>
          <w:color w:val="auto"/>
          <w:spacing w:val="-20"/>
          <w:w w:val="97"/>
          <w:sz w:val="84"/>
          <w:szCs w:val="84"/>
          <w:highlight w:val="none"/>
        </w:rPr>
        <w:t>招</w:t>
      </w:r>
      <w:r>
        <w:rPr>
          <w:b/>
          <w:bCs/>
          <w:color w:val="auto"/>
          <w:spacing w:val="241"/>
          <w:sz w:val="84"/>
          <w:szCs w:val="84"/>
          <w:highlight w:val="none"/>
        </w:rPr>
        <w:t xml:space="preserve"> </w:t>
      </w:r>
      <w:r>
        <w:rPr>
          <w:b/>
          <w:bCs/>
          <w:color w:val="auto"/>
          <w:spacing w:val="-20"/>
          <w:w w:val="97"/>
          <w:sz w:val="84"/>
          <w:szCs w:val="84"/>
          <w:highlight w:val="none"/>
        </w:rPr>
        <w:t>标</w:t>
      </w:r>
      <w:r>
        <w:rPr>
          <w:b/>
          <w:bCs/>
          <w:color w:val="auto"/>
          <w:spacing w:val="225"/>
          <w:sz w:val="84"/>
          <w:szCs w:val="84"/>
          <w:highlight w:val="none"/>
        </w:rPr>
        <w:t xml:space="preserve"> </w:t>
      </w:r>
      <w:r>
        <w:rPr>
          <w:b/>
          <w:bCs/>
          <w:color w:val="auto"/>
          <w:spacing w:val="-20"/>
          <w:w w:val="97"/>
          <w:sz w:val="84"/>
          <w:szCs w:val="84"/>
          <w:highlight w:val="none"/>
        </w:rPr>
        <w:t>文</w:t>
      </w:r>
      <w:r>
        <w:rPr>
          <w:b/>
          <w:bCs/>
          <w:color w:val="auto"/>
          <w:spacing w:val="225"/>
          <w:sz w:val="84"/>
          <w:szCs w:val="84"/>
          <w:highlight w:val="none"/>
        </w:rPr>
        <w:t xml:space="preserve"> </w:t>
      </w:r>
      <w:r>
        <w:rPr>
          <w:b/>
          <w:bCs/>
          <w:color w:val="auto"/>
          <w:spacing w:val="-20"/>
          <w:w w:val="97"/>
          <w:sz w:val="84"/>
          <w:szCs w:val="84"/>
          <w:highlight w:val="none"/>
        </w:rPr>
        <w:t>件</w:t>
      </w:r>
    </w:p>
    <w:p w14:paraId="42711FDA">
      <w:pPr>
        <w:spacing w:line="246" w:lineRule="auto"/>
        <w:rPr>
          <w:rFonts w:ascii="Arial"/>
          <w:color w:val="auto"/>
          <w:sz w:val="21"/>
          <w:highlight w:val="none"/>
        </w:rPr>
      </w:pPr>
    </w:p>
    <w:p w14:paraId="61B943F8">
      <w:pPr>
        <w:spacing w:line="246" w:lineRule="auto"/>
        <w:rPr>
          <w:rFonts w:ascii="Arial"/>
          <w:color w:val="auto"/>
          <w:sz w:val="21"/>
          <w:highlight w:val="none"/>
        </w:rPr>
      </w:pPr>
    </w:p>
    <w:p w14:paraId="13CB9DC8">
      <w:pPr>
        <w:spacing w:line="246" w:lineRule="auto"/>
        <w:rPr>
          <w:rFonts w:ascii="Arial"/>
          <w:color w:val="auto"/>
          <w:sz w:val="21"/>
          <w:highlight w:val="none"/>
        </w:rPr>
      </w:pPr>
    </w:p>
    <w:p w14:paraId="3F11EF74">
      <w:pPr>
        <w:spacing w:line="246" w:lineRule="auto"/>
        <w:rPr>
          <w:rFonts w:ascii="Arial"/>
          <w:color w:val="auto"/>
          <w:sz w:val="21"/>
          <w:highlight w:val="none"/>
        </w:rPr>
      </w:pPr>
    </w:p>
    <w:p w14:paraId="5C259719">
      <w:pPr>
        <w:spacing w:line="246" w:lineRule="auto"/>
        <w:rPr>
          <w:rFonts w:ascii="Arial"/>
          <w:color w:val="auto"/>
          <w:sz w:val="21"/>
          <w:highlight w:val="none"/>
        </w:rPr>
      </w:pPr>
    </w:p>
    <w:p w14:paraId="17CBF20B">
      <w:pPr>
        <w:spacing w:line="246" w:lineRule="auto"/>
        <w:rPr>
          <w:rFonts w:ascii="Arial"/>
          <w:color w:val="auto"/>
          <w:sz w:val="21"/>
          <w:highlight w:val="none"/>
        </w:rPr>
      </w:pPr>
    </w:p>
    <w:p w14:paraId="48C80D8E">
      <w:pPr>
        <w:spacing w:line="247" w:lineRule="auto"/>
        <w:rPr>
          <w:rFonts w:ascii="Arial"/>
          <w:color w:val="auto"/>
          <w:sz w:val="21"/>
          <w:highlight w:val="none"/>
        </w:rPr>
      </w:pPr>
    </w:p>
    <w:p w14:paraId="01569609">
      <w:pPr>
        <w:pStyle w:val="4"/>
        <w:spacing w:before="137" w:line="184" w:lineRule="auto"/>
        <w:ind w:left="285"/>
        <w:rPr>
          <w:rFonts w:hint="eastAsia" w:eastAsia="微软雅黑"/>
          <w:color w:val="auto"/>
          <w:highlight w:val="none"/>
          <w:lang w:eastAsia="zh-CN"/>
        </w:rPr>
      </w:pPr>
      <w:r>
        <w:rPr>
          <w:b/>
          <w:bCs/>
          <w:color w:val="auto"/>
          <w:spacing w:val="-2"/>
          <w:highlight w:val="none"/>
        </w:rPr>
        <w:t>招标人：</w:t>
      </w:r>
      <w:r>
        <w:rPr>
          <w:rFonts w:hint="eastAsia"/>
          <w:b/>
          <w:bCs/>
          <w:color w:val="auto"/>
          <w:spacing w:val="-2"/>
          <w:highlight w:val="none"/>
          <w:u w:val="single" w:color="auto"/>
          <w:lang w:eastAsia="zh-CN"/>
        </w:rPr>
        <w:t>伊犁哈萨克自治州纤维检验所</w:t>
      </w:r>
      <w:r>
        <w:rPr>
          <w:b/>
          <w:bCs/>
          <w:color w:val="auto"/>
          <w:spacing w:val="-2"/>
          <w:highlight w:val="none"/>
        </w:rPr>
        <w:t>（盖章）</w:t>
      </w:r>
    </w:p>
    <w:p w14:paraId="292EBC3D">
      <w:pPr>
        <w:pStyle w:val="4"/>
        <w:spacing w:before="202" w:line="188" w:lineRule="auto"/>
        <w:ind w:left="287"/>
        <w:rPr>
          <w:color w:val="auto"/>
          <w:highlight w:val="none"/>
        </w:rPr>
      </w:pPr>
      <w:r>
        <w:rPr>
          <w:b/>
          <w:bCs/>
          <w:color w:val="auto"/>
          <w:spacing w:val="-11"/>
          <w:highlight w:val="none"/>
        </w:rPr>
        <w:t>项目联系人:</w:t>
      </w:r>
      <w:r>
        <w:rPr>
          <w:b/>
          <w:bCs/>
          <w:color w:val="auto"/>
          <w:spacing w:val="-39"/>
          <w:highlight w:val="none"/>
          <w:u w:val="single" w:color="auto"/>
        </w:rPr>
        <w:t xml:space="preserve"> </w:t>
      </w:r>
      <w:r>
        <w:rPr>
          <w:b/>
          <w:bCs/>
          <w:color w:val="auto"/>
          <w:spacing w:val="-11"/>
          <w:highlight w:val="none"/>
          <w:u w:val="single" w:color="auto"/>
        </w:rPr>
        <w:t>曲志勇</w:t>
      </w:r>
      <w:r>
        <w:rPr>
          <w:b/>
          <w:bCs/>
          <w:color w:val="auto"/>
          <w:spacing w:val="65"/>
          <w:highlight w:val="none"/>
          <w:u w:val="single" w:color="auto"/>
        </w:rPr>
        <w:t xml:space="preserve"> </w:t>
      </w:r>
      <w:r>
        <w:rPr>
          <w:b/>
          <w:bCs/>
          <w:color w:val="auto"/>
          <w:spacing w:val="-11"/>
          <w:highlight w:val="none"/>
        </w:rPr>
        <w:t xml:space="preserve">                </w:t>
      </w:r>
      <w:r>
        <w:rPr>
          <w:b/>
          <w:bCs/>
          <w:color w:val="auto"/>
          <w:spacing w:val="-12"/>
          <w:highlight w:val="none"/>
        </w:rPr>
        <w:t>联系电话：</w:t>
      </w:r>
      <w:r>
        <w:rPr>
          <w:b/>
          <w:bCs/>
          <w:color w:val="auto"/>
          <w:spacing w:val="-12"/>
          <w:highlight w:val="none"/>
          <w:u w:val="single" w:color="auto"/>
        </w:rPr>
        <w:t>18009991686</w:t>
      </w:r>
    </w:p>
    <w:p w14:paraId="70926A7E">
      <w:pPr>
        <w:pStyle w:val="4"/>
        <w:spacing w:before="192" w:line="184" w:lineRule="auto"/>
        <w:ind w:left="6290" w:leftChars="135" w:hanging="6007" w:hangingChars="1900"/>
        <w:rPr>
          <w:color w:val="auto"/>
          <w:highlight w:val="none"/>
        </w:rPr>
      </w:pPr>
      <w:r>
        <w:rPr>
          <w:rFonts w:hint="eastAsia"/>
          <w:b/>
          <w:bCs/>
          <w:color w:val="auto"/>
          <w:spacing w:val="-2"/>
          <w:highlight w:val="none"/>
          <w:lang w:eastAsia="zh-CN"/>
        </w:rPr>
        <w:t>采购代理机构</w:t>
      </w:r>
      <w:r>
        <w:rPr>
          <w:b/>
          <w:bCs/>
          <w:color w:val="auto"/>
          <w:spacing w:val="-2"/>
          <w:highlight w:val="none"/>
        </w:rPr>
        <w:t>：</w:t>
      </w:r>
      <w:r>
        <w:rPr>
          <w:rFonts w:hint="eastAsia"/>
          <w:b/>
          <w:bCs/>
          <w:color w:val="auto"/>
          <w:spacing w:val="-2"/>
          <w:highlight w:val="none"/>
          <w:u w:val="single" w:color="auto"/>
          <w:lang w:eastAsia="zh-CN"/>
        </w:rPr>
        <w:t>乌鲁木齐鑫盛开源工程项目管理有限公司</w:t>
      </w:r>
      <w:r>
        <w:rPr>
          <w:b/>
          <w:bCs/>
          <w:color w:val="auto"/>
          <w:spacing w:val="-2"/>
          <w:highlight w:val="none"/>
        </w:rPr>
        <w:t>（盖章）</w:t>
      </w:r>
    </w:p>
    <w:p w14:paraId="623E87E6">
      <w:pPr>
        <w:pStyle w:val="4"/>
        <w:spacing w:before="202" w:line="188" w:lineRule="auto"/>
        <w:ind w:left="287"/>
        <w:rPr>
          <w:rFonts w:hint="eastAsia" w:eastAsia="微软雅黑"/>
          <w:color w:val="auto"/>
          <w:highlight w:val="none"/>
          <w:lang w:eastAsia="zh-CN"/>
        </w:rPr>
      </w:pPr>
      <w:r>
        <w:rPr>
          <w:b/>
          <w:bCs/>
          <w:color w:val="auto"/>
          <w:spacing w:val="-12"/>
          <w:highlight w:val="none"/>
        </w:rPr>
        <w:t>项目联系人：</w:t>
      </w:r>
      <w:r>
        <w:rPr>
          <w:rFonts w:hint="eastAsia"/>
          <w:b/>
          <w:bCs/>
          <w:color w:val="auto"/>
          <w:spacing w:val="-12"/>
          <w:highlight w:val="none"/>
          <w:u w:val="single" w:color="auto"/>
          <w:lang w:eastAsia="zh-CN"/>
        </w:rPr>
        <w:t>蔡琰</w:t>
      </w:r>
      <w:r>
        <w:rPr>
          <w:b/>
          <w:bCs/>
          <w:color w:val="auto"/>
          <w:spacing w:val="-12"/>
          <w:highlight w:val="none"/>
        </w:rPr>
        <w:t xml:space="preserve">                联系电话：</w:t>
      </w:r>
      <w:r>
        <w:rPr>
          <w:rFonts w:hint="eastAsia"/>
          <w:b/>
          <w:bCs/>
          <w:color w:val="auto"/>
          <w:spacing w:val="-12"/>
          <w:highlight w:val="none"/>
          <w:u w:val="single" w:color="auto"/>
          <w:lang w:eastAsia="zh-CN"/>
        </w:rPr>
        <w:t>13679942122</w:t>
      </w:r>
    </w:p>
    <w:p w14:paraId="488263A5">
      <w:pPr>
        <w:spacing w:line="337" w:lineRule="auto"/>
        <w:rPr>
          <w:rFonts w:ascii="Arial"/>
          <w:color w:val="auto"/>
          <w:sz w:val="21"/>
          <w:highlight w:val="none"/>
        </w:rPr>
      </w:pPr>
    </w:p>
    <w:p w14:paraId="29F0803F">
      <w:pPr>
        <w:spacing w:line="337" w:lineRule="auto"/>
        <w:rPr>
          <w:rFonts w:ascii="Arial"/>
          <w:color w:val="auto"/>
          <w:sz w:val="21"/>
          <w:highlight w:val="none"/>
        </w:rPr>
      </w:pPr>
    </w:p>
    <w:p w14:paraId="57A49075">
      <w:pPr>
        <w:pStyle w:val="4"/>
        <w:spacing w:before="138" w:line="188" w:lineRule="auto"/>
        <w:ind w:left="4032"/>
        <w:rPr>
          <w:color w:val="auto"/>
          <w:highlight w:val="none"/>
        </w:rPr>
      </w:pPr>
      <w:r>
        <w:rPr>
          <w:rFonts w:hint="eastAsia"/>
          <w:b/>
          <w:bCs/>
          <w:color w:val="auto"/>
          <w:spacing w:val="-25"/>
          <w:highlight w:val="none"/>
          <w:lang w:eastAsia="zh-CN"/>
        </w:rPr>
        <w:t>2025年</w:t>
      </w:r>
      <w:r>
        <w:rPr>
          <w:rFonts w:hint="eastAsia"/>
          <w:b/>
          <w:bCs/>
          <w:color w:val="auto"/>
          <w:spacing w:val="-25"/>
          <w:highlight w:val="none"/>
          <w:lang w:val="en-US" w:eastAsia="zh-CN"/>
        </w:rPr>
        <w:t>7</w:t>
      </w:r>
      <w:r>
        <w:rPr>
          <w:b/>
          <w:bCs/>
          <w:color w:val="auto"/>
          <w:spacing w:val="-25"/>
          <w:highlight w:val="none"/>
        </w:rPr>
        <w:t>月</w:t>
      </w:r>
    </w:p>
    <w:p w14:paraId="53AF4DAD">
      <w:pPr>
        <w:spacing w:line="188" w:lineRule="auto"/>
        <w:rPr>
          <w:color w:val="auto"/>
          <w:highlight w:val="none"/>
        </w:rPr>
        <w:sectPr>
          <w:headerReference r:id="rId5" w:type="default"/>
          <w:pgSz w:w="11906" w:h="16839"/>
          <w:pgMar w:top="1440" w:right="1800" w:bottom="1440" w:left="1800" w:header="0" w:footer="0" w:gutter="0"/>
          <w:pgNumType w:fmt="decimal"/>
          <w:cols w:space="720" w:num="1"/>
        </w:sectPr>
      </w:pPr>
    </w:p>
    <w:p w14:paraId="213DF329">
      <w:pPr>
        <w:spacing w:line="252" w:lineRule="auto"/>
        <w:rPr>
          <w:rFonts w:ascii="Arial"/>
          <w:color w:val="auto"/>
          <w:sz w:val="21"/>
          <w:highlight w:val="none"/>
        </w:rPr>
      </w:pPr>
    </w:p>
    <w:p w14:paraId="67D2F3BE">
      <w:pPr>
        <w:spacing w:line="252" w:lineRule="auto"/>
        <w:rPr>
          <w:rFonts w:ascii="Arial"/>
          <w:color w:val="auto"/>
          <w:sz w:val="21"/>
          <w:highlight w:val="none"/>
        </w:rPr>
      </w:pPr>
    </w:p>
    <w:p w14:paraId="58402A90">
      <w:pPr>
        <w:spacing w:line="252" w:lineRule="auto"/>
        <w:rPr>
          <w:rFonts w:ascii="Arial"/>
          <w:color w:val="auto"/>
          <w:sz w:val="21"/>
          <w:highlight w:val="none"/>
        </w:rPr>
      </w:pPr>
    </w:p>
    <w:p w14:paraId="036601DB">
      <w:pPr>
        <w:spacing w:line="252" w:lineRule="auto"/>
        <w:rPr>
          <w:rFonts w:ascii="Arial"/>
          <w:color w:val="auto"/>
          <w:sz w:val="21"/>
          <w:highlight w:val="none"/>
        </w:rPr>
      </w:pPr>
    </w:p>
    <w:p w14:paraId="4D1BD6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2273C0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2EF141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sdt>
      <w:sdtPr>
        <w:rPr>
          <w:rFonts w:ascii="微软雅黑" w:hAnsi="微软雅黑" w:eastAsia="微软雅黑" w:cs="微软雅黑"/>
          <w:color w:val="auto"/>
          <w:sz w:val="44"/>
          <w:szCs w:val="44"/>
          <w:highlight w:val="none"/>
        </w:rPr>
        <w:id w:val="147477387"/>
        <w:docPartObj>
          <w:docPartGallery w:val="Table of Contents"/>
          <w:docPartUnique/>
        </w:docPartObj>
      </w:sdtPr>
      <w:sdtEndPr>
        <w:rPr>
          <w:rFonts w:ascii="新宋体" w:hAnsi="新宋体" w:eastAsia="新宋体" w:cs="新宋体"/>
          <w:color w:val="auto"/>
          <w:sz w:val="24"/>
          <w:szCs w:val="24"/>
          <w:highlight w:val="none"/>
        </w:rPr>
      </w:sdtEndPr>
      <w:sdtContent>
        <w:p w14:paraId="742E3F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color w:val="auto"/>
              <w:sz w:val="44"/>
              <w:szCs w:val="44"/>
              <w:highlight w:val="none"/>
            </w:rPr>
          </w:pPr>
          <w:bookmarkStart w:id="0" w:name="bookmark1"/>
          <w:bookmarkEnd w:id="0"/>
          <w:r>
            <w:rPr>
              <w:b/>
              <w:bCs/>
              <w:color w:val="auto"/>
              <w:spacing w:val="-54"/>
              <w:sz w:val="44"/>
              <w:szCs w:val="44"/>
              <w:highlight w:val="none"/>
            </w:rPr>
            <w:t>目</w:t>
          </w:r>
          <w:r>
            <w:rPr>
              <w:b/>
              <w:bCs/>
              <w:color w:val="auto"/>
              <w:spacing w:val="30"/>
              <w:sz w:val="44"/>
              <w:szCs w:val="44"/>
              <w:highlight w:val="none"/>
            </w:rPr>
            <w:t xml:space="preserve">   </w:t>
          </w:r>
          <w:r>
            <w:rPr>
              <w:b/>
              <w:bCs/>
              <w:color w:val="auto"/>
              <w:spacing w:val="-54"/>
              <w:sz w:val="44"/>
              <w:szCs w:val="44"/>
              <w:highlight w:val="none"/>
            </w:rPr>
            <w:t>录</w:t>
          </w:r>
        </w:p>
        <w:p w14:paraId="65547DFF">
          <w:pPr>
            <w:keepNext w:val="0"/>
            <w:keepLines w:val="0"/>
            <w:pageBreakBefore w:val="0"/>
            <w:widowControl/>
            <w:tabs>
              <w:tab w:val="right" w:leader="dot" w:pos="9530"/>
            </w:tabs>
            <w:kinsoku w:val="0"/>
            <w:wordWrap/>
            <w:overflowPunct/>
            <w:topLinePunct w:val="0"/>
            <w:autoSpaceDE w:val="0"/>
            <w:autoSpaceDN w:val="0"/>
            <w:bidi w:val="0"/>
            <w:adjustRightInd w:val="0"/>
            <w:snapToGrid w:val="0"/>
            <w:spacing w:line="360" w:lineRule="auto"/>
            <w:ind w:left="0"/>
            <w:textAlignment w:val="baseline"/>
            <w:rPr>
              <w:rFonts w:ascii="新宋体" w:hAnsi="新宋体" w:eastAsia="新宋体" w:cs="新宋体"/>
              <w:color w:val="auto"/>
              <w:sz w:val="24"/>
              <w:szCs w:val="24"/>
              <w:highlight w:val="none"/>
            </w:rPr>
          </w:pPr>
          <w:bookmarkStart w:id="1" w:name="bookmark2"/>
          <w:bookmarkEnd w:id="1"/>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新宋体" w:hAnsi="新宋体" w:eastAsia="新宋体" w:cs="新宋体"/>
              <w:color w:val="auto"/>
              <w:spacing w:val="-6"/>
              <w:sz w:val="24"/>
              <w:szCs w:val="24"/>
              <w:highlight w:val="none"/>
              <w:u w:val="single" w:color="auto"/>
            </w:rPr>
            <w:t>第一章</w:t>
          </w:r>
          <w:r>
            <w:rPr>
              <w:rFonts w:ascii="新宋体" w:hAnsi="新宋体" w:eastAsia="新宋体" w:cs="新宋体"/>
              <w:color w:val="auto"/>
              <w:spacing w:val="15"/>
              <w:sz w:val="24"/>
              <w:szCs w:val="24"/>
              <w:highlight w:val="none"/>
              <w:u w:val="single" w:color="auto"/>
            </w:rPr>
            <w:t xml:space="preserve"> </w:t>
          </w:r>
          <w:r>
            <w:rPr>
              <w:rFonts w:ascii="新宋体" w:hAnsi="新宋体" w:eastAsia="新宋体" w:cs="新宋体"/>
              <w:color w:val="auto"/>
              <w:spacing w:val="-6"/>
              <w:sz w:val="24"/>
              <w:szCs w:val="24"/>
              <w:highlight w:val="none"/>
              <w:u w:val="single" w:color="auto"/>
            </w:rPr>
            <w:t>招标公告</w:t>
          </w:r>
          <w:r>
            <w:rPr>
              <w:rFonts w:ascii="新宋体" w:hAnsi="新宋体" w:eastAsia="新宋体" w:cs="新宋体"/>
              <w:color w:val="auto"/>
              <w:spacing w:val="-27"/>
              <w:sz w:val="24"/>
              <w:szCs w:val="24"/>
              <w:highlight w:val="none"/>
              <w:u w:val="single" w:color="auto"/>
            </w:rPr>
            <w:t xml:space="preserve">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u w:val="single" w:color="auto"/>
            </w:rPr>
            <w:t>1</w:t>
          </w:r>
          <w:r>
            <w:rPr>
              <w:rFonts w:ascii="新宋体" w:hAnsi="新宋体" w:eastAsia="新宋体" w:cs="新宋体"/>
              <w:color w:val="auto"/>
              <w:sz w:val="24"/>
              <w:szCs w:val="24"/>
              <w:highlight w:val="none"/>
              <w:u w:val="single" w:color="auto"/>
            </w:rPr>
            <w:fldChar w:fldCharType="end"/>
          </w:r>
        </w:p>
        <w:p w14:paraId="5DB5872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Arial"/>
              <w:color w:val="auto"/>
              <w:sz w:val="21"/>
              <w:highlight w:val="none"/>
            </w:rPr>
          </w:pPr>
        </w:p>
        <w:p w14:paraId="366C06A4">
          <w:pPr>
            <w:keepNext w:val="0"/>
            <w:keepLines w:val="0"/>
            <w:pageBreakBefore w:val="0"/>
            <w:widowControl/>
            <w:tabs>
              <w:tab w:val="right" w:leader="dot" w:pos="9530"/>
            </w:tabs>
            <w:kinsoku w:val="0"/>
            <w:wordWrap/>
            <w:overflowPunct/>
            <w:topLinePunct w:val="0"/>
            <w:autoSpaceDE w:val="0"/>
            <w:autoSpaceDN w:val="0"/>
            <w:bidi w:val="0"/>
            <w:adjustRightInd w:val="0"/>
            <w:snapToGrid w:val="0"/>
            <w:spacing w:line="360" w:lineRule="auto"/>
            <w:ind w:left="0"/>
            <w:textAlignment w:val="baseline"/>
            <w:rPr>
              <w:rFonts w:hint="eastAsia" w:ascii="新宋体" w:hAnsi="新宋体" w:eastAsia="新宋体" w:cs="新宋体"/>
              <w:color w:val="auto"/>
              <w:sz w:val="24"/>
              <w:szCs w:val="24"/>
              <w:highlight w:val="none"/>
              <w:lang w:eastAsia="zh-CN"/>
            </w:rPr>
          </w:pPr>
          <w:bookmarkStart w:id="2" w:name="bookmark3"/>
          <w:bookmarkEnd w:id="2"/>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第二章 投标人须知</w:t>
          </w:r>
          <w:r>
            <w:rPr>
              <w:rFonts w:ascii="新宋体" w:hAnsi="新宋体" w:eastAsia="新宋体" w:cs="新宋体"/>
              <w:color w:val="auto"/>
              <w:spacing w:val="-27"/>
              <w:sz w:val="24"/>
              <w:szCs w:val="24"/>
              <w:highlight w:val="none"/>
              <w:u w:val="single" w:color="auto"/>
            </w:rPr>
            <w:t xml:space="preserve">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rPr>
            <w:fldChar w:fldCharType="end"/>
          </w:r>
          <w:r>
            <w:rPr>
              <w:rFonts w:hint="eastAsia" w:ascii="新宋体" w:hAnsi="新宋体" w:eastAsia="新宋体" w:cs="新宋体"/>
              <w:color w:val="auto"/>
              <w:sz w:val="24"/>
              <w:szCs w:val="24"/>
              <w:highlight w:val="none"/>
              <w:u w:val="single" w:color="auto"/>
              <w:lang w:val="en-US" w:eastAsia="zh-CN"/>
            </w:rPr>
            <w:t>5</w:t>
          </w:r>
        </w:p>
        <w:p w14:paraId="63954FB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Arial"/>
              <w:color w:val="auto"/>
              <w:sz w:val="21"/>
              <w:highlight w:val="none"/>
            </w:rPr>
          </w:pPr>
        </w:p>
        <w:p w14:paraId="583F0AA8">
          <w:pPr>
            <w:keepNext w:val="0"/>
            <w:keepLines w:val="0"/>
            <w:pageBreakBefore w:val="0"/>
            <w:widowControl/>
            <w:tabs>
              <w:tab w:val="right" w:leader="dot" w:pos="9530"/>
            </w:tabs>
            <w:kinsoku w:val="0"/>
            <w:wordWrap/>
            <w:overflowPunct/>
            <w:topLinePunct w:val="0"/>
            <w:autoSpaceDE w:val="0"/>
            <w:autoSpaceDN w:val="0"/>
            <w:bidi w:val="0"/>
            <w:adjustRightInd w:val="0"/>
            <w:snapToGrid w:val="0"/>
            <w:spacing w:line="360" w:lineRule="auto"/>
            <w:ind w:left="0"/>
            <w:textAlignment w:val="baseline"/>
            <w:rPr>
              <w:rFonts w:hint="eastAsia" w:ascii="新宋体" w:hAnsi="新宋体" w:eastAsia="新宋体" w:cs="新宋体"/>
              <w:color w:val="auto"/>
              <w:sz w:val="24"/>
              <w:szCs w:val="24"/>
              <w:highlight w:val="none"/>
              <w:lang w:eastAsia="zh-CN"/>
            </w:rPr>
          </w:pPr>
          <w:bookmarkStart w:id="3" w:name="bookmark4"/>
          <w:bookmarkEnd w:id="3"/>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 xml:space="preserve">第三章 评标办法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u w:val="single" w:color="auto"/>
            </w:rPr>
            <w:t>2</w:t>
          </w:r>
          <w:r>
            <w:rPr>
              <w:rFonts w:ascii="新宋体" w:hAnsi="新宋体" w:eastAsia="新宋体" w:cs="新宋体"/>
              <w:color w:val="auto"/>
              <w:sz w:val="24"/>
              <w:szCs w:val="24"/>
              <w:highlight w:val="none"/>
              <w:u w:val="single" w:color="auto"/>
            </w:rPr>
            <w:fldChar w:fldCharType="end"/>
          </w:r>
          <w:r>
            <w:rPr>
              <w:rFonts w:hint="eastAsia" w:ascii="新宋体" w:hAnsi="新宋体" w:eastAsia="新宋体" w:cs="新宋体"/>
              <w:color w:val="auto"/>
              <w:sz w:val="24"/>
              <w:szCs w:val="24"/>
              <w:highlight w:val="none"/>
              <w:u w:val="single" w:color="auto"/>
              <w:lang w:val="en-US" w:eastAsia="zh-CN"/>
            </w:rPr>
            <w:t>3</w:t>
          </w:r>
        </w:p>
        <w:p w14:paraId="0F5653C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Arial"/>
              <w:color w:val="auto"/>
              <w:sz w:val="21"/>
              <w:highlight w:val="none"/>
            </w:rPr>
          </w:pPr>
        </w:p>
        <w:p w14:paraId="66BECAC4">
          <w:pPr>
            <w:keepNext w:val="0"/>
            <w:keepLines w:val="0"/>
            <w:pageBreakBefore w:val="0"/>
            <w:widowControl/>
            <w:tabs>
              <w:tab w:val="right" w:leader="dot" w:pos="9530"/>
            </w:tabs>
            <w:kinsoku w:val="0"/>
            <w:wordWrap/>
            <w:overflowPunct/>
            <w:topLinePunct w:val="0"/>
            <w:autoSpaceDE w:val="0"/>
            <w:autoSpaceDN w:val="0"/>
            <w:bidi w:val="0"/>
            <w:adjustRightInd w:val="0"/>
            <w:snapToGrid w:val="0"/>
            <w:spacing w:line="360" w:lineRule="auto"/>
            <w:ind w:left="0"/>
            <w:textAlignment w:val="baseline"/>
            <w:rPr>
              <w:rFonts w:hint="eastAsia" w:ascii="新宋体" w:hAnsi="新宋体" w:eastAsia="新宋体" w:cs="新宋体"/>
              <w:color w:val="auto"/>
              <w:sz w:val="24"/>
              <w:szCs w:val="24"/>
              <w:highlight w:val="none"/>
              <w:lang w:val="en-US" w:eastAsia="zh-CN"/>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第四章 采购清单及技术参数</w:t>
          </w:r>
          <w:r>
            <w:rPr>
              <w:rFonts w:ascii="新宋体" w:hAnsi="新宋体" w:eastAsia="新宋体" w:cs="新宋体"/>
              <w:color w:val="auto"/>
              <w:spacing w:val="-15"/>
              <w:sz w:val="24"/>
              <w:szCs w:val="24"/>
              <w:highlight w:val="none"/>
              <w:u w:val="single" w:color="auto"/>
            </w:rPr>
            <w:t xml:space="preserve"> </w:t>
          </w:r>
          <w:r>
            <w:rPr>
              <w:rFonts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u w:val="single" w:color="auto"/>
              <w:lang w:val="en-US" w:eastAsia="zh-CN"/>
            </w:rPr>
            <w:t>3</w:t>
          </w:r>
          <w:r>
            <w:rPr>
              <w:rFonts w:ascii="新宋体" w:hAnsi="新宋体" w:eastAsia="新宋体" w:cs="新宋体"/>
              <w:color w:val="auto"/>
              <w:sz w:val="24"/>
              <w:szCs w:val="24"/>
              <w:highlight w:val="none"/>
              <w:u w:val="single" w:color="auto"/>
            </w:rPr>
            <w:fldChar w:fldCharType="end"/>
          </w:r>
          <w:r>
            <w:rPr>
              <w:rFonts w:hint="eastAsia" w:ascii="新宋体" w:hAnsi="新宋体" w:eastAsia="新宋体" w:cs="新宋体"/>
              <w:color w:val="auto"/>
              <w:sz w:val="24"/>
              <w:szCs w:val="24"/>
              <w:highlight w:val="none"/>
              <w:u w:val="single" w:color="auto"/>
              <w:lang w:val="en-US" w:eastAsia="zh-CN"/>
            </w:rPr>
            <w:t>1</w:t>
          </w:r>
        </w:p>
        <w:p w14:paraId="40DFB60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Arial"/>
              <w:color w:val="auto"/>
              <w:sz w:val="21"/>
              <w:highlight w:val="none"/>
            </w:rPr>
          </w:pPr>
        </w:p>
        <w:p w14:paraId="60567E0E">
          <w:pPr>
            <w:keepNext w:val="0"/>
            <w:keepLines w:val="0"/>
            <w:pageBreakBefore w:val="0"/>
            <w:widowControl/>
            <w:tabs>
              <w:tab w:val="right" w:leader="dot" w:pos="9530"/>
            </w:tabs>
            <w:kinsoku w:val="0"/>
            <w:wordWrap/>
            <w:overflowPunct/>
            <w:topLinePunct w:val="0"/>
            <w:autoSpaceDE w:val="0"/>
            <w:autoSpaceDN w:val="0"/>
            <w:bidi w:val="0"/>
            <w:adjustRightInd w:val="0"/>
            <w:snapToGrid w:val="0"/>
            <w:spacing w:line="360" w:lineRule="auto"/>
            <w:ind w:left="0"/>
            <w:textAlignment w:val="baseline"/>
            <w:rPr>
              <w:rFonts w:hint="eastAsia" w:ascii="新宋体" w:hAnsi="新宋体" w:eastAsia="新宋体" w:cs="新宋体"/>
              <w:color w:val="auto"/>
              <w:sz w:val="24"/>
              <w:szCs w:val="24"/>
              <w:highlight w:val="none"/>
              <w:lang w:val="en-US" w:eastAsia="zh-CN"/>
            </w:rPr>
          </w:pPr>
          <w:bookmarkStart w:id="4" w:name="bookmark7"/>
          <w:bookmarkEnd w:id="4"/>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rFonts w:ascii="新宋体" w:hAnsi="新宋体" w:eastAsia="新宋体" w:cs="新宋体"/>
              <w:color w:val="auto"/>
              <w:spacing w:val="-5"/>
              <w:sz w:val="24"/>
              <w:szCs w:val="24"/>
              <w:highlight w:val="none"/>
              <w:u w:val="single" w:color="auto"/>
            </w:rPr>
            <w:t>第五章</w:t>
          </w:r>
          <w:r>
            <w:rPr>
              <w:rFonts w:ascii="新宋体" w:hAnsi="新宋体" w:eastAsia="新宋体" w:cs="新宋体"/>
              <w:color w:val="auto"/>
              <w:spacing w:val="22"/>
              <w:sz w:val="24"/>
              <w:szCs w:val="24"/>
              <w:highlight w:val="none"/>
              <w:u w:val="single" w:color="auto"/>
            </w:rPr>
            <w:t xml:space="preserve"> </w:t>
          </w:r>
          <w:r>
            <w:rPr>
              <w:rFonts w:ascii="新宋体" w:hAnsi="新宋体" w:eastAsia="新宋体" w:cs="新宋体"/>
              <w:color w:val="auto"/>
              <w:spacing w:val="-5"/>
              <w:sz w:val="24"/>
              <w:szCs w:val="24"/>
              <w:highlight w:val="none"/>
              <w:u w:val="single" w:color="auto"/>
            </w:rPr>
            <w:t>合同条款及格式</w:t>
          </w:r>
          <w:r>
            <w:rPr>
              <w:rFonts w:ascii="新宋体" w:hAnsi="新宋体" w:eastAsia="新宋体" w:cs="新宋体"/>
              <w:color w:val="auto"/>
              <w:spacing w:val="-26"/>
              <w:sz w:val="24"/>
              <w:szCs w:val="24"/>
              <w:highlight w:val="none"/>
              <w:u w:val="single" w:color="auto"/>
            </w:rPr>
            <w:t xml:space="preserve"> </w:t>
          </w:r>
          <w:r>
            <w:rPr>
              <w:rFonts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u w:val="single" w:color="auto"/>
              <w:lang w:val="en-US" w:eastAsia="zh-CN"/>
            </w:rPr>
            <w:t>4</w:t>
          </w:r>
          <w:r>
            <w:rPr>
              <w:rFonts w:ascii="新宋体" w:hAnsi="新宋体" w:eastAsia="新宋体" w:cs="新宋体"/>
              <w:color w:val="auto"/>
              <w:sz w:val="24"/>
              <w:szCs w:val="24"/>
              <w:highlight w:val="none"/>
              <w:u w:val="single" w:color="auto"/>
            </w:rPr>
            <w:fldChar w:fldCharType="end"/>
          </w:r>
          <w:r>
            <w:rPr>
              <w:rFonts w:hint="eastAsia" w:ascii="新宋体" w:hAnsi="新宋体" w:eastAsia="新宋体" w:cs="新宋体"/>
              <w:color w:val="auto"/>
              <w:sz w:val="24"/>
              <w:szCs w:val="24"/>
              <w:highlight w:val="none"/>
              <w:u w:val="single" w:color="auto"/>
              <w:lang w:val="en-US" w:eastAsia="zh-CN"/>
            </w:rPr>
            <w:t>1</w:t>
          </w:r>
        </w:p>
        <w:p w14:paraId="2716C3F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Arial"/>
              <w:color w:val="auto"/>
              <w:sz w:val="21"/>
              <w:highlight w:val="none"/>
            </w:rPr>
          </w:pPr>
        </w:p>
        <w:p w14:paraId="70DE784B">
          <w:pPr>
            <w:keepNext w:val="0"/>
            <w:keepLines w:val="0"/>
            <w:pageBreakBefore w:val="0"/>
            <w:widowControl/>
            <w:tabs>
              <w:tab w:val="right" w:leader="dot" w:pos="9530"/>
            </w:tabs>
            <w:kinsoku w:val="0"/>
            <w:wordWrap/>
            <w:overflowPunct/>
            <w:topLinePunct w:val="0"/>
            <w:autoSpaceDE w:val="0"/>
            <w:autoSpaceDN w:val="0"/>
            <w:bidi w:val="0"/>
            <w:adjustRightInd w:val="0"/>
            <w:snapToGrid w:val="0"/>
            <w:spacing w:line="360" w:lineRule="auto"/>
            <w:ind w:left="0"/>
            <w:textAlignment w:val="baseline"/>
            <w:rPr>
              <w:rFonts w:ascii="新宋体" w:hAnsi="新宋体" w:eastAsia="新宋体" w:cs="新宋体"/>
              <w:color w:val="auto"/>
              <w:sz w:val="24"/>
              <w:szCs w:val="24"/>
              <w:highlight w:val="none"/>
            </w:rPr>
          </w:pPr>
          <w:bookmarkStart w:id="5" w:name="bookmark8"/>
          <w:bookmarkEnd w:id="5"/>
          <w:r>
            <w:rPr>
              <w:color w:val="auto"/>
              <w:highlight w:val="none"/>
            </w:rPr>
            <w:fldChar w:fldCharType="begin"/>
          </w:r>
          <w:r>
            <w:rPr>
              <w:color w:val="auto"/>
              <w:highlight w:val="none"/>
            </w:rPr>
            <w:instrText xml:space="preserve"> HYPERLINK \l "bookmark9"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第六章 投标文件格式</w:t>
          </w:r>
          <w:r>
            <w:rPr>
              <w:rFonts w:ascii="新宋体" w:hAnsi="新宋体" w:eastAsia="新宋体" w:cs="新宋体"/>
              <w:color w:val="auto"/>
              <w:spacing w:val="-24"/>
              <w:sz w:val="24"/>
              <w:szCs w:val="24"/>
              <w:highlight w:val="none"/>
              <w:u w:val="single" w:color="auto"/>
            </w:rPr>
            <w:t xml:space="preserve">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rPr>
            <w:fldChar w:fldCharType="end"/>
          </w:r>
          <w:r>
            <w:rPr>
              <w:rFonts w:hint="eastAsia" w:ascii="新宋体" w:hAnsi="新宋体" w:eastAsia="新宋体" w:cs="新宋体"/>
              <w:color w:val="auto"/>
              <w:sz w:val="24"/>
              <w:szCs w:val="24"/>
              <w:highlight w:val="none"/>
              <w:u w:val="single" w:color="auto"/>
              <w:lang w:val="en-US" w:eastAsia="zh-CN"/>
            </w:rPr>
            <w:t>52</w:t>
          </w:r>
        </w:p>
      </w:sdtContent>
    </w:sdt>
    <w:p w14:paraId="501D03A2">
      <w:pPr>
        <w:spacing w:line="223" w:lineRule="auto"/>
        <w:rPr>
          <w:rFonts w:ascii="新宋体" w:hAnsi="新宋体" w:eastAsia="新宋体" w:cs="新宋体"/>
          <w:color w:val="auto"/>
          <w:sz w:val="24"/>
          <w:szCs w:val="24"/>
          <w:highlight w:val="none"/>
        </w:rPr>
        <w:sectPr>
          <w:headerReference r:id="rId6" w:type="default"/>
          <w:pgSz w:w="11906" w:h="16839"/>
          <w:pgMar w:top="1440" w:right="1800" w:bottom="1440" w:left="1800" w:header="0" w:footer="0" w:gutter="0"/>
          <w:pgNumType w:fmt="decimal"/>
          <w:cols w:space="720" w:num="1"/>
        </w:sectPr>
      </w:pPr>
    </w:p>
    <w:p w14:paraId="5908A4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sz w:val="30"/>
          <w:szCs w:val="30"/>
          <w:highlight w:val="none"/>
        </w:rPr>
      </w:pPr>
      <w:bookmarkStart w:id="6" w:name="bookmark2"/>
      <w:bookmarkEnd w:id="6"/>
      <w:r>
        <w:rPr>
          <w:b/>
          <w:bCs/>
          <w:color w:val="auto"/>
          <w:spacing w:val="-7"/>
          <w:sz w:val="30"/>
          <w:szCs w:val="30"/>
          <w:highlight w:val="none"/>
        </w:rPr>
        <w:t>第一章</w:t>
      </w:r>
      <w:r>
        <w:rPr>
          <w:b/>
          <w:bCs/>
          <w:color w:val="auto"/>
          <w:spacing w:val="80"/>
          <w:sz w:val="30"/>
          <w:szCs w:val="30"/>
          <w:highlight w:val="none"/>
        </w:rPr>
        <w:t xml:space="preserve"> </w:t>
      </w:r>
      <w:r>
        <w:rPr>
          <w:b/>
          <w:bCs/>
          <w:color w:val="auto"/>
          <w:spacing w:val="-7"/>
          <w:sz w:val="30"/>
          <w:szCs w:val="30"/>
          <w:highlight w:val="none"/>
        </w:rPr>
        <w:t>招标公告</w:t>
      </w:r>
    </w:p>
    <w:p w14:paraId="29FC3B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highlight w:val="none"/>
        </w:rPr>
      </w:pPr>
      <w:r>
        <w:rPr>
          <w:rFonts w:hint="eastAsia"/>
          <w:b/>
          <w:bCs/>
          <w:color w:val="auto"/>
          <w:spacing w:val="-1"/>
          <w:sz w:val="30"/>
          <w:szCs w:val="30"/>
          <w:highlight w:val="none"/>
          <w:lang w:eastAsia="zh-CN"/>
        </w:rPr>
        <w:t>伊犁哈萨克自治州纤维检验所2025年棉花公证检验空调、空压机等辅助设备维护服务项目</w:t>
      </w:r>
      <w:r>
        <w:rPr>
          <w:b/>
          <w:bCs/>
          <w:color w:val="auto"/>
          <w:spacing w:val="-1"/>
          <w:sz w:val="30"/>
          <w:szCs w:val="30"/>
          <w:highlight w:val="none"/>
        </w:rPr>
        <w:t>招标公告</w:t>
      </w:r>
    </w:p>
    <w:tbl>
      <w:tblPr>
        <w:tblStyle w:val="15"/>
        <w:tblW w:w="8453"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53"/>
      </w:tblGrid>
      <w:tr w14:paraId="4B6A00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40" w:hRule="atLeast"/>
        </w:trPr>
        <w:tc>
          <w:tcPr>
            <w:tcW w:w="8453" w:type="dxa"/>
            <w:vAlign w:val="top"/>
          </w:tcPr>
          <w:p w14:paraId="43DC447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4"/>
                <w:highlight w:val="none"/>
              </w:rPr>
              <w:t>项目概况</w:t>
            </w:r>
          </w:p>
          <w:p w14:paraId="646E28B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color w:val="auto"/>
                <w:highlight w:val="none"/>
              </w:rPr>
            </w:pPr>
            <w:r>
              <w:rPr>
                <w:rFonts w:hint="eastAsia"/>
                <w:color w:val="auto"/>
                <w:spacing w:val="3"/>
                <w:highlight w:val="none"/>
                <w:u w:val="single" w:color="auto"/>
                <w:lang w:eastAsia="zh-CN"/>
              </w:rPr>
              <w:t>伊犁哈萨克自治州纤维检验所2025年棉花公证检验空调、空压机等辅助设备维护服务项目</w:t>
            </w:r>
            <w:r>
              <w:rPr>
                <w:color w:val="auto"/>
                <w:spacing w:val="3"/>
                <w:highlight w:val="none"/>
              </w:rPr>
              <w:t>的潜在供应商应在</w:t>
            </w:r>
            <w:r>
              <w:rPr>
                <w:color w:val="auto"/>
                <w:spacing w:val="3"/>
                <w:highlight w:val="none"/>
                <w:u w:val="single" w:color="auto"/>
              </w:rPr>
              <w:t>政采云平</w:t>
            </w:r>
            <w:r>
              <w:rPr>
                <w:color w:val="auto"/>
                <w:spacing w:val="-7"/>
                <w:highlight w:val="none"/>
                <w:u w:val="single" w:color="auto"/>
              </w:rPr>
              <w:t>台</w:t>
            </w:r>
            <w:r>
              <w:rPr>
                <w:color w:val="auto"/>
                <w:spacing w:val="-7"/>
                <w:highlight w:val="none"/>
              </w:rPr>
              <w:t>线上获取采购文件，并于</w:t>
            </w:r>
            <w:r>
              <w:rPr>
                <w:color w:val="auto"/>
                <w:spacing w:val="-49"/>
                <w:highlight w:val="none"/>
              </w:rPr>
              <w:t xml:space="preserve"> </w:t>
            </w:r>
            <w:r>
              <w:rPr>
                <w:color w:val="auto"/>
                <w:spacing w:val="-7"/>
                <w:highlight w:val="none"/>
                <w:u w:val="single" w:color="auto"/>
              </w:rPr>
              <w:t>202</w:t>
            </w:r>
            <w:r>
              <w:rPr>
                <w:rFonts w:hint="eastAsia"/>
                <w:color w:val="auto"/>
                <w:spacing w:val="-7"/>
                <w:highlight w:val="none"/>
                <w:u w:val="single" w:color="auto"/>
                <w:lang w:val="en-US" w:eastAsia="zh-CN"/>
              </w:rPr>
              <w:t>5</w:t>
            </w:r>
            <w:r>
              <w:rPr>
                <w:color w:val="auto"/>
                <w:spacing w:val="-7"/>
                <w:highlight w:val="none"/>
                <w:u w:val="single" w:color="auto"/>
              </w:rPr>
              <w:t>年</w:t>
            </w:r>
            <w:r>
              <w:rPr>
                <w:rFonts w:hint="eastAsia"/>
                <w:color w:val="auto"/>
                <w:spacing w:val="-7"/>
                <w:highlight w:val="none"/>
                <w:u w:val="single" w:color="auto"/>
                <w:lang w:val="en-US" w:eastAsia="zh-CN"/>
              </w:rPr>
              <w:t>8</w:t>
            </w:r>
            <w:r>
              <w:rPr>
                <w:color w:val="auto"/>
                <w:spacing w:val="-7"/>
                <w:highlight w:val="none"/>
                <w:u w:val="single" w:color="auto"/>
              </w:rPr>
              <w:t>月</w:t>
            </w:r>
            <w:r>
              <w:rPr>
                <w:rFonts w:hint="eastAsia"/>
                <w:color w:val="auto"/>
                <w:spacing w:val="-34"/>
                <w:highlight w:val="none"/>
                <w:u w:val="single" w:color="auto"/>
                <w:lang w:val="en-US" w:eastAsia="zh-CN"/>
              </w:rPr>
              <w:t>5</w:t>
            </w:r>
            <w:r>
              <w:rPr>
                <w:color w:val="auto"/>
                <w:spacing w:val="-7"/>
                <w:highlight w:val="none"/>
                <w:u w:val="single" w:color="auto"/>
              </w:rPr>
              <w:t>日</w:t>
            </w:r>
            <w:r>
              <w:rPr>
                <w:rFonts w:hint="eastAsia"/>
                <w:color w:val="auto"/>
                <w:spacing w:val="-7"/>
                <w:highlight w:val="none"/>
                <w:u w:val="single" w:color="auto"/>
                <w:lang w:val="en-US" w:eastAsia="zh-CN"/>
              </w:rPr>
              <w:t>11</w:t>
            </w:r>
            <w:r>
              <w:rPr>
                <w:color w:val="auto"/>
                <w:spacing w:val="-7"/>
                <w:highlight w:val="none"/>
                <w:u w:val="single" w:color="auto"/>
              </w:rPr>
              <w:t>点</w:t>
            </w:r>
            <w:r>
              <w:rPr>
                <w:rFonts w:hint="eastAsia"/>
                <w:color w:val="auto"/>
                <w:spacing w:val="-8"/>
                <w:highlight w:val="none"/>
                <w:u w:val="single" w:color="auto"/>
                <w:lang w:val="en-US" w:eastAsia="zh-CN"/>
              </w:rPr>
              <w:t>00</w:t>
            </w:r>
            <w:r>
              <w:rPr>
                <w:color w:val="auto"/>
                <w:spacing w:val="-8"/>
                <w:highlight w:val="none"/>
                <w:u w:val="single" w:color="auto"/>
              </w:rPr>
              <w:t>分</w:t>
            </w:r>
            <w:r>
              <w:rPr>
                <w:color w:val="auto"/>
                <w:spacing w:val="-8"/>
                <w:highlight w:val="none"/>
              </w:rPr>
              <w:t>（北京时间）前提交投标文件。</w:t>
            </w:r>
          </w:p>
        </w:tc>
      </w:tr>
    </w:tbl>
    <w:p w14:paraId="5F88D7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Arial"/>
          <w:color w:val="auto"/>
          <w:sz w:val="21"/>
          <w:highlight w:val="none"/>
        </w:rPr>
      </w:pPr>
    </w:p>
    <w:p w14:paraId="6DAA3A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color w:val="auto"/>
          <w:sz w:val="24"/>
          <w:szCs w:val="24"/>
          <w:highlight w:val="none"/>
        </w:rPr>
      </w:pPr>
      <w:r>
        <w:rPr>
          <w:b/>
          <w:bCs/>
          <w:color w:val="auto"/>
          <w:spacing w:val="-5"/>
          <w:sz w:val="24"/>
          <w:szCs w:val="24"/>
          <w:highlight w:val="none"/>
        </w:rPr>
        <w:t>一、项目基本情况</w:t>
      </w:r>
    </w:p>
    <w:p w14:paraId="4186B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项目编号：</w:t>
      </w:r>
      <w:r>
        <w:rPr>
          <w:rFonts w:hint="eastAsia" w:ascii="新宋体" w:hAnsi="新宋体" w:eastAsia="新宋体" w:cs="新宋体"/>
          <w:color w:val="auto"/>
          <w:spacing w:val="-2"/>
          <w:sz w:val="24"/>
          <w:szCs w:val="24"/>
          <w:highlight w:val="none"/>
          <w:lang w:val="en-US" w:eastAsia="zh-CN"/>
        </w:rPr>
        <w:t>MHGZJC-2025-005</w:t>
      </w:r>
    </w:p>
    <w:p w14:paraId="4520BDA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2"/>
          <w:sz w:val="24"/>
          <w:szCs w:val="24"/>
          <w:highlight w:val="none"/>
        </w:rPr>
        <w:t>项目名称：</w:t>
      </w:r>
      <w:r>
        <w:rPr>
          <w:rFonts w:hint="eastAsia" w:ascii="新宋体" w:hAnsi="新宋体" w:eastAsia="新宋体" w:cs="新宋体"/>
          <w:color w:val="auto"/>
          <w:spacing w:val="-3"/>
          <w:sz w:val="24"/>
          <w:szCs w:val="24"/>
          <w:highlight w:val="none"/>
          <w:lang w:eastAsia="zh-CN"/>
        </w:rPr>
        <w:t>伊犁哈萨克自治州纤维检验所2025年棉花公证检验空调、空压机等辅助设备维护服务项目</w:t>
      </w:r>
      <w:r>
        <w:rPr>
          <w:rFonts w:ascii="新宋体" w:hAnsi="新宋体" w:eastAsia="新宋体" w:cs="新宋体"/>
          <w:color w:val="auto"/>
          <w:spacing w:val="-3"/>
          <w:sz w:val="24"/>
          <w:szCs w:val="24"/>
          <w:highlight w:val="none"/>
        </w:rPr>
        <w:t xml:space="preserve"> </w:t>
      </w:r>
    </w:p>
    <w:p w14:paraId="4FF59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预算金额：</w:t>
      </w:r>
      <w:r>
        <w:rPr>
          <w:rFonts w:hint="eastAsia" w:ascii="新宋体" w:hAnsi="新宋体" w:eastAsia="新宋体" w:cs="新宋体"/>
          <w:color w:val="auto"/>
          <w:spacing w:val="-2"/>
          <w:sz w:val="24"/>
          <w:szCs w:val="24"/>
          <w:highlight w:val="none"/>
          <w:lang w:val="en-US" w:eastAsia="zh-CN"/>
        </w:rPr>
        <w:t>720000</w:t>
      </w:r>
      <w:r>
        <w:rPr>
          <w:rFonts w:ascii="新宋体" w:hAnsi="新宋体" w:eastAsia="新宋体" w:cs="新宋体"/>
          <w:color w:val="auto"/>
          <w:spacing w:val="-2"/>
          <w:sz w:val="24"/>
          <w:szCs w:val="24"/>
          <w:highlight w:val="none"/>
        </w:rPr>
        <w:t>.00</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2"/>
          <w:sz w:val="24"/>
          <w:szCs w:val="24"/>
          <w:highlight w:val="none"/>
        </w:rPr>
        <w:t>元</w:t>
      </w:r>
    </w:p>
    <w:p w14:paraId="0A6A2E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最高限价：</w:t>
      </w:r>
      <w:r>
        <w:rPr>
          <w:rFonts w:hint="eastAsia" w:ascii="新宋体" w:hAnsi="新宋体" w:eastAsia="新宋体" w:cs="新宋体"/>
          <w:color w:val="auto"/>
          <w:spacing w:val="-2"/>
          <w:sz w:val="24"/>
          <w:szCs w:val="24"/>
          <w:highlight w:val="none"/>
          <w:lang w:val="en-US" w:eastAsia="zh-CN"/>
        </w:rPr>
        <w:t>720000</w:t>
      </w:r>
      <w:r>
        <w:rPr>
          <w:rFonts w:ascii="新宋体" w:hAnsi="新宋体" w:eastAsia="新宋体" w:cs="新宋体"/>
          <w:color w:val="auto"/>
          <w:spacing w:val="-2"/>
          <w:sz w:val="24"/>
          <w:szCs w:val="24"/>
          <w:highlight w:val="none"/>
        </w:rPr>
        <w:t>.00</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2"/>
          <w:sz w:val="24"/>
          <w:szCs w:val="24"/>
          <w:highlight w:val="none"/>
        </w:rPr>
        <w:t>元</w:t>
      </w:r>
    </w:p>
    <w:p w14:paraId="001E95C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采购需求：</w:t>
      </w:r>
      <w:r>
        <w:rPr>
          <w:rFonts w:hint="eastAsia" w:ascii="新宋体" w:hAnsi="新宋体" w:eastAsia="新宋体" w:cs="新宋体"/>
          <w:color w:val="auto"/>
          <w:spacing w:val="-3"/>
          <w:sz w:val="24"/>
          <w:szCs w:val="24"/>
          <w:highlight w:val="none"/>
        </w:rPr>
        <w:t>拟新购/更新的设备（装置或系统）具体内容</w:t>
      </w:r>
      <w:r>
        <w:rPr>
          <w:rFonts w:hint="eastAsia" w:ascii="新宋体" w:hAnsi="新宋体" w:eastAsia="新宋体" w:cs="新宋体"/>
          <w:color w:val="auto"/>
          <w:spacing w:val="-3"/>
          <w:sz w:val="24"/>
          <w:szCs w:val="24"/>
          <w:highlight w:val="none"/>
          <w:lang w:eastAsia="zh-CN"/>
        </w:rPr>
        <w:t>：</w:t>
      </w:r>
      <w:r>
        <w:rPr>
          <w:rFonts w:hint="eastAsia" w:ascii="新宋体" w:hAnsi="新宋体" w:eastAsia="新宋体" w:cs="新宋体"/>
          <w:color w:val="auto"/>
          <w:spacing w:val="-3"/>
          <w:sz w:val="24"/>
          <w:szCs w:val="24"/>
          <w:highlight w:val="none"/>
          <w:lang w:val="en-US" w:eastAsia="zh-CN"/>
        </w:rPr>
        <w:t>实验室辅助设备的维护保养；</w:t>
      </w:r>
      <w:r>
        <w:rPr>
          <w:rFonts w:ascii="新宋体" w:hAnsi="新宋体" w:eastAsia="新宋体" w:cs="新宋体"/>
          <w:color w:val="auto"/>
          <w:spacing w:val="-2"/>
          <w:sz w:val="24"/>
          <w:szCs w:val="24"/>
          <w:highlight w:val="none"/>
        </w:rPr>
        <w:t>（</w:t>
      </w:r>
      <w:r>
        <w:rPr>
          <w:rFonts w:hint="eastAsia" w:ascii="新宋体" w:hAnsi="新宋体" w:eastAsia="新宋体" w:cs="新宋体"/>
          <w:color w:val="auto"/>
          <w:spacing w:val="-2"/>
          <w:sz w:val="24"/>
          <w:szCs w:val="24"/>
          <w:highlight w:val="none"/>
          <w:lang w:val="en-US" w:eastAsia="zh-CN"/>
        </w:rPr>
        <w:t>具体内容</w:t>
      </w:r>
      <w:r>
        <w:rPr>
          <w:rFonts w:ascii="新宋体" w:hAnsi="新宋体" w:eastAsia="新宋体" w:cs="新宋体"/>
          <w:color w:val="auto"/>
          <w:spacing w:val="-2"/>
          <w:sz w:val="24"/>
          <w:szCs w:val="24"/>
          <w:highlight w:val="none"/>
        </w:rPr>
        <w:t>详见</w:t>
      </w:r>
      <w:r>
        <w:rPr>
          <w:rFonts w:hint="eastAsia" w:ascii="新宋体" w:hAnsi="新宋体" w:eastAsia="新宋体" w:cs="新宋体"/>
          <w:color w:val="auto"/>
          <w:spacing w:val="-2"/>
          <w:sz w:val="24"/>
          <w:szCs w:val="24"/>
          <w:highlight w:val="none"/>
          <w:lang w:val="en-US" w:eastAsia="zh-CN"/>
        </w:rPr>
        <w:t>招标文件内采购清单</w:t>
      </w:r>
      <w:r>
        <w:rPr>
          <w:rFonts w:ascii="新宋体" w:hAnsi="新宋体" w:eastAsia="新宋体" w:cs="新宋体"/>
          <w:color w:val="auto"/>
          <w:spacing w:val="-2"/>
          <w:sz w:val="24"/>
          <w:szCs w:val="24"/>
          <w:highlight w:val="none"/>
        </w:rPr>
        <w:t>）。</w:t>
      </w:r>
    </w:p>
    <w:p w14:paraId="1587A9B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合同履行期限：365日（自合同签订之日起计）。</w:t>
      </w:r>
    </w:p>
    <w:p w14:paraId="5536A80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本项目不接受联合体投标。</w:t>
      </w:r>
    </w:p>
    <w:p w14:paraId="49A3043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color w:val="auto"/>
          <w:sz w:val="24"/>
          <w:szCs w:val="24"/>
          <w:highlight w:val="none"/>
        </w:rPr>
      </w:pPr>
      <w:r>
        <w:rPr>
          <w:b/>
          <w:bCs/>
          <w:color w:val="auto"/>
          <w:spacing w:val="-7"/>
          <w:sz w:val="24"/>
          <w:szCs w:val="24"/>
          <w:highlight w:val="none"/>
        </w:rPr>
        <w:t>二、申请人的资格要求：</w:t>
      </w:r>
    </w:p>
    <w:p w14:paraId="69A42B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3"/>
          <w:sz w:val="24"/>
          <w:szCs w:val="24"/>
          <w:highlight w:val="none"/>
        </w:rPr>
        <w:t>1.满足《中华人民共和国政府采购法》第二十二条规定；</w:t>
      </w:r>
    </w:p>
    <w:p w14:paraId="05F38A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3"/>
          <w:sz w:val="24"/>
          <w:szCs w:val="24"/>
          <w:highlight w:val="none"/>
        </w:rPr>
        <w:t>2.落实政府采购政策需满足的资格要求：标项1：</w:t>
      </w:r>
      <w:r>
        <w:rPr>
          <w:rFonts w:hint="eastAsia" w:ascii="新宋体" w:hAnsi="新宋体" w:eastAsia="新宋体" w:cs="新宋体"/>
          <w:color w:val="auto"/>
          <w:spacing w:val="-3"/>
          <w:sz w:val="24"/>
          <w:szCs w:val="24"/>
          <w:highlight w:val="none"/>
        </w:rPr>
        <w:t>本项目专门面向中小企业</w:t>
      </w:r>
      <w:r>
        <w:rPr>
          <w:rFonts w:ascii="新宋体" w:hAnsi="新宋体" w:eastAsia="新宋体" w:cs="新宋体"/>
          <w:color w:val="auto"/>
          <w:spacing w:val="-3"/>
          <w:sz w:val="24"/>
          <w:szCs w:val="24"/>
          <w:highlight w:val="none"/>
        </w:rPr>
        <w:t>；</w:t>
      </w:r>
    </w:p>
    <w:p w14:paraId="0B6304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ascii="新宋体" w:hAnsi="新宋体" w:eastAsia="新宋体" w:cs="新宋体"/>
          <w:color w:val="auto"/>
          <w:spacing w:val="-3"/>
          <w:sz w:val="24"/>
          <w:szCs w:val="24"/>
          <w:highlight w:val="none"/>
        </w:rPr>
        <w:t>3.本项目的特定资格要求：</w:t>
      </w:r>
      <w:r>
        <w:rPr>
          <w:rFonts w:hint="eastAsia" w:ascii="新宋体" w:hAnsi="新宋体" w:eastAsia="新宋体" w:cs="新宋体"/>
          <w:color w:val="auto"/>
          <w:spacing w:val="-3"/>
          <w:sz w:val="24"/>
          <w:szCs w:val="24"/>
          <w:highlight w:val="none"/>
          <w:lang w:val="en-US" w:eastAsia="zh-CN"/>
        </w:rPr>
        <w:t>维保人员资质为机电工程师及以上不少于2人，持有电工证不少于1人。</w:t>
      </w:r>
    </w:p>
    <w:p w14:paraId="6A8A68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color w:val="auto"/>
          <w:sz w:val="24"/>
          <w:szCs w:val="24"/>
          <w:highlight w:val="none"/>
        </w:rPr>
      </w:pPr>
      <w:r>
        <w:rPr>
          <w:b/>
          <w:bCs/>
          <w:color w:val="auto"/>
          <w:spacing w:val="-3"/>
          <w:sz w:val="24"/>
          <w:szCs w:val="24"/>
          <w:highlight w:val="none"/>
        </w:rPr>
        <w:t>三、获取招标文件</w:t>
      </w:r>
    </w:p>
    <w:p w14:paraId="7075A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时间：</w:t>
      </w:r>
      <w:r>
        <w:rPr>
          <w:color w:val="auto"/>
          <w:spacing w:val="-49"/>
          <w:sz w:val="24"/>
          <w:szCs w:val="24"/>
          <w:highlight w:val="none"/>
        </w:rPr>
        <w:t xml:space="preserve"> </w:t>
      </w:r>
      <w:r>
        <w:rPr>
          <w:rFonts w:ascii="新宋体" w:hAnsi="新宋体" w:eastAsia="新宋体" w:cs="新宋体"/>
          <w:color w:val="auto"/>
          <w:spacing w:val="-8"/>
          <w:sz w:val="24"/>
          <w:szCs w:val="24"/>
          <w:highlight w:val="none"/>
          <w:u w:val="single" w:color="auto"/>
        </w:rPr>
        <w:t>202</w:t>
      </w:r>
      <w:r>
        <w:rPr>
          <w:rFonts w:hint="eastAsia" w:ascii="新宋体" w:hAnsi="新宋体" w:eastAsia="新宋体" w:cs="新宋体"/>
          <w:color w:val="auto"/>
          <w:spacing w:val="-8"/>
          <w:sz w:val="24"/>
          <w:szCs w:val="24"/>
          <w:highlight w:val="none"/>
          <w:u w:val="single" w:color="auto"/>
          <w:lang w:val="en-US" w:eastAsia="zh-CN"/>
        </w:rPr>
        <w:t>5</w:t>
      </w:r>
      <w:r>
        <w:rPr>
          <w:rFonts w:ascii="新宋体" w:hAnsi="新宋体" w:eastAsia="新宋体" w:cs="新宋体"/>
          <w:color w:val="auto"/>
          <w:spacing w:val="-8"/>
          <w:sz w:val="24"/>
          <w:szCs w:val="24"/>
          <w:highlight w:val="none"/>
          <w:u w:val="single" w:color="auto"/>
        </w:rPr>
        <w:t>年</w:t>
      </w:r>
      <w:r>
        <w:rPr>
          <w:rFonts w:hint="eastAsia" w:ascii="新宋体" w:hAnsi="新宋体" w:eastAsia="新宋体" w:cs="新宋体"/>
          <w:color w:val="auto"/>
          <w:spacing w:val="-8"/>
          <w:sz w:val="24"/>
          <w:szCs w:val="24"/>
          <w:highlight w:val="none"/>
          <w:u w:val="single" w:color="auto"/>
          <w:lang w:val="en-US" w:eastAsia="zh-CN"/>
        </w:rPr>
        <w:t>7</w:t>
      </w:r>
      <w:r>
        <w:rPr>
          <w:rFonts w:ascii="新宋体" w:hAnsi="新宋体" w:eastAsia="新宋体" w:cs="新宋体"/>
          <w:color w:val="auto"/>
          <w:spacing w:val="-8"/>
          <w:sz w:val="24"/>
          <w:szCs w:val="24"/>
          <w:highlight w:val="none"/>
          <w:u w:val="single" w:color="auto"/>
        </w:rPr>
        <w:t>月</w:t>
      </w:r>
      <w:r>
        <w:rPr>
          <w:rFonts w:hint="eastAsia" w:ascii="新宋体" w:hAnsi="新宋体" w:eastAsia="新宋体" w:cs="新宋体"/>
          <w:color w:val="auto"/>
          <w:spacing w:val="-8"/>
          <w:sz w:val="24"/>
          <w:szCs w:val="24"/>
          <w:highlight w:val="none"/>
          <w:u w:val="single" w:color="auto"/>
          <w:lang w:val="en-US" w:eastAsia="zh-CN"/>
        </w:rPr>
        <w:t>16</w:t>
      </w:r>
      <w:r>
        <w:rPr>
          <w:rFonts w:ascii="新宋体" w:hAnsi="新宋体" w:eastAsia="新宋体" w:cs="新宋体"/>
          <w:color w:val="auto"/>
          <w:spacing w:val="-8"/>
          <w:sz w:val="24"/>
          <w:szCs w:val="24"/>
          <w:highlight w:val="none"/>
          <w:u w:val="single" w:color="auto"/>
        </w:rPr>
        <w:t>日至202</w:t>
      </w:r>
      <w:r>
        <w:rPr>
          <w:rFonts w:hint="eastAsia" w:ascii="新宋体" w:hAnsi="新宋体" w:eastAsia="新宋体" w:cs="新宋体"/>
          <w:color w:val="auto"/>
          <w:spacing w:val="-8"/>
          <w:sz w:val="24"/>
          <w:szCs w:val="24"/>
          <w:highlight w:val="none"/>
          <w:u w:val="single" w:color="auto"/>
          <w:lang w:val="en-US" w:eastAsia="zh-CN"/>
        </w:rPr>
        <w:t>5</w:t>
      </w:r>
      <w:r>
        <w:rPr>
          <w:rFonts w:ascii="新宋体" w:hAnsi="新宋体" w:eastAsia="新宋体" w:cs="新宋体"/>
          <w:color w:val="auto"/>
          <w:spacing w:val="-8"/>
          <w:sz w:val="24"/>
          <w:szCs w:val="24"/>
          <w:highlight w:val="none"/>
          <w:u w:val="single" w:color="auto"/>
        </w:rPr>
        <w:t>年</w:t>
      </w:r>
      <w:r>
        <w:rPr>
          <w:rFonts w:hint="eastAsia" w:ascii="新宋体" w:hAnsi="新宋体" w:eastAsia="新宋体" w:cs="新宋体"/>
          <w:color w:val="auto"/>
          <w:spacing w:val="-8"/>
          <w:sz w:val="24"/>
          <w:szCs w:val="24"/>
          <w:highlight w:val="none"/>
          <w:u w:val="single" w:color="auto"/>
          <w:lang w:val="en-US" w:eastAsia="zh-CN"/>
        </w:rPr>
        <w:t>7</w:t>
      </w:r>
      <w:r>
        <w:rPr>
          <w:rFonts w:ascii="新宋体" w:hAnsi="新宋体" w:eastAsia="新宋体" w:cs="新宋体"/>
          <w:color w:val="auto"/>
          <w:spacing w:val="-8"/>
          <w:sz w:val="24"/>
          <w:szCs w:val="24"/>
          <w:highlight w:val="none"/>
          <w:u w:val="single" w:color="auto"/>
        </w:rPr>
        <w:t>月</w:t>
      </w:r>
      <w:r>
        <w:rPr>
          <w:rFonts w:hint="eastAsia" w:ascii="新宋体" w:hAnsi="新宋体" w:eastAsia="新宋体" w:cs="新宋体"/>
          <w:color w:val="auto"/>
          <w:spacing w:val="-8"/>
          <w:sz w:val="24"/>
          <w:szCs w:val="24"/>
          <w:highlight w:val="none"/>
          <w:u w:val="single" w:color="auto"/>
          <w:lang w:val="en-US" w:eastAsia="zh-CN"/>
        </w:rPr>
        <w:t>23</w:t>
      </w:r>
      <w:r>
        <w:rPr>
          <w:rFonts w:ascii="新宋体" w:hAnsi="新宋体" w:eastAsia="新宋体" w:cs="新宋体"/>
          <w:color w:val="auto"/>
          <w:spacing w:val="-8"/>
          <w:sz w:val="24"/>
          <w:szCs w:val="24"/>
          <w:highlight w:val="none"/>
          <w:u w:val="single" w:color="auto"/>
        </w:rPr>
        <w:t>日，每天</w:t>
      </w:r>
      <w:r>
        <w:rPr>
          <w:rFonts w:ascii="新宋体" w:hAnsi="新宋体" w:eastAsia="新宋体" w:cs="新宋体"/>
          <w:color w:val="auto"/>
          <w:spacing w:val="-9"/>
          <w:sz w:val="24"/>
          <w:szCs w:val="24"/>
          <w:highlight w:val="none"/>
          <w:u w:val="single" w:color="auto"/>
        </w:rPr>
        <w:t>上午</w:t>
      </w:r>
      <w:r>
        <w:rPr>
          <w:rFonts w:ascii="新宋体" w:hAnsi="新宋体" w:eastAsia="新宋体" w:cs="新宋体"/>
          <w:color w:val="auto"/>
          <w:spacing w:val="-34"/>
          <w:sz w:val="24"/>
          <w:szCs w:val="24"/>
          <w:highlight w:val="none"/>
          <w:u w:val="single" w:color="auto"/>
        </w:rPr>
        <w:t xml:space="preserve"> </w:t>
      </w:r>
      <w:r>
        <w:rPr>
          <w:rFonts w:hint="eastAsia" w:ascii="新宋体" w:hAnsi="新宋体" w:eastAsia="新宋体" w:cs="新宋体"/>
          <w:color w:val="auto"/>
          <w:spacing w:val="-9"/>
          <w:sz w:val="24"/>
          <w:szCs w:val="24"/>
          <w:highlight w:val="none"/>
          <w:u w:val="single" w:color="auto"/>
          <w:lang w:val="en-US" w:eastAsia="zh-CN"/>
        </w:rPr>
        <w:t>0</w:t>
      </w:r>
      <w:r>
        <w:rPr>
          <w:rFonts w:ascii="新宋体" w:hAnsi="新宋体" w:eastAsia="新宋体" w:cs="新宋体"/>
          <w:color w:val="auto"/>
          <w:spacing w:val="-9"/>
          <w:sz w:val="24"/>
          <w:szCs w:val="24"/>
          <w:highlight w:val="none"/>
          <w:u w:val="single" w:color="auto"/>
        </w:rPr>
        <w:t>0：00</w:t>
      </w:r>
      <w:r>
        <w:rPr>
          <w:rFonts w:ascii="新宋体" w:hAnsi="新宋体" w:eastAsia="新宋体" w:cs="新宋体"/>
          <w:color w:val="auto"/>
          <w:spacing w:val="-37"/>
          <w:sz w:val="24"/>
          <w:szCs w:val="24"/>
          <w:highlight w:val="none"/>
          <w:u w:val="single" w:color="auto"/>
        </w:rPr>
        <w:t xml:space="preserve"> </w:t>
      </w:r>
      <w:r>
        <w:rPr>
          <w:rFonts w:ascii="新宋体" w:hAnsi="新宋体" w:eastAsia="新宋体" w:cs="新宋体"/>
          <w:color w:val="auto"/>
          <w:spacing w:val="-9"/>
          <w:sz w:val="24"/>
          <w:szCs w:val="24"/>
          <w:highlight w:val="none"/>
          <w:u w:val="single" w:color="auto"/>
        </w:rPr>
        <w:t>至</w:t>
      </w:r>
      <w:r>
        <w:rPr>
          <w:rFonts w:ascii="新宋体" w:hAnsi="新宋体" w:eastAsia="新宋体" w:cs="新宋体"/>
          <w:color w:val="auto"/>
          <w:spacing w:val="-34"/>
          <w:sz w:val="24"/>
          <w:szCs w:val="24"/>
          <w:highlight w:val="none"/>
          <w:u w:val="single" w:color="auto"/>
        </w:rPr>
        <w:t xml:space="preserve"> </w:t>
      </w:r>
      <w:r>
        <w:rPr>
          <w:rFonts w:ascii="新宋体" w:hAnsi="新宋体" w:eastAsia="新宋体" w:cs="新宋体"/>
          <w:color w:val="auto"/>
          <w:spacing w:val="-9"/>
          <w:sz w:val="24"/>
          <w:szCs w:val="24"/>
          <w:highlight w:val="none"/>
          <w:u w:val="single" w:color="auto"/>
        </w:rPr>
        <w:t>14：00，下午</w:t>
      </w:r>
      <w:r>
        <w:rPr>
          <w:rFonts w:ascii="新宋体" w:hAnsi="新宋体" w:eastAsia="新宋体" w:cs="新宋体"/>
          <w:color w:val="auto"/>
          <w:spacing w:val="-33"/>
          <w:sz w:val="24"/>
          <w:szCs w:val="24"/>
          <w:highlight w:val="none"/>
          <w:u w:val="single" w:color="auto"/>
        </w:rPr>
        <w:t xml:space="preserve"> </w:t>
      </w:r>
      <w:r>
        <w:rPr>
          <w:rFonts w:hint="eastAsia" w:ascii="新宋体" w:hAnsi="新宋体" w:eastAsia="新宋体" w:cs="新宋体"/>
          <w:color w:val="auto"/>
          <w:spacing w:val="-9"/>
          <w:sz w:val="24"/>
          <w:szCs w:val="24"/>
          <w:highlight w:val="none"/>
          <w:u w:val="single" w:color="auto"/>
          <w:lang w:val="en-US" w:eastAsia="zh-CN"/>
        </w:rPr>
        <w:t>14</w:t>
      </w:r>
      <w:r>
        <w:rPr>
          <w:rFonts w:ascii="新宋体" w:hAnsi="新宋体" w:eastAsia="新宋体" w:cs="新宋体"/>
          <w:color w:val="auto"/>
          <w:spacing w:val="-9"/>
          <w:sz w:val="24"/>
          <w:szCs w:val="24"/>
          <w:highlight w:val="none"/>
          <w:u w:val="single" w:color="auto"/>
        </w:rPr>
        <w:t>：</w:t>
      </w:r>
      <w:r>
        <w:rPr>
          <w:rFonts w:hint="eastAsia" w:ascii="新宋体" w:hAnsi="新宋体" w:eastAsia="新宋体" w:cs="新宋体"/>
          <w:color w:val="auto"/>
          <w:sz w:val="24"/>
          <w:szCs w:val="24"/>
          <w:highlight w:val="none"/>
          <w:lang w:val="en-US" w:eastAsia="zh-CN"/>
        </w:rPr>
        <w:t>0</w:t>
      </w:r>
      <w:r>
        <w:rPr>
          <w:rFonts w:ascii="新宋体" w:hAnsi="新宋体" w:eastAsia="新宋体" w:cs="新宋体"/>
          <w:color w:val="auto"/>
          <w:spacing w:val="-3"/>
          <w:sz w:val="24"/>
          <w:szCs w:val="24"/>
          <w:highlight w:val="none"/>
          <w:u w:val="single" w:color="auto"/>
        </w:rPr>
        <w:t>0</w:t>
      </w:r>
      <w:r>
        <w:rPr>
          <w:rFonts w:ascii="新宋体" w:hAnsi="新宋体" w:eastAsia="新宋体" w:cs="新宋体"/>
          <w:color w:val="auto"/>
          <w:spacing w:val="-32"/>
          <w:sz w:val="24"/>
          <w:szCs w:val="24"/>
          <w:highlight w:val="none"/>
          <w:u w:val="single" w:color="auto"/>
        </w:rPr>
        <w:t xml:space="preserve"> </w:t>
      </w:r>
      <w:r>
        <w:rPr>
          <w:rFonts w:ascii="新宋体" w:hAnsi="新宋体" w:eastAsia="新宋体" w:cs="新宋体"/>
          <w:color w:val="auto"/>
          <w:spacing w:val="-3"/>
          <w:sz w:val="24"/>
          <w:szCs w:val="24"/>
          <w:highlight w:val="none"/>
          <w:u w:val="single" w:color="auto"/>
        </w:rPr>
        <w:t>至</w:t>
      </w:r>
      <w:r>
        <w:rPr>
          <w:rFonts w:ascii="新宋体" w:hAnsi="新宋体" w:eastAsia="新宋体" w:cs="新宋体"/>
          <w:color w:val="auto"/>
          <w:spacing w:val="-34"/>
          <w:sz w:val="24"/>
          <w:szCs w:val="24"/>
          <w:highlight w:val="none"/>
          <w:u w:val="single" w:color="auto"/>
        </w:rPr>
        <w:t xml:space="preserve"> </w:t>
      </w:r>
      <w:r>
        <w:rPr>
          <w:rFonts w:hint="eastAsia" w:ascii="新宋体" w:hAnsi="新宋体" w:eastAsia="新宋体" w:cs="新宋体"/>
          <w:color w:val="auto"/>
          <w:spacing w:val="-3"/>
          <w:sz w:val="24"/>
          <w:szCs w:val="24"/>
          <w:highlight w:val="none"/>
          <w:u w:val="single" w:color="auto"/>
          <w:lang w:val="en-US" w:eastAsia="zh-CN"/>
        </w:rPr>
        <w:t>23</w:t>
      </w:r>
      <w:r>
        <w:rPr>
          <w:rFonts w:ascii="新宋体" w:hAnsi="新宋体" w:eastAsia="新宋体" w:cs="新宋体"/>
          <w:color w:val="auto"/>
          <w:spacing w:val="-3"/>
          <w:sz w:val="24"/>
          <w:szCs w:val="24"/>
          <w:highlight w:val="none"/>
          <w:u w:val="single" w:color="auto"/>
        </w:rPr>
        <w:t>：</w:t>
      </w:r>
      <w:r>
        <w:rPr>
          <w:rFonts w:hint="eastAsia" w:ascii="新宋体" w:hAnsi="新宋体" w:eastAsia="新宋体" w:cs="新宋体"/>
          <w:color w:val="auto"/>
          <w:spacing w:val="-3"/>
          <w:sz w:val="24"/>
          <w:szCs w:val="24"/>
          <w:highlight w:val="none"/>
          <w:u w:val="single" w:color="auto"/>
          <w:lang w:val="en-US" w:eastAsia="zh-CN"/>
        </w:rPr>
        <w:t>59</w:t>
      </w:r>
      <w:r>
        <w:rPr>
          <w:rFonts w:ascii="新宋体" w:hAnsi="新宋体" w:eastAsia="新宋体" w:cs="新宋体"/>
          <w:color w:val="auto"/>
          <w:spacing w:val="-3"/>
          <w:sz w:val="24"/>
          <w:szCs w:val="24"/>
          <w:highlight w:val="none"/>
          <w:u w:val="single" w:color="auto"/>
        </w:rPr>
        <w:t>（北京时间，法定节假日除外）</w:t>
      </w:r>
      <w:r>
        <w:rPr>
          <w:rFonts w:ascii="新宋体" w:hAnsi="新宋体" w:eastAsia="新宋体" w:cs="新宋体"/>
          <w:color w:val="auto"/>
          <w:spacing w:val="-3"/>
          <w:sz w:val="24"/>
          <w:szCs w:val="24"/>
          <w:highlight w:val="none"/>
        </w:rPr>
        <w:t>。</w:t>
      </w:r>
    </w:p>
    <w:p w14:paraId="52F11B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地点：新疆政采云平台线上获取。</w:t>
      </w:r>
    </w:p>
    <w:p w14:paraId="4969BA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方式：供应商登录政采云平台</w:t>
      </w:r>
      <w:r>
        <w:rPr>
          <w:rFonts w:ascii="新宋体" w:hAnsi="新宋体" w:eastAsia="新宋体" w:cs="新宋体"/>
          <w:color w:val="auto"/>
          <w:spacing w:val="-54"/>
          <w:sz w:val="24"/>
          <w:szCs w:val="24"/>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新宋体" w:hAnsi="新宋体" w:eastAsia="新宋体" w:cs="新宋体"/>
          <w:color w:val="auto"/>
          <w:spacing w:val="-5"/>
          <w:sz w:val="24"/>
          <w:szCs w:val="24"/>
          <w:highlight w:val="none"/>
        </w:rPr>
        <w:t>https://www.zcygov.cn/</w:t>
      </w:r>
      <w:r>
        <w:rPr>
          <w:rFonts w:ascii="新宋体" w:hAnsi="新宋体" w:eastAsia="新宋体" w:cs="新宋体"/>
          <w:color w:val="auto"/>
          <w:spacing w:val="-5"/>
          <w:sz w:val="24"/>
          <w:szCs w:val="24"/>
          <w:highlight w:val="none"/>
        </w:rPr>
        <w:fldChar w:fldCharType="end"/>
      </w:r>
      <w:r>
        <w:rPr>
          <w:rFonts w:ascii="新宋体" w:hAnsi="新宋体" w:eastAsia="新宋体" w:cs="新宋体"/>
          <w:color w:val="auto"/>
          <w:spacing w:val="-5"/>
          <w:sz w:val="24"/>
          <w:szCs w:val="24"/>
          <w:highlight w:val="none"/>
        </w:rPr>
        <w:t>在线申请获取采购文件（进入“项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目采购”应用，在获取采购文件菜单中选择项目，</w:t>
      </w:r>
      <w:r>
        <w:rPr>
          <w:rFonts w:ascii="新宋体" w:hAnsi="新宋体" w:eastAsia="新宋体" w:cs="新宋体"/>
          <w:color w:val="auto"/>
          <w:spacing w:val="-4"/>
          <w:sz w:val="24"/>
          <w:szCs w:val="24"/>
          <w:highlight w:val="none"/>
        </w:rPr>
        <w:t>申请获取采购文件），或者点击采购公告底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部潜在供应商“获取采购文件”，页面跳转后登陆，直接获取采购文件。</w:t>
      </w:r>
    </w:p>
    <w:p w14:paraId="523F2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售价：0</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6"/>
          <w:sz w:val="24"/>
          <w:szCs w:val="24"/>
          <w:highlight w:val="none"/>
        </w:rPr>
        <w:t>元</w:t>
      </w:r>
    </w:p>
    <w:p w14:paraId="1D0A39F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r>
        <w:rPr>
          <w:b/>
          <w:bCs/>
          <w:color w:val="auto"/>
          <w:spacing w:val="-3"/>
          <w:sz w:val="24"/>
          <w:szCs w:val="24"/>
          <w:highlight w:val="none"/>
        </w:rPr>
        <w:t>四、提交投标文件截止时间、开标时间和地点</w:t>
      </w:r>
    </w:p>
    <w:p w14:paraId="59129E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新宋体" w:hAnsi="新宋体" w:eastAsia="新宋体" w:cs="新宋体"/>
          <w:color w:val="auto"/>
          <w:sz w:val="24"/>
          <w:szCs w:val="24"/>
          <w:highlight w:val="none"/>
        </w:rPr>
      </w:pPr>
      <w:bookmarkStart w:id="7" w:name="bookmark10"/>
      <w:bookmarkEnd w:id="7"/>
      <w:r>
        <w:rPr>
          <w:rFonts w:ascii="新宋体" w:hAnsi="新宋体" w:eastAsia="新宋体" w:cs="新宋体"/>
          <w:color w:val="auto"/>
          <w:spacing w:val="-10"/>
          <w:sz w:val="24"/>
          <w:szCs w:val="24"/>
          <w:highlight w:val="none"/>
        </w:rPr>
        <w:t>截止时间： 202</w:t>
      </w:r>
      <w:r>
        <w:rPr>
          <w:rFonts w:hint="eastAsia" w:ascii="新宋体" w:hAnsi="新宋体" w:eastAsia="新宋体" w:cs="新宋体"/>
          <w:color w:val="auto"/>
          <w:spacing w:val="-10"/>
          <w:sz w:val="24"/>
          <w:szCs w:val="24"/>
          <w:highlight w:val="none"/>
          <w:lang w:val="en-US" w:eastAsia="zh-CN"/>
        </w:rPr>
        <w:t>5</w:t>
      </w:r>
      <w:r>
        <w:rPr>
          <w:rFonts w:ascii="新宋体" w:hAnsi="新宋体" w:eastAsia="新宋体" w:cs="新宋体"/>
          <w:color w:val="auto"/>
          <w:spacing w:val="-10"/>
          <w:sz w:val="24"/>
          <w:szCs w:val="24"/>
          <w:highlight w:val="none"/>
        </w:rPr>
        <w:t>年</w:t>
      </w:r>
      <w:r>
        <w:rPr>
          <w:rFonts w:hint="eastAsia" w:ascii="新宋体" w:hAnsi="新宋体" w:eastAsia="新宋体" w:cs="新宋体"/>
          <w:color w:val="auto"/>
          <w:spacing w:val="-10"/>
          <w:sz w:val="24"/>
          <w:szCs w:val="24"/>
          <w:highlight w:val="none"/>
          <w:u w:val="single"/>
          <w:lang w:val="en-US" w:eastAsia="zh-CN"/>
        </w:rPr>
        <w:t xml:space="preserve"> 8 </w:t>
      </w:r>
      <w:r>
        <w:rPr>
          <w:rFonts w:ascii="新宋体" w:hAnsi="新宋体" w:eastAsia="新宋体" w:cs="新宋体"/>
          <w:color w:val="auto"/>
          <w:spacing w:val="-10"/>
          <w:sz w:val="24"/>
          <w:szCs w:val="24"/>
          <w:highlight w:val="none"/>
        </w:rPr>
        <w:t>月</w:t>
      </w:r>
      <w:r>
        <w:rPr>
          <w:rFonts w:hint="eastAsia" w:ascii="新宋体" w:hAnsi="新宋体" w:eastAsia="新宋体" w:cs="新宋体"/>
          <w:color w:val="auto"/>
          <w:spacing w:val="-10"/>
          <w:sz w:val="24"/>
          <w:szCs w:val="24"/>
          <w:highlight w:val="none"/>
          <w:u w:val="single"/>
          <w:lang w:val="en-US" w:eastAsia="zh-CN"/>
        </w:rPr>
        <w:t xml:space="preserve"> 5 </w:t>
      </w:r>
      <w:r>
        <w:rPr>
          <w:rFonts w:ascii="新宋体" w:hAnsi="新宋体" w:eastAsia="新宋体" w:cs="新宋体"/>
          <w:color w:val="auto"/>
          <w:spacing w:val="-10"/>
          <w:sz w:val="24"/>
          <w:szCs w:val="24"/>
          <w:highlight w:val="none"/>
        </w:rPr>
        <w:t>日</w:t>
      </w:r>
      <w:r>
        <w:rPr>
          <w:rFonts w:ascii="新宋体" w:hAnsi="新宋体" w:eastAsia="新宋体" w:cs="新宋体"/>
          <w:color w:val="auto"/>
          <w:spacing w:val="-10"/>
          <w:sz w:val="24"/>
          <w:szCs w:val="24"/>
          <w:highlight w:val="none"/>
          <w:u w:val="single"/>
        </w:rPr>
        <w:t xml:space="preserve"> </w:t>
      </w:r>
      <w:r>
        <w:rPr>
          <w:rFonts w:hint="eastAsia" w:ascii="新宋体" w:hAnsi="新宋体" w:eastAsia="新宋体" w:cs="新宋体"/>
          <w:color w:val="auto"/>
          <w:spacing w:val="-10"/>
          <w:sz w:val="24"/>
          <w:szCs w:val="24"/>
          <w:highlight w:val="none"/>
          <w:u w:val="single"/>
          <w:lang w:val="en-US" w:eastAsia="zh-CN"/>
        </w:rPr>
        <w:t xml:space="preserve">11 </w:t>
      </w:r>
      <w:r>
        <w:rPr>
          <w:rFonts w:hint="eastAsia" w:ascii="新宋体" w:hAnsi="新宋体" w:eastAsia="新宋体" w:cs="新宋体"/>
          <w:color w:val="auto"/>
          <w:spacing w:val="-10"/>
          <w:sz w:val="24"/>
          <w:szCs w:val="24"/>
          <w:highlight w:val="none"/>
          <w:lang w:eastAsia="zh-CN"/>
        </w:rPr>
        <w:t>时</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10"/>
          <w:sz w:val="24"/>
          <w:szCs w:val="24"/>
          <w:highlight w:val="none"/>
          <w:u w:val="single"/>
        </w:rPr>
        <w:t xml:space="preserve"> </w:t>
      </w:r>
      <w:r>
        <w:rPr>
          <w:rFonts w:hint="eastAsia" w:ascii="新宋体" w:hAnsi="新宋体" w:eastAsia="新宋体" w:cs="新宋体"/>
          <w:color w:val="auto"/>
          <w:spacing w:val="-10"/>
          <w:sz w:val="24"/>
          <w:szCs w:val="24"/>
          <w:highlight w:val="none"/>
          <w:u w:val="single"/>
          <w:lang w:val="en-US" w:eastAsia="zh-CN"/>
        </w:rPr>
        <w:t xml:space="preserve">00 </w:t>
      </w:r>
      <w:r>
        <w:rPr>
          <w:rFonts w:ascii="新宋体" w:hAnsi="新宋体" w:eastAsia="新宋体" w:cs="新宋体"/>
          <w:color w:val="auto"/>
          <w:spacing w:val="-10"/>
          <w:sz w:val="24"/>
          <w:szCs w:val="24"/>
          <w:highlight w:val="none"/>
        </w:rPr>
        <w:t>分（北京时间）</w:t>
      </w:r>
    </w:p>
    <w:p w14:paraId="07502F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投标地点（网址</w:t>
      </w:r>
      <w:r>
        <w:rPr>
          <w:rFonts w:ascii="新宋体" w:hAnsi="新宋体" w:eastAsia="新宋体" w:cs="新宋体"/>
          <w:color w:val="auto"/>
          <w:spacing w:val="-37"/>
          <w:sz w:val="24"/>
          <w:szCs w:val="24"/>
          <w:highlight w:val="none"/>
        </w:rPr>
        <w:t>）：</w:t>
      </w:r>
      <w:r>
        <w:rPr>
          <w:rFonts w:ascii="新宋体" w:hAnsi="新宋体" w:eastAsia="新宋体" w:cs="新宋体"/>
          <w:color w:val="auto"/>
          <w:spacing w:val="-1"/>
          <w:sz w:val="24"/>
          <w:szCs w:val="24"/>
          <w:highlight w:val="none"/>
        </w:rPr>
        <w:t>请登录政采云投标客户端，在截止时间前将加密的</w:t>
      </w:r>
      <w:r>
        <w:rPr>
          <w:rFonts w:ascii="新宋体" w:hAnsi="新宋体" w:eastAsia="新宋体" w:cs="新宋体"/>
          <w:color w:val="auto"/>
          <w:spacing w:val="-2"/>
          <w:sz w:val="24"/>
          <w:szCs w:val="24"/>
          <w:highlight w:val="none"/>
        </w:rPr>
        <w:t>电子响应文件上传</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9"/>
          <w:sz w:val="24"/>
          <w:szCs w:val="24"/>
          <w:highlight w:val="none"/>
        </w:rPr>
        <w:t>到新疆政府采购网对应的位置（逾期上传或者未上传指定地点的响应文件，采购人不予受</w:t>
      </w:r>
      <w:r>
        <w:rPr>
          <w:rFonts w:ascii="新宋体" w:hAnsi="新宋体" w:eastAsia="新宋体" w:cs="新宋体"/>
          <w:color w:val="auto"/>
          <w:spacing w:val="8"/>
          <w:sz w:val="24"/>
          <w:szCs w:val="24"/>
          <w:highlight w:val="none"/>
        </w:rPr>
        <w:t xml:space="preserve"> </w:t>
      </w:r>
      <w:r>
        <w:rPr>
          <w:rFonts w:ascii="新宋体" w:hAnsi="新宋体" w:eastAsia="新宋体" w:cs="新宋体"/>
          <w:color w:val="auto"/>
          <w:spacing w:val="-12"/>
          <w:sz w:val="24"/>
          <w:szCs w:val="24"/>
          <w:highlight w:val="none"/>
        </w:rPr>
        <w:t>理）。</w:t>
      </w:r>
    </w:p>
    <w:p w14:paraId="16EC06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开标方式：不见面开标。</w:t>
      </w:r>
    </w:p>
    <w:p w14:paraId="3D2EDB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color w:val="auto"/>
          <w:sz w:val="24"/>
          <w:szCs w:val="24"/>
          <w:highlight w:val="none"/>
        </w:rPr>
      </w:pPr>
      <w:r>
        <w:rPr>
          <w:b/>
          <w:bCs/>
          <w:color w:val="auto"/>
          <w:spacing w:val="-3"/>
          <w:sz w:val="24"/>
          <w:szCs w:val="24"/>
          <w:highlight w:val="none"/>
        </w:rPr>
        <w:t>五、公告期限</w:t>
      </w:r>
    </w:p>
    <w:p w14:paraId="205643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自本公告发布之日起</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5</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8"/>
          <w:sz w:val="24"/>
          <w:szCs w:val="24"/>
          <w:highlight w:val="none"/>
        </w:rPr>
        <w:t>个工作日。</w:t>
      </w:r>
    </w:p>
    <w:p w14:paraId="3DAC11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color w:val="auto"/>
          <w:sz w:val="24"/>
          <w:szCs w:val="24"/>
          <w:highlight w:val="none"/>
        </w:rPr>
      </w:pPr>
      <w:r>
        <w:rPr>
          <w:b/>
          <w:bCs/>
          <w:color w:val="auto"/>
          <w:spacing w:val="-2"/>
          <w:sz w:val="24"/>
          <w:szCs w:val="24"/>
          <w:highlight w:val="none"/>
        </w:rPr>
        <w:t>六、其他补充事宜</w:t>
      </w:r>
    </w:p>
    <w:p w14:paraId="31AD65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1、本项目采购采用电子交易方式，投标人无需到达评标地点，电子交易平台为“政府采</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2"/>
          <w:sz w:val="24"/>
          <w:szCs w:val="24"/>
          <w:highlight w:val="none"/>
        </w:rPr>
        <w:t>购云平台（</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rFonts w:ascii="新宋体" w:hAnsi="新宋体" w:eastAsia="新宋体" w:cs="新宋体"/>
          <w:color w:val="auto"/>
          <w:spacing w:val="-2"/>
          <w:sz w:val="24"/>
          <w:szCs w:val="24"/>
          <w:highlight w:val="none"/>
        </w:rPr>
        <w:t>https://login.zcy</w:t>
      </w:r>
      <w:r>
        <w:rPr>
          <w:rFonts w:ascii="新宋体" w:hAnsi="新宋体" w:eastAsia="新宋体" w:cs="新宋体"/>
          <w:color w:val="auto"/>
          <w:spacing w:val="-3"/>
          <w:sz w:val="24"/>
          <w:szCs w:val="24"/>
          <w:highlight w:val="none"/>
        </w:rPr>
        <w:t>gov.cn/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）”。供应商参与本项目电子交易活动前，应注册成为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政府采购云平台正式供应商。编制电子投标文件前还需申领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证书并绑定帐号，因未注册入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库、未办理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数字证书等原因造成无法递交电子版响应文件或递交电子响应文件失败等后果由供应商自行承担。如有操作性问题可与政采云在线客服进行咨询，咨询电话</w:t>
      </w:r>
      <w:r>
        <w:rPr>
          <w:rFonts w:ascii="新宋体" w:hAnsi="新宋体" w:eastAsia="新宋体" w:cs="新宋体"/>
          <w:color w:val="auto"/>
          <w:spacing w:val="-2"/>
          <w:sz w:val="24"/>
          <w:szCs w:val="24"/>
          <w:highlight w:val="none"/>
        </w:rPr>
        <w:t>：95763。</w:t>
      </w:r>
    </w:p>
    <w:p w14:paraId="21EB94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2、供应商应使用最新版本的</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6"/>
          <w:sz w:val="24"/>
          <w:szCs w:val="24"/>
          <w:highlight w:val="none"/>
        </w:rPr>
        <w:t>CA</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6"/>
          <w:sz w:val="24"/>
          <w:szCs w:val="24"/>
          <w:highlight w:val="none"/>
        </w:rPr>
        <w:t>驱动和政采云投标客户端，客户端下</w:t>
      </w:r>
      <w:r>
        <w:rPr>
          <w:rFonts w:ascii="新宋体" w:hAnsi="新宋体" w:eastAsia="新宋体" w:cs="新宋体"/>
          <w:color w:val="auto"/>
          <w:spacing w:val="-7"/>
          <w:sz w:val="24"/>
          <w:szCs w:val="24"/>
          <w:highlight w:val="none"/>
        </w:rPr>
        <w:t>载、安装完成后，可</w:t>
      </w:r>
      <w:r>
        <w:rPr>
          <w:rFonts w:ascii="新宋体" w:hAnsi="新宋体" w:eastAsia="新宋体" w:cs="新宋体"/>
          <w:color w:val="auto"/>
          <w:spacing w:val="-1"/>
          <w:sz w:val="24"/>
          <w:szCs w:val="24"/>
          <w:highlight w:val="none"/>
        </w:rPr>
        <w:t>通过账号密码或</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1"/>
          <w:sz w:val="24"/>
          <w:szCs w:val="24"/>
          <w:highlight w:val="none"/>
        </w:rPr>
        <w:t>登录客户端并按照本采购文件和电子招投标供应商客户</w:t>
      </w:r>
      <w:r>
        <w:rPr>
          <w:rFonts w:ascii="新宋体" w:hAnsi="新宋体" w:eastAsia="新宋体" w:cs="新宋体"/>
          <w:color w:val="auto"/>
          <w:spacing w:val="-2"/>
          <w:sz w:val="24"/>
          <w:szCs w:val="24"/>
          <w:highlight w:val="none"/>
        </w:rPr>
        <w:t>端的要求编制并加</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密投标文件，未按规定加密的投标文件，将被电子招投标供应商客户端拒收。</w:t>
      </w:r>
    </w:p>
    <w:p w14:paraId="7C5C93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新宋体" w:hAnsi="新宋体" w:eastAsia="新宋体" w:cs="新宋体"/>
          <w:color w:val="auto"/>
          <w:spacing w:val="-12"/>
          <w:sz w:val="24"/>
          <w:szCs w:val="24"/>
          <w:highlight w:val="none"/>
        </w:rPr>
      </w:pPr>
      <w:r>
        <w:rPr>
          <w:rFonts w:ascii="新宋体" w:hAnsi="新宋体" w:eastAsia="新宋体" w:cs="新宋体"/>
          <w:color w:val="auto"/>
          <w:sz w:val="24"/>
          <w:szCs w:val="24"/>
          <w:highlight w:val="none"/>
        </w:rPr>
        <w:t>3、供应商应当在投标截止时间前，将生成的“电子加</w:t>
      </w:r>
      <w:r>
        <w:rPr>
          <w:rFonts w:ascii="新宋体" w:hAnsi="新宋体" w:eastAsia="新宋体" w:cs="新宋体"/>
          <w:color w:val="auto"/>
          <w:spacing w:val="-1"/>
          <w:sz w:val="24"/>
          <w:szCs w:val="24"/>
          <w:highlight w:val="none"/>
        </w:rPr>
        <w:t>密响应文件”上传递交至“政府采</w:t>
      </w:r>
      <w:r>
        <w:rPr>
          <w:rFonts w:ascii="新宋体" w:hAnsi="新宋体" w:eastAsia="新宋体" w:cs="新宋体"/>
          <w:color w:val="auto"/>
          <w:spacing w:val="-3"/>
          <w:sz w:val="24"/>
          <w:szCs w:val="24"/>
          <w:highlight w:val="none"/>
        </w:rPr>
        <w:t>购云平台”，递交电子响应文件截止时间以后上传递交的响应文件将被“政府采购云平台”拒</w:t>
      </w:r>
      <w:r>
        <w:rPr>
          <w:rFonts w:ascii="新宋体" w:hAnsi="新宋体" w:eastAsia="新宋体" w:cs="新宋体"/>
          <w:color w:val="auto"/>
          <w:spacing w:val="-12"/>
          <w:sz w:val="24"/>
          <w:szCs w:val="24"/>
          <w:highlight w:val="none"/>
        </w:rPr>
        <w:t>收。</w:t>
      </w:r>
    </w:p>
    <w:p w14:paraId="63F1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4、 在使用政采云投标客户端时，建议使用谷歌浏览器或360极速浏览器，电脑配置满足 win7+64 位以上操作系统（不能用mac或者linux系统）。客户端请至新疆政府采购网（</w:t>
      </w:r>
      <w:r>
        <w:rPr>
          <w:rFonts w:ascii="新宋体" w:hAnsi="新宋体" w:eastAsia="新宋体" w:cs="新宋体"/>
          <w:color w:val="auto"/>
          <w:sz w:val="24"/>
          <w:szCs w:val="24"/>
          <w:highlight w:val="none"/>
        </w:rPr>
        <w:fldChar w:fldCharType="begin"/>
      </w:r>
      <w:r>
        <w:rPr>
          <w:rFonts w:ascii="新宋体" w:hAnsi="新宋体" w:eastAsia="新宋体" w:cs="新宋体"/>
          <w:color w:val="auto"/>
          <w:sz w:val="24"/>
          <w:szCs w:val="24"/>
          <w:highlight w:val="none"/>
        </w:rPr>
        <w:instrText xml:space="preserve"> HYPERLINK "http://www.ccgp-xinjiang.gov.cn/" </w:instrText>
      </w:r>
      <w:r>
        <w:rPr>
          <w:rFonts w:ascii="新宋体" w:hAnsi="新宋体" w:eastAsia="新宋体" w:cs="新宋体"/>
          <w:color w:val="auto"/>
          <w:sz w:val="24"/>
          <w:szCs w:val="24"/>
          <w:highlight w:val="none"/>
        </w:rPr>
        <w:fldChar w:fldCharType="separate"/>
      </w:r>
      <w:r>
        <w:rPr>
          <w:rFonts w:ascii="新宋体" w:hAnsi="新宋体" w:eastAsia="新宋体" w:cs="新宋体"/>
          <w:color w:val="auto"/>
          <w:sz w:val="24"/>
          <w:szCs w:val="24"/>
          <w:highlight w:val="none"/>
        </w:rPr>
        <w:t>http://www.ccgp-xinjiang.gov.cn/</w:t>
      </w:r>
      <w:r>
        <w:rPr>
          <w:rFonts w:ascii="新宋体" w:hAnsi="新宋体" w:eastAsia="新宋体" w:cs="新宋体"/>
          <w:color w:val="auto"/>
          <w:sz w:val="24"/>
          <w:szCs w:val="24"/>
          <w:highlight w:val="none"/>
        </w:rPr>
        <w:fldChar w:fldCharType="end"/>
      </w:r>
      <w:r>
        <w:rPr>
          <w:rFonts w:ascii="新宋体" w:hAnsi="新宋体" w:eastAsia="新宋体" w:cs="新宋体"/>
          <w:color w:val="auto"/>
          <w:sz w:val="24"/>
          <w:szCs w:val="24"/>
          <w:highlight w:val="none"/>
        </w:rPr>
        <w:t>）下载专区查看，如有问题可拨打政采云客户服务热线 95763 进行咨询。</w:t>
      </w:r>
    </w:p>
    <w:p w14:paraId="459924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5、供应商登录政采云平台，在投标截止时间后 30 分钟内用“项目采购-开标评标”功能进行解密响应文件。若供应商在规定时间内未按时解密的，视为无效投标。解密与加密响应文件须使用同一个CA。</w:t>
      </w:r>
    </w:p>
    <w:p w14:paraId="698C5C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auto"/>
          <w:sz w:val="24"/>
          <w:szCs w:val="24"/>
          <w:highlight w:val="none"/>
        </w:rPr>
      </w:pPr>
      <w:r>
        <w:rPr>
          <w:b/>
          <w:bCs/>
          <w:color w:val="auto"/>
          <w:spacing w:val="-11"/>
          <w:sz w:val="24"/>
          <w:szCs w:val="24"/>
          <w:highlight w:val="none"/>
        </w:rPr>
        <w:t>特别提示：</w:t>
      </w:r>
    </w:p>
    <w:p w14:paraId="0DAFE0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color w:val="auto"/>
          <w:sz w:val="24"/>
          <w:szCs w:val="24"/>
          <w:highlight w:val="none"/>
        </w:rPr>
      </w:pPr>
      <w:r>
        <w:rPr>
          <w:b/>
          <w:bCs/>
          <w:color w:val="auto"/>
          <w:spacing w:val="-10"/>
          <w:sz w:val="24"/>
          <w:szCs w:val="24"/>
          <w:highlight w:val="none"/>
        </w:rPr>
        <w:t xml:space="preserve">1、采购限额标准以上，200 万元以下的货物和服务采购项目、400 </w:t>
      </w:r>
      <w:r>
        <w:rPr>
          <w:b/>
          <w:bCs/>
          <w:color w:val="auto"/>
          <w:spacing w:val="-11"/>
          <w:sz w:val="24"/>
          <w:szCs w:val="24"/>
          <w:highlight w:val="none"/>
        </w:rPr>
        <w:t>万元以下的工程采购项</w:t>
      </w:r>
      <w:r>
        <w:rPr>
          <w:b/>
          <w:bCs/>
          <w:color w:val="auto"/>
          <w:spacing w:val="-3"/>
          <w:sz w:val="24"/>
          <w:szCs w:val="24"/>
          <w:highlight w:val="none"/>
        </w:rPr>
        <w:t>目，适宜由中小企业提供的，采购人应当专门面向中小企业采购。</w:t>
      </w:r>
    </w:p>
    <w:p w14:paraId="4F8695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color w:val="auto"/>
          <w:sz w:val="24"/>
          <w:szCs w:val="24"/>
          <w:highlight w:val="none"/>
        </w:rPr>
      </w:pPr>
      <w:r>
        <w:rPr>
          <w:b/>
          <w:bCs/>
          <w:color w:val="auto"/>
          <w:spacing w:val="-7"/>
          <w:sz w:val="24"/>
          <w:szCs w:val="24"/>
          <w:highlight w:val="none"/>
        </w:rPr>
        <w:t>2、超过 200 万元的货物和服务采购项目，预留该部分采购项目预算</w:t>
      </w:r>
      <w:r>
        <w:rPr>
          <w:b/>
          <w:bCs/>
          <w:color w:val="auto"/>
          <w:spacing w:val="-8"/>
          <w:sz w:val="24"/>
          <w:szCs w:val="24"/>
          <w:highlight w:val="none"/>
        </w:rPr>
        <w:t>总额的 30%以上专门</w:t>
      </w:r>
      <w:r>
        <w:rPr>
          <w:b/>
          <w:bCs/>
          <w:color w:val="auto"/>
          <w:spacing w:val="-6"/>
          <w:sz w:val="24"/>
          <w:szCs w:val="24"/>
          <w:highlight w:val="none"/>
        </w:rPr>
        <w:t>面向中小企业采购，其中预留给小微企业的比例不低于 60%。</w:t>
      </w:r>
    </w:p>
    <w:p w14:paraId="0DEF48C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color w:val="auto"/>
          <w:sz w:val="24"/>
          <w:szCs w:val="24"/>
          <w:highlight w:val="none"/>
        </w:rPr>
      </w:pPr>
      <w:r>
        <w:rPr>
          <w:b/>
          <w:bCs/>
          <w:color w:val="auto"/>
          <w:spacing w:val="-4"/>
          <w:sz w:val="24"/>
          <w:szCs w:val="24"/>
          <w:highlight w:val="none"/>
        </w:rPr>
        <w:t>3、超过 400 万元的工程采购项目中适宜由中小企业提供的，预留该部分采购项目预算总</w:t>
      </w:r>
      <w:r>
        <w:rPr>
          <w:b/>
          <w:bCs/>
          <w:color w:val="auto"/>
          <w:spacing w:val="-8"/>
          <w:sz w:val="24"/>
          <w:szCs w:val="24"/>
          <w:highlight w:val="none"/>
        </w:rPr>
        <w:t>额的 40%以上专门面向中小企业采购，其中预留给</w:t>
      </w:r>
      <w:r>
        <w:rPr>
          <w:b/>
          <w:bCs/>
          <w:color w:val="auto"/>
          <w:spacing w:val="-9"/>
          <w:sz w:val="24"/>
          <w:szCs w:val="24"/>
          <w:highlight w:val="none"/>
        </w:rPr>
        <w:t>小微企业的比例不低于 60%。</w:t>
      </w:r>
    </w:p>
    <w:p w14:paraId="51E97E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b/>
          <w:bCs/>
          <w:color w:val="auto"/>
          <w:spacing w:val="-1"/>
          <w:sz w:val="24"/>
          <w:szCs w:val="24"/>
          <w:highlight w:val="none"/>
        </w:rPr>
      </w:pPr>
      <w:r>
        <w:rPr>
          <w:b/>
          <w:bCs/>
          <w:color w:val="auto"/>
          <w:spacing w:val="-1"/>
          <w:sz w:val="24"/>
          <w:szCs w:val="24"/>
          <w:highlight w:val="none"/>
        </w:rPr>
        <w:t>4、对于未预留份额专门面向中小企业的采购项目，以及预留份额项目中的非预留部分采购包，采购人、采购代理机构应当对符合规定的小微企业报价给予 10%~20%（工程项目为 3%~5%） 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C2776D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color w:val="auto"/>
          <w:sz w:val="24"/>
          <w:szCs w:val="24"/>
          <w:highlight w:val="none"/>
        </w:rPr>
      </w:pPr>
      <w:r>
        <w:rPr>
          <w:b/>
          <w:bCs/>
          <w:color w:val="auto"/>
          <w:spacing w:val="-1"/>
          <w:sz w:val="24"/>
          <w:szCs w:val="24"/>
          <w:highlight w:val="none"/>
        </w:rPr>
        <w:t>5、接受大中型企业与小微企业组成联合体或者允许大中型企业向一家或者多家</w:t>
      </w:r>
      <w:r>
        <w:rPr>
          <w:b/>
          <w:bCs/>
          <w:color w:val="auto"/>
          <w:spacing w:val="-2"/>
          <w:sz w:val="24"/>
          <w:szCs w:val="24"/>
          <w:highlight w:val="none"/>
        </w:rPr>
        <w:t>小微企业</w:t>
      </w:r>
      <w:r>
        <w:rPr>
          <w:b/>
          <w:bCs/>
          <w:color w:val="auto"/>
          <w:sz w:val="24"/>
          <w:szCs w:val="24"/>
          <w:highlight w:val="none"/>
        </w:rPr>
        <w:t>分包的采购项目，对于联合协议或者分包意向协议约定小</w:t>
      </w:r>
      <w:r>
        <w:rPr>
          <w:b/>
          <w:bCs/>
          <w:color w:val="auto"/>
          <w:spacing w:val="-1"/>
          <w:sz w:val="24"/>
          <w:szCs w:val="24"/>
          <w:highlight w:val="none"/>
        </w:rPr>
        <w:t>微企业的合同份额占到合同总金额</w:t>
      </w:r>
      <w:r>
        <w:rPr>
          <w:b/>
          <w:bCs/>
          <w:color w:val="auto"/>
          <w:spacing w:val="-11"/>
          <w:sz w:val="24"/>
          <w:szCs w:val="24"/>
          <w:highlight w:val="none"/>
        </w:rPr>
        <w:t>30%以上的，采购人、采购代理机构应当对联合体或者大中型企</w:t>
      </w:r>
      <w:r>
        <w:rPr>
          <w:b/>
          <w:bCs/>
          <w:color w:val="auto"/>
          <w:spacing w:val="-12"/>
          <w:sz w:val="24"/>
          <w:szCs w:val="24"/>
          <w:highlight w:val="none"/>
        </w:rPr>
        <w:t>业的报价给予 4%~6%（工程项</w:t>
      </w:r>
      <w:r>
        <w:rPr>
          <w:b/>
          <w:bCs/>
          <w:color w:val="auto"/>
          <w:sz w:val="24"/>
          <w:szCs w:val="24"/>
          <w:highlight w:val="none"/>
        </w:rPr>
        <w:t xml:space="preserve"> </w:t>
      </w:r>
      <w:r>
        <w:rPr>
          <w:b/>
          <w:bCs/>
          <w:color w:val="auto"/>
          <w:spacing w:val="-9"/>
          <w:sz w:val="24"/>
          <w:szCs w:val="24"/>
          <w:highlight w:val="none"/>
        </w:rPr>
        <w:t>目为1%~2%）的扣除，用扣除后的价格参加评</w:t>
      </w:r>
      <w:r>
        <w:rPr>
          <w:b/>
          <w:bCs/>
          <w:color w:val="auto"/>
          <w:spacing w:val="-10"/>
          <w:sz w:val="24"/>
          <w:szCs w:val="24"/>
          <w:highlight w:val="none"/>
        </w:rPr>
        <w:t>审。适用招标投标法的政府采购工程建设项目，</w:t>
      </w:r>
      <w:r>
        <w:rPr>
          <w:b/>
          <w:bCs/>
          <w:color w:val="auto"/>
          <w:spacing w:val="-3"/>
          <w:sz w:val="24"/>
          <w:szCs w:val="24"/>
          <w:highlight w:val="none"/>
        </w:rPr>
        <w:t>采用综合评估法但未采用低价优先法计算价格分的，评标时应当在采用原报价进行评分的基础</w:t>
      </w:r>
      <w:r>
        <w:rPr>
          <w:b/>
          <w:bCs/>
          <w:color w:val="auto"/>
          <w:spacing w:val="-13"/>
          <w:w w:val="98"/>
          <w:sz w:val="24"/>
          <w:szCs w:val="24"/>
          <w:highlight w:val="none"/>
        </w:rPr>
        <w:t>上增加其价格得分的1%~2%作为其价格分。</w:t>
      </w:r>
    </w:p>
    <w:p w14:paraId="7B63EFE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color w:val="auto"/>
          <w:sz w:val="24"/>
          <w:szCs w:val="24"/>
          <w:highlight w:val="none"/>
        </w:rPr>
      </w:pPr>
      <w:r>
        <w:rPr>
          <w:b/>
          <w:bCs/>
          <w:color w:val="auto"/>
          <w:spacing w:val="-3"/>
          <w:sz w:val="24"/>
          <w:szCs w:val="24"/>
          <w:highlight w:val="none"/>
        </w:rPr>
        <w:t>七、对本次招标提出询问，请按以下方式联系。</w:t>
      </w:r>
    </w:p>
    <w:p w14:paraId="30890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1.采购人信息</w:t>
      </w:r>
    </w:p>
    <w:p w14:paraId="220D8E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伊犁哈萨克自治州纤维检验所</w:t>
      </w:r>
      <w:r>
        <w:rPr>
          <w:rFonts w:hint="eastAsia" w:ascii="新宋体" w:hAnsi="新宋体" w:eastAsia="新宋体" w:cs="新宋体"/>
          <w:color w:val="auto"/>
          <w:sz w:val="24"/>
          <w:szCs w:val="24"/>
          <w:highlight w:val="none"/>
        </w:rPr>
        <w:t xml:space="preserve"> </w:t>
      </w:r>
    </w:p>
    <w:p w14:paraId="24541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地址：伊宁市</w:t>
      </w:r>
    </w:p>
    <w:p w14:paraId="2FECF3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联系方式：18009991686 </w:t>
      </w:r>
    </w:p>
    <w:p w14:paraId="15E05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2.采购代理机构信息</w:t>
      </w:r>
    </w:p>
    <w:p w14:paraId="60A6D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乌鲁木齐鑫盛开源工程项目管理有限公司</w:t>
      </w:r>
    </w:p>
    <w:p w14:paraId="15043C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地址：伊宁市西环路306号开元新城3号楼12层（写字楼）</w:t>
      </w:r>
    </w:p>
    <w:p w14:paraId="7A32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联系方式：</w:t>
      </w:r>
      <w:r>
        <w:rPr>
          <w:rFonts w:hint="eastAsia" w:ascii="新宋体" w:hAnsi="新宋体" w:eastAsia="新宋体" w:cs="新宋体"/>
          <w:color w:val="auto"/>
          <w:sz w:val="24"/>
          <w:szCs w:val="24"/>
          <w:highlight w:val="none"/>
          <w:lang w:eastAsia="zh-CN"/>
        </w:rPr>
        <w:t>13679942122</w:t>
      </w:r>
    </w:p>
    <w:p w14:paraId="36947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3.项目联系方式</w:t>
      </w:r>
    </w:p>
    <w:p w14:paraId="78B270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项目联系人：</w:t>
      </w:r>
      <w:r>
        <w:rPr>
          <w:rFonts w:hint="eastAsia" w:ascii="新宋体" w:hAnsi="新宋体" w:eastAsia="新宋体" w:cs="新宋体"/>
          <w:color w:val="auto"/>
          <w:sz w:val="24"/>
          <w:szCs w:val="24"/>
          <w:highlight w:val="none"/>
          <w:lang w:eastAsia="zh-CN"/>
        </w:rPr>
        <w:t>蔡琰</w:t>
      </w:r>
      <w:r>
        <w:rPr>
          <w:rFonts w:hint="eastAsia" w:ascii="新宋体" w:hAnsi="新宋体" w:eastAsia="新宋体" w:cs="新宋体"/>
          <w:color w:val="auto"/>
          <w:sz w:val="24"/>
          <w:szCs w:val="24"/>
          <w:highlight w:val="none"/>
        </w:rPr>
        <w:t xml:space="preserve">  </w:t>
      </w:r>
    </w:p>
    <w:p w14:paraId="06E58F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电  话：</w:t>
      </w:r>
      <w:r>
        <w:rPr>
          <w:rFonts w:hint="eastAsia" w:ascii="新宋体" w:hAnsi="新宋体" w:eastAsia="新宋体" w:cs="新宋体"/>
          <w:color w:val="auto"/>
          <w:sz w:val="24"/>
          <w:szCs w:val="24"/>
          <w:highlight w:val="none"/>
          <w:lang w:eastAsia="zh-CN"/>
        </w:rPr>
        <w:t>13679942122</w:t>
      </w:r>
    </w:p>
    <w:p w14:paraId="0673C0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新宋体" w:hAnsi="新宋体" w:eastAsia="新宋体" w:cs="新宋体"/>
          <w:color w:val="auto"/>
          <w:sz w:val="24"/>
          <w:szCs w:val="24"/>
          <w:highlight w:val="none"/>
        </w:rPr>
        <w:sectPr>
          <w:footerReference r:id="rId7" w:type="default"/>
          <w:pgSz w:w="11905" w:h="16839"/>
          <w:pgMar w:top="1440" w:right="1800" w:bottom="1440" w:left="1800" w:header="0" w:footer="1090" w:gutter="0"/>
          <w:pgNumType w:fmt="numberInDash" w:start="1"/>
          <w:cols w:space="720" w:num="1"/>
        </w:sectPr>
      </w:pPr>
    </w:p>
    <w:p w14:paraId="29C5C888">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outlineLvl w:val="0"/>
        <w:rPr>
          <w:color w:val="auto"/>
          <w:sz w:val="30"/>
          <w:szCs w:val="30"/>
          <w:highlight w:val="none"/>
        </w:rPr>
      </w:pPr>
      <w:bookmarkStart w:id="8" w:name="bookmark3"/>
      <w:bookmarkEnd w:id="8"/>
      <w:r>
        <w:rPr>
          <w:b/>
          <w:bCs/>
          <w:color w:val="auto"/>
          <w:spacing w:val="-6"/>
          <w:sz w:val="30"/>
          <w:szCs w:val="30"/>
          <w:highlight w:val="none"/>
        </w:rPr>
        <w:t>第二章</w:t>
      </w:r>
      <w:r>
        <w:rPr>
          <w:b/>
          <w:bCs/>
          <w:color w:val="auto"/>
          <w:spacing w:val="16"/>
          <w:sz w:val="30"/>
          <w:szCs w:val="30"/>
          <w:highlight w:val="none"/>
        </w:rPr>
        <w:t xml:space="preserve">   </w:t>
      </w:r>
      <w:r>
        <w:rPr>
          <w:b/>
          <w:bCs/>
          <w:color w:val="auto"/>
          <w:spacing w:val="-6"/>
          <w:sz w:val="30"/>
          <w:szCs w:val="30"/>
          <w:highlight w:val="none"/>
        </w:rPr>
        <w:t>投标人须知</w:t>
      </w:r>
    </w:p>
    <w:p w14:paraId="357662ED">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b/>
          <w:bCs/>
          <w:color w:val="auto"/>
          <w:spacing w:val="-5"/>
          <w:sz w:val="28"/>
          <w:szCs w:val="28"/>
          <w:highlight w:val="none"/>
        </w:rPr>
      </w:pPr>
      <w:r>
        <w:rPr>
          <w:b/>
          <w:bCs/>
          <w:color w:val="auto"/>
          <w:spacing w:val="-5"/>
          <w:sz w:val="28"/>
          <w:szCs w:val="28"/>
          <w:highlight w:val="none"/>
        </w:rPr>
        <w:t>一、投标人须知前附表</w:t>
      </w:r>
    </w:p>
    <w:p w14:paraId="132F92ED">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hint="eastAsia" w:eastAsia="微软雅黑"/>
          <w:color w:val="auto"/>
          <w:sz w:val="21"/>
          <w:szCs w:val="21"/>
          <w:highlight w:val="none"/>
          <w:lang w:val="en-US" w:eastAsia="zh-CN"/>
        </w:rPr>
      </w:pPr>
      <w:r>
        <w:rPr>
          <w:b/>
          <w:bCs/>
          <w:color w:val="auto"/>
          <w:spacing w:val="3"/>
          <w:sz w:val="28"/>
          <w:szCs w:val="28"/>
          <w:highlight w:val="none"/>
        </w:rPr>
        <w:t xml:space="preserve"> </w:t>
      </w:r>
      <w:r>
        <w:rPr>
          <w:b/>
          <w:bCs/>
          <w:color w:val="auto"/>
          <w:spacing w:val="-2"/>
          <w:sz w:val="21"/>
          <w:szCs w:val="21"/>
          <w:highlight w:val="none"/>
        </w:rPr>
        <w:t>正文部分与前附表如有矛盾，以本须知前附表为</w:t>
      </w:r>
      <w:r>
        <w:rPr>
          <w:rFonts w:hint="eastAsia"/>
          <w:b/>
          <w:bCs/>
          <w:color w:val="auto"/>
          <w:spacing w:val="-2"/>
          <w:sz w:val="21"/>
          <w:szCs w:val="21"/>
          <w:highlight w:val="none"/>
          <w:lang w:val="en-US" w:eastAsia="zh-CN"/>
        </w:rPr>
        <w:t>准。</w:t>
      </w:r>
    </w:p>
    <w:tbl>
      <w:tblPr>
        <w:tblStyle w:val="15"/>
        <w:tblW w:w="90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591"/>
        <w:gridCol w:w="6759"/>
      </w:tblGrid>
      <w:tr w14:paraId="33BA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32" w:type="dxa"/>
            <w:vAlign w:val="center"/>
          </w:tcPr>
          <w:p w14:paraId="49CC1FC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4"/>
                <w:sz w:val="21"/>
                <w:szCs w:val="21"/>
                <w:highlight w:val="none"/>
              </w:rPr>
              <w:t>序号</w:t>
            </w:r>
          </w:p>
        </w:tc>
        <w:tc>
          <w:tcPr>
            <w:tcW w:w="1591" w:type="dxa"/>
            <w:vAlign w:val="center"/>
          </w:tcPr>
          <w:p w14:paraId="577AD58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10"/>
                <w:sz w:val="21"/>
                <w:szCs w:val="21"/>
                <w:highlight w:val="none"/>
              </w:rPr>
              <w:t>内容</w:t>
            </w:r>
          </w:p>
        </w:tc>
        <w:tc>
          <w:tcPr>
            <w:tcW w:w="6759" w:type="dxa"/>
            <w:vAlign w:val="center"/>
          </w:tcPr>
          <w:p w14:paraId="3154898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说明与要求</w:t>
            </w:r>
          </w:p>
        </w:tc>
      </w:tr>
      <w:tr w14:paraId="14E02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32" w:type="dxa"/>
            <w:vAlign w:val="center"/>
          </w:tcPr>
          <w:p w14:paraId="3127FF0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591" w:type="dxa"/>
            <w:vAlign w:val="center"/>
          </w:tcPr>
          <w:p w14:paraId="6325819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项目名称</w:t>
            </w:r>
          </w:p>
        </w:tc>
        <w:tc>
          <w:tcPr>
            <w:tcW w:w="6759" w:type="dxa"/>
            <w:vAlign w:val="center"/>
          </w:tcPr>
          <w:p w14:paraId="42D7701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伊犁哈萨克自治州纤维检验所2025年棉花公证检验空调、空压机等辅助设备维护服务项目</w:t>
            </w:r>
          </w:p>
        </w:tc>
      </w:tr>
      <w:tr w14:paraId="62FA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32" w:type="dxa"/>
            <w:vAlign w:val="center"/>
          </w:tcPr>
          <w:p w14:paraId="47E676D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z w:val="21"/>
                <w:szCs w:val="21"/>
                <w:highlight w:val="none"/>
              </w:rPr>
              <w:t>2</w:t>
            </w:r>
          </w:p>
        </w:tc>
        <w:tc>
          <w:tcPr>
            <w:tcW w:w="1591" w:type="dxa"/>
            <w:vAlign w:val="center"/>
          </w:tcPr>
          <w:p w14:paraId="6C06EC3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项目编号</w:t>
            </w:r>
          </w:p>
        </w:tc>
        <w:tc>
          <w:tcPr>
            <w:tcW w:w="6759" w:type="dxa"/>
            <w:vAlign w:val="center"/>
          </w:tcPr>
          <w:p w14:paraId="219E6E8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rFonts w:hint="eastAsia"/>
                <w:color w:val="auto"/>
                <w:spacing w:val="-1"/>
                <w:sz w:val="21"/>
                <w:szCs w:val="21"/>
                <w:highlight w:val="none"/>
                <w:lang w:val="en-US" w:eastAsia="zh-CN"/>
              </w:rPr>
              <w:t>MHGZJC-2025-005</w:t>
            </w:r>
          </w:p>
        </w:tc>
      </w:tr>
      <w:tr w14:paraId="67F45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32" w:type="dxa"/>
            <w:vAlign w:val="center"/>
          </w:tcPr>
          <w:p w14:paraId="3561411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3C1AA5E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z w:val="21"/>
                <w:szCs w:val="21"/>
                <w:highlight w:val="none"/>
              </w:rPr>
              <w:t>3</w:t>
            </w:r>
          </w:p>
        </w:tc>
        <w:tc>
          <w:tcPr>
            <w:tcW w:w="1591" w:type="dxa"/>
            <w:vAlign w:val="center"/>
          </w:tcPr>
          <w:p w14:paraId="36EA7FB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color w:val="auto"/>
                <w:spacing w:val="-3"/>
                <w:sz w:val="21"/>
                <w:szCs w:val="21"/>
                <w:highlight w:val="none"/>
              </w:rPr>
              <w:t>合同履行期限</w:t>
            </w:r>
          </w:p>
          <w:p w14:paraId="590A2DD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eastAsia="新宋体"/>
                <w:color w:val="auto"/>
                <w:spacing w:val="-3"/>
                <w:sz w:val="21"/>
                <w:szCs w:val="21"/>
                <w:highlight w:val="none"/>
                <w:lang w:eastAsia="zh-CN"/>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6759" w:type="dxa"/>
            <w:vAlign w:val="center"/>
          </w:tcPr>
          <w:p w14:paraId="7ACA9CB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rFonts w:hint="eastAsia"/>
                <w:color w:val="auto"/>
                <w:spacing w:val="-3"/>
                <w:sz w:val="21"/>
                <w:szCs w:val="21"/>
                <w:highlight w:val="none"/>
              </w:rPr>
              <w:t>365日历日（自合同签订之日起计）。</w:t>
            </w:r>
          </w:p>
        </w:tc>
      </w:tr>
      <w:tr w14:paraId="1A87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32" w:type="dxa"/>
            <w:vAlign w:val="center"/>
          </w:tcPr>
          <w:p w14:paraId="1FDDC19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z w:val="21"/>
                <w:szCs w:val="21"/>
                <w:highlight w:val="none"/>
              </w:rPr>
              <w:t>4</w:t>
            </w:r>
          </w:p>
        </w:tc>
        <w:tc>
          <w:tcPr>
            <w:tcW w:w="1591" w:type="dxa"/>
            <w:vAlign w:val="center"/>
          </w:tcPr>
          <w:p w14:paraId="56EBEC2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项目地点</w:t>
            </w:r>
          </w:p>
        </w:tc>
        <w:tc>
          <w:tcPr>
            <w:tcW w:w="6759" w:type="dxa"/>
            <w:vAlign w:val="center"/>
          </w:tcPr>
          <w:p w14:paraId="046A540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rFonts w:hint="eastAsia"/>
                <w:color w:val="auto"/>
                <w:spacing w:val="-3"/>
                <w:sz w:val="21"/>
                <w:szCs w:val="21"/>
                <w:highlight w:val="none"/>
                <w:lang w:val="en-US" w:eastAsia="zh-CN"/>
              </w:rPr>
              <w:t>奎屯市和伊宁市两地</w:t>
            </w:r>
          </w:p>
        </w:tc>
      </w:tr>
      <w:tr w14:paraId="01F6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2" w:type="dxa"/>
            <w:vAlign w:val="center"/>
          </w:tcPr>
          <w:p w14:paraId="5C62855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56272FF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z w:val="21"/>
                <w:szCs w:val="21"/>
                <w:highlight w:val="none"/>
              </w:rPr>
              <w:t>5</w:t>
            </w:r>
          </w:p>
        </w:tc>
        <w:tc>
          <w:tcPr>
            <w:tcW w:w="1591" w:type="dxa"/>
            <w:vAlign w:val="center"/>
          </w:tcPr>
          <w:p w14:paraId="5071573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2"/>
                <w:sz w:val="21"/>
                <w:szCs w:val="21"/>
                <w:highlight w:val="none"/>
              </w:rPr>
              <w:t>招标人及联系人</w:t>
            </w:r>
          </w:p>
        </w:tc>
        <w:tc>
          <w:tcPr>
            <w:tcW w:w="6759" w:type="dxa"/>
            <w:vAlign w:val="center"/>
          </w:tcPr>
          <w:p w14:paraId="66D19A5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eastAsia="新宋体"/>
                <w:color w:val="auto"/>
                <w:sz w:val="21"/>
                <w:szCs w:val="21"/>
                <w:highlight w:val="none"/>
                <w:lang w:eastAsia="zh-CN"/>
              </w:rPr>
            </w:pPr>
            <w:r>
              <w:rPr>
                <w:color w:val="auto"/>
                <w:spacing w:val="-1"/>
                <w:sz w:val="21"/>
                <w:szCs w:val="21"/>
                <w:highlight w:val="none"/>
              </w:rPr>
              <w:t>单位名称：</w:t>
            </w:r>
            <w:r>
              <w:rPr>
                <w:rFonts w:hint="eastAsia"/>
                <w:color w:val="auto"/>
                <w:spacing w:val="-1"/>
                <w:sz w:val="21"/>
                <w:szCs w:val="21"/>
                <w:highlight w:val="none"/>
                <w:lang w:eastAsia="zh-CN"/>
              </w:rPr>
              <w:t>伊犁哈萨克自治州纤维检验所</w:t>
            </w:r>
          </w:p>
          <w:p w14:paraId="1E63C3D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z w:val="21"/>
                <w:szCs w:val="21"/>
                <w:highlight w:val="none"/>
              </w:rPr>
              <w:t>联系人：曲志勇        联系电</w:t>
            </w:r>
            <w:r>
              <w:rPr>
                <w:color w:val="auto"/>
                <w:spacing w:val="-1"/>
                <w:sz w:val="21"/>
                <w:szCs w:val="21"/>
                <w:highlight w:val="none"/>
              </w:rPr>
              <w:t>话：18009991686</w:t>
            </w:r>
          </w:p>
        </w:tc>
      </w:tr>
      <w:tr w14:paraId="6949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2" w:type="dxa"/>
            <w:vAlign w:val="center"/>
          </w:tcPr>
          <w:p w14:paraId="6071D85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2FB4AA7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z w:val="21"/>
                <w:szCs w:val="21"/>
                <w:highlight w:val="none"/>
              </w:rPr>
              <w:t>6</w:t>
            </w:r>
          </w:p>
        </w:tc>
        <w:tc>
          <w:tcPr>
            <w:tcW w:w="1591" w:type="dxa"/>
            <w:vAlign w:val="center"/>
          </w:tcPr>
          <w:p w14:paraId="4DB0A15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
              <w:jc w:val="center"/>
              <w:textAlignment w:val="baseline"/>
              <w:rPr>
                <w:color w:val="auto"/>
                <w:sz w:val="21"/>
                <w:szCs w:val="21"/>
                <w:highlight w:val="none"/>
              </w:rPr>
            </w:pPr>
            <w:r>
              <w:rPr>
                <w:color w:val="auto"/>
                <w:spacing w:val="-5"/>
                <w:sz w:val="21"/>
                <w:szCs w:val="21"/>
                <w:highlight w:val="none"/>
              </w:rPr>
              <w:t>代理机构</w:t>
            </w:r>
            <w:r>
              <w:rPr>
                <w:color w:val="auto"/>
                <w:sz w:val="21"/>
                <w:szCs w:val="21"/>
                <w:highlight w:val="none"/>
              </w:rPr>
              <w:t xml:space="preserve"> </w:t>
            </w:r>
            <w:r>
              <w:rPr>
                <w:color w:val="auto"/>
                <w:spacing w:val="-5"/>
                <w:sz w:val="21"/>
                <w:szCs w:val="21"/>
                <w:highlight w:val="none"/>
              </w:rPr>
              <w:t>及联系人</w:t>
            </w:r>
          </w:p>
        </w:tc>
        <w:tc>
          <w:tcPr>
            <w:tcW w:w="6759" w:type="dxa"/>
            <w:vAlign w:val="center"/>
          </w:tcPr>
          <w:p w14:paraId="2311F30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eastAsia="新宋体"/>
                <w:color w:val="auto"/>
                <w:sz w:val="21"/>
                <w:szCs w:val="21"/>
                <w:highlight w:val="none"/>
                <w:lang w:eastAsia="zh-CN"/>
              </w:rPr>
            </w:pPr>
            <w:r>
              <w:rPr>
                <w:rFonts w:hint="eastAsia"/>
                <w:color w:val="auto"/>
                <w:spacing w:val="-1"/>
                <w:sz w:val="21"/>
                <w:szCs w:val="21"/>
                <w:highlight w:val="none"/>
                <w:lang w:eastAsia="zh-CN"/>
              </w:rPr>
              <w:t>采购代理机构</w:t>
            </w:r>
            <w:r>
              <w:rPr>
                <w:color w:val="auto"/>
                <w:spacing w:val="-1"/>
                <w:sz w:val="21"/>
                <w:szCs w:val="21"/>
                <w:highlight w:val="none"/>
              </w:rPr>
              <w:t>：</w:t>
            </w:r>
            <w:r>
              <w:rPr>
                <w:rFonts w:hint="eastAsia"/>
                <w:color w:val="auto"/>
                <w:spacing w:val="-1"/>
                <w:sz w:val="21"/>
                <w:szCs w:val="21"/>
                <w:highlight w:val="none"/>
                <w:lang w:eastAsia="zh-CN"/>
              </w:rPr>
              <w:t>乌鲁木齐鑫盛开源工程项目管理有限公司</w:t>
            </w:r>
          </w:p>
          <w:p w14:paraId="32EDA91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eastAsia="新宋体"/>
                <w:color w:val="auto"/>
                <w:sz w:val="21"/>
                <w:szCs w:val="21"/>
                <w:highlight w:val="none"/>
                <w:lang w:eastAsia="zh-CN"/>
              </w:rPr>
            </w:pPr>
            <w:r>
              <w:rPr>
                <w:color w:val="auto"/>
                <w:sz w:val="21"/>
                <w:szCs w:val="21"/>
                <w:highlight w:val="none"/>
              </w:rPr>
              <w:t>联系人：</w:t>
            </w:r>
            <w:r>
              <w:rPr>
                <w:rFonts w:hint="eastAsia"/>
                <w:color w:val="auto"/>
                <w:sz w:val="21"/>
                <w:szCs w:val="21"/>
                <w:highlight w:val="none"/>
                <w:lang w:eastAsia="zh-CN"/>
              </w:rPr>
              <w:t>蔡琰</w:t>
            </w:r>
            <w:r>
              <w:rPr>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 xml:space="preserve"> 联系电</w:t>
            </w:r>
            <w:r>
              <w:rPr>
                <w:color w:val="auto"/>
                <w:spacing w:val="-1"/>
                <w:sz w:val="21"/>
                <w:szCs w:val="21"/>
                <w:highlight w:val="none"/>
              </w:rPr>
              <w:t>话：</w:t>
            </w:r>
            <w:r>
              <w:rPr>
                <w:rFonts w:hint="eastAsia"/>
                <w:color w:val="auto"/>
                <w:spacing w:val="-1"/>
                <w:sz w:val="21"/>
                <w:szCs w:val="21"/>
                <w:highlight w:val="none"/>
                <w:lang w:eastAsia="zh-CN"/>
              </w:rPr>
              <w:t>13679942122</w:t>
            </w:r>
          </w:p>
        </w:tc>
      </w:tr>
      <w:tr w14:paraId="79430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32" w:type="dxa"/>
            <w:vAlign w:val="center"/>
          </w:tcPr>
          <w:p w14:paraId="2E98B74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z w:val="21"/>
                <w:szCs w:val="21"/>
                <w:highlight w:val="none"/>
              </w:rPr>
              <w:t>7</w:t>
            </w:r>
          </w:p>
        </w:tc>
        <w:tc>
          <w:tcPr>
            <w:tcW w:w="1591" w:type="dxa"/>
            <w:vAlign w:val="center"/>
          </w:tcPr>
          <w:p w14:paraId="1775D93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5"/>
                <w:sz w:val="21"/>
                <w:szCs w:val="21"/>
                <w:highlight w:val="none"/>
              </w:rPr>
              <w:t>资金来源</w:t>
            </w:r>
          </w:p>
        </w:tc>
        <w:tc>
          <w:tcPr>
            <w:tcW w:w="6759" w:type="dxa"/>
            <w:vAlign w:val="center"/>
          </w:tcPr>
          <w:p w14:paraId="008F45F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default" w:eastAsia="新宋体"/>
                <w:color w:val="auto"/>
                <w:sz w:val="21"/>
                <w:szCs w:val="21"/>
                <w:highlight w:val="none"/>
                <w:lang w:val="en-US" w:eastAsia="zh-CN"/>
              </w:rPr>
            </w:pPr>
            <w:r>
              <w:rPr>
                <w:rFonts w:hint="eastAsia"/>
                <w:color w:val="auto"/>
                <w:spacing w:val="-5"/>
                <w:sz w:val="21"/>
                <w:szCs w:val="21"/>
                <w:highlight w:val="none"/>
                <w:lang w:val="en-US" w:eastAsia="zh-CN"/>
              </w:rPr>
              <w:t>2025年度纤维公证检验经费</w:t>
            </w:r>
          </w:p>
        </w:tc>
      </w:tr>
      <w:tr w14:paraId="7446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32" w:type="dxa"/>
            <w:vAlign w:val="center"/>
          </w:tcPr>
          <w:p w14:paraId="16F2131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z w:val="21"/>
                <w:szCs w:val="21"/>
                <w:highlight w:val="none"/>
              </w:rPr>
              <w:t>8</w:t>
            </w:r>
          </w:p>
        </w:tc>
        <w:tc>
          <w:tcPr>
            <w:tcW w:w="1591" w:type="dxa"/>
            <w:vAlign w:val="center"/>
          </w:tcPr>
          <w:p w14:paraId="3EA8F56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项目概况</w:t>
            </w:r>
          </w:p>
        </w:tc>
        <w:tc>
          <w:tcPr>
            <w:tcW w:w="6759" w:type="dxa"/>
            <w:vAlign w:val="center"/>
          </w:tcPr>
          <w:p w14:paraId="24AD5F1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rFonts w:hint="eastAsia" w:ascii="新宋体" w:hAnsi="新宋体" w:eastAsia="新宋体" w:cs="新宋体"/>
                <w:snapToGrid w:val="0"/>
                <w:color w:val="auto"/>
                <w:spacing w:val="-5"/>
                <w:kern w:val="0"/>
                <w:sz w:val="21"/>
                <w:szCs w:val="21"/>
                <w:highlight w:val="none"/>
                <w:lang w:val="en-US" w:eastAsia="en-US" w:bidi="ar-SA"/>
              </w:rPr>
              <w:t>拟新购/更新的设备（装置或系统）具体内容</w:t>
            </w:r>
            <w:r>
              <w:rPr>
                <w:rFonts w:hint="eastAsia" w:ascii="新宋体" w:hAnsi="新宋体" w:eastAsia="新宋体" w:cs="新宋体"/>
                <w:snapToGrid w:val="0"/>
                <w:color w:val="auto"/>
                <w:spacing w:val="-5"/>
                <w:kern w:val="0"/>
                <w:sz w:val="21"/>
                <w:szCs w:val="21"/>
                <w:highlight w:val="none"/>
                <w:lang w:val="en-US" w:eastAsia="zh-CN" w:bidi="ar-SA"/>
              </w:rPr>
              <w:t>：实验室辅助设备的维护保养；</w:t>
            </w:r>
            <w:r>
              <w:rPr>
                <w:rFonts w:ascii="新宋体" w:hAnsi="新宋体" w:eastAsia="新宋体" w:cs="新宋体"/>
                <w:snapToGrid w:val="0"/>
                <w:color w:val="auto"/>
                <w:spacing w:val="-5"/>
                <w:kern w:val="0"/>
                <w:sz w:val="21"/>
                <w:szCs w:val="21"/>
                <w:highlight w:val="none"/>
                <w:lang w:val="en-US" w:eastAsia="en-US" w:bidi="ar-SA"/>
              </w:rPr>
              <w:t>（</w:t>
            </w:r>
            <w:r>
              <w:rPr>
                <w:rFonts w:hint="eastAsia" w:ascii="新宋体" w:hAnsi="新宋体" w:eastAsia="新宋体" w:cs="新宋体"/>
                <w:snapToGrid w:val="0"/>
                <w:color w:val="auto"/>
                <w:spacing w:val="-5"/>
                <w:kern w:val="0"/>
                <w:sz w:val="21"/>
                <w:szCs w:val="21"/>
                <w:highlight w:val="none"/>
                <w:lang w:val="en-US" w:eastAsia="zh-CN" w:bidi="ar-SA"/>
              </w:rPr>
              <w:t>具体参数</w:t>
            </w:r>
            <w:r>
              <w:rPr>
                <w:rFonts w:ascii="新宋体" w:hAnsi="新宋体" w:eastAsia="新宋体" w:cs="新宋体"/>
                <w:snapToGrid w:val="0"/>
                <w:color w:val="auto"/>
                <w:spacing w:val="-5"/>
                <w:kern w:val="0"/>
                <w:sz w:val="21"/>
                <w:szCs w:val="21"/>
                <w:highlight w:val="none"/>
                <w:lang w:val="en-US" w:eastAsia="en-US" w:bidi="ar-SA"/>
              </w:rPr>
              <w:t>详见招标文件</w:t>
            </w:r>
            <w:r>
              <w:rPr>
                <w:rFonts w:hint="eastAsia" w:ascii="新宋体" w:hAnsi="新宋体" w:eastAsia="新宋体" w:cs="新宋体"/>
                <w:snapToGrid w:val="0"/>
                <w:color w:val="auto"/>
                <w:spacing w:val="-5"/>
                <w:kern w:val="0"/>
                <w:sz w:val="21"/>
                <w:szCs w:val="21"/>
                <w:highlight w:val="none"/>
                <w:lang w:val="en-US" w:eastAsia="zh-CN" w:bidi="ar-SA"/>
              </w:rPr>
              <w:t>采购清单</w:t>
            </w:r>
            <w:r>
              <w:rPr>
                <w:rFonts w:ascii="新宋体" w:hAnsi="新宋体" w:eastAsia="新宋体" w:cs="新宋体"/>
                <w:snapToGrid w:val="0"/>
                <w:color w:val="auto"/>
                <w:spacing w:val="-5"/>
                <w:kern w:val="0"/>
                <w:sz w:val="21"/>
                <w:szCs w:val="21"/>
                <w:highlight w:val="none"/>
                <w:lang w:val="en-US" w:eastAsia="en-US" w:bidi="ar-SA"/>
              </w:rPr>
              <w:t>）。</w:t>
            </w:r>
          </w:p>
        </w:tc>
      </w:tr>
      <w:tr w14:paraId="31A95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732" w:type="dxa"/>
            <w:vAlign w:val="center"/>
          </w:tcPr>
          <w:p w14:paraId="79E49D9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18A252C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1525C1D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50000A2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37675BD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z w:val="21"/>
                <w:szCs w:val="21"/>
                <w:highlight w:val="none"/>
              </w:rPr>
              <w:t>9</w:t>
            </w:r>
          </w:p>
        </w:tc>
        <w:tc>
          <w:tcPr>
            <w:tcW w:w="1591" w:type="dxa"/>
            <w:vAlign w:val="center"/>
          </w:tcPr>
          <w:p w14:paraId="175A93E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00862C5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3FD9593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02BDFAD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038DECA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color w:val="auto"/>
                <w:spacing w:val="-2"/>
                <w:sz w:val="21"/>
                <w:szCs w:val="21"/>
                <w:highlight w:val="none"/>
              </w:rPr>
              <w:t>投标人资格条件</w:t>
            </w:r>
            <w:r>
              <w:rPr>
                <w:color w:val="auto"/>
                <w:sz w:val="21"/>
                <w:szCs w:val="21"/>
                <w:highlight w:val="none"/>
              </w:rPr>
              <w:t xml:space="preserve"> </w:t>
            </w:r>
            <w:r>
              <w:rPr>
                <w:color w:val="auto"/>
                <w:spacing w:val="-3"/>
                <w:sz w:val="21"/>
                <w:szCs w:val="21"/>
                <w:highlight w:val="none"/>
              </w:rPr>
              <w:t>及其他要求</w:t>
            </w:r>
          </w:p>
          <w:p w14:paraId="6EACBF4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6759" w:type="dxa"/>
            <w:vAlign w:val="center"/>
          </w:tcPr>
          <w:p w14:paraId="7850630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both"/>
              <w:textAlignment w:val="baseline"/>
              <w:rPr>
                <w:color w:val="auto"/>
                <w:sz w:val="21"/>
                <w:szCs w:val="21"/>
                <w:highlight w:val="none"/>
              </w:rPr>
            </w:pPr>
            <w:r>
              <w:rPr>
                <w:color w:val="auto"/>
                <w:spacing w:val="-1"/>
                <w:sz w:val="21"/>
                <w:szCs w:val="21"/>
                <w:highlight w:val="none"/>
              </w:rPr>
              <w:t>1、符合《中华人民共和国政府采购法》第二十二条的相关规定；投标人应在中华人民共和国注册，具有有效的营业执照，</w:t>
            </w:r>
            <w:r>
              <w:rPr>
                <w:color w:val="auto"/>
                <w:spacing w:val="-2"/>
                <w:sz w:val="21"/>
                <w:szCs w:val="21"/>
                <w:highlight w:val="none"/>
              </w:rPr>
              <w:t>并在人员、</w:t>
            </w:r>
            <w:r>
              <w:rPr>
                <w:color w:val="auto"/>
                <w:spacing w:val="-4"/>
                <w:sz w:val="21"/>
                <w:szCs w:val="21"/>
                <w:highlight w:val="none"/>
              </w:rPr>
              <w:t>技术、货物等方面具有承担本项目的能力；</w:t>
            </w:r>
          </w:p>
          <w:p w14:paraId="1345CAB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both"/>
              <w:textAlignment w:val="baseline"/>
              <w:rPr>
                <w:rFonts w:hint="eastAsia" w:ascii="新宋体" w:hAnsi="新宋体" w:eastAsia="新宋体" w:cs="新宋体"/>
                <w:snapToGrid w:val="0"/>
                <w:color w:val="auto"/>
                <w:spacing w:val="-1"/>
                <w:kern w:val="0"/>
                <w:sz w:val="21"/>
                <w:szCs w:val="21"/>
                <w:highlight w:val="none"/>
                <w:lang w:val="en-US" w:eastAsia="zh-CN" w:bidi="ar-SA"/>
              </w:rPr>
            </w:pPr>
            <w:r>
              <w:rPr>
                <w:rFonts w:ascii="新宋体" w:hAnsi="新宋体" w:eastAsia="新宋体" w:cs="新宋体"/>
                <w:snapToGrid w:val="0"/>
                <w:color w:val="auto"/>
                <w:spacing w:val="-1"/>
                <w:kern w:val="0"/>
                <w:sz w:val="21"/>
                <w:szCs w:val="21"/>
                <w:highlight w:val="none"/>
                <w:lang w:val="en-US" w:eastAsia="en-US" w:bidi="ar-SA"/>
              </w:rPr>
              <w:t>2、提供近</w:t>
            </w:r>
            <w:r>
              <w:rPr>
                <w:rFonts w:hint="eastAsia" w:ascii="新宋体" w:hAnsi="新宋体" w:eastAsia="新宋体" w:cs="新宋体"/>
                <w:snapToGrid w:val="0"/>
                <w:color w:val="auto"/>
                <w:spacing w:val="-1"/>
                <w:kern w:val="0"/>
                <w:sz w:val="21"/>
                <w:szCs w:val="21"/>
                <w:highlight w:val="none"/>
                <w:lang w:val="en-US" w:eastAsia="zh-CN" w:bidi="ar-SA"/>
              </w:rPr>
              <w:t>两</w:t>
            </w:r>
            <w:r>
              <w:rPr>
                <w:rFonts w:ascii="新宋体" w:hAnsi="新宋体" w:eastAsia="新宋体" w:cs="新宋体"/>
                <w:snapToGrid w:val="0"/>
                <w:color w:val="auto"/>
                <w:spacing w:val="-1"/>
                <w:kern w:val="0"/>
                <w:sz w:val="21"/>
                <w:szCs w:val="21"/>
                <w:highlight w:val="none"/>
                <w:lang w:val="en-US" w:eastAsia="en-US" w:bidi="ar-SA"/>
              </w:rPr>
              <w:t>年（2023年</w:t>
            </w:r>
            <w:r>
              <w:rPr>
                <w:rFonts w:hint="eastAsia" w:ascii="新宋体" w:hAnsi="新宋体" w:eastAsia="新宋体" w:cs="新宋体"/>
                <w:snapToGrid w:val="0"/>
                <w:color w:val="auto"/>
                <w:spacing w:val="-1"/>
                <w:kern w:val="0"/>
                <w:sz w:val="21"/>
                <w:szCs w:val="21"/>
                <w:highlight w:val="none"/>
                <w:lang w:val="en-US" w:eastAsia="zh-CN" w:bidi="ar-SA"/>
              </w:rPr>
              <w:t>或</w:t>
            </w:r>
            <w:r>
              <w:rPr>
                <w:rFonts w:hint="eastAsia" w:ascii="新宋体" w:hAnsi="新宋体" w:eastAsia="新宋体" w:cs="新宋体"/>
                <w:snapToGrid w:val="0"/>
                <w:color w:val="auto"/>
                <w:spacing w:val="-1"/>
                <w:kern w:val="0"/>
                <w:sz w:val="21"/>
                <w:szCs w:val="21"/>
                <w:highlight w:val="none"/>
                <w:lang w:val="en-US" w:eastAsia="en-US" w:bidi="ar-SA"/>
              </w:rPr>
              <w:t>202</w:t>
            </w:r>
            <w:r>
              <w:rPr>
                <w:rFonts w:hint="eastAsia" w:ascii="新宋体" w:hAnsi="新宋体" w:eastAsia="新宋体" w:cs="新宋体"/>
                <w:snapToGrid w:val="0"/>
                <w:color w:val="auto"/>
                <w:spacing w:val="-1"/>
                <w:kern w:val="0"/>
                <w:sz w:val="21"/>
                <w:szCs w:val="21"/>
                <w:highlight w:val="none"/>
                <w:lang w:val="en-US" w:eastAsia="zh-CN" w:bidi="ar-SA"/>
              </w:rPr>
              <w:t>4</w:t>
            </w:r>
            <w:r>
              <w:rPr>
                <w:rFonts w:hint="eastAsia" w:ascii="新宋体" w:hAnsi="新宋体" w:eastAsia="新宋体" w:cs="新宋体"/>
                <w:snapToGrid w:val="0"/>
                <w:color w:val="auto"/>
                <w:spacing w:val="-1"/>
                <w:kern w:val="0"/>
                <w:sz w:val="21"/>
                <w:szCs w:val="21"/>
                <w:highlight w:val="none"/>
                <w:lang w:val="en-US" w:eastAsia="en-US" w:bidi="ar-SA"/>
              </w:rPr>
              <w:t>年</w:t>
            </w:r>
            <w:r>
              <w:rPr>
                <w:rFonts w:ascii="新宋体" w:hAnsi="新宋体" w:eastAsia="新宋体" w:cs="新宋体"/>
                <w:snapToGrid w:val="0"/>
                <w:color w:val="auto"/>
                <w:spacing w:val="-1"/>
                <w:kern w:val="0"/>
                <w:sz w:val="21"/>
                <w:szCs w:val="21"/>
                <w:highlight w:val="none"/>
                <w:lang w:val="en-US" w:eastAsia="en-US" w:bidi="ar-SA"/>
              </w:rPr>
              <w:t>）</w:t>
            </w:r>
            <w:r>
              <w:rPr>
                <w:rFonts w:hint="eastAsia" w:ascii="新宋体" w:hAnsi="新宋体" w:eastAsia="新宋体" w:cs="新宋体"/>
                <w:snapToGrid w:val="0"/>
                <w:color w:val="auto"/>
                <w:spacing w:val="-1"/>
                <w:kern w:val="0"/>
                <w:sz w:val="21"/>
                <w:szCs w:val="21"/>
                <w:highlight w:val="none"/>
                <w:lang w:val="en-US" w:eastAsia="zh-CN" w:bidi="ar-SA"/>
              </w:rPr>
              <w:t>任意一年</w:t>
            </w:r>
            <w:r>
              <w:rPr>
                <w:rFonts w:ascii="新宋体" w:hAnsi="新宋体" w:eastAsia="新宋体" w:cs="新宋体"/>
                <w:snapToGrid w:val="0"/>
                <w:color w:val="auto"/>
                <w:spacing w:val="-1"/>
                <w:kern w:val="0"/>
                <w:sz w:val="21"/>
                <w:szCs w:val="21"/>
                <w:highlight w:val="none"/>
                <w:lang w:val="en-US" w:eastAsia="en-US" w:bidi="ar-SA"/>
              </w:rPr>
              <w:t>第三方</w:t>
            </w:r>
            <w:r>
              <w:rPr>
                <w:rFonts w:hint="eastAsia" w:ascii="新宋体" w:hAnsi="新宋体" w:eastAsia="新宋体" w:cs="新宋体"/>
                <w:snapToGrid w:val="0"/>
                <w:color w:val="auto"/>
                <w:spacing w:val="-1"/>
                <w:kern w:val="0"/>
                <w:sz w:val="21"/>
                <w:szCs w:val="21"/>
                <w:highlight w:val="none"/>
                <w:lang w:val="en-US" w:eastAsia="zh-CN" w:bidi="ar-SA"/>
              </w:rPr>
              <w:t>财务审计报告或银行出具的资信证明等</w:t>
            </w:r>
            <w:r>
              <w:rPr>
                <w:rFonts w:ascii="新宋体" w:hAnsi="新宋体" w:eastAsia="新宋体" w:cs="新宋体"/>
                <w:snapToGrid w:val="0"/>
                <w:color w:val="auto"/>
                <w:spacing w:val="-1"/>
                <w:kern w:val="0"/>
                <w:sz w:val="21"/>
                <w:szCs w:val="21"/>
                <w:highlight w:val="none"/>
                <w:lang w:val="en-US" w:eastAsia="en-US" w:bidi="ar-SA"/>
              </w:rPr>
              <w:t>，</w:t>
            </w:r>
            <w:r>
              <w:rPr>
                <w:rFonts w:hint="eastAsia" w:ascii="新宋体" w:hAnsi="新宋体" w:eastAsia="新宋体" w:cs="新宋体"/>
                <w:snapToGrid w:val="0"/>
                <w:color w:val="auto"/>
                <w:spacing w:val="-1"/>
                <w:kern w:val="0"/>
                <w:sz w:val="21"/>
                <w:szCs w:val="21"/>
                <w:highlight w:val="none"/>
                <w:lang w:val="en-US" w:eastAsia="zh-CN" w:bidi="ar-SA"/>
              </w:rPr>
              <w:t>成立不满一年</w:t>
            </w:r>
            <w:r>
              <w:rPr>
                <w:rFonts w:ascii="新宋体" w:hAnsi="新宋体" w:eastAsia="新宋体" w:cs="新宋体"/>
                <w:snapToGrid w:val="0"/>
                <w:color w:val="auto"/>
                <w:spacing w:val="-1"/>
                <w:kern w:val="0"/>
                <w:sz w:val="21"/>
                <w:szCs w:val="21"/>
                <w:highlight w:val="none"/>
                <w:lang w:val="en-US" w:eastAsia="en-US" w:bidi="ar-SA"/>
              </w:rPr>
              <w:t>的投标企业须提供成立至今的财务报表</w:t>
            </w:r>
            <w:r>
              <w:rPr>
                <w:rFonts w:hint="eastAsia" w:ascii="新宋体" w:hAnsi="新宋体" w:eastAsia="新宋体" w:cs="新宋体"/>
                <w:snapToGrid w:val="0"/>
                <w:color w:val="auto"/>
                <w:spacing w:val="-1"/>
                <w:kern w:val="0"/>
                <w:sz w:val="21"/>
                <w:szCs w:val="21"/>
                <w:highlight w:val="none"/>
                <w:lang w:val="en-US" w:eastAsia="zh-CN" w:bidi="ar-SA"/>
              </w:rPr>
              <w:t>；</w:t>
            </w:r>
          </w:p>
          <w:p w14:paraId="5DD5A6A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both"/>
              <w:textAlignment w:val="baseline"/>
              <w:rPr>
                <w:rFonts w:hint="eastAsia"/>
                <w:color w:val="auto"/>
                <w:spacing w:val="-4"/>
                <w:sz w:val="21"/>
                <w:szCs w:val="21"/>
                <w:highlight w:val="none"/>
              </w:rPr>
            </w:pPr>
            <w:r>
              <w:rPr>
                <w:color w:val="auto"/>
                <w:spacing w:val="-4"/>
                <w:sz w:val="21"/>
                <w:szCs w:val="21"/>
                <w:highlight w:val="none"/>
              </w:rPr>
              <w:t>3、</w:t>
            </w:r>
            <w:r>
              <w:rPr>
                <w:rFonts w:hint="eastAsia"/>
                <w:color w:val="auto"/>
                <w:spacing w:val="-4"/>
                <w:sz w:val="21"/>
                <w:szCs w:val="21"/>
                <w:highlight w:val="none"/>
              </w:rPr>
              <w:t>提供近一年任意三个月缴税记录及社保缴纳证明；（新成立公司提供成立之日起至今的缴税记录及社保缴纳证明；若供应商的纳税记录为零申报的，提供申报记录）</w:t>
            </w:r>
          </w:p>
          <w:p w14:paraId="5E824EF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both"/>
              <w:textAlignment w:val="baseline"/>
              <w:rPr>
                <w:color w:val="auto"/>
                <w:sz w:val="21"/>
                <w:szCs w:val="21"/>
                <w:highlight w:val="none"/>
              </w:rPr>
            </w:pPr>
            <w:r>
              <w:rPr>
                <w:color w:val="auto"/>
                <w:spacing w:val="-3"/>
                <w:sz w:val="21"/>
                <w:szCs w:val="21"/>
                <w:highlight w:val="none"/>
              </w:rPr>
              <w:t>4、提供法人或授权委托人在本单位近</w:t>
            </w:r>
            <w:r>
              <w:rPr>
                <w:rFonts w:hint="eastAsia"/>
                <w:color w:val="auto"/>
                <w:spacing w:val="-3"/>
                <w:sz w:val="21"/>
                <w:szCs w:val="21"/>
                <w:highlight w:val="none"/>
                <w:lang w:eastAsia="zh-CN"/>
              </w:rPr>
              <w:t>三个月</w:t>
            </w:r>
            <w:r>
              <w:rPr>
                <w:color w:val="auto"/>
                <w:spacing w:val="-3"/>
                <w:sz w:val="21"/>
                <w:szCs w:val="21"/>
                <w:highlight w:val="none"/>
              </w:rPr>
              <w:t>（202</w:t>
            </w:r>
            <w:r>
              <w:rPr>
                <w:rFonts w:hint="eastAsia"/>
                <w:color w:val="auto"/>
                <w:spacing w:val="-3"/>
                <w:sz w:val="21"/>
                <w:szCs w:val="21"/>
                <w:highlight w:val="none"/>
                <w:lang w:val="en-US" w:eastAsia="zh-CN"/>
              </w:rPr>
              <w:t>4</w:t>
            </w:r>
            <w:r>
              <w:rPr>
                <w:color w:val="auto"/>
                <w:spacing w:val="-3"/>
                <w:sz w:val="21"/>
                <w:szCs w:val="21"/>
                <w:highlight w:val="none"/>
              </w:rPr>
              <w:t>年</w:t>
            </w:r>
            <w:r>
              <w:rPr>
                <w:rFonts w:hint="eastAsia"/>
                <w:color w:val="auto"/>
                <w:spacing w:val="-3"/>
                <w:sz w:val="21"/>
                <w:szCs w:val="21"/>
                <w:highlight w:val="none"/>
                <w:lang w:val="en-US" w:eastAsia="zh-CN"/>
              </w:rPr>
              <w:t>1</w:t>
            </w:r>
            <w:r>
              <w:rPr>
                <w:color w:val="auto"/>
                <w:spacing w:val="-3"/>
                <w:sz w:val="21"/>
                <w:szCs w:val="21"/>
                <w:highlight w:val="none"/>
              </w:rPr>
              <w:t>月至投标截止日）缴纳社</w:t>
            </w:r>
            <w:r>
              <w:rPr>
                <w:color w:val="auto"/>
                <w:spacing w:val="-9"/>
                <w:sz w:val="21"/>
                <w:szCs w:val="21"/>
                <w:highlight w:val="none"/>
              </w:rPr>
              <w:t>保证明文件；</w:t>
            </w:r>
          </w:p>
          <w:p w14:paraId="030CA4B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both"/>
              <w:textAlignment w:val="baseline"/>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单位负责人为同一或者存在直接控股、管理关</w:t>
            </w:r>
            <w:r>
              <w:rPr>
                <w:color w:val="auto"/>
                <w:spacing w:val="-1"/>
                <w:sz w:val="21"/>
                <w:szCs w:val="21"/>
                <w:highlight w:val="none"/>
              </w:rPr>
              <w:t>系的不同供应商，不得参加同</w:t>
            </w:r>
            <w:r>
              <w:rPr>
                <w:color w:val="auto"/>
                <w:spacing w:val="-7"/>
                <w:sz w:val="21"/>
                <w:szCs w:val="21"/>
                <w:highlight w:val="none"/>
              </w:rPr>
              <w:t>一合同项下的政府采购活动。除单一来源采购项目外，为采购项目提供整体设</w:t>
            </w:r>
            <w:r>
              <w:rPr>
                <w:color w:val="auto"/>
                <w:spacing w:val="-8"/>
                <w:sz w:val="21"/>
                <w:szCs w:val="21"/>
                <w:highlight w:val="none"/>
              </w:rPr>
              <w:t>计、</w:t>
            </w:r>
            <w:r>
              <w:rPr>
                <w:color w:val="auto"/>
                <w:spacing w:val="-6"/>
                <w:sz w:val="21"/>
                <w:szCs w:val="21"/>
                <w:highlight w:val="none"/>
              </w:rPr>
              <w:t>规范编制或者项目管理、监理、检测等服务的供应商，不得再参加该</w:t>
            </w:r>
            <w:r>
              <w:rPr>
                <w:color w:val="auto"/>
                <w:spacing w:val="-7"/>
                <w:sz w:val="21"/>
                <w:szCs w:val="21"/>
                <w:highlight w:val="none"/>
              </w:rPr>
              <w:t>采购项目的</w:t>
            </w:r>
            <w:r>
              <w:rPr>
                <w:color w:val="auto"/>
                <w:spacing w:val="-6"/>
                <w:sz w:val="21"/>
                <w:szCs w:val="21"/>
                <w:highlight w:val="none"/>
              </w:rPr>
              <w:t>其他采购活动。</w:t>
            </w:r>
          </w:p>
        </w:tc>
      </w:tr>
      <w:tr w14:paraId="540AB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32" w:type="dxa"/>
            <w:vAlign w:val="center"/>
          </w:tcPr>
          <w:p w14:paraId="0141A51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6"/>
                <w:sz w:val="21"/>
                <w:szCs w:val="21"/>
                <w:highlight w:val="none"/>
              </w:rPr>
              <w:t>10</w:t>
            </w:r>
          </w:p>
        </w:tc>
        <w:tc>
          <w:tcPr>
            <w:tcW w:w="1591" w:type="dxa"/>
            <w:vAlign w:val="center"/>
          </w:tcPr>
          <w:p w14:paraId="5744E4E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招标方式</w:t>
            </w:r>
          </w:p>
        </w:tc>
        <w:tc>
          <w:tcPr>
            <w:tcW w:w="6759" w:type="dxa"/>
            <w:vAlign w:val="center"/>
          </w:tcPr>
          <w:p w14:paraId="1460724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4"/>
                <w:sz w:val="21"/>
                <w:szCs w:val="21"/>
                <w:highlight w:val="none"/>
              </w:rPr>
              <w:t>公开招标</w:t>
            </w:r>
          </w:p>
        </w:tc>
      </w:tr>
      <w:tr w14:paraId="2158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32" w:type="dxa"/>
            <w:vAlign w:val="center"/>
          </w:tcPr>
          <w:p w14:paraId="5658D8F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6"/>
                <w:sz w:val="21"/>
                <w:szCs w:val="21"/>
                <w:highlight w:val="none"/>
              </w:rPr>
              <w:t>11</w:t>
            </w:r>
          </w:p>
        </w:tc>
        <w:tc>
          <w:tcPr>
            <w:tcW w:w="1591" w:type="dxa"/>
            <w:vAlign w:val="center"/>
          </w:tcPr>
          <w:p w14:paraId="02E7854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踏勘现场</w:t>
            </w:r>
          </w:p>
        </w:tc>
        <w:tc>
          <w:tcPr>
            <w:tcW w:w="6759" w:type="dxa"/>
            <w:vAlign w:val="center"/>
          </w:tcPr>
          <w:p w14:paraId="3F6660F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4"/>
                <w:sz w:val="21"/>
                <w:szCs w:val="21"/>
                <w:highlight w:val="none"/>
              </w:rPr>
              <w:t>不组织，投标人自行踏勘现场。</w:t>
            </w:r>
          </w:p>
        </w:tc>
      </w:tr>
      <w:tr w14:paraId="5FB01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732" w:type="dxa"/>
            <w:vAlign w:val="center"/>
          </w:tcPr>
          <w:p w14:paraId="7B1B2F5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6"/>
                <w:sz w:val="21"/>
                <w:szCs w:val="21"/>
                <w:highlight w:val="none"/>
              </w:rPr>
              <w:t>12</w:t>
            </w:r>
          </w:p>
        </w:tc>
        <w:tc>
          <w:tcPr>
            <w:tcW w:w="1591" w:type="dxa"/>
            <w:vAlign w:val="center"/>
          </w:tcPr>
          <w:p w14:paraId="499E50D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投标预备会</w:t>
            </w:r>
          </w:p>
        </w:tc>
        <w:tc>
          <w:tcPr>
            <w:tcW w:w="6759" w:type="dxa"/>
            <w:vAlign w:val="center"/>
          </w:tcPr>
          <w:p w14:paraId="2FB2FD6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5"/>
                <w:sz w:val="21"/>
                <w:szCs w:val="21"/>
                <w:highlight w:val="none"/>
              </w:rPr>
              <w:t>不召开</w:t>
            </w:r>
          </w:p>
        </w:tc>
      </w:tr>
      <w:tr w14:paraId="0C6A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2" w:type="dxa"/>
            <w:vAlign w:val="center"/>
          </w:tcPr>
          <w:p w14:paraId="7D653A4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6"/>
                <w:sz w:val="21"/>
                <w:szCs w:val="21"/>
                <w:highlight w:val="none"/>
              </w:rPr>
              <w:t>13</w:t>
            </w:r>
          </w:p>
        </w:tc>
        <w:tc>
          <w:tcPr>
            <w:tcW w:w="1591" w:type="dxa"/>
            <w:vAlign w:val="center"/>
          </w:tcPr>
          <w:p w14:paraId="7ECC128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223"/>
              <w:jc w:val="center"/>
              <w:textAlignment w:val="baseline"/>
              <w:rPr>
                <w:color w:val="auto"/>
                <w:sz w:val="21"/>
                <w:szCs w:val="21"/>
                <w:highlight w:val="none"/>
              </w:rPr>
            </w:pPr>
            <w:r>
              <w:rPr>
                <w:color w:val="auto"/>
                <w:spacing w:val="-2"/>
                <w:sz w:val="21"/>
                <w:szCs w:val="21"/>
                <w:highlight w:val="none"/>
              </w:rPr>
              <w:t>投标人提出问题</w:t>
            </w:r>
            <w:r>
              <w:rPr>
                <w:color w:val="auto"/>
                <w:spacing w:val="-5"/>
                <w:sz w:val="21"/>
                <w:szCs w:val="21"/>
                <w:highlight w:val="none"/>
              </w:rPr>
              <w:t>的截止时间</w:t>
            </w:r>
          </w:p>
        </w:tc>
        <w:tc>
          <w:tcPr>
            <w:tcW w:w="6759" w:type="dxa"/>
            <w:vAlign w:val="center"/>
          </w:tcPr>
          <w:p w14:paraId="758A400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1"/>
              <w:jc w:val="both"/>
              <w:textAlignment w:val="baseline"/>
              <w:rPr>
                <w:color w:val="auto"/>
                <w:sz w:val="21"/>
                <w:szCs w:val="21"/>
                <w:highlight w:val="none"/>
              </w:rPr>
            </w:pPr>
            <w:r>
              <w:rPr>
                <w:color w:val="auto"/>
                <w:spacing w:val="-3"/>
                <w:sz w:val="21"/>
                <w:szCs w:val="21"/>
                <w:highlight w:val="none"/>
              </w:rPr>
              <w:t>投标单位应当在知道或者应知（即收到采购文件之日）</w:t>
            </w:r>
            <w:r>
              <w:rPr>
                <w:color w:val="auto"/>
                <w:spacing w:val="-4"/>
                <w:sz w:val="21"/>
                <w:szCs w:val="21"/>
                <w:highlight w:val="none"/>
              </w:rPr>
              <w:t>其权益受到损害之日起七</w:t>
            </w:r>
            <w:r>
              <w:rPr>
                <w:color w:val="auto"/>
                <w:sz w:val="21"/>
                <w:szCs w:val="21"/>
                <w:highlight w:val="none"/>
              </w:rPr>
              <w:t xml:space="preserve"> </w:t>
            </w:r>
            <w:r>
              <w:rPr>
                <w:color w:val="auto"/>
                <w:spacing w:val="-3"/>
                <w:sz w:val="21"/>
                <w:szCs w:val="21"/>
                <w:highlight w:val="none"/>
              </w:rPr>
              <w:t>个工作日内以书面形式一次性提出。</w:t>
            </w:r>
          </w:p>
        </w:tc>
      </w:tr>
      <w:tr w14:paraId="5CC7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32" w:type="dxa"/>
            <w:vAlign w:val="center"/>
          </w:tcPr>
          <w:p w14:paraId="23F1711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6"/>
                <w:sz w:val="21"/>
                <w:szCs w:val="21"/>
                <w:highlight w:val="none"/>
              </w:rPr>
              <w:t>14</w:t>
            </w:r>
          </w:p>
        </w:tc>
        <w:tc>
          <w:tcPr>
            <w:tcW w:w="1591" w:type="dxa"/>
            <w:vAlign w:val="center"/>
          </w:tcPr>
          <w:p w14:paraId="550989F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color w:val="auto"/>
                <w:spacing w:val="-2"/>
                <w:sz w:val="21"/>
                <w:szCs w:val="21"/>
                <w:highlight w:val="none"/>
              </w:rPr>
            </w:pPr>
            <w:r>
              <w:rPr>
                <w:color w:val="auto"/>
                <w:spacing w:val="-3"/>
                <w:sz w:val="21"/>
                <w:szCs w:val="21"/>
                <w:highlight w:val="none"/>
              </w:rPr>
              <w:t>招</w:t>
            </w:r>
            <w:r>
              <w:rPr>
                <w:color w:val="auto"/>
                <w:spacing w:val="-2"/>
                <w:sz w:val="21"/>
                <w:szCs w:val="21"/>
                <w:highlight w:val="none"/>
              </w:rPr>
              <w:t>标人澄清的</w:t>
            </w:r>
          </w:p>
          <w:p w14:paraId="1879AD7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color w:val="auto"/>
                <w:sz w:val="21"/>
                <w:szCs w:val="21"/>
                <w:highlight w:val="none"/>
              </w:rPr>
            </w:pPr>
            <w:r>
              <w:rPr>
                <w:color w:val="auto"/>
                <w:spacing w:val="-2"/>
                <w:sz w:val="21"/>
                <w:szCs w:val="21"/>
                <w:highlight w:val="none"/>
              </w:rPr>
              <w:t>时间</w:t>
            </w:r>
          </w:p>
        </w:tc>
        <w:tc>
          <w:tcPr>
            <w:tcW w:w="6759" w:type="dxa"/>
            <w:vAlign w:val="center"/>
          </w:tcPr>
          <w:p w14:paraId="0D9E797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7"/>
                <w:sz w:val="21"/>
                <w:szCs w:val="21"/>
                <w:highlight w:val="none"/>
              </w:rPr>
              <w:t>在投标截止时间</w:t>
            </w:r>
            <w:r>
              <w:rPr>
                <w:color w:val="auto"/>
                <w:spacing w:val="-30"/>
                <w:sz w:val="21"/>
                <w:szCs w:val="21"/>
                <w:highlight w:val="none"/>
              </w:rPr>
              <w:t xml:space="preserve"> </w:t>
            </w:r>
            <w:r>
              <w:rPr>
                <w:color w:val="auto"/>
                <w:spacing w:val="-7"/>
                <w:sz w:val="21"/>
                <w:szCs w:val="21"/>
                <w:highlight w:val="none"/>
              </w:rPr>
              <w:t>15 日前。</w:t>
            </w:r>
          </w:p>
        </w:tc>
      </w:tr>
      <w:tr w14:paraId="3A7F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32" w:type="dxa"/>
            <w:vAlign w:val="center"/>
          </w:tcPr>
          <w:p w14:paraId="2FC93F3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6"/>
                <w:sz w:val="21"/>
                <w:szCs w:val="21"/>
                <w:highlight w:val="none"/>
              </w:rPr>
              <w:t>15</w:t>
            </w:r>
          </w:p>
        </w:tc>
        <w:tc>
          <w:tcPr>
            <w:tcW w:w="1591" w:type="dxa"/>
            <w:vAlign w:val="center"/>
          </w:tcPr>
          <w:p w14:paraId="778B8CB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2"/>
                <w:sz w:val="21"/>
                <w:szCs w:val="21"/>
                <w:highlight w:val="none"/>
              </w:rPr>
              <w:t>联合体投标</w:t>
            </w:r>
          </w:p>
        </w:tc>
        <w:tc>
          <w:tcPr>
            <w:tcW w:w="6759" w:type="dxa"/>
            <w:vAlign w:val="center"/>
          </w:tcPr>
          <w:p w14:paraId="5DF7DDA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5"/>
                <w:sz w:val="21"/>
                <w:szCs w:val="21"/>
                <w:highlight w:val="none"/>
              </w:rPr>
              <w:t>不接受联合体投标。</w:t>
            </w:r>
          </w:p>
        </w:tc>
      </w:tr>
      <w:tr w14:paraId="5B90F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2" w:type="dxa"/>
            <w:vAlign w:val="center"/>
          </w:tcPr>
          <w:p w14:paraId="0038E31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534BF93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6"/>
                <w:sz w:val="21"/>
                <w:szCs w:val="21"/>
                <w:highlight w:val="none"/>
              </w:rPr>
              <w:t>16</w:t>
            </w:r>
          </w:p>
        </w:tc>
        <w:tc>
          <w:tcPr>
            <w:tcW w:w="1591" w:type="dxa"/>
            <w:vAlign w:val="center"/>
          </w:tcPr>
          <w:p w14:paraId="2E05CA1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招标代理费</w:t>
            </w:r>
          </w:p>
        </w:tc>
        <w:tc>
          <w:tcPr>
            <w:tcW w:w="6759" w:type="dxa"/>
            <w:vAlign w:val="center"/>
          </w:tcPr>
          <w:p w14:paraId="03CB939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color w:val="auto"/>
                <w:spacing w:val="-2"/>
                <w:sz w:val="21"/>
                <w:szCs w:val="21"/>
                <w:highlight w:val="none"/>
              </w:rPr>
            </w:pPr>
            <w:r>
              <w:rPr>
                <w:rFonts w:hint="eastAsia"/>
                <w:color w:val="auto"/>
                <w:spacing w:val="-2"/>
                <w:sz w:val="21"/>
                <w:szCs w:val="21"/>
                <w:highlight w:val="none"/>
              </w:rPr>
              <w:t>招标代理服务费由成交人向采购代理机构支付。</w:t>
            </w:r>
          </w:p>
          <w:p w14:paraId="2400AB7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rFonts w:hint="eastAsia"/>
                <w:color w:val="auto"/>
                <w:spacing w:val="-2"/>
                <w:sz w:val="21"/>
                <w:szCs w:val="21"/>
                <w:highlight w:val="none"/>
              </w:rPr>
              <w:t>交纳时间：中标单位在领取中标通知书前，向</w:t>
            </w:r>
            <w:r>
              <w:rPr>
                <w:rFonts w:hint="eastAsia"/>
                <w:color w:val="auto"/>
                <w:spacing w:val="-2"/>
                <w:sz w:val="21"/>
                <w:szCs w:val="21"/>
                <w:highlight w:val="none"/>
                <w:lang w:eastAsia="zh-CN"/>
              </w:rPr>
              <w:t>采购代理机构</w:t>
            </w:r>
            <w:r>
              <w:rPr>
                <w:rFonts w:hint="eastAsia"/>
                <w:color w:val="auto"/>
                <w:spacing w:val="-2"/>
                <w:sz w:val="21"/>
                <w:szCs w:val="21"/>
                <w:highlight w:val="none"/>
              </w:rPr>
              <w:t>一次性缴纳招标代理服务费。</w:t>
            </w:r>
          </w:p>
        </w:tc>
      </w:tr>
      <w:tr w14:paraId="5902F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32" w:type="dxa"/>
            <w:vAlign w:val="center"/>
          </w:tcPr>
          <w:p w14:paraId="4189F8C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2717CB6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6"/>
                <w:sz w:val="21"/>
                <w:szCs w:val="21"/>
                <w:highlight w:val="none"/>
              </w:rPr>
              <w:t>17</w:t>
            </w:r>
          </w:p>
        </w:tc>
        <w:tc>
          <w:tcPr>
            <w:tcW w:w="1591" w:type="dxa"/>
            <w:vAlign w:val="center"/>
          </w:tcPr>
          <w:p w14:paraId="6ADEE40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2"/>
                <w:sz w:val="21"/>
                <w:szCs w:val="21"/>
                <w:highlight w:val="none"/>
              </w:rPr>
              <w:t>投标人要求澄清</w:t>
            </w:r>
          </w:p>
          <w:p w14:paraId="0BC24F9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2"/>
                <w:sz w:val="21"/>
                <w:szCs w:val="21"/>
                <w:highlight w:val="none"/>
              </w:rPr>
              <w:t>招标文件的截止</w:t>
            </w:r>
          </w:p>
          <w:p w14:paraId="5CF46BB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5"/>
                <w:sz w:val="21"/>
                <w:szCs w:val="21"/>
                <w:highlight w:val="none"/>
              </w:rPr>
              <w:t>时间及方式</w:t>
            </w:r>
          </w:p>
        </w:tc>
        <w:tc>
          <w:tcPr>
            <w:tcW w:w="6759" w:type="dxa"/>
            <w:vAlign w:val="center"/>
          </w:tcPr>
          <w:p w14:paraId="0F4D867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7"/>
                <w:sz w:val="21"/>
                <w:szCs w:val="21"/>
                <w:highlight w:val="none"/>
              </w:rPr>
              <w:t>在投标截止时间</w:t>
            </w:r>
            <w:r>
              <w:rPr>
                <w:color w:val="auto"/>
                <w:spacing w:val="-30"/>
                <w:sz w:val="21"/>
                <w:szCs w:val="21"/>
                <w:highlight w:val="none"/>
              </w:rPr>
              <w:t xml:space="preserve"> </w:t>
            </w:r>
            <w:r>
              <w:rPr>
                <w:color w:val="auto"/>
                <w:spacing w:val="-7"/>
                <w:sz w:val="21"/>
                <w:szCs w:val="21"/>
                <w:highlight w:val="none"/>
              </w:rPr>
              <w:t>15 日前。</w:t>
            </w:r>
          </w:p>
        </w:tc>
      </w:tr>
      <w:tr w14:paraId="06DC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732" w:type="dxa"/>
            <w:vAlign w:val="center"/>
          </w:tcPr>
          <w:p w14:paraId="3283869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6"/>
                <w:sz w:val="21"/>
                <w:szCs w:val="21"/>
                <w:highlight w:val="none"/>
              </w:rPr>
              <w:t>18</w:t>
            </w:r>
          </w:p>
        </w:tc>
        <w:tc>
          <w:tcPr>
            <w:tcW w:w="1591" w:type="dxa"/>
            <w:vAlign w:val="center"/>
          </w:tcPr>
          <w:p w14:paraId="266F2AB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color w:val="auto"/>
                <w:spacing w:val="-3"/>
                <w:sz w:val="21"/>
                <w:szCs w:val="21"/>
                <w:highlight w:val="none"/>
              </w:rPr>
              <w:t>最高投标限价</w:t>
            </w:r>
          </w:p>
          <w:p w14:paraId="7CAF664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6759" w:type="dxa"/>
            <w:vAlign w:val="center"/>
          </w:tcPr>
          <w:p w14:paraId="343D742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2"/>
                <w:sz w:val="21"/>
                <w:szCs w:val="21"/>
                <w:highlight w:val="none"/>
              </w:rPr>
              <w:t>小写：</w:t>
            </w:r>
            <w:r>
              <w:rPr>
                <w:rFonts w:hint="eastAsia" w:ascii="微软雅黑" w:hAnsi="微软雅黑" w:eastAsia="微软雅黑" w:cs="微软雅黑"/>
                <w:b/>
                <w:bCs/>
                <w:color w:val="auto"/>
                <w:spacing w:val="-12"/>
                <w:sz w:val="21"/>
                <w:szCs w:val="21"/>
                <w:highlight w:val="none"/>
                <w:lang w:val="en-US" w:eastAsia="zh-CN"/>
              </w:rPr>
              <w:t>720000</w:t>
            </w:r>
            <w:r>
              <w:rPr>
                <w:rFonts w:ascii="微软雅黑" w:hAnsi="微软雅黑" w:eastAsia="微软雅黑" w:cs="微软雅黑"/>
                <w:b/>
                <w:bCs/>
                <w:color w:val="auto"/>
                <w:spacing w:val="-12"/>
                <w:sz w:val="21"/>
                <w:szCs w:val="21"/>
                <w:highlight w:val="none"/>
              </w:rPr>
              <w:t>.00 元</w:t>
            </w:r>
          </w:p>
          <w:p w14:paraId="7A342DF0">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ascii="微软雅黑" w:hAnsi="微软雅黑" w:eastAsia="微软雅黑" w:cs="微软雅黑"/>
                <w:b/>
                <w:bCs/>
                <w:color w:val="auto"/>
                <w:spacing w:val="-2"/>
                <w:sz w:val="21"/>
                <w:szCs w:val="21"/>
                <w:highlight w:val="none"/>
                <w:lang w:val="en-US" w:eastAsia="zh-CN"/>
              </w:rPr>
            </w:pPr>
            <w:r>
              <w:rPr>
                <w:rFonts w:ascii="微软雅黑" w:hAnsi="微软雅黑" w:eastAsia="微软雅黑" w:cs="微软雅黑"/>
                <w:b/>
                <w:bCs/>
                <w:color w:val="auto"/>
                <w:spacing w:val="-2"/>
                <w:sz w:val="21"/>
                <w:szCs w:val="21"/>
                <w:highlight w:val="none"/>
              </w:rPr>
              <w:t>大写：</w:t>
            </w:r>
            <w:r>
              <w:rPr>
                <w:rFonts w:hint="eastAsia" w:ascii="微软雅黑" w:hAnsi="微软雅黑" w:eastAsia="微软雅黑" w:cs="微软雅黑"/>
                <w:b/>
                <w:bCs/>
                <w:color w:val="auto"/>
                <w:spacing w:val="-2"/>
                <w:sz w:val="21"/>
                <w:szCs w:val="21"/>
                <w:highlight w:val="none"/>
                <w:lang w:val="en-US" w:eastAsia="zh-CN"/>
              </w:rPr>
              <w:t>柒拾贰万元整</w:t>
            </w:r>
          </w:p>
          <w:p w14:paraId="2A5D6D9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2"/>
                <w:sz w:val="21"/>
                <w:szCs w:val="21"/>
                <w:highlight w:val="none"/>
              </w:rPr>
              <w:t>1、各投标人的投标总报价不得高于采购预算，否则将否决其投标。</w:t>
            </w:r>
          </w:p>
          <w:p w14:paraId="7ACF825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2"/>
                <w:sz w:val="21"/>
                <w:szCs w:val="21"/>
                <w:highlight w:val="none"/>
              </w:rPr>
              <w:t>2、投标报价为“招标范围”内的总报价。</w:t>
            </w:r>
          </w:p>
          <w:p w14:paraId="245BC6E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2"/>
              <w:jc w:val="both"/>
              <w:textAlignment w:val="baseline"/>
              <w:rPr>
                <w:color w:val="auto"/>
                <w:sz w:val="21"/>
                <w:szCs w:val="21"/>
                <w:highlight w:val="none"/>
              </w:rPr>
            </w:pPr>
            <w:r>
              <w:rPr>
                <w:color w:val="auto"/>
                <w:spacing w:val="-1"/>
                <w:sz w:val="21"/>
                <w:szCs w:val="21"/>
                <w:highlight w:val="none"/>
              </w:rPr>
              <w:t>3、投标人的报价应为所确定的招标范围内的全部工作内容的价格体现，所有费</w:t>
            </w:r>
            <w:r>
              <w:rPr>
                <w:color w:val="auto"/>
                <w:spacing w:val="-2"/>
                <w:sz w:val="21"/>
                <w:szCs w:val="21"/>
                <w:highlight w:val="none"/>
              </w:rPr>
              <w:t>用，且在合同执行过程中，不因任何因素予以调整</w:t>
            </w:r>
            <w:r>
              <w:rPr>
                <w:color w:val="auto"/>
                <w:spacing w:val="-1"/>
                <w:sz w:val="21"/>
                <w:szCs w:val="21"/>
                <w:highlight w:val="none"/>
              </w:rPr>
              <w:t>。</w:t>
            </w:r>
            <w:r>
              <w:rPr>
                <w:rFonts w:hint="eastAsia"/>
                <w:color w:val="auto"/>
                <w:spacing w:val="-1"/>
                <w:sz w:val="21"/>
                <w:szCs w:val="21"/>
                <w:highlight w:val="none"/>
              </w:rPr>
              <w:t>投标人报价应为包括但不限于全部设备价、税费、包装费、运输、调试、安装费、装卸费、必不可少的部件等费用，以及已支付或将支付的营业税和其它税费等所有费用。</w:t>
            </w:r>
          </w:p>
        </w:tc>
      </w:tr>
      <w:tr w14:paraId="09127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32" w:type="dxa"/>
            <w:vAlign w:val="center"/>
          </w:tcPr>
          <w:p w14:paraId="194C4E0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19</w:t>
            </w:r>
          </w:p>
        </w:tc>
        <w:tc>
          <w:tcPr>
            <w:tcW w:w="1591" w:type="dxa"/>
            <w:vAlign w:val="center"/>
          </w:tcPr>
          <w:p w14:paraId="15F3E28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投标有效期</w:t>
            </w:r>
          </w:p>
        </w:tc>
        <w:tc>
          <w:tcPr>
            <w:tcW w:w="6759" w:type="dxa"/>
            <w:vAlign w:val="center"/>
          </w:tcPr>
          <w:p w14:paraId="4E5F657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90日历日（自投标截止时间起开始计算）。</w:t>
            </w:r>
          </w:p>
        </w:tc>
      </w:tr>
      <w:tr w14:paraId="09DD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2" w:hRule="atLeast"/>
        </w:trPr>
        <w:tc>
          <w:tcPr>
            <w:tcW w:w="732" w:type="dxa"/>
            <w:vAlign w:val="center"/>
          </w:tcPr>
          <w:p w14:paraId="7EB14AD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20</w:t>
            </w:r>
          </w:p>
        </w:tc>
        <w:tc>
          <w:tcPr>
            <w:tcW w:w="1591" w:type="dxa"/>
            <w:vAlign w:val="center"/>
          </w:tcPr>
          <w:p w14:paraId="4F5238F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投标保证金</w:t>
            </w:r>
          </w:p>
        </w:tc>
        <w:tc>
          <w:tcPr>
            <w:tcW w:w="6759" w:type="dxa"/>
            <w:vAlign w:val="center"/>
          </w:tcPr>
          <w:p w14:paraId="7D28847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5"/>
              <w:jc w:val="both"/>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
                <w:sz w:val="21"/>
                <w:szCs w:val="21"/>
                <w:highlight w:val="none"/>
              </w:rPr>
              <w:t>1、投标保证金的缴纳形式：投标保证金必须以投标人</w:t>
            </w:r>
            <w:r>
              <w:rPr>
                <w:rFonts w:ascii="微软雅黑" w:hAnsi="微软雅黑" w:eastAsia="微软雅黑" w:cs="微软雅黑"/>
                <w:b/>
                <w:bCs/>
                <w:color w:val="auto"/>
                <w:spacing w:val="-2"/>
                <w:sz w:val="21"/>
                <w:szCs w:val="21"/>
                <w:highlight w:val="none"/>
              </w:rPr>
              <w:t>名义采用支票、汇票、本票或者金融机构、担保机构出具的保函等非现金形式提交。</w:t>
            </w:r>
          </w:p>
          <w:p w14:paraId="6DAA30B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6"/>
                <w:sz w:val="21"/>
                <w:szCs w:val="21"/>
                <w:highlight w:val="none"/>
              </w:rPr>
              <w:t>2、投标保证金的金额：</w:t>
            </w:r>
            <w:r>
              <w:rPr>
                <w:rFonts w:hint="eastAsia" w:ascii="微软雅黑" w:hAnsi="微软雅黑" w:eastAsia="微软雅黑" w:cs="微软雅黑"/>
                <w:b/>
                <w:bCs/>
                <w:color w:val="auto"/>
                <w:spacing w:val="-6"/>
                <w:sz w:val="21"/>
                <w:szCs w:val="21"/>
                <w:highlight w:val="none"/>
                <w:lang w:val="en-US" w:eastAsia="zh-CN"/>
              </w:rPr>
              <w:t>10000.00</w:t>
            </w:r>
            <w:r>
              <w:rPr>
                <w:rFonts w:ascii="微软雅黑" w:hAnsi="微软雅黑" w:eastAsia="微软雅黑" w:cs="微软雅黑"/>
                <w:b/>
                <w:bCs/>
                <w:color w:val="auto"/>
                <w:spacing w:val="-6"/>
                <w:sz w:val="21"/>
                <w:szCs w:val="21"/>
                <w:highlight w:val="none"/>
              </w:rPr>
              <w:t xml:space="preserve"> 元人民币（</w:t>
            </w:r>
            <w:r>
              <w:rPr>
                <w:rFonts w:hint="eastAsia" w:ascii="微软雅黑" w:hAnsi="微软雅黑" w:eastAsia="微软雅黑" w:cs="微软雅黑"/>
                <w:b/>
                <w:bCs/>
                <w:color w:val="auto"/>
                <w:spacing w:val="-6"/>
                <w:sz w:val="21"/>
                <w:szCs w:val="21"/>
                <w:highlight w:val="none"/>
                <w:lang w:val="en-US" w:eastAsia="zh-CN"/>
              </w:rPr>
              <w:t>壹万</w:t>
            </w:r>
            <w:r>
              <w:rPr>
                <w:rFonts w:hint="eastAsia" w:ascii="微软雅黑" w:hAnsi="微软雅黑" w:eastAsia="微软雅黑" w:cs="微软雅黑"/>
                <w:b/>
                <w:bCs/>
                <w:color w:val="auto"/>
                <w:spacing w:val="-6"/>
                <w:sz w:val="21"/>
                <w:szCs w:val="21"/>
                <w:highlight w:val="none"/>
                <w:lang w:eastAsia="zh-CN"/>
              </w:rPr>
              <w:t>元整</w:t>
            </w:r>
            <w:r>
              <w:rPr>
                <w:rFonts w:ascii="微软雅黑" w:hAnsi="微软雅黑" w:eastAsia="微软雅黑" w:cs="微软雅黑"/>
                <w:b/>
                <w:bCs/>
                <w:color w:val="auto"/>
                <w:spacing w:val="-6"/>
                <w:sz w:val="21"/>
                <w:szCs w:val="21"/>
                <w:highlight w:val="none"/>
              </w:rPr>
              <w:t>）</w:t>
            </w:r>
          </w:p>
          <w:p w14:paraId="053A228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6"/>
              <w:jc w:val="both"/>
              <w:textAlignment w:val="baseline"/>
              <w:rPr>
                <w:rFonts w:ascii="微软雅黑" w:hAnsi="微软雅黑" w:eastAsia="微软雅黑" w:cs="微软雅黑"/>
                <w:b/>
                <w:bCs/>
                <w:color w:val="auto"/>
                <w:spacing w:val="9"/>
                <w:sz w:val="21"/>
                <w:szCs w:val="21"/>
                <w:highlight w:val="none"/>
              </w:rPr>
            </w:pPr>
            <w:r>
              <w:rPr>
                <w:rFonts w:ascii="微软雅黑" w:hAnsi="微软雅黑" w:eastAsia="微软雅黑" w:cs="微软雅黑"/>
                <w:b/>
                <w:bCs/>
                <w:color w:val="auto"/>
                <w:spacing w:val="-3"/>
                <w:sz w:val="21"/>
                <w:szCs w:val="21"/>
                <w:highlight w:val="none"/>
              </w:rPr>
              <w:t>3、递交方式：投标单位将投标保证金从企业基本帐户汇至以下账户：</w:t>
            </w:r>
            <w:r>
              <w:rPr>
                <w:rFonts w:ascii="微软雅黑" w:hAnsi="微软雅黑" w:eastAsia="微软雅黑" w:cs="微软雅黑"/>
                <w:b/>
                <w:bCs/>
                <w:color w:val="auto"/>
                <w:spacing w:val="9"/>
                <w:sz w:val="21"/>
                <w:szCs w:val="21"/>
                <w:highlight w:val="none"/>
              </w:rPr>
              <w:t xml:space="preserve"> </w:t>
            </w:r>
          </w:p>
          <w:p w14:paraId="46D352A7">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开户单位名称：乌鲁木齐鑫盛开源工程项目管理有限公司伊犁分公司</w:t>
            </w:r>
          </w:p>
          <w:p w14:paraId="2A145113">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 xml:space="preserve">开户账号：30735901040001456 </w:t>
            </w:r>
          </w:p>
          <w:p w14:paraId="13C28831">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开户行：</w:t>
            </w:r>
            <w:r>
              <w:rPr>
                <w:rFonts w:hint="eastAsia" w:ascii="微软雅黑" w:hAnsi="微软雅黑" w:eastAsia="微软雅黑" w:cs="微软雅黑"/>
                <w:b/>
                <w:bCs/>
                <w:color w:val="auto"/>
                <w:spacing w:val="9"/>
                <w:sz w:val="21"/>
                <w:szCs w:val="21"/>
                <w:highlight w:val="none"/>
                <w:lang w:eastAsia="zh-CN"/>
              </w:rPr>
              <w:t>中国农业银行股份有限公司伊犁</w:t>
            </w:r>
            <w:r>
              <w:rPr>
                <w:rFonts w:hint="eastAsia" w:ascii="微软雅黑" w:hAnsi="微软雅黑" w:eastAsia="微软雅黑" w:cs="微软雅黑"/>
                <w:b/>
                <w:bCs/>
                <w:color w:val="auto"/>
                <w:spacing w:val="9"/>
                <w:sz w:val="21"/>
                <w:szCs w:val="21"/>
                <w:highlight w:val="none"/>
              </w:rPr>
              <w:t>丽苑</w:t>
            </w:r>
            <w:r>
              <w:rPr>
                <w:rFonts w:hint="eastAsia" w:ascii="微软雅黑" w:hAnsi="微软雅黑" w:eastAsia="微软雅黑" w:cs="微软雅黑"/>
                <w:b/>
                <w:bCs/>
                <w:color w:val="auto"/>
                <w:spacing w:val="9"/>
                <w:sz w:val="21"/>
                <w:szCs w:val="21"/>
                <w:highlight w:val="none"/>
                <w:lang w:eastAsia="zh-CN"/>
              </w:rPr>
              <w:t>（兵团）支行</w:t>
            </w:r>
          </w:p>
          <w:p w14:paraId="7BC2A91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6"/>
              <w:jc w:val="both"/>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
                <w:sz w:val="21"/>
                <w:szCs w:val="21"/>
                <w:highlight w:val="none"/>
              </w:rPr>
              <w:t>4、递交时间：投标截止时间之前（提交投标保证金应充分考虑资金在途时间、</w:t>
            </w:r>
            <w:r>
              <w:rPr>
                <w:rFonts w:ascii="微软雅黑" w:hAnsi="微软雅黑" w:eastAsia="微软雅黑" w:cs="微软雅黑"/>
                <w:b/>
                <w:bCs/>
                <w:color w:val="auto"/>
                <w:spacing w:val="-3"/>
                <w:sz w:val="21"/>
                <w:szCs w:val="21"/>
                <w:highlight w:val="none"/>
              </w:rPr>
              <w:t>跨行等因素导致的延迟到账情况，由此导致的保证金不</w:t>
            </w:r>
            <w:r>
              <w:rPr>
                <w:rFonts w:ascii="微软雅黑" w:hAnsi="微软雅黑" w:eastAsia="微软雅黑" w:cs="微软雅黑"/>
                <w:b/>
                <w:bCs/>
                <w:color w:val="auto"/>
                <w:spacing w:val="-4"/>
                <w:sz w:val="21"/>
                <w:szCs w:val="21"/>
                <w:highlight w:val="none"/>
              </w:rPr>
              <w:t>能按时到账其责任由投标</w:t>
            </w:r>
            <w:r>
              <w:rPr>
                <w:rFonts w:ascii="微软雅黑" w:hAnsi="微软雅黑" w:eastAsia="微软雅黑" w:cs="微软雅黑"/>
                <w:b/>
                <w:bCs/>
                <w:color w:val="auto"/>
                <w:spacing w:val="-3"/>
                <w:sz w:val="21"/>
                <w:szCs w:val="21"/>
                <w:highlight w:val="none"/>
              </w:rPr>
              <w:t>人单位自行承担。各投标人缴纳投标保证金时需在附加</w:t>
            </w:r>
            <w:r>
              <w:rPr>
                <w:rFonts w:ascii="微软雅黑" w:hAnsi="微软雅黑" w:eastAsia="微软雅黑" w:cs="微软雅黑"/>
                <w:b/>
                <w:bCs/>
                <w:color w:val="auto"/>
                <w:spacing w:val="-4"/>
                <w:sz w:val="21"/>
                <w:szCs w:val="21"/>
                <w:highlight w:val="none"/>
              </w:rPr>
              <w:t>信息及用途栏内注明“投</w:t>
            </w:r>
            <w:r>
              <w:rPr>
                <w:rFonts w:ascii="微软雅黑" w:hAnsi="微软雅黑" w:eastAsia="微软雅黑" w:cs="微软雅黑"/>
                <w:b/>
                <w:bCs/>
                <w:color w:val="auto"/>
                <w:spacing w:val="-1"/>
                <w:sz w:val="21"/>
                <w:szCs w:val="21"/>
                <w:highlight w:val="none"/>
              </w:rPr>
              <w:t>标保证金、项目名称”，以投标保证金接收</w:t>
            </w:r>
            <w:r>
              <w:rPr>
                <w:rFonts w:ascii="微软雅黑" w:hAnsi="微软雅黑" w:eastAsia="微软雅黑" w:cs="微软雅黑"/>
                <w:b/>
                <w:bCs/>
                <w:color w:val="auto"/>
                <w:spacing w:val="-2"/>
                <w:sz w:val="21"/>
                <w:szCs w:val="21"/>
                <w:highlight w:val="none"/>
              </w:rPr>
              <w:t>方银行到账信息为准）。</w:t>
            </w:r>
          </w:p>
          <w:p w14:paraId="1FF6B20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1"/>
                <w:sz w:val="21"/>
                <w:szCs w:val="21"/>
                <w:highlight w:val="none"/>
              </w:rPr>
              <w:t>友情提示：1、采用保函作为保证金形式的，投标企业将“保函”同投标文件提</w:t>
            </w:r>
            <w:r>
              <w:rPr>
                <w:color w:val="auto"/>
                <w:spacing w:val="-17"/>
                <w:sz w:val="21"/>
                <w:szCs w:val="21"/>
                <w:highlight w:val="none"/>
              </w:rPr>
              <w:t>交；</w:t>
            </w:r>
          </w:p>
          <w:p w14:paraId="754E9A6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5"/>
              <w:jc w:val="both"/>
              <w:textAlignment w:val="baseline"/>
              <w:rPr>
                <w:color w:val="auto"/>
                <w:sz w:val="21"/>
                <w:szCs w:val="21"/>
                <w:highlight w:val="none"/>
              </w:rPr>
            </w:pPr>
            <w:r>
              <w:rPr>
                <w:color w:val="auto"/>
                <w:sz w:val="21"/>
                <w:szCs w:val="21"/>
                <w:highlight w:val="none"/>
              </w:rPr>
              <w:t>2、潜在投标人可以自主选择以上任一种递交方式提交保证金</w:t>
            </w:r>
            <w:r>
              <w:rPr>
                <w:color w:val="auto"/>
                <w:spacing w:val="-1"/>
                <w:sz w:val="21"/>
                <w:szCs w:val="21"/>
                <w:highlight w:val="none"/>
              </w:rPr>
              <w:t>，若投标人未按照</w:t>
            </w:r>
            <w:r>
              <w:rPr>
                <w:color w:val="auto"/>
                <w:spacing w:val="-2"/>
                <w:sz w:val="21"/>
                <w:szCs w:val="21"/>
                <w:highlight w:val="none"/>
              </w:rPr>
              <w:t>上述规定缴纳投标保证金,投标文件将被拒绝评审。</w:t>
            </w:r>
          </w:p>
          <w:p w14:paraId="7BEB9BF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3"/>
              <w:jc w:val="both"/>
              <w:textAlignment w:val="baseline"/>
              <w:rPr>
                <w:color w:val="auto"/>
                <w:sz w:val="21"/>
                <w:szCs w:val="21"/>
                <w:highlight w:val="none"/>
              </w:rPr>
            </w:pPr>
            <w:r>
              <w:rPr>
                <w:color w:val="auto"/>
                <w:sz w:val="21"/>
                <w:szCs w:val="21"/>
                <w:highlight w:val="none"/>
              </w:rPr>
              <w:t>3、银行法定节假日不办理公对公账户电汇业务，请提前</w:t>
            </w:r>
            <w:r>
              <w:rPr>
                <w:color w:val="auto"/>
                <w:spacing w:val="-1"/>
                <w:sz w:val="21"/>
                <w:szCs w:val="21"/>
                <w:highlight w:val="none"/>
              </w:rPr>
              <w:t>办理。投标保证金是否</w:t>
            </w:r>
            <w:r>
              <w:rPr>
                <w:color w:val="auto"/>
                <w:spacing w:val="-3"/>
                <w:sz w:val="21"/>
                <w:szCs w:val="21"/>
                <w:highlight w:val="none"/>
              </w:rPr>
              <w:t>在规定截止时间前到户的风险由投标单位承担，投</w:t>
            </w:r>
            <w:r>
              <w:rPr>
                <w:color w:val="auto"/>
                <w:spacing w:val="-4"/>
                <w:sz w:val="21"/>
                <w:szCs w:val="21"/>
                <w:highlight w:val="none"/>
              </w:rPr>
              <w:t>标保证金在银行的划转需要一</w:t>
            </w:r>
            <w:r>
              <w:rPr>
                <w:color w:val="auto"/>
                <w:spacing w:val="-3"/>
                <w:sz w:val="21"/>
                <w:szCs w:val="21"/>
                <w:highlight w:val="none"/>
              </w:rPr>
              <w:t>定时间，望投标单位尽早缴纳！</w:t>
            </w:r>
          </w:p>
          <w:p w14:paraId="0A7F564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7"/>
              <w:jc w:val="both"/>
              <w:textAlignment w:val="baseline"/>
              <w:rPr>
                <w:color w:val="auto"/>
                <w:sz w:val="21"/>
                <w:szCs w:val="21"/>
                <w:highlight w:val="none"/>
              </w:rPr>
            </w:pPr>
            <w:r>
              <w:rPr>
                <w:color w:val="auto"/>
                <w:sz w:val="21"/>
                <w:szCs w:val="21"/>
                <w:highlight w:val="none"/>
              </w:rPr>
              <w:t>4、采用保函形式递交保证金的：①根据国家现行采购政策，投标保</w:t>
            </w:r>
            <w:r>
              <w:rPr>
                <w:color w:val="auto"/>
                <w:spacing w:val="-1"/>
                <w:sz w:val="21"/>
                <w:szCs w:val="21"/>
                <w:highlight w:val="none"/>
              </w:rPr>
              <w:t>证金可以使</w:t>
            </w:r>
            <w:r>
              <w:rPr>
                <w:color w:val="auto"/>
                <w:spacing w:val="-3"/>
                <w:sz w:val="21"/>
                <w:szCs w:val="21"/>
                <w:highlight w:val="none"/>
              </w:rPr>
              <w:t>用金融系统电子保函。电子保函按照“一包段一保函”</w:t>
            </w:r>
            <w:r>
              <w:rPr>
                <w:color w:val="auto"/>
                <w:spacing w:val="-4"/>
                <w:sz w:val="21"/>
                <w:szCs w:val="21"/>
                <w:highlight w:val="none"/>
              </w:rPr>
              <w:t>的原则，办理电子保函必</w:t>
            </w:r>
            <w:r>
              <w:rPr>
                <w:color w:val="auto"/>
                <w:spacing w:val="-3"/>
                <w:sz w:val="21"/>
                <w:szCs w:val="21"/>
                <w:highlight w:val="none"/>
              </w:rPr>
              <w:t>须在投标截止时间（开标时间）前完成。投标人需自行</w:t>
            </w:r>
            <w:r>
              <w:rPr>
                <w:color w:val="auto"/>
                <w:spacing w:val="-4"/>
                <w:sz w:val="21"/>
                <w:szCs w:val="21"/>
                <w:highlight w:val="none"/>
              </w:rPr>
              <w:t>评估异地、跨行、公休日</w:t>
            </w:r>
            <w:r>
              <w:rPr>
                <w:color w:val="auto"/>
                <w:sz w:val="21"/>
                <w:szCs w:val="21"/>
                <w:highlight w:val="none"/>
              </w:rPr>
              <w:t>等因素造成的保函办理延迟风险，并承担相应责任</w:t>
            </w:r>
            <w:r>
              <w:rPr>
                <w:color w:val="auto"/>
                <w:spacing w:val="-1"/>
                <w:sz w:val="21"/>
                <w:szCs w:val="21"/>
                <w:highlight w:val="none"/>
              </w:rPr>
              <w:t>；开标前，投保人必须下载</w:t>
            </w:r>
            <w:r>
              <w:rPr>
                <w:color w:val="auto"/>
                <w:spacing w:val="-3"/>
                <w:sz w:val="21"/>
                <w:szCs w:val="21"/>
                <w:highlight w:val="none"/>
              </w:rPr>
              <w:t>加密保单作为保证金缴纳凭证放入投标文件中；②电子</w:t>
            </w:r>
            <w:r>
              <w:rPr>
                <w:color w:val="auto"/>
                <w:spacing w:val="-4"/>
                <w:sz w:val="21"/>
                <w:szCs w:val="21"/>
                <w:highlight w:val="none"/>
              </w:rPr>
              <w:t>保函操作流程：登录政采</w:t>
            </w:r>
            <w:r>
              <w:rPr>
                <w:color w:val="auto"/>
                <w:spacing w:val="-2"/>
                <w:sz w:val="21"/>
                <w:szCs w:val="21"/>
                <w:highlight w:val="none"/>
              </w:rPr>
              <w:t>云平台→</w:t>
            </w:r>
            <w:r>
              <w:rPr>
                <w:color w:val="auto"/>
                <w:spacing w:val="-79"/>
                <w:sz w:val="21"/>
                <w:szCs w:val="21"/>
                <w:highlight w:val="none"/>
              </w:rPr>
              <w:t xml:space="preserve"> </w:t>
            </w:r>
            <w:r>
              <w:rPr>
                <w:color w:val="auto"/>
                <w:spacing w:val="-2"/>
                <w:sz w:val="21"/>
                <w:szCs w:val="21"/>
                <w:highlight w:val="none"/>
              </w:rPr>
              <w:t>点击右上角[金融服务]进入详情页→</w:t>
            </w:r>
            <w:r>
              <w:rPr>
                <w:color w:val="auto"/>
                <w:spacing w:val="-80"/>
                <w:sz w:val="21"/>
                <w:szCs w:val="21"/>
                <w:highlight w:val="none"/>
              </w:rPr>
              <w:t xml:space="preserve"> </w:t>
            </w:r>
            <w:r>
              <w:rPr>
                <w:color w:val="auto"/>
                <w:spacing w:val="-2"/>
                <w:sz w:val="21"/>
                <w:szCs w:val="21"/>
                <w:highlight w:val="none"/>
              </w:rPr>
              <w:t>点击页面上方[保险/保函</w:t>
            </w:r>
            <w:r>
              <w:rPr>
                <w:color w:val="auto"/>
                <w:spacing w:val="-3"/>
                <w:sz w:val="21"/>
                <w:szCs w:val="21"/>
                <w:highlight w:val="none"/>
              </w:rPr>
              <w:t>]，根据</w:t>
            </w:r>
            <w:r>
              <w:rPr>
                <w:color w:val="auto"/>
                <w:spacing w:val="-5"/>
                <w:sz w:val="21"/>
                <w:szCs w:val="21"/>
                <w:highlight w:val="none"/>
              </w:rPr>
              <w:t>实际情况申请办理即可。供应商须在投标截止时间前，</w:t>
            </w:r>
            <w:r>
              <w:rPr>
                <w:color w:val="auto"/>
                <w:spacing w:val="-47"/>
                <w:sz w:val="21"/>
                <w:szCs w:val="21"/>
                <w:highlight w:val="none"/>
              </w:rPr>
              <w:t xml:space="preserve"> </w:t>
            </w:r>
            <w:r>
              <w:rPr>
                <w:color w:val="auto"/>
                <w:spacing w:val="-5"/>
                <w:sz w:val="21"/>
                <w:szCs w:val="21"/>
                <w:highlight w:val="none"/>
              </w:rPr>
              <w:t>将所投项目对应的保函随</w:t>
            </w:r>
            <w:r>
              <w:rPr>
                <w:color w:val="auto"/>
                <w:spacing w:val="-3"/>
                <w:sz w:val="21"/>
                <w:szCs w:val="21"/>
                <w:highlight w:val="none"/>
              </w:rPr>
              <w:t>响应文件一起上传到政采云平台。</w:t>
            </w:r>
          </w:p>
        </w:tc>
      </w:tr>
      <w:tr w14:paraId="5D35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2" w:type="dxa"/>
            <w:vAlign w:val="center"/>
          </w:tcPr>
          <w:p w14:paraId="29A2E76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21</w:t>
            </w:r>
          </w:p>
        </w:tc>
        <w:tc>
          <w:tcPr>
            <w:tcW w:w="1591" w:type="dxa"/>
            <w:vAlign w:val="center"/>
          </w:tcPr>
          <w:p w14:paraId="52D8C51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2"/>
                <w:sz w:val="21"/>
                <w:szCs w:val="21"/>
                <w:highlight w:val="none"/>
              </w:rPr>
              <w:t>投标文件数量</w:t>
            </w:r>
          </w:p>
        </w:tc>
        <w:tc>
          <w:tcPr>
            <w:tcW w:w="6759" w:type="dxa"/>
            <w:vAlign w:val="center"/>
          </w:tcPr>
          <w:p w14:paraId="5968E04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4"/>
                <w:sz w:val="21"/>
                <w:szCs w:val="21"/>
                <w:highlight w:val="none"/>
              </w:rPr>
              <w:t>份数要求：上传电子加密标书</w:t>
            </w:r>
            <w:r>
              <w:rPr>
                <w:color w:val="auto"/>
                <w:spacing w:val="-25"/>
                <w:sz w:val="21"/>
                <w:szCs w:val="21"/>
                <w:highlight w:val="none"/>
              </w:rPr>
              <w:t xml:space="preserve"> </w:t>
            </w:r>
            <w:r>
              <w:rPr>
                <w:color w:val="auto"/>
                <w:spacing w:val="-4"/>
                <w:sz w:val="21"/>
                <w:szCs w:val="21"/>
                <w:highlight w:val="none"/>
              </w:rPr>
              <w:t>1</w:t>
            </w:r>
            <w:r>
              <w:rPr>
                <w:color w:val="auto"/>
                <w:spacing w:val="-38"/>
                <w:sz w:val="21"/>
                <w:szCs w:val="21"/>
                <w:highlight w:val="none"/>
              </w:rPr>
              <w:t xml:space="preserve"> </w:t>
            </w:r>
            <w:r>
              <w:rPr>
                <w:color w:val="auto"/>
                <w:spacing w:val="-4"/>
                <w:sz w:val="21"/>
                <w:szCs w:val="21"/>
                <w:highlight w:val="none"/>
              </w:rPr>
              <w:t>份。</w:t>
            </w:r>
          </w:p>
        </w:tc>
      </w:tr>
      <w:tr w14:paraId="40B6C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732" w:type="dxa"/>
            <w:vAlign w:val="center"/>
          </w:tcPr>
          <w:p w14:paraId="4E14ADE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22</w:t>
            </w:r>
          </w:p>
        </w:tc>
        <w:tc>
          <w:tcPr>
            <w:tcW w:w="1591" w:type="dxa"/>
            <w:vAlign w:val="center"/>
          </w:tcPr>
          <w:p w14:paraId="20D46F7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签字或盖章要求</w:t>
            </w:r>
          </w:p>
        </w:tc>
        <w:tc>
          <w:tcPr>
            <w:tcW w:w="6759" w:type="dxa"/>
            <w:vAlign w:val="center"/>
          </w:tcPr>
          <w:p w14:paraId="744CE7A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3"/>
                <w:sz w:val="21"/>
                <w:szCs w:val="21"/>
                <w:highlight w:val="none"/>
              </w:rPr>
              <w:t>须按格式文件要求签字或盖章。</w:t>
            </w:r>
          </w:p>
        </w:tc>
      </w:tr>
      <w:tr w14:paraId="72A5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32" w:type="dxa"/>
            <w:vAlign w:val="center"/>
          </w:tcPr>
          <w:p w14:paraId="205962B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24</w:t>
            </w:r>
          </w:p>
        </w:tc>
        <w:tc>
          <w:tcPr>
            <w:tcW w:w="1591" w:type="dxa"/>
            <w:vAlign w:val="center"/>
          </w:tcPr>
          <w:p w14:paraId="600222D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color w:val="auto"/>
                <w:sz w:val="21"/>
                <w:szCs w:val="21"/>
                <w:highlight w:val="none"/>
              </w:rPr>
            </w:pPr>
            <w:r>
              <w:rPr>
                <w:color w:val="auto"/>
                <w:spacing w:val="-2"/>
                <w:sz w:val="21"/>
                <w:szCs w:val="21"/>
                <w:highlight w:val="none"/>
              </w:rPr>
              <w:t>投标文件提交截</w:t>
            </w:r>
            <w:r>
              <w:rPr>
                <w:color w:val="auto"/>
                <w:sz w:val="21"/>
                <w:szCs w:val="21"/>
                <w:highlight w:val="none"/>
              </w:rPr>
              <w:t xml:space="preserve"> </w:t>
            </w:r>
            <w:r>
              <w:rPr>
                <w:color w:val="auto"/>
                <w:spacing w:val="-2"/>
                <w:sz w:val="21"/>
                <w:szCs w:val="21"/>
                <w:highlight w:val="none"/>
              </w:rPr>
              <w:t>止时间及地点</w:t>
            </w:r>
          </w:p>
        </w:tc>
        <w:tc>
          <w:tcPr>
            <w:tcW w:w="6759" w:type="dxa"/>
            <w:vAlign w:val="center"/>
          </w:tcPr>
          <w:p w14:paraId="797F622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13"/>
                <w:sz w:val="21"/>
                <w:szCs w:val="21"/>
                <w:highlight w:val="none"/>
              </w:rPr>
              <w:t>时</w:t>
            </w:r>
            <w:r>
              <w:rPr>
                <w:color w:val="auto"/>
                <w:spacing w:val="16"/>
                <w:sz w:val="21"/>
                <w:szCs w:val="21"/>
                <w:highlight w:val="none"/>
              </w:rPr>
              <w:t xml:space="preserve">  </w:t>
            </w:r>
            <w:r>
              <w:rPr>
                <w:color w:val="auto"/>
                <w:spacing w:val="-13"/>
                <w:sz w:val="21"/>
                <w:szCs w:val="21"/>
                <w:highlight w:val="none"/>
              </w:rPr>
              <w:t>间：</w:t>
            </w:r>
            <w:r>
              <w:rPr>
                <w:color w:val="auto"/>
                <w:spacing w:val="-5"/>
                <w:sz w:val="21"/>
                <w:szCs w:val="21"/>
                <w:highlight w:val="none"/>
              </w:rPr>
              <w:t>202</w:t>
            </w:r>
            <w:r>
              <w:rPr>
                <w:rFonts w:hint="eastAsia"/>
                <w:color w:val="auto"/>
                <w:spacing w:val="-5"/>
                <w:sz w:val="21"/>
                <w:szCs w:val="21"/>
                <w:highlight w:val="none"/>
                <w:lang w:val="en-US" w:eastAsia="zh-CN"/>
              </w:rPr>
              <w:t>5</w:t>
            </w:r>
            <w:r>
              <w:rPr>
                <w:color w:val="auto"/>
                <w:spacing w:val="-5"/>
                <w:sz w:val="21"/>
                <w:szCs w:val="21"/>
                <w:highlight w:val="none"/>
              </w:rPr>
              <w:t>年</w:t>
            </w:r>
            <w:r>
              <w:rPr>
                <w:rFonts w:hint="eastAsia"/>
                <w:color w:val="auto"/>
                <w:spacing w:val="-5"/>
                <w:sz w:val="21"/>
                <w:szCs w:val="21"/>
                <w:highlight w:val="none"/>
                <w:lang w:val="en-US" w:eastAsia="zh-CN"/>
              </w:rPr>
              <w:t xml:space="preserve">8 </w:t>
            </w:r>
            <w:r>
              <w:rPr>
                <w:color w:val="auto"/>
                <w:spacing w:val="-5"/>
                <w:sz w:val="21"/>
                <w:szCs w:val="21"/>
                <w:highlight w:val="none"/>
              </w:rPr>
              <w:t>月</w:t>
            </w:r>
            <w:r>
              <w:rPr>
                <w:rFonts w:hint="eastAsia"/>
                <w:color w:val="auto"/>
                <w:spacing w:val="-5"/>
                <w:sz w:val="21"/>
                <w:szCs w:val="21"/>
                <w:highlight w:val="none"/>
                <w:lang w:val="en-US" w:eastAsia="zh-CN"/>
              </w:rPr>
              <w:t xml:space="preserve">5 </w:t>
            </w:r>
            <w:r>
              <w:rPr>
                <w:color w:val="auto"/>
                <w:spacing w:val="-5"/>
                <w:sz w:val="21"/>
                <w:szCs w:val="21"/>
                <w:highlight w:val="none"/>
              </w:rPr>
              <w:t>日</w:t>
            </w:r>
            <w:r>
              <w:rPr>
                <w:rFonts w:hint="eastAsia"/>
                <w:color w:val="auto"/>
                <w:spacing w:val="-5"/>
                <w:sz w:val="21"/>
                <w:szCs w:val="21"/>
                <w:highlight w:val="none"/>
                <w:lang w:val="en-US" w:eastAsia="zh-CN"/>
              </w:rPr>
              <w:t xml:space="preserve">   11 </w:t>
            </w:r>
            <w:r>
              <w:rPr>
                <w:rFonts w:hint="eastAsia"/>
                <w:color w:val="auto"/>
                <w:spacing w:val="-5"/>
                <w:sz w:val="21"/>
                <w:szCs w:val="21"/>
                <w:highlight w:val="none"/>
                <w:lang w:eastAsia="zh-CN"/>
              </w:rPr>
              <w:t>时</w:t>
            </w:r>
            <w:r>
              <w:rPr>
                <w:color w:val="auto"/>
                <w:spacing w:val="-5"/>
                <w:sz w:val="21"/>
                <w:szCs w:val="21"/>
                <w:highlight w:val="none"/>
              </w:rPr>
              <w:t xml:space="preserve"> </w:t>
            </w:r>
            <w:r>
              <w:rPr>
                <w:rFonts w:hint="eastAsia"/>
                <w:color w:val="auto"/>
                <w:spacing w:val="-5"/>
                <w:sz w:val="21"/>
                <w:szCs w:val="21"/>
                <w:highlight w:val="none"/>
                <w:lang w:val="en-US" w:eastAsia="zh-CN"/>
              </w:rPr>
              <w:t>00</w:t>
            </w:r>
            <w:r>
              <w:rPr>
                <w:color w:val="auto"/>
                <w:spacing w:val="-5"/>
                <w:sz w:val="21"/>
                <w:szCs w:val="21"/>
                <w:highlight w:val="none"/>
              </w:rPr>
              <w:t xml:space="preserve"> 分</w:t>
            </w:r>
            <w:r>
              <w:rPr>
                <w:color w:val="auto"/>
                <w:spacing w:val="-13"/>
                <w:sz w:val="21"/>
                <w:szCs w:val="21"/>
                <w:highlight w:val="none"/>
              </w:rPr>
              <w:t>（北京时间）</w:t>
            </w:r>
          </w:p>
          <w:p w14:paraId="672CA83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
              <w:jc w:val="both"/>
              <w:textAlignment w:val="baseline"/>
              <w:rPr>
                <w:color w:val="auto"/>
                <w:sz w:val="21"/>
                <w:szCs w:val="21"/>
                <w:highlight w:val="none"/>
              </w:rPr>
            </w:pPr>
            <w:r>
              <w:rPr>
                <w:color w:val="auto"/>
                <w:sz w:val="21"/>
                <w:szCs w:val="21"/>
                <w:highlight w:val="none"/>
              </w:rPr>
              <w:t>地  点：请登录政采云投标客户端，在截止</w:t>
            </w:r>
            <w:r>
              <w:rPr>
                <w:color w:val="auto"/>
                <w:spacing w:val="-1"/>
                <w:sz w:val="21"/>
                <w:szCs w:val="21"/>
                <w:highlight w:val="none"/>
              </w:rPr>
              <w:t>时间前将加密的电子响应文件上传到</w:t>
            </w:r>
            <w:r>
              <w:rPr>
                <w:color w:val="auto"/>
                <w:spacing w:val="-3"/>
                <w:sz w:val="21"/>
                <w:szCs w:val="21"/>
                <w:highlight w:val="none"/>
              </w:rPr>
              <w:t>新疆政府采购网对应的位置（逾期上传或者未上传指定</w:t>
            </w:r>
            <w:r>
              <w:rPr>
                <w:color w:val="auto"/>
                <w:spacing w:val="-4"/>
                <w:sz w:val="21"/>
                <w:szCs w:val="21"/>
                <w:highlight w:val="none"/>
              </w:rPr>
              <w:t>地点的响应文件，采购人</w:t>
            </w:r>
            <w:r>
              <w:rPr>
                <w:color w:val="auto"/>
                <w:spacing w:val="-6"/>
                <w:sz w:val="21"/>
                <w:szCs w:val="21"/>
                <w:highlight w:val="none"/>
              </w:rPr>
              <w:t>不予受理）。</w:t>
            </w:r>
          </w:p>
        </w:tc>
      </w:tr>
      <w:tr w14:paraId="62CE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2" w:type="dxa"/>
            <w:vAlign w:val="center"/>
          </w:tcPr>
          <w:p w14:paraId="529AD28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25</w:t>
            </w:r>
          </w:p>
        </w:tc>
        <w:tc>
          <w:tcPr>
            <w:tcW w:w="1591" w:type="dxa"/>
            <w:vAlign w:val="center"/>
          </w:tcPr>
          <w:p w14:paraId="50979D3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2"/>
                <w:sz w:val="21"/>
                <w:szCs w:val="21"/>
                <w:highlight w:val="none"/>
              </w:rPr>
              <w:t>开标时间及地点</w:t>
            </w:r>
          </w:p>
        </w:tc>
        <w:tc>
          <w:tcPr>
            <w:tcW w:w="6759" w:type="dxa"/>
            <w:vAlign w:val="center"/>
          </w:tcPr>
          <w:p w14:paraId="5083C1A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13"/>
                <w:sz w:val="21"/>
                <w:szCs w:val="21"/>
                <w:highlight w:val="none"/>
              </w:rPr>
              <w:t>时</w:t>
            </w:r>
            <w:r>
              <w:rPr>
                <w:color w:val="auto"/>
                <w:spacing w:val="16"/>
                <w:sz w:val="21"/>
                <w:szCs w:val="21"/>
                <w:highlight w:val="none"/>
              </w:rPr>
              <w:t xml:space="preserve">  </w:t>
            </w:r>
            <w:r>
              <w:rPr>
                <w:color w:val="auto"/>
                <w:spacing w:val="-13"/>
                <w:sz w:val="21"/>
                <w:szCs w:val="21"/>
                <w:highlight w:val="none"/>
              </w:rPr>
              <w:t>间：</w:t>
            </w:r>
            <w:r>
              <w:rPr>
                <w:color w:val="auto"/>
                <w:spacing w:val="-5"/>
                <w:sz w:val="21"/>
                <w:szCs w:val="21"/>
                <w:highlight w:val="none"/>
              </w:rPr>
              <w:t>202</w:t>
            </w:r>
            <w:r>
              <w:rPr>
                <w:rFonts w:hint="eastAsia"/>
                <w:color w:val="auto"/>
                <w:spacing w:val="-5"/>
                <w:sz w:val="21"/>
                <w:szCs w:val="21"/>
                <w:highlight w:val="none"/>
                <w:lang w:val="en-US" w:eastAsia="zh-CN"/>
              </w:rPr>
              <w:t>5</w:t>
            </w:r>
            <w:r>
              <w:rPr>
                <w:color w:val="auto"/>
                <w:spacing w:val="-5"/>
                <w:sz w:val="21"/>
                <w:szCs w:val="21"/>
                <w:highlight w:val="none"/>
              </w:rPr>
              <w:t>年</w:t>
            </w:r>
            <w:r>
              <w:rPr>
                <w:rFonts w:hint="eastAsia"/>
                <w:color w:val="auto"/>
                <w:spacing w:val="-5"/>
                <w:sz w:val="21"/>
                <w:szCs w:val="21"/>
                <w:highlight w:val="none"/>
                <w:lang w:val="en-US" w:eastAsia="zh-CN"/>
              </w:rPr>
              <w:t xml:space="preserve">8 </w:t>
            </w:r>
            <w:r>
              <w:rPr>
                <w:color w:val="auto"/>
                <w:spacing w:val="-5"/>
                <w:sz w:val="21"/>
                <w:szCs w:val="21"/>
                <w:highlight w:val="none"/>
              </w:rPr>
              <w:t>月</w:t>
            </w:r>
            <w:r>
              <w:rPr>
                <w:rFonts w:hint="eastAsia"/>
                <w:color w:val="auto"/>
                <w:spacing w:val="-5"/>
                <w:sz w:val="21"/>
                <w:szCs w:val="21"/>
                <w:highlight w:val="none"/>
                <w:lang w:val="en-US" w:eastAsia="zh-CN"/>
              </w:rPr>
              <w:t xml:space="preserve"> 8 </w:t>
            </w:r>
            <w:r>
              <w:rPr>
                <w:color w:val="auto"/>
                <w:spacing w:val="-5"/>
                <w:sz w:val="21"/>
                <w:szCs w:val="21"/>
                <w:highlight w:val="none"/>
              </w:rPr>
              <w:t>日</w:t>
            </w:r>
            <w:r>
              <w:rPr>
                <w:rFonts w:hint="eastAsia"/>
                <w:color w:val="auto"/>
                <w:spacing w:val="-5"/>
                <w:sz w:val="21"/>
                <w:szCs w:val="21"/>
                <w:highlight w:val="none"/>
                <w:lang w:val="en-US" w:eastAsia="zh-CN"/>
              </w:rPr>
              <w:t xml:space="preserve">   11 </w:t>
            </w:r>
            <w:r>
              <w:rPr>
                <w:rFonts w:hint="eastAsia"/>
                <w:color w:val="auto"/>
                <w:spacing w:val="-5"/>
                <w:sz w:val="21"/>
                <w:szCs w:val="21"/>
                <w:highlight w:val="none"/>
                <w:lang w:eastAsia="zh-CN"/>
              </w:rPr>
              <w:t>时</w:t>
            </w:r>
            <w:r>
              <w:rPr>
                <w:color w:val="auto"/>
                <w:spacing w:val="-5"/>
                <w:sz w:val="21"/>
                <w:szCs w:val="21"/>
                <w:highlight w:val="none"/>
              </w:rPr>
              <w:t xml:space="preserve"> </w:t>
            </w:r>
            <w:r>
              <w:rPr>
                <w:rFonts w:hint="eastAsia"/>
                <w:color w:val="auto"/>
                <w:spacing w:val="-5"/>
                <w:sz w:val="21"/>
                <w:szCs w:val="21"/>
                <w:highlight w:val="none"/>
                <w:lang w:val="en-US" w:eastAsia="zh-CN"/>
              </w:rPr>
              <w:t>00</w:t>
            </w:r>
            <w:r>
              <w:rPr>
                <w:color w:val="auto"/>
                <w:spacing w:val="-5"/>
                <w:sz w:val="21"/>
                <w:szCs w:val="21"/>
                <w:highlight w:val="none"/>
              </w:rPr>
              <w:t xml:space="preserve"> 分</w:t>
            </w:r>
            <w:r>
              <w:rPr>
                <w:color w:val="auto"/>
                <w:spacing w:val="-13"/>
                <w:sz w:val="21"/>
                <w:szCs w:val="21"/>
                <w:highlight w:val="none"/>
              </w:rPr>
              <w:t>（北京时间）</w:t>
            </w:r>
          </w:p>
          <w:p w14:paraId="4332A17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5"/>
                <w:sz w:val="21"/>
                <w:szCs w:val="21"/>
                <w:highlight w:val="none"/>
              </w:rPr>
              <w:t>地</w:t>
            </w:r>
            <w:r>
              <w:rPr>
                <w:color w:val="auto"/>
                <w:spacing w:val="12"/>
                <w:sz w:val="21"/>
                <w:szCs w:val="21"/>
                <w:highlight w:val="none"/>
              </w:rPr>
              <w:t xml:space="preserve">  </w:t>
            </w:r>
            <w:r>
              <w:rPr>
                <w:color w:val="auto"/>
                <w:spacing w:val="-5"/>
                <w:sz w:val="21"/>
                <w:szCs w:val="21"/>
                <w:highlight w:val="none"/>
              </w:rPr>
              <w:t>点：政采云电子开标大厅。</w:t>
            </w:r>
          </w:p>
        </w:tc>
      </w:tr>
      <w:tr w14:paraId="278D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2" w:type="dxa"/>
            <w:vAlign w:val="center"/>
          </w:tcPr>
          <w:p w14:paraId="0712CB2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26</w:t>
            </w:r>
          </w:p>
        </w:tc>
        <w:tc>
          <w:tcPr>
            <w:tcW w:w="1591" w:type="dxa"/>
            <w:vAlign w:val="center"/>
          </w:tcPr>
          <w:p w14:paraId="60B2C31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3"/>
                <w:sz w:val="21"/>
                <w:szCs w:val="21"/>
                <w:highlight w:val="none"/>
              </w:rPr>
              <w:t>开标程序</w:t>
            </w:r>
          </w:p>
        </w:tc>
        <w:tc>
          <w:tcPr>
            <w:tcW w:w="6759" w:type="dxa"/>
            <w:vAlign w:val="center"/>
          </w:tcPr>
          <w:p w14:paraId="75E993C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6"/>
                <w:sz w:val="21"/>
                <w:szCs w:val="21"/>
                <w:highlight w:val="none"/>
              </w:rPr>
              <w:t>本项目采用不见面开标：</w:t>
            </w:r>
          </w:p>
          <w:p w14:paraId="2F63713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3"/>
                <w:sz w:val="21"/>
                <w:szCs w:val="21"/>
                <w:highlight w:val="none"/>
              </w:rPr>
              <w:t>（1）到投标截止时间后，主持人主持开标会议；</w:t>
            </w:r>
          </w:p>
          <w:p w14:paraId="17FC1E1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4"/>
                <w:sz w:val="21"/>
                <w:szCs w:val="21"/>
                <w:highlight w:val="none"/>
              </w:rPr>
              <w:t>（2）公布投标人，投标文件解密；</w:t>
            </w:r>
          </w:p>
          <w:p w14:paraId="0F5525B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4"/>
                <w:sz w:val="21"/>
                <w:szCs w:val="21"/>
                <w:highlight w:val="none"/>
              </w:rPr>
              <w:t>（3）评标专家进入评审阶段；</w:t>
            </w:r>
          </w:p>
          <w:p w14:paraId="772E294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2"/>
                <w:sz w:val="21"/>
                <w:szCs w:val="21"/>
                <w:highlight w:val="none"/>
              </w:rPr>
              <w:t>（4）评标结束后，有关人员在开标记录表签字确认。</w:t>
            </w:r>
          </w:p>
        </w:tc>
      </w:tr>
      <w:tr w14:paraId="3BD4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2" w:type="dxa"/>
            <w:vAlign w:val="center"/>
          </w:tcPr>
          <w:p w14:paraId="2DF1CB6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rPr>
            </w:pPr>
          </w:p>
          <w:p w14:paraId="2403F61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27</w:t>
            </w:r>
          </w:p>
        </w:tc>
        <w:tc>
          <w:tcPr>
            <w:tcW w:w="1591" w:type="dxa"/>
            <w:vAlign w:val="center"/>
          </w:tcPr>
          <w:p w14:paraId="2A7AAF2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color w:val="auto"/>
                <w:spacing w:val="-3"/>
                <w:sz w:val="21"/>
                <w:szCs w:val="21"/>
                <w:highlight w:val="none"/>
              </w:rPr>
            </w:pPr>
            <w:r>
              <w:rPr>
                <w:color w:val="auto"/>
                <w:spacing w:val="-3"/>
                <w:sz w:val="21"/>
                <w:szCs w:val="21"/>
                <w:highlight w:val="none"/>
              </w:rPr>
              <w:t>评标委员会的</w:t>
            </w:r>
          </w:p>
          <w:p w14:paraId="684A8B3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color w:val="auto"/>
                <w:sz w:val="21"/>
                <w:szCs w:val="21"/>
                <w:highlight w:val="none"/>
              </w:rPr>
            </w:pPr>
            <w:r>
              <w:rPr>
                <w:color w:val="auto"/>
                <w:spacing w:val="-4"/>
                <w:sz w:val="21"/>
                <w:szCs w:val="21"/>
                <w:highlight w:val="none"/>
              </w:rPr>
              <w:t>组建</w:t>
            </w:r>
          </w:p>
        </w:tc>
        <w:tc>
          <w:tcPr>
            <w:tcW w:w="6759" w:type="dxa"/>
            <w:vAlign w:val="center"/>
          </w:tcPr>
          <w:p w14:paraId="7ECD06A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eastAsia="新宋体"/>
                <w:color w:val="auto"/>
                <w:sz w:val="21"/>
                <w:szCs w:val="21"/>
                <w:highlight w:val="none"/>
                <w:lang w:eastAsia="zh-CN"/>
              </w:rPr>
            </w:pPr>
            <w:r>
              <w:rPr>
                <w:color w:val="auto"/>
                <w:spacing w:val="-3"/>
                <w:sz w:val="21"/>
                <w:szCs w:val="21"/>
                <w:highlight w:val="none"/>
              </w:rPr>
              <w:t>评标委员会由专家</w:t>
            </w:r>
            <w:r>
              <w:rPr>
                <w:color w:val="auto"/>
                <w:spacing w:val="-41"/>
                <w:sz w:val="21"/>
                <w:szCs w:val="21"/>
                <w:highlight w:val="none"/>
              </w:rPr>
              <w:t xml:space="preserve"> </w:t>
            </w:r>
            <w:r>
              <w:rPr>
                <w:rFonts w:hint="eastAsia"/>
                <w:color w:val="auto"/>
                <w:spacing w:val="-3"/>
                <w:sz w:val="21"/>
                <w:szCs w:val="21"/>
                <w:highlight w:val="none"/>
                <w:lang w:val="en-US" w:eastAsia="zh-CN"/>
              </w:rPr>
              <w:t>5</w:t>
            </w:r>
            <w:r>
              <w:rPr>
                <w:color w:val="auto"/>
                <w:spacing w:val="-35"/>
                <w:sz w:val="21"/>
                <w:szCs w:val="21"/>
                <w:highlight w:val="none"/>
              </w:rPr>
              <w:t xml:space="preserve"> </w:t>
            </w:r>
            <w:r>
              <w:rPr>
                <w:color w:val="auto"/>
                <w:spacing w:val="-3"/>
                <w:sz w:val="21"/>
                <w:szCs w:val="21"/>
                <w:highlight w:val="none"/>
              </w:rPr>
              <w:t>人组成；</w:t>
            </w:r>
            <w:r>
              <w:rPr>
                <w:rFonts w:hint="eastAsia"/>
                <w:color w:val="auto"/>
                <w:spacing w:val="-3"/>
                <w:sz w:val="21"/>
                <w:szCs w:val="21"/>
                <w:highlight w:val="none"/>
              </w:rPr>
              <w:t>（其中采购人代表 1人，政采云平台随机抽取专家4人）</w:t>
            </w:r>
            <w:r>
              <w:rPr>
                <w:rFonts w:hint="eastAsia"/>
                <w:color w:val="auto"/>
                <w:spacing w:val="-3"/>
                <w:sz w:val="21"/>
                <w:szCs w:val="21"/>
                <w:highlight w:val="none"/>
                <w:lang w:eastAsia="zh-CN"/>
              </w:rPr>
              <w:t>。</w:t>
            </w:r>
          </w:p>
          <w:p w14:paraId="5E53CF6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2"/>
                <w:sz w:val="21"/>
                <w:szCs w:val="21"/>
                <w:highlight w:val="none"/>
              </w:rPr>
              <w:t>评标专家确定方式：从新疆政采云专家库中随机抽取的方式确定</w:t>
            </w:r>
            <w:r>
              <w:rPr>
                <w:color w:val="auto"/>
                <w:spacing w:val="-29"/>
                <w:sz w:val="21"/>
                <w:szCs w:val="21"/>
                <w:highlight w:val="none"/>
              </w:rPr>
              <w:t xml:space="preserve"> </w:t>
            </w:r>
            <w:r>
              <w:rPr>
                <w:color w:val="auto"/>
                <w:spacing w:val="-2"/>
                <w:sz w:val="21"/>
                <w:szCs w:val="21"/>
                <w:highlight w:val="none"/>
              </w:rPr>
              <w:t>。</w:t>
            </w:r>
          </w:p>
        </w:tc>
      </w:tr>
      <w:tr w14:paraId="6CB1E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2" w:type="dxa"/>
            <w:vAlign w:val="center"/>
          </w:tcPr>
          <w:p w14:paraId="4200285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28</w:t>
            </w:r>
          </w:p>
        </w:tc>
        <w:tc>
          <w:tcPr>
            <w:tcW w:w="1591" w:type="dxa"/>
            <w:vAlign w:val="center"/>
          </w:tcPr>
          <w:p w14:paraId="76E9B93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15"/>
              <w:jc w:val="center"/>
              <w:textAlignment w:val="baseline"/>
              <w:rPr>
                <w:color w:val="auto"/>
                <w:sz w:val="21"/>
                <w:szCs w:val="21"/>
                <w:highlight w:val="none"/>
              </w:rPr>
            </w:pPr>
            <w:r>
              <w:rPr>
                <w:color w:val="auto"/>
                <w:spacing w:val="-3"/>
                <w:sz w:val="21"/>
                <w:szCs w:val="21"/>
                <w:highlight w:val="none"/>
              </w:rPr>
              <w:t>是否授权评标委</w:t>
            </w:r>
            <w:r>
              <w:rPr>
                <w:color w:val="auto"/>
                <w:spacing w:val="5"/>
                <w:sz w:val="21"/>
                <w:szCs w:val="21"/>
                <w:highlight w:val="none"/>
              </w:rPr>
              <w:t xml:space="preserve"> </w:t>
            </w:r>
            <w:r>
              <w:rPr>
                <w:color w:val="auto"/>
                <w:spacing w:val="-5"/>
                <w:sz w:val="21"/>
                <w:szCs w:val="21"/>
                <w:highlight w:val="none"/>
              </w:rPr>
              <w:t>员会确定中标人</w:t>
            </w:r>
          </w:p>
        </w:tc>
        <w:tc>
          <w:tcPr>
            <w:tcW w:w="6759" w:type="dxa"/>
            <w:vAlign w:val="center"/>
          </w:tcPr>
          <w:p w14:paraId="6EFAA39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2"/>
                <w:sz w:val="21"/>
                <w:szCs w:val="21"/>
                <w:highlight w:val="none"/>
              </w:rPr>
              <w:t>是，推荐的中标人数：</w:t>
            </w:r>
            <w:r>
              <w:rPr>
                <w:rFonts w:hint="eastAsia"/>
                <w:color w:val="auto"/>
                <w:spacing w:val="-2"/>
                <w:sz w:val="21"/>
                <w:szCs w:val="21"/>
                <w:highlight w:val="none"/>
                <w:lang w:val="en-US" w:eastAsia="zh-CN"/>
              </w:rPr>
              <w:t>1</w:t>
            </w:r>
            <w:r>
              <w:rPr>
                <w:color w:val="auto"/>
                <w:spacing w:val="-26"/>
                <w:sz w:val="21"/>
                <w:szCs w:val="21"/>
                <w:highlight w:val="none"/>
              </w:rPr>
              <w:t xml:space="preserve"> </w:t>
            </w:r>
            <w:r>
              <w:rPr>
                <w:color w:val="auto"/>
                <w:spacing w:val="-2"/>
                <w:sz w:val="21"/>
                <w:szCs w:val="21"/>
                <w:highlight w:val="none"/>
              </w:rPr>
              <w:t>名</w:t>
            </w:r>
          </w:p>
        </w:tc>
      </w:tr>
      <w:tr w14:paraId="1481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32" w:type="dxa"/>
            <w:vAlign w:val="center"/>
          </w:tcPr>
          <w:p w14:paraId="7DFCBFC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29</w:t>
            </w:r>
          </w:p>
        </w:tc>
        <w:tc>
          <w:tcPr>
            <w:tcW w:w="1591" w:type="dxa"/>
            <w:vAlign w:val="center"/>
          </w:tcPr>
          <w:p w14:paraId="5D0E8EE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22"/>
              <w:jc w:val="center"/>
              <w:textAlignment w:val="baseline"/>
              <w:rPr>
                <w:color w:val="auto"/>
                <w:sz w:val="21"/>
                <w:szCs w:val="21"/>
                <w:highlight w:val="none"/>
              </w:rPr>
            </w:pPr>
            <w:r>
              <w:rPr>
                <w:color w:val="auto"/>
                <w:spacing w:val="-11"/>
                <w:sz w:val="21"/>
                <w:szCs w:val="21"/>
                <w:highlight w:val="none"/>
              </w:rPr>
              <w:t>中标结果</w:t>
            </w:r>
            <w:r>
              <w:rPr>
                <w:color w:val="auto"/>
                <w:spacing w:val="-5"/>
                <w:sz w:val="21"/>
                <w:szCs w:val="21"/>
                <w:highlight w:val="none"/>
              </w:rPr>
              <w:t>公示媒介</w:t>
            </w:r>
          </w:p>
        </w:tc>
        <w:tc>
          <w:tcPr>
            <w:tcW w:w="6759" w:type="dxa"/>
            <w:vAlign w:val="center"/>
          </w:tcPr>
          <w:p w14:paraId="62BB7C3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3"/>
              <w:jc w:val="both"/>
              <w:textAlignment w:val="baseline"/>
              <w:rPr>
                <w:color w:val="auto"/>
                <w:sz w:val="21"/>
                <w:szCs w:val="21"/>
                <w:highlight w:val="none"/>
              </w:rPr>
            </w:pPr>
            <w:r>
              <w:rPr>
                <w:color w:val="auto"/>
                <w:sz w:val="21"/>
                <w:szCs w:val="21"/>
                <w:highlight w:val="none"/>
              </w:rPr>
              <w:t>新疆政府采购网</w:t>
            </w:r>
            <w:r>
              <w:rPr>
                <w:color w:val="auto"/>
                <w:spacing w:val="-47"/>
                <w:sz w:val="21"/>
                <w:szCs w:val="21"/>
                <w:highlight w:val="none"/>
              </w:rPr>
              <w:t xml:space="preserve"> </w:t>
            </w:r>
            <w:r>
              <w:rPr>
                <w:color w:val="auto"/>
                <w:sz w:val="21"/>
                <w:szCs w:val="21"/>
                <w:highlight w:val="none"/>
              </w:rPr>
              <w:t>http://www.c</w:t>
            </w:r>
            <w:r>
              <w:rPr>
                <w:color w:val="auto"/>
                <w:spacing w:val="-1"/>
                <w:sz w:val="21"/>
                <w:szCs w:val="21"/>
                <w:highlight w:val="none"/>
              </w:rPr>
              <w:t>cgp-xinjiang.gov.cn/</w:t>
            </w:r>
          </w:p>
        </w:tc>
      </w:tr>
      <w:tr w14:paraId="48CA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32" w:type="dxa"/>
            <w:vAlign w:val="center"/>
          </w:tcPr>
          <w:p w14:paraId="2FBE2F0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30</w:t>
            </w:r>
          </w:p>
        </w:tc>
        <w:tc>
          <w:tcPr>
            <w:tcW w:w="1591" w:type="dxa"/>
            <w:vAlign w:val="center"/>
          </w:tcPr>
          <w:p w14:paraId="058988A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z w:val="21"/>
                <w:szCs w:val="21"/>
                <w:highlight w:val="none"/>
              </w:rPr>
            </w:pPr>
            <w:r>
              <w:rPr>
                <w:color w:val="auto"/>
                <w:spacing w:val="-7"/>
                <w:sz w:val="21"/>
                <w:szCs w:val="21"/>
                <w:highlight w:val="none"/>
              </w:rPr>
              <w:t>中标通知书</w:t>
            </w:r>
          </w:p>
        </w:tc>
        <w:tc>
          <w:tcPr>
            <w:tcW w:w="6759" w:type="dxa"/>
            <w:vAlign w:val="center"/>
          </w:tcPr>
          <w:p w14:paraId="0F50BAB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color w:val="auto"/>
                <w:spacing w:val="-4"/>
                <w:sz w:val="21"/>
                <w:szCs w:val="21"/>
                <w:highlight w:val="none"/>
              </w:rPr>
              <w:t>中标公示</w:t>
            </w:r>
            <w:r>
              <w:rPr>
                <w:color w:val="auto"/>
                <w:spacing w:val="-12"/>
                <w:sz w:val="21"/>
                <w:szCs w:val="21"/>
                <w:highlight w:val="none"/>
              </w:rPr>
              <w:t xml:space="preserve"> </w:t>
            </w:r>
            <w:r>
              <w:rPr>
                <w:color w:val="auto"/>
                <w:spacing w:val="-4"/>
                <w:sz w:val="21"/>
                <w:szCs w:val="21"/>
                <w:highlight w:val="none"/>
              </w:rPr>
              <w:t>1</w:t>
            </w:r>
            <w:r>
              <w:rPr>
                <w:color w:val="auto"/>
                <w:spacing w:val="-34"/>
                <w:sz w:val="21"/>
                <w:szCs w:val="21"/>
                <w:highlight w:val="none"/>
              </w:rPr>
              <w:t xml:space="preserve"> </w:t>
            </w:r>
            <w:r>
              <w:rPr>
                <w:color w:val="auto"/>
                <w:spacing w:val="-4"/>
                <w:sz w:val="21"/>
                <w:szCs w:val="21"/>
                <w:highlight w:val="none"/>
              </w:rPr>
              <w:t>工作日无异议后，中标通知书须加盖招标人公章后方可发出。</w:t>
            </w:r>
          </w:p>
        </w:tc>
      </w:tr>
      <w:tr w14:paraId="7714E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732" w:type="dxa"/>
            <w:vAlign w:val="center"/>
          </w:tcPr>
          <w:p w14:paraId="53B1788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eastAsia="新宋体"/>
                <w:color w:val="auto"/>
                <w:sz w:val="21"/>
                <w:szCs w:val="21"/>
                <w:highlight w:val="none"/>
                <w:lang w:eastAsia="zh-CN"/>
              </w:rPr>
            </w:pPr>
            <w:r>
              <w:rPr>
                <w:color w:val="auto"/>
                <w:spacing w:val="-3"/>
                <w:sz w:val="21"/>
                <w:szCs w:val="21"/>
                <w:highlight w:val="none"/>
              </w:rPr>
              <w:t>3</w:t>
            </w:r>
            <w:r>
              <w:rPr>
                <w:rFonts w:hint="eastAsia"/>
                <w:color w:val="auto"/>
                <w:spacing w:val="-3"/>
                <w:sz w:val="21"/>
                <w:szCs w:val="21"/>
                <w:highlight w:val="none"/>
                <w:lang w:val="en-US" w:eastAsia="zh-CN"/>
              </w:rPr>
              <w:t>1</w:t>
            </w:r>
          </w:p>
        </w:tc>
        <w:tc>
          <w:tcPr>
            <w:tcW w:w="1591" w:type="dxa"/>
            <w:vAlign w:val="center"/>
          </w:tcPr>
          <w:p w14:paraId="2F74D42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color w:val="auto"/>
                <w:spacing w:val="-3"/>
                <w:sz w:val="21"/>
                <w:szCs w:val="21"/>
                <w:highlight w:val="none"/>
              </w:rPr>
              <w:t>付款方式</w:t>
            </w:r>
          </w:p>
          <w:p w14:paraId="6DFAE57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6759" w:type="dxa"/>
            <w:vAlign w:val="center"/>
          </w:tcPr>
          <w:p w14:paraId="62FE878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z w:val="21"/>
                <w:szCs w:val="21"/>
                <w:highlight w:val="none"/>
              </w:rPr>
            </w:pPr>
            <w:r>
              <w:rPr>
                <w:rFonts w:hint="eastAsia"/>
                <w:color w:val="auto"/>
                <w:spacing w:val="-4"/>
                <w:sz w:val="21"/>
                <w:szCs w:val="21"/>
                <w:highlight w:val="none"/>
                <w:lang w:val="en-US" w:eastAsia="zh-CN"/>
              </w:rPr>
              <w:t>合同签订付 70%，维保人员到位后付30%；</w:t>
            </w:r>
          </w:p>
        </w:tc>
      </w:tr>
      <w:tr w14:paraId="4568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32" w:type="dxa"/>
            <w:vAlign w:val="center"/>
          </w:tcPr>
          <w:p w14:paraId="4D72D45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32</w:t>
            </w:r>
          </w:p>
        </w:tc>
        <w:tc>
          <w:tcPr>
            <w:tcW w:w="1591" w:type="dxa"/>
            <w:vAlign w:val="center"/>
          </w:tcPr>
          <w:p w14:paraId="2EDB7A8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color w:val="auto"/>
                <w:spacing w:val="-5"/>
                <w:sz w:val="21"/>
                <w:szCs w:val="21"/>
                <w:highlight w:val="none"/>
                <w:lang w:eastAsia="zh-CN"/>
              </w:rPr>
            </w:pPr>
            <w:r>
              <w:rPr>
                <w:rFonts w:hint="eastAsia"/>
                <w:color w:val="auto"/>
                <w:spacing w:val="-5"/>
                <w:sz w:val="21"/>
                <w:szCs w:val="21"/>
                <w:highlight w:val="none"/>
                <w:lang w:eastAsia="zh-CN"/>
              </w:rPr>
              <w:t>保修期</w:t>
            </w:r>
          </w:p>
          <w:p w14:paraId="53B1BAE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color w:val="auto"/>
                <w:spacing w:val="-5"/>
                <w:sz w:val="21"/>
                <w:szCs w:val="21"/>
                <w:highlight w:val="none"/>
                <w:lang w:eastAsia="zh-CN"/>
              </w:rPr>
            </w:pPr>
            <w:r>
              <w:rPr>
                <w:rFonts w:hint="eastAsia"/>
                <w:color w:val="auto"/>
                <w:spacing w:val="-3"/>
                <w:sz w:val="21"/>
                <w:szCs w:val="21"/>
                <w:highlight w:val="none"/>
              </w:rPr>
              <w:t>（实质性要求</w:t>
            </w:r>
            <w:r>
              <w:rPr>
                <w:rFonts w:hint="eastAsia"/>
                <w:color w:val="auto"/>
                <w:spacing w:val="-3"/>
                <w:sz w:val="21"/>
                <w:szCs w:val="21"/>
                <w:highlight w:val="none"/>
                <w:lang w:eastAsia="zh-CN"/>
              </w:rPr>
              <w:t>）</w:t>
            </w:r>
          </w:p>
        </w:tc>
        <w:tc>
          <w:tcPr>
            <w:tcW w:w="6759" w:type="dxa"/>
            <w:vAlign w:val="center"/>
          </w:tcPr>
          <w:p w14:paraId="2A96EE5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eastAsia="新宋体"/>
                <w:color w:val="auto"/>
                <w:sz w:val="21"/>
                <w:szCs w:val="21"/>
                <w:highlight w:val="none"/>
                <w:lang w:eastAsia="zh-CN"/>
              </w:rPr>
            </w:pPr>
            <w:r>
              <w:rPr>
                <w:rFonts w:hint="eastAsia"/>
                <w:color w:val="auto"/>
                <w:spacing w:val="-3"/>
                <w:sz w:val="21"/>
                <w:szCs w:val="21"/>
                <w:highlight w:val="none"/>
                <w:lang w:eastAsia="zh-CN"/>
              </w:rPr>
              <w:t>根据购置的设备要求提供。（</w:t>
            </w:r>
            <w:r>
              <w:rPr>
                <w:rFonts w:hint="eastAsia"/>
                <w:color w:val="auto"/>
                <w:spacing w:val="-3"/>
                <w:sz w:val="21"/>
                <w:szCs w:val="21"/>
                <w:highlight w:val="none"/>
                <w:lang w:val="en-US" w:eastAsia="zh-CN"/>
              </w:rPr>
              <w:t>详见清单参数内要求</w:t>
            </w:r>
            <w:r>
              <w:rPr>
                <w:rFonts w:hint="eastAsia"/>
                <w:color w:val="auto"/>
                <w:spacing w:val="-3"/>
                <w:sz w:val="21"/>
                <w:szCs w:val="21"/>
                <w:highlight w:val="none"/>
                <w:lang w:eastAsia="zh-CN"/>
              </w:rPr>
              <w:t>）</w:t>
            </w:r>
          </w:p>
        </w:tc>
      </w:tr>
      <w:tr w14:paraId="3A051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32" w:type="dxa"/>
            <w:vAlign w:val="center"/>
          </w:tcPr>
          <w:p w14:paraId="7231AF8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color w:val="auto"/>
                <w:spacing w:val="-3"/>
                <w:sz w:val="21"/>
                <w:szCs w:val="21"/>
                <w:highlight w:val="none"/>
                <w:lang w:val="en-US" w:eastAsia="zh-CN"/>
              </w:rPr>
            </w:pPr>
            <w:r>
              <w:rPr>
                <w:color w:val="auto"/>
                <w:spacing w:val="-3"/>
                <w:sz w:val="21"/>
                <w:szCs w:val="21"/>
                <w:highlight w:val="none"/>
              </w:rPr>
              <w:t>3</w:t>
            </w:r>
            <w:r>
              <w:rPr>
                <w:rFonts w:hint="eastAsia"/>
                <w:color w:val="auto"/>
                <w:spacing w:val="-3"/>
                <w:sz w:val="21"/>
                <w:szCs w:val="21"/>
                <w:highlight w:val="none"/>
                <w:lang w:val="en-US" w:eastAsia="zh-CN"/>
              </w:rPr>
              <w:t>3</w:t>
            </w:r>
          </w:p>
        </w:tc>
        <w:tc>
          <w:tcPr>
            <w:tcW w:w="1591" w:type="dxa"/>
            <w:vAlign w:val="center"/>
          </w:tcPr>
          <w:p w14:paraId="77E5DE4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color w:val="auto"/>
                <w:spacing w:val="-5"/>
                <w:sz w:val="21"/>
                <w:szCs w:val="21"/>
                <w:highlight w:val="none"/>
                <w:lang w:eastAsia="zh-CN"/>
              </w:rPr>
            </w:pPr>
            <w:r>
              <w:rPr>
                <w:color w:val="auto"/>
                <w:spacing w:val="-3"/>
                <w:sz w:val="21"/>
                <w:szCs w:val="21"/>
                <w:highlight w:val="none"/>
              </w:rPr>
              <w:t>政府采购政策</w:t>
            </w:r>
          </w:p>
        </w:tc>
        <w:tc>
          <w:tcPr>
            <w:tcW w:w="6759" w:type="dxa"/>
            <w:vAlign w:val="center"/>
          </w:tcPr>
          <w:p w14:paraId="0391555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b/>
                <w:bCs/>
                <w:color w:val="auto"/>
                <w:spacing w:val="-3"/>
                <w:sz w:val="21"/>
                <w:szCs w:val="21"/>
                <w:highlight w:val="none"/>
              </w:rPr>
            </w:pPr>
            <w:r>
              <w:rPr>
                <w:rFonts w:hint="eastAsia"/>
                <w:b/>
                <w:bCs/>
                <w:color w:val="auto"/>
                <w:spacing w:val="-3"/>
                <w:sz w:val="21"/>
                <w:szCs w:val="21"/>
                <w:highlight w:val="none"/>
              </w:rPr>
              <w:t>1、本项目专门面向中小企业；</w:t>
            </w:r>
          </w:p>
          <w:p w14:paraId="310E7E7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color w:val="auto"/>
                <w:spacing w:val="-3"/>
                <w:sz w:val="21"/>
                <w:szCs w:val="21"/>
                <w:highlight w:val="none"/>
              </w:rPr>
            </w:pPr>
            <w:r>
              <w:rPr>
                <w:rFonts w:hint="eastAsia"/>
                <w:color w:val="auto"/>
                <w:spacing w:val="-3"/>
                <w:sz w:val="21"/>
                <w:szCs w:val="21"/>
                <w:highlight w:val="none"/>
              </w:rPr>
              <w:t>2、根据工信部等部委发布的《关于印发中小企业划型标准规定的通知》（工信部联企业〔2011〕300号）；财政部、工业和信息化部《政府采购促进中小企业发展管理办法》（财库[2020]46 号文）；财政部《关于进一步加大政府采购支持中小企业力度的通知》（财库〔2022〕19 号）规定；</w:t>
            </w:r>
          </w:p>
          <w:p w14:paraId="6DE358C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color w:val="auto"/>
                <w:spacing w:val="-3"/>
                <w:sz w:val="21"/>
                <w:szCs w:val="21"/>
                <w:highlight w:val="none"/>
              </w:rPr>
            </w:pPr>
            <w:r>
              <w:rPr>
                <w:rFonts w:hint="eastAsia"/>
                <w:color w:val="auto"/>
                <w:spacing w:val="-3"/>
                <w:sz w:val="21"/>
                <w:szCs w:val="21"/>
                <w:highlight w:val="none"/>
              </w:rPr>
              <w:t>3、本次采购标的所属行业为</w:t>
            </w:r>
            <w:r>
              <w:rPr>
                <w:rFonts w:hint="eastAsia"/>
                <w:color w:val="auto"/>
                <w:spacing w:val="-3"/>
                <w:sz w:val="21"/>
                <w:szCs w:val="21"/>
                <w:highlight w:val="none"/>
                <w:lang w:val="en-US" w:eastAsia="zh-CN"/>
              </w:rPr>
              <w:t>工业</w:t>
            </w:r>
            <w:r>
              <w:rPr>
                <w:rFonts w:hint="eastAsia"/>
                <w:color w:val="auto"/>
                <w:spacing w:val="-3"/>
                <w:sz w:val="21"/>
                <w:szCs w:val="21"/>
                <w:highlight w:val="none"/>
              </w:rPr>
              <w:t>，符合以下条件的中小微型企业应按照采购文件格式要求提供《中小企业声明函》并执行以下政策：</w:t>
            </w:r>
          </w:p>
          <w:p w14:paraId="5430455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color w:val="auto"/>
                <w:spacing w:val="-3"/>
                <w:sz w:val="21"/>
                <w:szCs w:val="21"/>
                <w:highlight w:val="none"/>
              </w:rPr>
            </w:pPr>
            <w:r>
              <w:rPr>
                <w:rFonts w:hint="eastAsia"/>
                <w:color w:val="auto"/>
                <w:spacing w:val="-3"/>
                <w:sz w:val="21"/>
                <w:szCs w:val="21"/>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6A7F50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color w:val="auto"/>
                <w:spacing w:val="-3"/>
                <w:sz w:val="21"/>
                <w:szCs w:val="21"/>
                <w:highlight w:val="none"/>
              </w:rPr>
            </w:pPr>
            <w:r>
              <w:rPr>
                <w:rFonts w:hint="eastAsia"/>
                <w:color w:val="auto"/>
                <w:spacing w:val="-3"/>
                <w:sz w:val="21"/>
                <w:szCs w:val="21"/>
                <w:highlight w:val="none"/>
              </w:rPr>
              <w:t>（2）本次投标采购项目中，服务由小微企业承接，即提供服务的人员为小微企业依照《中华人民共和国劳动合同法》订立劳动合同的从业人员。</w:t>
            </w:r>
          </w:p>
          <w:p w14:paraId="458E5C9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color w:val="auto"/>
                <w:spacing w:val="-3"/>
                <w:sz w:val="21"/>
                <w:szCs w:val="21"/>
                <w:highlight w:val="none"/>
              </w:rPr>
            </w:pPr>
            <w:r>
              <w:rPr>
                <w:rFonts w:hint="eastAsia"/>
                <w:color w:val="auto"/>
                <w:spacing w:val="-3"/>
                <w:sz w:val="21"/>
                <w:szCs w:val="21"/>
                <w:highlight w:val="none"/>
              </w:rPr>
              <w:t>（3）根据上述文件规定，须提供中小企业声明函，对满足上述（1）（2）两项条件的小微企业的投标总报价给予10%的扣除，用扣除后的价格参与评审。</w:t>
            </w:r>
          </w:p>
          <w:p w14:paraId="5F1CAE2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rFonts w:hint="eastAsia"/>
                <w:color w:val="auto"/>
                <w:spacing w:val="-3"/>
                <w:sz w:val="21"/>
                <w:szCs w:val="21"/>
                <w:highlight w:val="none"/>
                <w:lang w:eastAsia="zh-CN"/>
              </w:rPr>
            </w:pPr>
            <w:r>
              <w:rPr>
                <w:rFonts w:hint="eastAsia"/>
                <w:color w:val="auto"/>
                <w:spacing w:val="-3"/>
                <w:sz w:val="21"/>
                <w:szCs w:val="21"/>
                <w:highlight w:val="none"/>
              </w:rPr>
              <w:t>（4）依据本办法规定享受扶持政策获得政府采购合同的，小微企业不得将合同分包给大中型企业，中型企业不得将合同分包给大型企业。</w:t>
            </w:r>
          </w:p>
        </w:tc>
      </w:tr>
      <w:tr w14:paraId="64E8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32" w:type="dxa"/>
            <w:vAlign w:val="center"/>
          </w:tcPr>
          <w:p w14:paraId="204B7C9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color w:val="auto"/>
                <w:spacing w:val="-3"/>
                <w:sz w:val="21"/>
                <w:szCs w:val="21"/>
                <w:highlight w:val="none"/>
              </w:rPr>
              <w:t>3</w:t>
            </w:r>
            <w:r>
              <w:rPr>
                <w:rFonts w:hint="eastAsia"/>
                <w:color w:val="auto"/>
                <w:spacing w:val="-3"/>
                <w:sz w:val="21"/>
                <w:szCs w:val="21"/>
                <w:highlight w:val="none"/>
                <w:lang w:val="en-US" w:eastAsia="zh-CN"/>
              </w:rPr>
              <w:t>4</w:t>
            </w:r>
          </w:p>
        </w:tc>
        <w:tc>
          <w:tcPr>
            <w:tcW w:w="1591" w:type="dxa"/>
            <w:vAlign w:val="center"/>
          </w:tcPr>
          <w:p w14:paraId="68AD4E3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color w:val="auto"/>
                <w:spacing w:val="-3"/>
                <w:sz w:val="21"/>
                <w:szCs w:val="21"/>
                <w:highlight w:val="none"/>
              </w:rPr>
              <w:t>特别说明</w:t>
            </w:r>
          </w:p>
        </w:tc>
        <w:tc>
          <w:tcPr>
            <w:tcW w:w="6759" w:type="dxa"/>
            <w:vAlign w:val="center"/>
          </w:tcPr>
          <w:p w14:paraId="160B106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8"/>
              <w:jc w:val="both"/>
              <w:textAlignment w:val="baseline"/>
              <w:rPr>
                <w:rFonts w:hint="eastAsia"/>
                <w:b/>
                <w:bCs/>
                <w:color w:val="auto"/>
                <w:spacing w:val="10"/>
                <w:sz w:val="21"/>
                <w:szCs w:val="21"/>
                <w:highlight w:val="none"/>
              </w:rPr>
            </w:pPr>
            <w:r>
              <w:rPr>
                <w:rFonts w:hint="eastAsia"/>
                <w:b/>
                <w:bCs/>
                <w:color w:val="auto"/>
                <w:spacing w:val="10"/>
                <w:sz w:val="21"/>
                <w:szCs w:val="21"/>
                <w:highlight w:val="none"/>
              </w:rPr>
              <w:t>注意事项：</w:t>
            </w:r>
          </w:p>
          <w:p w14:paraId="36C77564">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8"/>
              <w:jc w:val="both"/>
              <w:textAlignment w:val="baseline"/>
              <w:rPr>
                <w:rFonts w:hint="eastAsia"/>
                <w:color w:val="auto"/>
                <w:spacing w:val="10"/>
                <w:sz w:val="21"/>
                <w:szCs w:val="21"/>
                <w:highlight w:val="none"/>
              </w:rPr>
            </w:pPr>
            <w:r>
              <w:rPr>
                <w:rFonts w:hint="eastAsia"/>
                <w:color w:val="auto"/>
                <w:spacing w:val="10"/>
                <w:sz w:val="21"/>
                <w:szCs w:val="21"/>
                <w:highlight w:val="none"/>
              </w:rPr>
              <w:t>1、本项目为电子招投标项目，投标人需要使用CA加密设备，凡参加本项目投标人可自主通过新疆CA申领渠道“新疆政务通”申请政采云平台可使用的CA设备。如有操作性问题可与政采云在线客服进行咨询，咨询电话：95763。</w:t>
            </w:r>
          </w:p>
          <w:p w14:paraId="73EB113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8"/>
              <w:jc w:val="both"/>
              <w:textAlignment w:val="baseline"/>
              <w:rPr>
                <w:rFonts w:hint="eastAsia"/>
                <w:color w:val="auto"/>
                <w:spacing w:val="10"/>
                <w:sz w:val="21"/>
                <w:szCs w:val="21"/>
                <w:highlight w:val="none"/>
              </w:rPr>
            </w:pPr>
            <w:r>
              <w:rPr>
                <w:rFonts w:hint="eastAsia"/>
                <w:color w:val="auto"/>
                <w:spacing w:val="10"/>
                <w:sz w:val="21"/>
                <w:szCs w:val="21"/>
                <w:highlight w:val="none"/>
              </w:rPr>
              <w:t>2、本项目实行网上投标，采用电子投标文件，若投标人参与投标，自行承担投标一切费用。</w:t>
            </w:r>
          </w:p>
          <w:p w14:paraId="4EF8795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8"/>
              <w:jc w:val="both"/>
              <w:textAlignment w:val="baseline"/>
              <w:rPr>
                <w:rFonts w:hint="eastAsia"/>
                <w:color w:val="auto"/>
                <w:spacing w:val="10"/>
                <w:sz w:val="21"/>
                <w:szCs w:val="21"/>
                <w:highlight w:val="none"/>
              </w:rPr>
            </w:pPr>
            <w:r>
              <w:rPr>
                <w:rFonts w:hint="eastAsia"/>
                <w:color w:val="auto"/>
                <w:spacing w:val="10"/>
                <w:sz w:val="21"/>
                <w:szCs w:val="21"/>
                <w:highlight w:val="none"/>
              </w:rPr>
              <w:t>3、各投标人应在开标前应确保成为新疆政府采购网正式注册入库投标人，并完成CA数字证书申领。因未注册入库、未办理CA数字证书等原因造成无法投标或投标失败等后果由投标人自行承担。</w:t>
            </w:r>
          </w:p>
          <w:p w14:paraId="07430D3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8"/>
              <w:jc w:val="both"/>
              <w:textAlignment w:val="baseline"/>
              <w:rPr>
                <w:rFonts w:hint="eastAsia"/>
                <w:color w:val="auto"/>
                <w:spacing w:val="10"/>
                <w:sz w:val="21"/>
                <w:szCs w:val="21"/>
                <w:highlight w:val="none"/>
              </w:rPr>
            </w:pPr>
            <w:r>
              <w:rPr>
                <w:rFonts w:hint="eastAsia"/>
                <w:color w:val="auto"/>
                <w:spacing w:val="10"/>
                <w:sz w:val="21"/>
                <w:szCs w:val="21"/>
                <w:highlight w:val="none"/>
              </w:rPr>
              <w:t>4、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15CCFD92">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8"/>
              <w:jc w:val="both"/>
              <w:textAlignment w:val="baseline"/>
              <w:rPr>
                <w:color w:val="auto"/>
                <w:sz w:val="21"/>
                <w:szCs w:val="21"/>
                <w:highlight w:val="none"/>
              </w:rPr>
            </w:pPr>
            <w:r>
              <w:rPr>
                <w:rFonts w:hint="eastAsia"/>
                <w:color w:val="auto"/>
                <w:spacing w:val="10"/>
                <w:sz w:val="21"/>
                <w:szCs w:val="21"/>
                <w:highlight w:val="none"/>
                <w:lang w:val="en-US" w:eastAsia="zh-CN"/>
              </w:rPr>
              <w:t>5</w:t>
            </w:r>
            <w:r>
              <w:rPr>
                <w:color w:val="auto"/>
                <w:spacing w:val="10"/>
                <w:sz w:val="21"/>
                <w:szCs w:val="21"/>
                <w:highlight w:val="none"/>
              </w:rPr>
              <w:t>、投标人务必将加密电子投标文件在投标截止时间之前上传至政采云平台</w:t>
            </w:r>
            <w:r>
              <w:rPr>
                <w:color w:val="auto"/>
                <w:spacing w:val="17"/>
                <w:sz w:val="21"/>
                <w:szCs w:val="21"/>
                <w:highlight w:val="none"/>
              </w:rPr>
              <w:t xml:space="preserve"> </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color w:val="auto"/>
                <w:spacing w:val="-6"/>
                <w:sz w:val="21"/>
                <w:szCs w:val="21"/>
                <w:highlight w:val="none"/>
              </w:rPr>
              <w:t>https://login.zcygov.c</w:t>
            </w:r>
            <w:r>
              <w:rPr>
                <w:color w:val="auto"/>
                <w:spacing w:val="-7"/>
                <w:sz w:val="21"/>
                <w:szCs w:val="21"/>
                <w:highlight w:val="none"/>
              </w:rPr>
              <w:t>n/</w:t>
            </w:r>
            <w:r>
              <w:rPr>
                <w:color w:val="auto"/>
                <w:spacing w:val="-7"/>
                <w:sz w:val="21"/>
                <w:szCs w:val="21"/>
                <w:highlight w:val="none"/>
              </w:rPr>
              <w:fldChar w:fldCharType="end"/>
            </w:r>
            <w:r>
              <w:rPr>
                <w:color w:val="auto"/>
                <w:spacing w:val="-7"/>
                <w:sz w:val="21"/>
                <w:szCs w:val="21"/>
                <w:highlight w:val="none"/>
              </w:rPr>
              <w:t xml:space="preserve"> 并 在 开 标 当 天 开 标 截 止 时 间 前 登 录 到</w:t>
            </w:r>
            <w:r>
              <w:rPr>
                <w:color w:val="auto"/>
                <w:sz w:val="21"/>
                <w:szCs w:val="21"/>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1"/>
                <w:szCs w:val="21"/>
                <w:highlight w:val="none"/>
              </w:rPr>
              <w:t>https://www.zcygov.cn/</w:t>
            </w:r>
            <w:r>
              <w:rPr>
                <w:color w:val="auto"/>
                <w:sz w:val="21"/>
                <w:szCs w:val="21"/>
                <w:highlight w:val="none"/>
              </w:rPr>
              <w:fldChar w:fldCharType="end"/>
            </w:r>
            <w:r>
              <w:rPr>
                <w:color w:val="auto"/>
                <w:sz w:val="21"/>
                <w:szCs w:val="21"/>
                <w:highlight w:val="none"/>
              </w:rPr>
              <w:t xml:space="preserve"> 政采云电子开标大厅完成签到并等候开标，投</w:t>
            </w:r>
            <w:r>
              <w:rPr>
                <w:color w:val="auto"/>
                <w:spacing w:val="-1"/>
                <w:sz w:val="21"/>
                <w:szCs w:val="21"/>
                <w:highlight w:val="none"/>
              </w:rPr>
              <w:t>标截止</w:t>
            </w:r>
            <w:r>
              <w:rPr>
                <w:color w:val="auto"/>
                <w:sz w:val="21"/>
                <w:szCs w:val="21"/>
                <w:highlight w:val="none"/>
              </w:rPr>
              <w:t xml:space="preserve"> </w:t>
            </w:r>
            <w:r>
              <w:rPr>
                <w:color w:val="auto"/>
                <w:spacing w:val="-1"/>
                <w:sz w:val="21"/>
                <w:szCs w:val="21"/>
                <w:highlight w:val="none"/>
              </w:rPr>
              <w:t>时间以后上传递交的投标文件将被“政府采购云</w:t>
            </w:r>
            <w:r>
              <w:rPr>
                <w:color w:val="auto"/>
                <w:spacing w:val="-2"/>
                <w:sz w:val="21"/>
                <w:szCs w:val="21"/>
                <w:highlight w:val="none"/>
              </w:rPr>
              <w:t>平台”拒收。</w:t>
            </w:r>
          </w:p>
          <w:p w14:paraId="2FBAE78B">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3" w:firstLineChars="0"/>
              <w:jc w:val="both"/>
              <w:textAlignment w:val="baseline"/>
              <w:rPr>
                <w:rFonts w:hint="eastAsia"/>
                <w:color w:val="auto"/>
                <w:spacing w:val="-3"/>
                <w:sz w:val="21"/>
                <w:szCs w:val="21"/>
                <w:highlight w:val="none"/>
              </w:rPr>
            </w:pPr>
            <w:r>
              <w:rPr>
                <w:rFonts w:hint="eastAsia"/>
                <w:color w:val="auto"/>
                <w:spacing w:val="-2"/>
                <w:sz w:val="21"/>
                <w:szCs w:val="21"/>
                <w:highlight w:val="none"/>
                <w:lang w:val="en-US" w:eastAsia="zh-CN"/>
              </w:rPr>
              <w:t>6</w:t>
            </w:r>
            <w:r>
              <w:rPr>
                <w:color w:val="auto"/>
                <w:spacing w:val="-2"/>
                <w:sz w:val="21"/>
                <w:szCs w:val="21"/>
                <w:highlight w:val="none"/>
              </w:rPr>
              <w:t>、投标文件解密时间</w:t>
            </w:r>
            <w:r>
              <w:rPr>
                <w:color w:val="auto"/>
                <w:spacing w:val="-24"/>
                <w:sz w:val="21"/>
                <w:szCs w:val="21"/>
                <w:highlight w:val="none"/>
              </w:rPr>
              <w:t xml:space="preserve"> </w:t>
            </w:r>
            <w:r>
              <w:rPr>
                <w:color w:val="auto"/>
                <w:spacing w:val="-2"/>
                <w:sz w:val="21"/>
                <w:szCs w:val="21"/>
                <w:highlight w:val="none"/>
              </w:rPr>
              <w:t>30</w:t>
            </w:r>
            <w:r>
              <w:rPr>
                <w:color w:val="auto"/>
                <w:spacing w:val="-36"/>
                <w:sz w:val="21"/>
                <w:szCs w:val="21"/>
                <w:highlight w:val="none"/>
              </w:rPr>
              <w:t xml:space="preserve"> </w:t>
            </w:r>
            <w:r>
              <w:rPr>
                <w:color w:val="auto"/>
                <w:spacing w:val="-2"/>
                <w:sz w:val="21"/>
                <w:szCs w:val="21"/>
                <w:highlight w:val="none"/>
              </w:rPr>
              <w:t>分钟，开标前需投标单位用</w:t>
            </w:r>
            <w:r>
              <w:rPr>
                <w:color w:val="auto"/>
                <w:spacing w:val="-47"/>
                <w:sz w:val="21"/>
                <w:szCs w:val="21"/>
                <w:highlight w:val="none"/>
              </w:rPr>
              <w:t xml:space="preserve"> </w:t>
            </w:r>
            <w:r>
              <w:rPr>
                <w:color w:val="auto"/>
                <w:spacing w:val="-2"/>
                <w:sz w:val="21"/>
                <w:szCs w:val="21"/>
                <w:highlight w:val="none"/>
              </w:rPr>
              <w:t>CA</w:t>
            </w:r>
            <w:r>
              <w:rPr>
                <w:color w:val="auto"/>
                <w:spacing w:val="-39"/>
                <w:sz w:val="21"/>
                <w:szCs w:val="21"/>
                <w:highlight w:val="none"/>
              </w:rPr>
              <w:t xml:space="preserve"> </w:t>
            </w:r>
            <w:r>
              <w:rPr>
                <w:color w:val="auto"/>
                <w:spacing w:val="-2"/>
                <w:sz w:val="21"/>
                <w:szCs w:val="21"/>
                <w:highlight w:val="none"/>
              </w:rPr>
              <w:t>证书登录政采云平台开</w:t>
            </w:r>
            <w:r>
              <w:rPr>
                <w:color w:val="auto"/>
                <w:sz w:val="21"/>
                <w:szCs w:val="21"/>
                <w:highlight w:val="none"/>
              </w:rPr>
              <w:t xml:space="preserve">  </w:t>
            </w:r>
            <w:r>
              <w:rPr>
                <w:color w:val="auto"/>
                <w:spacing w:val="-2"/>
                <w:sz w:val="21"/>
                <w:szCs w:val="21"/>
                <w:highlight w:val="none"/>
              </w:rPr>
              <w:t>标大厅签到，在</w:t>
            </w:r>
            <w:r>
              <w:rPr>
                <w:color w:val="auto"/>
                <w:spacing w:val="-41"/>
                <w:sz w:val="21"/>
                <w:szCs w:val="21"/>
                <w:highlight w:val="none"/>
              </w:rPr>
              <w:t xml:space="preserve"> </w:t>
            </w:r>
            <w:r>
              <w:rPr>
                <w:color w:val="auto"/>
                <w:spacing w:val="-2"/>
                <w:sz w:val="21"/>
                <w:szCs w:val="21"/>
                <w:highlight w:val="none"/>
              </w:rPr>
              <w:t>30</w:t>
            </w:r>
            <w:r>
              <w:rPr>
                <w:color w:val="auto"/>
                <w:spacing w:val="-37"/>
                <w:sz w:val="21"/>
                <w:szCs w:val="21"/>
                <w:highlight w:val="none"/>
              </w:rPr>
              <w:t xml:space="preserve"> </w:t>
            </w:r>
            <w:r>
              <w:rPr>
                <w:color w:val="auto"/>
                <w:spacing w:val="-2"/>
                <w:sz w:val="21"/>
                <w:szCs w:val="21"/>
                <w:highlight w:val="none"/>
              </w:rPr>
              <w:t>分钟解密时间内输入</w:t>
            </w:r>
            <w:r>
              <w:rPr>
                <w:color w:val="auto"/>
                <w:spacing w:val="-46"/>
                <w:sz w:val="21"/>
                <w:szCs w:val="21"/>
                <w:highlight w:val="none"/>
              </w:rPr>
              <w:t xml:space="preserve"> </w:t>
            </w:r>
            <w:r>
              <w:rPr>
                <w:color w:val="auto"/>
                <w:spacing w:val="-2"/>
                <w:sz w:val="21"/>
                <w:szCs w:val="21"/>
                <w:highlight w:val="none"/>
              </w:rPr>
              <w:t>CA</w:t>
            </w:r>
            <w:r>
              <w:rPr>
                <w:color w:val="auto"/>
                <w:spacing w:val="-40"/>
                <w:sz w:val="21"/>
                <w:szCs w:val="21"/>
                <w:highlight w:val="none"/>
              </w:rPr>
              <w:t xml:space="preserve"> </w:t>
            </w:r>
            <w:r>
              <w:rPr>
                <w:color w:val="auto"/>
                <w:spacing w:val="-2"/>
                <w:sz w:val="21"/>
                <w:szCs w:val="21"/>
                <w:highlight w:val="none"/>
              </w:rPr>
              <w:t>证书 PIN 码</w:t>
            </w:r>
            <w:r>
              <w:rPr>
                <w:color w:val="auto"/>
                <w:spacing w:val="-3"/>
                <w:sz w:val="21"/>
                <w:szCs w:val="21"/>
                <w:highlight w:val="none"/>
              </w:rPr>
              <w:t>解密投标文件。在</w:t>
            </w:r>
            <w:r>
              <w:rPr>
                <w:color w:val="auto"/>
                <w:spacing w:val="-41"/>
                <w:sz w:val="21"/>
                <w:szCs w:val="21"/>
                <w:highlight w:val="none"/>
              </w:rPr>
              <w:t xml:space="preserve"> </w:t>
            </w:r>
            <w:r>
              <w:rPr>
                <w:color w:val="auto"/>
                <w:spacing w:val="-3"/>
                <w:sz w:val="21"/>
                <w:szCs w:val="21"/>
                <w:highlight w:val="none"/>
              </w:rPr>
              <w:t>30</w:t>
            </w:r>
            <w:r>
              <w:rPr>
                <w:color w:val="auto"/>
                <w:spacing w:val="-36"/>
                <w:sz w:val="21"/>
                <w:szCs w:val="21"/>
                <w:highlight w:val="none"/>
              </w:rPr>
              <w:t xml:space="preserve"> </w:t>
            </w:r>
            <w:r>
              <w:rPr>
                <w:color w:val="auto"/>
                <w:spacing w:val="-3"/>
                <w:sz w:val="21"/>
                <w:szCs w:val="21"/>
                <w:highlight w:val="none"/>
              </w:rPr>
              <w:t>分</w:t>
            </w:r>
            <w:r>
              <w:rPr>
                <w:color w:val="auto"/>
                <w:sz w:val="21"/>
                <w:szCs w:val="21"/>
                <w:highlight w:val="none"/>
              </w:rPr>
              <w:t xml:space="preserve"> </w:t>
            </w:r>
            <w:r>
              <w:rPr>
                <w:color w:val="auto"/>
                <w:spacing w:val="-2"/>
                <w:sz w:val="21"/>
                <w:szCs w:val="21"/>
                <w:highlight w:val="none"/>
              </w:rPr>
              <w:t>钟解密时间内未进行解密的投标单位将导致废标。</w:t>
            </w:r>
          </w:p>
        </w:tc>
      </w:tr>
      <w:tr w14:paraId="41B0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32" w:type="dxa"/>
            <w:vAlign w:val="center"/>
          </w:tcPr>
          <w:p w14:paraId="3DD58D4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rFonts w:hint="eastAsia"/>
                <w:color w:val="auto"/>
                <w:spacing w:val="-3"/>
                <w:sz w:val="21"/>
                <w:szCs w:val="21"/>
                <w:highlight w:val="none"/>
                <w:lang w:val="en-US" w:eastAsia="zh-CN"/>
              </w:rPr>
              <w:t>35</w:t>
            </w:r>
          </w:p>
        </w:tc>
        <w:tc>
          <w:tcPr>
            <w:tcW w:w="1591" w:type="dxa"/>
            <w:vAlign w:val="center"/>
          </w:tcPr>
          <w:p w14:paraId="5A33112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ascii="Arial"/>
                <w:color w:val="auto"/>
                <w:sz w:val="21"/>
                <w:highlight w:val="none"/>
                <w:lang w:val="zh-CN"/>
              </w:rPr>
            </w:pPr>
            <w:r>
              <w:rPr>
                <w:rFonts w:hint="eastAsia" w:ascii="Arial"/>
                <w:color w:val="auto"/>
                <w:sz w:val="21"/>
                <w:highlight w:val="none"/>
                <w:lang w:val="zh-CN"/>
              </w:rPr>
              <w:t>是否</w:t>
            </w:r>
            <w:r>
              <w:rPr>
                <w:rFonts w:ascii="Arial"/>
                <w:color w:val="auto"/>
                <w:sz w:val="21"/>
                <w:highlight w:val="none"/>
                <w:lang w:val="zh-CN"/>
              </w:rPr>
              <w:t>允许进口</w:t>
            </w:r>
          </w:p>
          <w:p w14:paraId="1926300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rFonts w:ascii="Arial"/>
                <w:color w:val="auto"/>
                <w:sz w:val="21"/>
                <w:highlight w:val="none"/>
                <w:lang w:val="zh-CN"/>
              </w:rPr>
              <w:t>产品投标</w:t>
            </w:r>
          </w:p>
        </w:tc>
        <w:tc>
          <w:tcPr>
            <w:tcW w:w="6759" w:type="dxa"/>
            <w:vAlign w:val="center"/>
          </w:tcPr>
          <w:p w14:paraId="3E86CC7C">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3" w:firstLineChars="0"/>
              <w:jc w:val="both"/>
              <w:textAlignment w:val="baseline"/>
              <w:rPr>
                <w:color w:val="auto"/>
                <w:spacing w:val="-2"/>
                <w:sz w:val="21"/>
                <w:szCs w:val="21"/>
                <w:highlight w:val="none"/>
              </w:rPr>
            </w:pPr>
            <w:r>
              <w:rPr>
                <w:rFonts w:ascii="Arial"/>
                <w:color w:val="auto"/>
                <w:sz w:val="21"/>
                <w:highlight w:val="none"/>
                <w:lang w:val="zh-CN"/>
              </w:rPr>
              <w:t>若所投标产品为进口产品的，不适用《政府采购促进中小企业发展管理办法》。</w:t>
            </w:r>
          </w:p>
        </w:tc>
      </w:tr>
      <w:tr w14:paraId="07C5D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32" w:type="dxa"/>
            <w:vAlign w:val="center"/>
          </w:tcPr>
          <w:p w14:paraId="6C8E27A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eastAsia="新宋体"/>
                <w:color w:val="auto"/>
                <w:spacing w:val="-3"/>
                <w:sz w:val="21"/>
                <w:szCs w:val="21"/>
                <w:highlight w:val="none"/>
                <w:lang w:val="en-US" w:eastAsia="zh-CN"/>
              </w:rPr>
            </w:pPr>
            <w:r>
              <w:rPr>
                <w:rFonts w:hint="eastAsia"/>
                <w:color w:val="auto"/>
                <w:spacing w:val="-3"/>
                <w:sz w:val="21"/>
                <w:szCs w:val="21"/>
                <w:highlight w:val="none"/>
                <w:lang w:val="en-US" w:eastAsia="zh-CN"/>
              </w:rPr>
              <w:t>36</w:t>
            </w:r>
          </w:p>
        </w:tc>
        <w:tc>
          <w:tcPr>
            <w:tcW w:w="1591" w:type="dxa"/>
            <w:vAlign w:val="center"/>
          </w:tcPr>
          <w:p w14:paraId="6109A31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color w:val="auto"/>
                <w:spacing w:val="-3"/>
                <w:sz w:val="21"/>
                <w:szCs w:val="21"/>
                <w:highlight w:val="none"/>
              </w:rPr>
              <w:t>特别说明</w:t>
            </w:r>
          </w:p>
        </w:tc>
        <w:tc>
          <w:tcPr>
            <w:tcW w:w="6759" w:type="dxa"/>
            <w:vAlign w:val="center"/>
          </w:tcPr>
          <w:p w14:paraId="2229B29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18"/>
              <w:jc w:val="both"/>
              <w:textAlignment w:val="baseline"/>
              <w:rPr>
                <w:color w:val="auto"/>
                <w:sz w:val="21"/>
                <w:szCs w:val="21"/>
                <w:highlight w:val="none"/>
              </w:rPr>
            </w:pPr>
            <w:r>
              <w:rPr>
                <w:color w:val="auto"/>
                <w:spacing w:val="10"/>
                <w:sz w:val="21"/>
                <w:szCs w:val="21"/>
                <w:highlight w:val="none"/>
              </w:rPr>
              <w:t>1、投标人务必将加密电子投标文件在投标截止时间之前上传至政采云平台</w:t>
            </w:r>
            <w:r>
              <w:rPr>
                <w:color w:val="auto"/>
                <w:spacing w:val="17"/>
                <w:sz w:val="21"/>
                <w:szCs w:val="21"/>
                <w:highlight w:val="none"/>
              </w:rPr>
              <w:t xml:space="preserve"> </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color w:val="auto"/>
                <w:spacing w:val="-6"/>
                <w:sz w:val="21"/>
                <w:szCs w:val="21"/>
                <w:highlight w:val="none"/>
              </w:rPr>
              <w:t>https://login.zcygov.c</w:t>
            </w:r>
            <w:r>
              <w:rPr>
                <w:color w:val="auto"/>
                <w:spacing w:val="-7"/>
                <w:sz w:val="21"/>
                <w:szCs w:val="21"/>
                <w:highlight w:val="none"/>
              </w:rPr>
              <w:t>n/</w:t>
            </w:r>
            <w:r>
              <w:rPr>
                <w:color w:val="auto"/>
                <w:spacing w:val="-7"/>
                <w:sz w:val="21"/>
                <w:szCs w:val="21"/>
                <w:highlight w:val="none"/>
              </w:rPr>
              <w:fldChar w:fldCharType="end"/>
            </w:r>
            <w:r>
              <w:rPr>
                <w:color w:val="auto"/>
                <w:spacing w:val="-7"/>
                <w:sz w:val="21"/>
                <w:szCs w:val="21"/>
                <w:highlight w:val="none"/>
              </w:rPr>
              <w:t xml:space="preserve"> 并 在 开 标 当 天 开 标 截 止 时 间 前 登 录 到</w:t>
            </w:r>
            <w:r>
              <w:rPr>
                <w:color w:val="auto"/>
                <w:sz w:val="21"/>
                <w:szCs w:val="21"/>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1"/>
                <w:szCs w:val="21"/>
                <w:highlight w:val="none"/>
              </w:rPr>
              <w:t>https://www.zcygov.cn/</w:t>
            </w:r>
            <w:r>
              <w:rPr>
                <w:color w:val="auto"/>
                <w:sz w:val="21"/>
                <w:szCs w:val="21"/>
                <w:highlight w:val="none"/>
              </w:rPr>
              <w:fldChar w:fldCharType="end"/>
            </w:r>
            <w:r>
              <w:rPr>
                <w:color w:val="auto"/>
                <w:sz w:val="21"/>
                <w:szCs w:val="21"/>
                <w:highlight w:val="none"/>
              </w:rPr>
              <w:t xml:space="preserve"> 政采云电子开标大厅完成签到并等候开标，投</w:t>
            </w:r>
            <w:r>
              <w:rPr>
                <w:color w:val="auto"/>
                <w:spacing w:val="-1"/>
                <w:sz w:val="21"/>
                <w:szCs w:val="21"/>
                <w:highlight w:val="none"/>
              </w:rPr>
              <w:t>标截</w:t>
            </w:r>
            <w:r>
              <w:rPr>
                <w:color w:val="auto"/>
                <w:sz w:val="21"/>
                <w:szCs w:val="21"/>
                <w:highlight w:val="none"/>
              </w:rPr>
              <w:t xml:space="preserve"> </w:t>
            </w:r>
            <w:r>
              <w:rPr>
                <w:color w:val="auto"/>
                <w:spacing w:val="-1"/>
                <w:sz w:val="21"/>
                <w:szCs w:val="21"/>
                <w:highlight w:val="none"/>
              </w:rPr>
              <w:t>时间以后上传递交的投标文件将被“政府采购云</w:t>
            </w:r>
            <w:r>
              <w:rPr>
                <w:color w:val="auto"/>
                <w:spacing w:val="-2"/>
                <w:sz w:val="21"/>
                <w:szCs w:val="21"/>
                <w:highlight w:val="none"/>
              </w:rPr>
              <w:t>平台”拒收。</w:t>
            </w:r>
          </w:p>
          <w:p w14:paraId="1D54A04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hanging="3" w:firstLineChars="0"/>
              <w:jc w:val="both"/>
              <w:textAlignment w:val="baseline"/>
              <w:rPr>
                <w:color w:val="auto"/>
                <w:spacing w:val="-2"/>
                <w:sz w:val="21"/>
                <w:szCs w:val="21"/>
                <w:highlight w:val="none"/>
              </w:rPr>
            </w:pPr>
            <w:r>
              <w:rPr>
                <w:color w:val="auto"/>
                <w:spacing w:val="-2"/>
                <w:sz w:val="21"/>
                <w:szCs w:val="21"/>
                <w:highlight w:val="none"/>
              </w:rPr>
              <w:t>2、投标文件解密时间30分钟，开标前需投标单位用</w:t>
            </w:r>
            <w:r>
              <w:rPr>
                <w:color w:val="auto"/>
                <w:spacing w:val="-47"/>
                <w:sz w:val="21"/>
                <w:szCs w:val="21"/>
                <w:highlight w:val="none"/>
              </w:rPr>
              <w:t xml:space="preserve"> </w:t>
            </w:r>
            <w:r>
              <w:rPr>
                <w:color w:val="auto"/>
                <w:spacing w:val="-2"/>
                <w:sz w:val="21"/>
                <w:szCs w:val="21"/>
                <w:highlight w:val="none"/>
              </w:rPr>
              <w:t>CA</w:t>
            </w:r>
            <w:r>
              <w:rPr>
                <w:color w:val="auto"/>
                <w:spacing w:val="-39"/>
                <w:sz w:val="21"/>
                <w:szCs w:val="21"/>
                <w:highlight w:val="none"/>
              </w:rPr>
              <w:t xml:space="preserve"> </w:t>
            </w:r>
            <w:r>
              <w:rPr>
                <w:color w:val="auto"/>
                <w:spacing w:val="-2"/>
                <w:sz w:val="21"/>
                <w:szCs w:val="21"/>
                <w:highlight w:val="none"/>
              </w:rPr>
              <w:t>证书登录政采云平台开标大厅签到，在30分钟解密时间内输入</w:t>
            </w:r>
            <w:r>
              <w:rPr>
                <w:color w:val="auto"/>
                <w:spacing w:val="-46"/>
                <w:sz w:val="21"/>
                <w:szCs w:val="21"/>
                <w:highlight w:val="none"/>
              </w:rPr>
              <w:t xml:space="preserve"> </w:t>
            </w:r>
            <w:r>
              <w:rPr>
                <w:color w:val="auto"/>
                <w:spacing w:val="-2"/>
                <w:sz w:val="21"/>
                <w:szCs w:val="21"/>
                <w:highlight w:val="none"/>
              </w:rPr>
              <w:t>CA</w:t>
            </w:r>
            <w:r>
              <w:rPr>
                <w:color w:val="auto"/>
                <w:spacing w:val="-40"/>
                <w:sz w:val="21"/>
                <w:szCs w:val="21"/>
                <w:highlight w:val="none"/>
              </w:rPr>
              <w:t xml:space="preserve"> </w:t>
            </w:r>
            <w:r>
              <w:rPr>
                <w:color w:val="auto"/>
                <w:spacing w:val="-2"/>
                <w:sz w:val="21"/>
                <w:szCs w:val="21"/>
                <w:highlight w:val="none"/>
              </w:rPr>
              <w:t>证书PIN码</w:t>
            </w:r>
            <w:r>
              <w:rPr>
                <w:color w:val="auto"/>
                <w:spacing w:val="-3"/>
                <w:sz w:val="21"/>
                <w:szCs w:val="21"/>
                <w:highlight w:val="none"/>
              </w:rPr>
              <w:t>解密投标文件。在30分</w:t>
            </w:r>
            <w:r>
              <w:rPr>
                <w:color w:val="auto"/>
                <w:spacing w:val="-2"/>
                <w:sz w:val="21"/>
                <w:szCs w:val="21"/>
                <w:highlight w:val="none"/>
              </w:rPr>
              <w:t>钟解密时间内未进行解密的投标单位将导致废标。</w:t>
            </w:r>
          </w:p>
        </w:tc>
      </w:tr>
      <w:tr w14:paraId="3CD0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32" w:type="dxa"/>
            <w:vAlign w:val="center"/>
          </w:tcPr>
          <w:p w14:paraId="15E6C9D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rFonts w:hint="eastAsia" w:eastAsia="宋体"/>
                <w:color w:val="auto"/>
                <w:sz w:val="21"/>
                <w:highlight w:val="none"/>
                <w:lang w:val="en-US" w:eastAsia="zh-CN"/>
              </w:rPr>
              <w:t>37</w:t>
            </w:r>
          </w:p>
        </w:tc>
        <w:tc>
          <w:tcPr>
            <w:tcW w:w="1591" w:type="dxa"/>
            <w:vAlign w:val="center"/>
          </w:tcPr>
          <w:p w14:paraId="23813C4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rFonts w:hint="eastAsia" w:ascii="Arial"/>
                <w:color w:val="auto"/>
                <w:sz w:val="21"/>
                <w:highlight w:val="none"/>
              </w:rPr>
              <w:t>履约保证金</w:t>
            </w:r>
          </w:p>
        </w:tc>
        <w:tc>
          <w:tcPr>
            <w:tcW w:w="6759" w:type="dxa"/>
            <w:vAlign w:val="center"/>
          </w:tcPr>
          <w:p w14:paraId="315356B3">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pacing w:val="-2"/>
                <w:sz w:val="21"/>
                <w:szCs w:val="21"/>
                <w:highlight w:val="none"/>
              </w:rPr>
            </w:pPr>
            <w:r>
              <w:rPr>
                <w:rFonts w:hint="eastAsia" w:ascii="Arial"/>
                <w:color w:val="auto"/>
                <w:sz w:val="21"/>
                <w:highlight w:val="none"/>
              </w:rPr>
              <w:t>本项目不收取履约保证金。</w:t>
            </w:r>
          </w:p>
        </w:tc>
      </w:tr>
      <w:tr w14:paraId="3CAAF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32" w:type="dxa"/>
            <w:vAlign w:val="center"/>
          </w:tcPr>
          <w:p w14:paraId="0CD1336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color w:val="auto"/>
                <w:spacing w:val="-3"/>
                <w:sz w:val="21"/>
                <w:szCs w:val="21"/>
                <w:highlight w:val="none"/>
                <w:lang w:val="en-US"/>
              </w:rPr>
            </w:pPr>
            <w:r>
              <w:rPr>
                <w:rFonts w:hint="eastAsia" w:eastAsia="宋体"/>
                <w:color w:val="auto"/>
                <w:sz w:val="21"/>
                <w:highlight w:val="none"/>
                <w:lang w:val="en-US" w:eastAsia="zh-CN"/>
              </w:rPr>
              <w:t>38</w:t>
            </w:r>
          </w:p>
        </w:tc>
        <w:tc>
          <w:tcPr>
            <w:tcW w:w="1591" w:type="dxa"/>
            <w:vAlign w:val="center"/>
          </w:tcPr>
          <w:p w14:paraId="217356C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rFonts w:hint="eastAsia" w:ascii="Arial"/>
                <w:color w:val="auto"/>
                <w:sz w:val="21"/>
                <w:highlight w:val="none"/>
              </w:rPr>
              <w:t>对招标文件除资</w:t>
            </w:r>
            <w:r>
              <w:rPr>
                <w:rFonts w:hint="eastAsia" w:eastAsia="宋体"/>
                <w:color w:val="auto"/>
                <w:sz w:val="21"/>
                <w:highlight w:val="none"/>
                <w:lang w:val="en-US" w:eastAsia="zh-CN"/>
              </w:rPr>
              <w:t xml:space="preserve"> </w:t>
            </w:r>
            <w:r>
              <w:rPr>
                <w:rFonts w:hint="eastAsia" w:ascii="Arial"/>
                <w:color w:val="auto"/>
                <w:sz w:val="21"/>
                <w:highlight w:val="none"/>
              </w:rPr>
              <w:t>质要求、技术参</w:t>
            </w:r>
            <w:r>
              <w:rPr>
                <w:rFonts w:hint="eastAsia" w:eastAsia="宋体"/>
                <w:color w:val="auto"/>
                <w:sz w:val="21"/>
                <w:highlight w:val="none"/>
                <w:lang w:val="en-US" w:eastAsia="zh-CN"/>
              </w:rPr>
              <w:t xml:space="preserve"> </w:t>
            </w:r>
            <w:r>
              <w:rPr>
                <w:rFonts w:hint="eastAsia" w:ascii="Arial"/>
                <w:color w:val="auto"/>
                <w:sz w:val="21"/>
                <w:highlight w:val="none"/>
              </w:rPr>
              <w:t>数、商务要求、</w:t>
            </w:r>
            <w:r>
              <w:rPr>
                <w:rFonts w:hint="eastAsia" w:eastAsia="宋体"/>
                <w:color w:val="auto"/>
                <w:sz w:val="21"/>
                <w:highlight w:val="none"/>
                <w:lang w:val="en-US" w:eastAsia="zh-CN"/>
              </w:rPr>
              <w:t xml:space="preserve"> </w:t>
            </w:r>
            <w:r>
              <w:rPr>
                <w:rFonts w:hint="eastAsia" w:ascii="Arial"/>
                <w:color w:val="auto"/>
                <w:sz w:val="21"/>
                <w:highlight w:val="none"/>
              </w:rPr>
              <w:t>评分办法等采购</w:t>
            </w:r>
            <w:r>
              <w:rPr>
                <w:rFonts w:hint="eastAsia" w:eastAsia="宋体"/>
                <w:color w:val="auto"/>
                <w:sz w:val="21"/>
                <w:highlight w:val="none"/>
                <w:lang w:val="en-US" w:eastAsia="zh-CN"/>
              </w:rPr>
              <w:t xml:space="preserve"> </w:t>
            </w:r>
            <w:r>
              <w:rPr>
                <w:rFonts w:hint="eastAsia" w:ascii="Arial"/>
                <w:color w:val="auto"/>
                <w:sz w:val="21"/>
                <w:highlight w:val="none"/>
              </w:rPr>
              <w:t>需求内容以外事</w:t>
            </w:r>
            <w:r>
              <w:rPr>
                <w:rFonts w:hint="eastAsia" w:eastAsia="宋体"/>
                <w:color w:val="auto"/>
                <w:sz w:val="21"/>
                <w:highlight w:val="none"/>
                <w:lang w:val="en-US" w:eastAsia="zh-CN"/>
              </w:rPr>
              <w:t xml:space="preserve"> </w:t>
            </w:r>
            <w:r>
              <w:rPr>
                <w:rFonts w:hint="eastAsia" w:ascii="Arial"/>
                <w:color w:val="auto"/>
                <w:sz w:val="21"/>
                <w:highlight w:val="none"/>
              </w:rPr>
              <w:t>项、采购过程和</w:t>
            </w:r>
            <w:r>
              <w:rPr>
                <w:rFonts w:hint="eastAsia" w:eastAsia="宋体"/>
                <w:color w:val="auto"/>
                <w:sz w:val="21"/>
                <w:highlight w:val="none"/>
                <w:lang w:val="en-US" w:eastAsia="zh-CN"/>
              </w:rPr>
              <w:t xml:space="preserve"> </w:t>
            </w:r>
            <w:r>
              <w:rPr>
                <w:rFonts w:hint="eastAsia" w:ascii="Arial"/>
                <w:color w:val="auto"/>
                <w:sz w:val="21"/>
                <w:highlight w:val="none"/>
              </w:rPr>
              <w:t>采购结果的询问</w:t>
            </w:r>
            <w:r>
              <w:rPr>
                <w:rFonts w:hint="eastAsia" w:eastAsia="宋体"/>
                <w:color w:val="auto"/>
                <w:sz w:val="21"/>
                <w:highlight w:val="none"/>
                <w:lang w:val="en-US" w:eastAsia="zh-CN"/>
              </w:rPr>
              <w:t xml:space="preserve"> </w:t>
            </w:r>
            <w:r>
              <w:rPr>
                <w:rFonts w:hint="eastAsia" w:ascii="Arial"/>
                <w:color w:val="auto"/>
                <w:sz w:val="21"/>
                <w:highlight w:val="none"/>
              </w:rPr>
              <w:t>和质疑</w:t>
            </w:r>
          </w:p>
        </w:tc>
        <w:tc>
          <w:tcPr>
            <w:tcW w:w="6759" w:type="dxa"/>
            <w:vAlign w:val="center"/>
          </w:tcPr>
          <w:p w14:paraId="548FF1D9">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Arial"/>
                <w:color w:val="auto"/>
                <w:sz w:val="21"/>
                <w:highlight w:val="none"/>
                <w:lang w:eastAsia="zh-CN"/>
              </w:rPr>
            </w:pPr>
            <w:r>
              <w:rPr>
                <w:rFonts w:hint="eastAsia" w:ascii="Arial"/>
                <w:color w:val="auto"/>
                <w:sz w:val="21"/>
                <w:highlight w:val="none"/>
              </w:rPr>
              <w:t>受理单位：乌鲁木齐鑫盛开源工程项目管理有限公司</w:t>
            </w:r>
          </w:p>
          <w:p w14:paraId="703E9C8B">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Arial"/>
                <w:color w:val="auto"/>
                <w:sz w:val="21"/>
                <w:highlight w:val="none"/>
                <w:lang w:eastAsia="zh-CN"/>
              </w:rPr>
            </w:pPr>
            <w:r>
              <w:rPr>
                <w:rFonts w:hint="eastAsia" w:ascii="Arial"/>
                <w:color w:val="auto"/>
                <w:sz w:val="21"/>
                <w:highlight w:val="none"/>
              </w:rPr>
              <w:t>联 系 人：</w:t>
            </w:r>
            <w:r>
              <w:rPr>
                <w:rFonts w:hint="eastAsia"/>
                <w:color w:val="auto"/>
                <w:sz w:val="21"/>
                <w:highlight w:val="none"/>
                <w:lang w:val="en-US" w:eastAsia="zh-CN"/>
              </w:rPr>
              <w:t>蔡琰</w:t>
            </w:r>
          </w:p>
          <w:p w14:paraId="3C72CA29">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default" w:ascii="Arial"/>
                <w:color w:val="auto"/>
                <w:sz w:val="21"/>
                <w:highlight w:val="none"/>
                <w:lang w:val="en-US" w:eastAsia="zh-CN"/>
              </w:rPr>
            </w:pPr>
            <w:r>
              <w:rPr>
                <w:rFonts w:hint="eastAsia" w:ascii="Arial"/>
                <w:color w:val="auto"/>
                <w:sz w:val="21"/>
                <w:highlight w:val="none"/>
              </w:rPr>
              <w:t>联系电话：</w:t>
            </w:r>
            <w:r>
              <w:rPr>
                <w:rFonts w:hint="eastAsia"/>
                <w:color w:val="auto"/>
                <w:sz w:val="21"/>
                <w:highlight w:val="none"/>
                <w:lang w:val="en-US" w:eastAsia="zh-CN"/>
              </w:rPr>
              <w:t>13679942122</w:t>
            </w:r>
          </w:p>
          <w:p w14:paraId="021F9025">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Arial"/>
                <w:color w:val="auto"/>
                <w:sz w:val="21"/>
                <w:highlight w:val="none"/>
              </w:rPr>
            </w:pPr>
            <w:r>
              <w:rPr>
                <w:rFonts w:hint="eastAsia" w:ascii="Arial"/>
                <w:color w:val="auto"/>
                <w:sz w:val="21"/>
                <w:highlight w:val="none"/>
              </w:rPr>
              <w:t>质疑函接受方式：现场接受或邮寄接受</w:t>
            </w:r>
          </w:p>
          <w:p w14:paraId="72F78F36">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Arial"/>
                <w:color w:val="auto"/>
                <w:sz w:val="21"/>
                <w:highlight w:val="none"/>
                <w:lang w:eastAsia="zh-CN"/>
              </w:rPr>
            </w:pPr>
            <w:r>
              <w:rPr>
                <w:rFonts w:hint="eastAsia" w:ascii="Arial"/>
                <w:color w:val="auto"/>
                <w:sz w:val="21"/>
                <w:highlight w:val="none"/>
              </w:rPr>
              <w:t>地址：</w:t>
            </w:r>
            <w:r>
              <w:rPr>
                <w:rFonts w:hint="eastAsia" w:ascii="Arial"/>
                <w:color w:val="auto"/>
                <w:sz w:val="21"/>
                <w:highlight w:val="none"/>
                <w:lang w:eastAsia="zh-CN"/>
              </w:rPr>
              <w:t>伊宁市西环路开元新城3号写字楼1</w:t>
            </w:r>
            <w:r>
              <w:rPr>
                <w:rFonts w:hint="eastAsia"/>
                <w:color w:val="auto"/>
                <w:sz w:val="21"/>
                <w:highlight w:val="none"/>
                <w:lang w:val="en-US" w:eastAsia="zh-CN"/>
              </w:rPr>
              <w:t>2</w:t>
            </w:r>
            <w:r>
              <w:rPr>
                <w:rFonts w:hint="eastAsia" w:ascii="Arial"/>
                <w:color w:val="auto"/>
                <w:sz w:val="21"/>
                <w:highlight w:val="none"/>
                <w:lang w:eastAsia="zh-CN"/>
              </w:rPr>
              <w:t>层</w:t>
            </w:r>
          </w:p>
          <w:p w14:paraId="4D80832E">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Arial"/>
                <w:color w:val="auto"/>
                <w:sz w:val="21"/>
                <w:highlight w:val="none"/>
              </w:rPr>
            </w:pPr>
            <w:r>
              <w:rPr>
                <w:rFonts w:hint="eastAsia" w:ascii="Arial"/>
                <w:color w:val="auto"/>
                <w:sz w:val="21"/>
                <w:highlight w:val="none"/>
              </w:rPr>
              <w:t>对采购过程提出质疑时间：为各采购程序环节结束之日起七个工作日内。</w:t>
            </w:r>
          </w:p>
          <w:p w14:paraId="7861D597">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Arial"/>
                <w:color w:val="auto"/>
                <w:sz w:val="21"/>
                <w:highlight w:val="none"/>
              </w:rPr>
            </w:pPr>
            <w:r>
              <w:rPr>
                <w:rFonts w:hint="eastAsia" w:ascii="Arial"/>
                <w:color w:val="auto"/>
                <w:sz w:val="21"/>
                <w:highlight w:val="none"/>
              </w:rPr>
              <w:t>对采购结果提出质疑时间：为中标结果公告发布次日后七个工作日内。</w:t>
            </w:r>
          </w:p>
          <w:p w14:paraId="5C335E2A">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Arial"/>
                <w:color w:val="auto"/>
                <w:sz w:val="21"/>
                <w:highlight w:val="none"/>
              </w:rPr>
            </w:pPr>
            <w:r>
              <w:rPr>
                <w:rFonts w:hint="eastAsia" w:ascii="Arial"/>
                <w:color w:val="auto"/>
                <w:sz w:val="21"/>
                <w:highlight w:val="none"/>
              </w:rPr>
              <w:t>备注：</w:t>
            </w:r>
          </w:p>
          <w:p w14:paraId="063AFC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0" w:rightChars="0"/>
              <w:jc w:val="both"/>
              <w:textAlignment w:val="baseline"/>
              <w:rPr>
                <w:rFonts w:hint="eastAsia" w:ascii="Arial"/>
                <w:color w:val="auto"/>
                <w:sz w:val="21"/>
                <w:highlight w:val="none"/>
              </w:rPr>
            </w:pPr>
            <w:r>
              <w:rPr>
                <w:rFonts w:hint="eastAsia" w:eastAsia="宋体"/>
                <w:color w:val="auto"/>
                <w:sz w:val="21"/>
                <w:highlight w:val="none"/>
                <w:lang w:val="en-US" w:eastAsia="zh-CN"/>
              </w:rPr>
              <w:t>1.</w:t>
            </w:r>
            <w:r>
              <w:rPr>
                <w:rFonts w:hint="eastAsia" w:ascii="Arial"/>
                <w:color w:val="auto"/>
                <w:sz w:val="21"/>
                <w:highlight w:val="none"/>
              </w:rPr>
              <w:t>采购单位无正当理由不按照依法推荐的中标候选供应商顺序确定中标供应商，或者在评标委员会依法推荐的中标候选供应商以外确定中标供应商的质疑由采购单位受理。</w:t>
            </w:r>
          </w:p>
          <w:p w14:paraId="167BBA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0" w:rightChars="0"/>
              <w:jc w:val="both"/>
              <w:textAlignment w:val="baseline"/>
              <w:rPr>
                <w:rFonts w:hint="eastAsia" w:ascii="Arial"/>
                <w:color w:val="auto"/>
                <w:sz w:val="21"/>
                <w:highlight w:val="none"/>
              </w:rPr>
            </w:pPr>
            <w:r>
              <w:rPr>
                <w:rFonts w:hint="eastAsia" w:eastAsia="宋体"/>
                <w:color w:val="auto"/>
                <w:sz w:val="21"/>
                <w:highlight w:val="none"/>
                <w:lang w:val="en-US" w:eastAsia="zh-CN"/>
              </w:rPr>
              <w:t>2.</w:t>
            </w:r>
            <w:r>
              <w:rPr>
                <w:rFonts w:hint="eastAsia" w:ascii="Arial"/>
                <w:color w:val="auto"/>
                <w:sz w:val="21"/>
                <w:highlight w:val="none"/>
              </w:rPr>
              <w:t>供应商应当在法定质疑期内一次性提出针对统一采购程序环节的质疑。</w:t>
            </w:r>
          </w:p>
          <w:p w14:paraId="053424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0" w:rightChars="0"/>
              <w:jc w:val="both"/>
              <w:textAlignment w:val="baseline"/>
              <w:rPr>
                <w:rFonts w:hint="eastAsia" w:ascii="Arial"/>
                <w:color w:val="auto"/>
                <w:sz w:val="21"/>
                <w:highlight w:val="none"/>
              </w:rPr>
            </w:pPr>
            <w:r>
              <w:rPr>
                <w:rFonts w:hint="eastAsia" w:eastAsia="宋体"/>
                <w:color w:val="auto"/>
                <w:sz w:val="21"/>
                <w:highlight w:val="none"/>
                <w:lang w:val="en-US" w:eastAsia="zh-CN"/>
              </w:rPr>
              <w:t>3.</w:t>
            </w:r>
            <w:r>
              <w:rPr>
                <w:rFonts w:hint="eastAsia" w:ascii="Arial"/>
                <w:color w:val="auto"/>
                <w:sz w:val="21"/>
                <w:highlight w:val="none"/>
              </w:rPr>
              <w:t>投标人认为招标文件、招标过程或中标结果使自己的合法权益受到损害的应当在知道或者应知其权益受到损害之日起在规定的期限内，以书面形式向采购人或采购代理机构提出质疑。采购人或采购代理机构收到投标人书面质疑后在规定的时间内，对质疑内容作出答复，投标人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14:paraId="491CCE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0" w:rightChars="0"/>
              <w:jc w:val="both"/>
              <w:textAlignment w:val="baseline"/>
              <w:rPr>
                <w:color w:val="auto"/>
                <w:spacing w:val="-2"/>
                <w:sz w:val="21"/>
                <w:szCs w:val="21"/>
                <w:highlight w:val="none"/>
              </w:rPr>
            </w:pPr>
            <w:r>
              <w:rPr>
                <w:rFonts w:hint="eastAsia" w:eastAsia="宋体"/>
                <w:color w:val="auto"/>
                <w:sz w:val="21"/>
                <w:highlight w:val="none"/>
                <w:lang w:val="en-US" w:eastAsia="zh-CN"/>
              </w:rPr>
              <w:t>4.</w:t>
            </w:r>
            <w:r>
              <w:rPr>
                <w:rFonts w:hint="eastAsia" w:ascii="Arial"/>
                <w:color w:val="auto"/>
                <w:sz w:val="21"/>
                <w:highlight w:val="none"/>
              </w:rPr>
              <w:t>质疑、投诉应当采用书面形式，质疑、投诉均应明确阐述招标文件、招标过程或中标结果中使自己合法权益受到损害的实质性内容，提供相关事实、依据和证据及其来源或线索，便于有关单位调查、答复和处理。</w:t>
            </w:r>
          </w:p>
        </w:tc>
      </w:tr>
      <w:tr w14:paraId="14CE4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32" w:type="dxa"/>
            <w:vAlign w:val="center"/>
          </w:tcPr>
          <w:p w14:paraId="6A5EFBBA">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default"/>
                <w:color w:val="auto"/>
                <w:spacing w:val="-3"/>
                <w:sz w:val="21"/>
                <w:szCs w:val="21"/>
                <w:highlight w:val="none"/>
                <w:lang w:val="en-US"/>
              </w:rPr>
            </w:pPr>
            <w:r>
              <w:rPr>
                <w:rFonts w:hint="eastAsia" w:eastAsia="宋体"/>
                <w:color w:val="auto"/>
                <w:sz w:val="21"/>
                <w:highlight w:val="none"/>
                <w:lang w:val="en-US" w:eastAsia="zh-CN"/>
              </w:rPr>
              <w:t>39</w:t>
            </w:r>
          </w:p>
        </w:tc>
        <w:tc>
          <w:tcPr>
            <w:tcW w:w="1591" w:type="dxa"/>
            <w:vAlign w:val="center"/>
          </w:tcPr>
          <w:p w14:paraId="171B731D">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color w:val="auto"/>
                <w:spacing w:val="-3"/>
                <w:sz w:val="21"/>
                <w:szCs w:val="21"/>
                <w:highlight w:val="none"/>
              </w:rPr>
            </w:pPr>
            <w:r>
              <w:rPr>
                <w:rFonts w:hint="eastAsia" w:ascii="Arial"/>
                <w:color w:val="auto"/>
                <w:sz w:val="21"/>
                <w:highlight w:val="none"/>
              </w:rPr>
              <w:t>投诉</w:t>
            </w:r>
          </w:p>
        </w:tc>
        <w:tc>
          <w:tcPr>
            <w:tcW w:w="6759" w:type="dxa"/>
            <w:vAlign w:val="center"/>
          </w:tcPr>
          <w:p w14:paraId="1F29E8C5">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color w:val="auto"/>
                <w:spacing w:val="-2"/>
                <w:sz w:val="21"/>
                <w:szCs w:val="21"/>
                <w:highlight w:val="none"/>
              </w:rPr>
            </w:pPr>
            <w:r>
              <w:rPr>
                <w:rFonts w:hint="eastAsia" w:ascii="Arial"/>
                <w:color w:val="auto"/>
                <w:sz w:val="21"/>
                <w:highlight w:val="none"/>
              </w:rPr>
              <w:t>投诉受理单位：本采购项目同级财政部门</w:t>
            </w:r>
            <w:r>
              <w:rPr>
                <w:rFonts w:hint="eastAsia" w:ascii="Arial"/>
                <w:color w:val="auto"/>
                <w:sz w:val="21"/>
                <w:highlight w:val="none"/>
                <w:lang w:eastAsia="zh-CN"/>
              </w:rPr>
              <w:t>。</w:t>
            </w:r>
          </w:p>
        </w:tc>
      </w:tr>
      <w:tr w14:paraId="0876A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32" w:type="dxa"/>
            <w:vAlign w:val="center"/>
          </w:tcPr>
          <w:p w14:paraId="20A3F5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0"/>
              <w:jc w:val="center"/>
              <w:textAlignment w:val="baseline"/>
              <w:rPr>
                <w:rFonts w:hint="default" w:eastAsia="宋体"/>
                <w:color w:val="auto"/>
                <w:spacing w:val="-3"/>
                <w:sz w:val="21"/>
                <w:szCs w:val="21"/>
                <w:highlight w:val="none"/>
                <w:lang w:val="en-US" w:eastAsia="zh-CN"/>
              </w:rPr>
            </w:pPr>
            <w:r>
              <w:rPr>
                <w:rFonts w:hint="eastAsia" w:eastAsia="宋体"/>
                <w:color w:val="auto"/>
                <w:spacing w:val="-3"/>
                <w:sz w:val="21"/>
                <w:szCs w:val="21"/>
                <w:highlight w:val="none"/>
                <w:lang w:val="en-US" w:eastAsia="zh-CN"/>
              </w:rPr>
              <w:t>40</w:t>
            </w:r>
          </w:p>
        </w:tc>
        <w:tc>
          <w:tcPr>
            <w:tcW w:w="1591" w:type="dxa"/>
            <w:vAlign w:val="center"/>
          </w:tcPr>
          <w:p w14:paraId="3D960D95">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rFonts w:hint="eastAsia" w:ascii="新宋体" w:hAnsi="新宋体" w:eastAsia="新宋体" w:cs="新宋体"/>
                <w:snapToGrid w:val="0"/>
                <w:color w:val="auto"/>
                <w:spacing w:val="-3"/>
                <w:kern w:val="0"/>
                <w:sz w:val="21"/>
                <w:szCs w:val="21"/>
                <w:highlight w:val="none"/>
                <w:lang w:val="en-US" w:eastAsia="en-US" w:bidi="ar-SA"/>
              </w:rPr>
              <w:t>中标通知书领取方式</w:t>
            </w:r>
          </w:p>
        </w:tc>
        <w:tc>
          <w:tcPr>
            <w:tcW w:w="6759" w:type="dxa"/>
            <w:vAlign w:val="center"/>
          </w:tcPr>
          <w:p w14:paraId="3B83C8AB">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中标公告在新疆政府采购网上公告后，请中标供应商凭有效身份证明证件到</w:t>
            </w:r>
            <w:r>
              <w:rPr>
                <w:rFonts w:hint="eastAsia" w:ascii="新宋体" w:hAnsi="新宋体" w:eastAsia="新宋体" w:cs="新宋体"/>
                <w:snapToGrid w:val="0"/>
                <w:color w:val="auto"/>
                <w:spacing w:val="-3"/>
                <w:kern w:val="0"/>
                <w:sz w:val="21"/>
                <w:szCs w:val="21"/>
                <w:highlight w:val="none"/>
                <w:lang w:val="en-US" w:eastAsia="zh-CN" w:bidi="ar-SA"/>
              </w:rPr>
              <w:t>伊宁市西环路开元新城3号写字楼12层</w:t>
            </w:r>
            <w:r>
              <w:rPr>
                <w:rFonts w:hint="eastAsia" w:ascii="新宋体" w:hAnsi="新宋体" w:eastAsia="新宋体" w:cs="新宋体"/>
                <w:snapToGrid w:val="0"/>
                <w:color w:val="auto"/>
                <w:spacing w:val="-3"/>
                <w:kern w:val="0"/>
                <w:sz w:val="21"/>
                <w:szCs w:val="21"/>
                <w:highlight w:val="none"/>
                <w:lang w:val="en-US" w:eastAsia="en-US" w:bidi="ar-SA"/>
              </w:rPr>
              <w:t>受理处领取中标通知书。</w:t>
            </w:r>
          </w:p>
          <w:p w14:paraId="715888B5">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default"/>
                <w:color w:val="auto"/>
                <w:spacing w:val="-2"/>
                <w:sz w:val="21"/>
                <w:szCs w:val="21"/>
                <w:highlight w:val="none"/>
                <w:lang w:val="en-US"/>
              </w:rPr>
            </w:pPr>
            <w:r>
              <w:rPr>
                <w:rFonts w:hint="eastAsia" w:ascii="新宋体" w:hAnsi="新宋体" w:eastAsia="新宋体" w:cs="新宋体"/>
                <w:snapToGrid w:val="0"/>
                <w:color w:val="auto"/>
                <w:spacing w:val="-3"/>
                <w:kern w:val="0"/>
                <w:sz w:val="21"/>
                <w:szCs w:val="21"/>
                <w:highlight w:val="none"/>
                <w:lang w:val="en-US" w:eastAsia="en-US" w:bidi="ar-SA"/>
              </w:rPr>
              <w:t>联系电话：</w:t>
            </w:r>
            <w:r>
              <w:rPr>
                <w:rFonts w:hint="eastAsia" w:ascii="新宋体" w:hAnsi="新宋体" w:eastAsia="新宋体" w:cs="新宋体"/>
                <w:snapToGrid w:val="0"/>
                <w:color w:val="auto"/>
                <w:spacing w:val="-3"/>
                <w:kern w:val="0"/>
                <w:sz w:val="21"/>
                <w:szCs w:val="21"/>
                <w:highlight w:val="none"/>
                <w:lang w:val="en-US" w:eastAsia="zh-CN" w:bidi="ar-SA"/>
              </w:rPr>
              <w:t>13679942122</w:t>
            </w:r>
          </w:p>
        </w:tc>
      </w:tr>
      <w:tr w14:paraId="6386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32" w:type="dxa"/>
            <w:vAlign w:val="center"/>
          </w:tcPr>
          <w:p w14:paraId="2D8ECD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0"/>
              <w:jc w:val="center"/>
              <w:textAlignment w:val="baseline"/>
              <w:rPr>
                <w:rFonts w:hint="default" w:ascii="新宋体" w:hAnsi="新宋体" w:eastAsia="新宋体" w:cs="新宋体"/>
                <w:snapToGrid w:val="0"/>
                <w:color w:val="auto"/>
                <w:spacing w:val="-3"/>
                <w:kern w:val="0"/>
                <w:sz w:val="21"/>
                <w:szCs w:val="21"/>
                <w:highlight w:val="none"/>
                <w:lang w:val="en-US" w:eastAsia="zh-CN" w:bidi="ar-SA"/>
              </w:rPr>
            </w:pPr>
            <w:r>
              <w:rPr>
                <w:rFonts w:hint="eastAsia" w:ascii="新宋体" w:hAnsi="新宋体" w:eastAsia="新宋体" w:cs="新宋体"/>
                <w:snapToGrid w:val="0"/>
                <w:color w:val="auto"/>
                <w:spacing w:val="-3"/>
                <w:kern w:val="0"/>
                <w:sz w:val="21"/>
                <w:szCs w:val="21"/>
                <w:highlight w:val="none"/>
                <w:lang w:val="en-US" w:eastAsia="zh-CN" w:bidi="ar-SA"/>
              </w:rPr>
              <w:t>41</w:t>
            </w:r>
          </w:p>
        </w:tc>
        <w:tc>
          <w:tcPr>
            <w:tcW w:w="1591" w:type="dxa"/>
            <w:vAlign w:val="center"/>
          </w:tcPr>
          <w:p w14:paraId="4E35EC51">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政府采购合同备案</w:t>
            </w:r>
          </w:p>
        </w:tc>
        <w:tc>
          <w:tcPr>
            <w:tcW w:w="6759" w:type="dxa"/>
            <w:vAlign w:val="center"/>
          </w:tcPr>
          <w:p w14:paraId="6C1B8838">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政府采购合同签订之日起2个工作日内，采购人应将政府采购合同在新疆政府采购网公告。</w:t>
            </w:r>
          </w:p>
          <w:p w14:paraId="22C537B7">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政府采购合同签订之日起2个工作日内，成交供应商应将政府采购合同向采购代理机构审核备案。</w:t>
            </w:r>
          </w:p>
        </w:tc>
      </w:tr>
      <w:tr w14:paraId="5A157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732" w:type="dxa"/>
            <w:vAlign w:val="center"/>
          </w:tcPr>
          <w:p w14:paraId="7521243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default"/>
                <w:color w:val="auto"/>
                <w:spacing w:val="-3"/>
                <w:sz w:val="21"/>
                <w:szCs w:val="21"/>
                <w:highlight w:val="none"/>
                <w:lang w:val="en-US" w:eastAsia="zh-CN"/>
              </w:rPr>
            </w:pPr>
            <w:r>
              <w:rPr>
                <w:rFonts w:hint="eastAsia"/>
                <w:color w:val="auto"/>
                <w:spacing w:val="-3"/>
                <w:sz w:val="21"/>
                <w:szCs w:val="21"/>
                <w:highlight w:val="none"/>
                <w:lang w:val="en-US" w:eastAsia="zh-CN"/>
              </w:rPr>
              <w:t>42</w:t>
            </w:r>
          </w:p>
        </w:tc>
        <w:tc>
          <w:tcPr>
            <w:tcW w:w="8350" w:type="dxa"/>
            <w:gridSpan w:val="2"/>
            <w:vAlign w:val="center"/>
          </w:tcPr>
          <w:p w14:paraId="45B9C07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0" w:firstLineChars="0"/>
              <w:jc w:val="both"/>
              <w:textAlignment w:val="baseline"/>
              <w:rPr>
                <w:color w:val="auto"/>
                <w:spacing w:val="-2"/>
                <w:sz w:val="21"/>
                <w:szCs w:val="21"/>
                <w:highlight w:val="none"/>
              </w:rPr>
            </w:pPr>
            <w:r>
              <w:rPr>
                <w:rFonts w:hint="eastAsia" w:ascii="新宋体" w:hAnsi="新宋体" w:eastAsia="新宋体" w:cs="新宋体"/>
                <w:snapToGrid w:val="0"/>
                <w:color w:val="auto"/>
                <w:spacing w:val="-3"/>
                <w:kern w:val="0"/>
                <w:sz w:val="21"/>
                <w:szCs w:val="21"/>
                <w:highlight w:val="none"/>
                <w:lang w:val="en-US" w:eastAsia="en-US" w:bidi="ar-SA"/>
              </w:rPr>
              <w:t>投标文件中有弄虚作假的内容，其投标文件作废。（如假证书、假业绩、隐瞒不良行为记录、夸大荣誉、使用非本单位在职员工的相关证件及不符合采购文件规定的条款等）；在签订合同之前，投标人如发现投标人的投标文件有弄虚作假内容，招标人可拒绝与其签订合同。并将其列入政府采购黑名单库。</w:t>
            </w:r>
          </w:p>
        </w:tc>
      </w:tr>
      <w:tr w14:paraId="72287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32" w:type="dxa"/>
            <w:vAlign w:val="center"/>
          </w:tcPr>
          <w:p w14:paraId="244593C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rFonts w:hint="eastAsia"/>
                <w:color w:val="auto"/>
                <w:spacing w:val="-3"/>
                <w:sz w:val="21"/>
                <w:szCs w:val="21"/>
                <w:highlight w:val="none"/>
                <w:lang w:val="en-US" w:eastAsia="zh-CN"/>
              </w:rPr>
            </w:pPr>
            <w:r>
              <w:rPr>
                <w:rFonts w:hint="eastAsia"/>
                <w:color w:val="auto"/>
                <w:spacing w:val="-3"/>
                <w:sz w:val="21"/>
                <w:szCs w:val="21"/>
                <w:highlight w:val="none"/>
                <w:lang w:val="en-US" w:eastAsia="zh-CN"/>
              </w:rPr>
              <w:t>43</w:t>
            </w:r>
          </w:p>
        </w:tc>
        <w:tc>
          <w:tcPr>
            <w:tcW w:w="1591" w:type="dxa"/>
            <w:vAlign w:val="center"/>
          </w:tcPr>
          <w:p w14:paraId="7120BC5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center"/>
              <w:textAlignment w:val="baseline"/>
              <w:rPr>
                <w:color w:val="auto"/>
                <w:spacing w:val="-3"/>
                <w:sz w:val="21"/>
                <w:szCs w:val="21"/>
                <w:highlight w:val="none"/>
              </w:rPr>
            </w:pPr>
            <w:r>
              <w:rPr>
                <w:color w:val="auto"/>
                <w:spacing w:val="-3"/>
                <w:sz w:val="21"/>
                <w:szCs w:val="21"/>
                <w:highlight w:val="none"/>
              </w:rPr>
              <w:t>文件解释权</w:t>
            </w:r>
          </w:p>
        </w:tc>
        <w:tc>
          <w:tcPr>
            <w:tcW w:w="6759" w:type="dxa"/>
            <w:vAlign w:val="center"/>
          </w:tcPr>
          <w:p w14:paraId="1CEF19AF">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jc w:val="both"/>
              <w:textAlignment w:val="baseline"/>
              <w:rPr>
                <w:color w:val="auto"/>
                <w:spacing w:val="-2"/>
                <w:sz w:val="21"/>
                <w:szCs w:val="21"/>
                <w:highlight w:val="none"/>
              </w:rPr>
            </w:pPr>
            <w:r>
              <w:rPr>
                <w:color w:val="auto"/>
                <w:spacing w:val="-2"/>
                <w:sz w:val="21"/>
                <w:szCs w:val="21"/>
                <w:highlight w:val="none"/>
              </w:rPr>
              <w:t>本招标文件的解释权归</w:t>
            </w:r>
            <w:r>
              <w:rPr>
                <w:rFonts w:hint="eastAsia"/>
                <w:color w:val="auto"/>
                <w:spacing w:val="-2"/>
                <w:sz w:val="21"/>
                <w:szCs w:val="21"/>
                <w:highlight w:val="none"/>
                <w:lang w:eastAsia="zh-CN"/>
              </w:rPr>
              <w:t>伊犁哈萨克自治州纤维检验所</w:t>
            </w:r>
            <w:r>
              <w:rPr>
                <w:color w:val="auto"/>
                <w:spacing w:val="-2"/>
                <w:sz w:val="21"/>
                <w:szCs w:val="21"/>
                <w:highlight w:val="none"/>
              </w:rPr>
              <w:t>。</w:t>
            </w:r>
          </w:p>
        </w:tc>
      </w:tr>
    </w:tbl>
    <w:p w14:paraId="2530958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ascii="Arial" w:hAnsi="Arial" w:eastAsia="Arial" w:cs="Arial"/>
          <w:color w:val="auto"/>
          <w:sz w:val="21"/>
          <w:szCs w:val="21"/>
          <w:highlight w:val="none"/>
        </w:rPr>
        <w:sectPr>
          <w:footerReference r:id="rId8" w:type="default"/>
          <w:pgSz w:w="11905" w:h="16839"/>
          <w:pgMar w:top="1440" w:right="1800" w:bottom="1440" w:left="1800" w:header="0" w:footer="1090" w:gutter="0"/>
          <w:pgNumType w:fmt="numberInDash"/>
          <w:cols w:space="720" w:num="1"/>
        </w:sectPr>
      </w:pPr>
    </w:p>
    <w:p w14:paraId="09369C9B">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z w:val="28"/>
          <w:szCs w:val="28"/>
          <w:highlight w:val="none"/>
        </w:rPr>
      </w:pPr>
      <w:r>
        <w:rPr>
          <w:b/>
          <w:bCs/>
          <w:color w:val="auto"/>
          <w:spacing w:val="-4"/>
          <w:sz w:val="28"/>
          <w:szCs w:val="28"/>
          <w:highlight w:val="none"/>
        </w:rPr>
        <w:t>二、投标人须知</w:t>
      </w:r>
    </w:p>
    <w:p w14:paraId="509178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11"/>
          <w:sz w:val="28"/>
          <w:szCs w:val="28"/>
          <w:highlight w:val="none"/>
        </w:rPr>
        <w:t>（一）总</w:t>
      </w:r>
      <w:r>
        <w:rPr>
          <w:b/>
          <w:bCs/>
          <w:color w:val="auto"/>
          <w:spacing w:val="1"/>
          <w:sz w:val="28"/>
          <w:szCs w:val="28"/>
          <w:highlight w:val="none"/>
        </w:rPr>
        <w:t xml:space="preserve">    </w:t>
      </w:r>
      <w:r>
        <w:rPr>
          <w:b/>
          <w:bCs/>
          <w:color w:val="auto"/>
          <w:spacing w:val="-11"/>
          <w:sz w:val="28"/>
          <w:szCs w:val="28"/>
          <w:highlight w:val="none"/>
        </w:rPr>
        <w:t>则</w:t>
      </w:r>
    </w:p>
    <w:p w14:paraId="7D20A43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1.</w:t>
      </w:r>
      <w:r>
        <w:rPr>
          <w:b/>
          <w:bCs/>
          <w:color w:val="auto"/>
          <w:spacing w:val="66"/>
          <w:w w:val="101"/>
          <w:sz w:val="24"/>
          <w:szCs w:val="24"/>
          <w:highlight w:val="none"/>
        </w:rPr>
        <w:t xml:space="preserve"> </w:t>
      </w:r>
      <w:r>
        <w:rPr>
          <w:b/>
          <w:bCs/>
          <w:color w:val="auto"/>
          <w:spacing w:val="-3"/>
          <w:sz w:val="24"/>
          <w:szCs w:val="24"/>
          <w:highlight w:val="none"/>
        </w:rPr>
        <w:t>项目概况</w:t>
      </w:r>
    </w:p>
    <w:p w14:paraId="7291C3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1.1 本次招标采购</w:t>
      </w:r>
    </w:p>
    <w:p w14:paraId="5B43D2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项目名称：</w:t>
      </w:r>
      <w:r>
        <w:rPr>
          <w:rFonts w:hint="eastAsia" w:ascii="新宋体" w:hAnsi="新宋体" w:eastAsia="新宋体" w:cs="新宋体"/>
          <w:color w:val="auto"/>
          <w:spacing w:val="-2"/>
          <w:sz w:val="24"/>
          <w:szCs w:val="24"/>
          <w:highlight w:val="none"/>
          <w:lang w:eastAsia="zh-CN"/>
        </w:rPr>
        <w:t>伊犁哈萨克自治州纤维检验所2025年棉花公证检验空调、空压机等辅助设备维护服务项目</w:t>
      </w:r>
      <w:r>
        <w:rPr>
          <w:rFonts w:ascii="新宋体" w:hAnsi="新宋体" w:eastAsia="新宋体" w:cs="新宋体"/>
          <w:color w:val="auto"/>
          <w:spacing w:val="-2"/>
          <w:sz w:val="24"/>
          <w:szCs w:val="24"/>
          <w:highlight w:val="none"/>
        </w:rPr>
        <w:t xml:space="preserve"> </w:t>
      </w:r>
    </w:p>
    <w:p w14:paraId="5C60B4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项目编号：</w:t>
      </w:r>
      <w:r>
        <w:rPr>
          <w:rFonts w:hint="eastAsia"/>
          <w:color w:val="auto"/>
          <w:spacing w:val="-1"/>
          <w:sz w:val="21"/>
          <w:szCs w:val="21"/>
          <w:highlight w:val="none"/>
          <w:lang w:val="en-US" w:eastAsia="zh-CN"/>
        </w:rPr>
        <w:t>MHGZJC-2025-005</w:t>
      </w:r>
    </w:p>
    <w:p w14:paraId="55C7C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招标单位：</w:t>
      </w:r>
      <w:r>
        <w:rPr>
          <w:rFonts w:hint="eastAsia" w:ascii="新宋体" w:hAnsi="新宋体" w:eastAsia="新宋体" w:cs="新宋体"/>
          <w:color w:val="auto"/>
          <w:spacing w:val="-2"/>
          <w:sz w:val="24"/>
          <w:szCs w:val="24"/>
          <w:highlight w:val="none"/>
          <w:lang w:eastAsia="zh-CN"/>
        </w:rPr>
        <w:t>伊犁哈萨克自治州纤维检验所</w:t>
      </w:r>
    </w:p>
    <w:p w14:paraId="12A25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snapToGrid w:val="0"/>
          <w:color w:val="auto"/>
          <w:spacing w:val="-2"/>
          <w:kern w:val="0"/>
          <w:sz w:val="24"/>
          <w:szCs w:val="24"/>
          <w:highlight w:val="none"/>
          <w:lang w:val="en-US" w:eastAsia="en-US" w:bidi="ar-SA"/>
        </w:rPr>
      </w:pPr>
      <w:r>
        <w:rPr>
          <w:rFonts w:ascii="新宋体" w:hAnsi="新宋体" w:eastAsia="新宋体" w:cs="新宋体"/>
          <w:color w:val="auto"/>
          <w:spacing w:val="-2"/>
          <w:sz w:val="24"/>
          <w:szCs w:val="24"/>
          <w:highlight w:val="none"/>
        </w:rPr>
        <w:t>合同履行期限</w:t>
      </w:r>
      <w:r>
        <w:rPr>
          <w:rFonts w:hint="eastAsia" w:ascii="新宋体" w:hAnsi="新宋体" w:eastAsia="新宋体" w:cs="新宋体"/>
          <w:color w:val="auto"/>
          <w:spacing w:val="-2"/>
          <w:sz w:val="24"/>
          <w:szCs w:val="24"/>
          <w:highlight w:val="none"/>
          <w:lang w:eastAsia="zh-CN"/>
        </w:rPr>
        <w:t>：</w:t>
      </w:r>
      <w:r>
        <w:rPr>
          <w:rFonts w:hint="eastAsia" w:ascii="新宋体" w:hAnsi="新宋体" w:eastAsia="新宋体" w:cs="新宋体"/>
          <w:snapToGrid w:val="0"/>
          <w:color w:val="auto"/>
          <w:spacing w:val="-2"/>
          <w:kern w:val="0"/>
          <w:sz w:val="24"/>
          <w:szCs w:val="24"/>
          <w:highlight w:val="none"/>
          <w:lang w:val="en-US" w:eastAsia="en-US" w:bidi="ar-SA"/>
        </w:rPr>
        <w:t>365日历日（自合同签订之日起计）。</w:t>
      </w:r>
    </w:p>
    <w:p w14:paraId="6C4B5D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项目地点：</w:t>
      </w:r>
      <w:r>
        <w:rPr>
          <w:rFonts w:hint="eastAsia" w:ascii="新宋体" w:hAnsi="新宋体" w:eastAsia="新宋体" w:cs="新宋体"/>
          <w:color w:val="auto"/>
          <w:spacing w:val="-2"/>
          <w:sz w:val="24"/>
          <w:szCs w:val="24"/>
          <w:highlight w:val="none"/>
          <w:lang w:val="en-US" w:eastAsia="zh-CN"/>
        </w:rPr>
        <w:t>奎屯市和伊宁市两地</w:t>
      </w:r>
    </w:p>
    <w:p w14:paraId="56D3BD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 xml:space="preserve">1.2 招标单位联系人：曲志勇          联系电话：18009991686 </w:t>
      </w:r>
    </w:p>
    <w:p w14:paraId="0ADA8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代理机构：</w:t>
      </w:r>
      <w:r>
        <w:rPr>
          <w:rFonts w:hint="eastAsia" w:ascii="新宋体" w:hAnsi="新宋体" w:eastAsia="新宋体" w:cs="新宋体"/>
          <w:color w:val="auto"/>
          <w:spacing w:val="-2"/>
          <w:sz w:val="24"/>
          <w:szCs w:val="24"/>
          <w:highlight w:val="none"/>
          <w:lang w:eastAsia="zh-CN"/>
        </w:rPr>
        <w:t>乌鲁木齐鑫盛开源工程项目管理有限公司</w:t>
      </w:r>
    </w:p>
    <w:p w14:paraId="19B123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联系人：</w:t>
      </w:r>
      <w:r>
        <w:rPr>
          <w:rFonts w:hint="eastAsia" w:ascii="新宋体" w:hAnsi="新宋体" w:eastAsia="新宋体" w:cs="新宋体"/>
          <w:color w:val="auto"/>
          <w:spacing w:val="-2"/>
          <w:sz w:val="24"/>
          <w:szCs w:val="24"/>
          <w:highlight w:val="none"/>
          <w:lang w:eastAsia="zh-CN"/>
        </w:rPr>
        <w:t>蔡琰</w:t>
      </w:r>
      <w:r>
        <w:rPr>
          <w:rFonts w:ascii="新宋体" w:hAnsi="新宋体" w:eastAsia="新宋体" w:cs="新宋体"/>
          <w:color w:val="auto"/>
          <w:spacing w:val="-2"/>
          <w:sz w:val="24"/>
          <w:szCs w:val="24"/>
          <w:highlight w:val="none"/>
        </w:rPr>
        <w:t xml:space="preserve">                      联系电话：</w:t>
      </w:r>
      <w:r>
        <w:rPr>
          <w:rFonts w:hint="eastAsia" w:ascii="新宋体" w:hAnsi="新宋体" w:eastAsia="新宋体" w:cs="新宋体"/>
          <w:color w:val="auto"/>
          <w:spacing w:val="-2"/>
          <w:sz w:val="24"/>
          <w:szCs w:val="24"/>
          <w:highlight w:val="none"/>
          <w:lang w:eastAsia="zh-CN"/>
        </w:rPr>
        <w:t>13679942122</w:t>
      </w:r>
    </w:p>
    <w:p w14:paraId="2A29D9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hint="eastAsia" w:ascii="新宋体" w:hAnsi="新宋体" w:eastAsia="新宋体" w:cs="新宋体"/>
          <w:color w:val="auto"/>
          <w:spacing w:val="-2"/>
          <w:sz w:val="24"/>
          <w:szCs w:val="24"/>
          <w:highlight w:val="none"/>
          <w:lang w:eastAsia="zh-CN"/>
        </w:rPr>
        <w:t>1.3 资金来源：</w:t>
      </w:r>
      <w:r>
        <w:rPr>
          <w:rFonts w:hint="eastAsia" w:ascii="新宋体" w:hAnsi="新宋体" w:eastAsia="新宋体" w:cs="新宋体"/>
          <w:color w:val="auto"/>
          <w:spacing w:val="-2"/>
          <w:sz w:val="24"/>
          <w:szCs w:val="24"/>
          <w:highlight w:val="none"/>
          <w:lang w:val="en-US" w:eastAsia="zh-CN"/>
        </w:rPr>
        <w:t>2025年度纤维公证检验经费</w:t>
      </w:r>
    </w:p>
    <w:p w14:paraId="6FC981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val="en-US" w:eastAsia="zh-CN"/>
        </w:rPr>
      </w:pPr>
      <w:r>
        <w:rPr>
          <w:rFonts w:hint="eastAsia" w:ascii="新宋体" w:hAnsi="新宋体" w:eastAsia="新宋体" w:cs="新宋体"/>
          <w:color w:val="auto"/>
          <w:spacing w:val="-2"/>
          <w:sz w:val="24"/>
          <w:szCs w:val="24"/>
          <w:highlight w:val="none"/>
          <w:lang w:eastAsia="zh-CN"/>
        </w:rPr>
        <w:t>1.4 本项目预算：</w:t>
      </w:r>
      <w:r>
        <w:rPr>
          <w:rFonts w:hint="eastAsia" w:ascii="新宋体" w:hAnsi="新宋体" w:eastAsia="新宋体" w:cs="新宋体"/>
          <w:color w:val="auto"/>
          <w:spacing w:val="-2"/>
          <w:sz w:val="24"/>
          <w:szCs w:val="24"/>
          <w:highlight w:val="none"/>
          <w:lang w:val="en-US" w:eastAsia="zh-CN"/>
        </w:rPr>
        <w:t>最高投标限价：72万元，大写：柒拾贰万元整；</w:t>
      </w:r>
    </w:p>
    <w:p w14:paraId="0B4648C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z w:val="24"/>
          <w:szCs w:val="24"/>
          <w:highlight w:val="none"/>
        </w:rPr>
        <w:t>2.</w:t>
      </w:r>
      <w:r>
        <w:rPr>
          <w:b/>
          <w:bCs/>
          <w:color w:val="auto"/>
          <w:spacing w:val="63"/>
          <w:sz w:val="24"/>
          <w:szCs w:val="24"/>
          <w:highlight w:val="none"/>
        </w:rPr>
        <w:t xml:space="preserve"> </w:t>
      </w:r>
      <w:r>
        <w:rPr>
          <w:b/>
          <w:bCs/>
          <w:color w:val="auto"/>
          <w:sz w:val="24"/>
          <w:szCs w:val="24"/>
          <w:highlight w:val="none"/>
        </w:rPr>
        <w:t>招标范围</w:t>
      </w:r>
    </w:p>
    <w:p w14:paraId="6EB4127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2.1</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2"/>
          <w:sz w:val="24"/>
          <w:szCs w:val="24"/>
          <w:highlight w:val="none"/>
        </w:rPr>
        <w:t>采购内容：</w:t>
      </w:r>
      <w:r>
        <w:rPr>
          <w:rFonts w:hint="eastAsia" w:ascii="新宋体" w:hAnsi="新宋体" w:eastAsia="新宋体" w:cs="新宋体"/>
          <w:color w:val="auto"/>
          <w:spacing w:val="-3"/>
          <w:sz w:val="24"/>
          <w:szCs w:val="24"/>
          <w:highlight w:val="none"/>
        </w:rPr>
        <w:t>拟新购/更新的设备（装置或系统）具体内容</w:t>
      </w:r>
      <w:r>
        <w:rPr>
          <w:rFonts w:hint="eastAsia" w:ascii="新宋体" w:hAnsi="新宋体" w:eastAsia="新宋体" w:cs="新宋体"/>
          <w:color w:val="auto"/>
          <w:spacing w:val="-3"/>
          <w:sz w:val="24"/>
          <w:szCs w:val="24"/>
          <w:highlight w:val="none"/>
          <w:lang w:eastAsia="zh-CN"/>
        </w:rPr>
        <w:t>：</w:t>
      </w:r>
      <w:r>
        <w:rPr>
          <w:rFonts w:hint="eastAsia" w:ascii="新宋体" w:hAnsi="新宋体" w:eastAsia="新宋体" w:cs="新宋体"/>
          <w:color w:val="auto"/>
          <w:spacing w:val="-3"/>
          <w:sz w:val="24"/>
          <w:szCs w:val="24"/>
          <w:highlight w:val="none"/>
          <w:lang w:val="en-US" w:eastAsia="zh-CN"/>
        </w:rPr>
        <w:t>实验室辅助设备的维护保养；</w:t>
      </w:r>
      <w:r>
        <w:rPr>
          <w:rFonts w:ascii="新宋体" w:hAnsi="新宋体" w:eastAsia="新宋体" w:cs="新宋体"/>
          <w:color w:val="auto"/>
          <w:spacing w:val="-2"/>
          <w:sz w:val="24"/>
          <w:szCs w:val="24"/>
          <w:highlight w:val="none"/>
        </w:rPr>
        <w:t>（详见</w:t>
      </w:r>
      <w:r>
        <w:rPr>
          <w:rFonts w:hint="eastAsia" w:ascii="新宋体" w:hAnsi="新宋体" w:eastAsia="新宋体" w:cs="新宋体"/>
          <w:color w:val="auto"/>
          <w:spacing w:val="-2"/>
          <w:sz w:val="24"/>
          <w:szCs w:val="24"/>
          <w:highlight w:val="none"/>
          <w:lang w:val="en-US" w:eastAsia="zh-CN"/>
        </w:rPr>
        <w:t>招标文件内采购清单</w:t>
      </w:r>
      <w:r>
        <w:rPr>
          <w:rFonts w:ascii="新宋体" w:hAnsi="新宋体" w:eastAsia="新宋体" w:cs="新宋体"/>
          <w:color w:val="auto"/>
          <w:spacing w:val="-2"/>
          <w:sz w:val="24"/>
          <w:szCs w:val="24"/>
          <w:highlight w:val="none"/>
        </w:rPr>
        <w:t>）。</w:t>
      </w:r>
    </w:p>
    <w:p w14:paraId="37A880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2"/>
          <w:sz w:val="24"/>
          <w:szCs w:val="24"/>
          <w:highlight w:val="none"/>
        </w:rPr>
        <w:t>技术要求：详见招标文件第四章采购清单及</w:t>
      </w:r>
      <w:r>
        <w:rPr>
          <w:rFonts w:ascii="新宋体" w:hAnsi="新宋体" w:eastAsia="新宋体" w:cs="新宋体"/>
          <w:color w:val="auto"/>
          <w:spacing w:val="-3"/>
          <w:sz w:val="24"/>
          <w:szCs w:val="24"/>
          <w:highlight w:val="none"/>
        </w:rPr>
        <w:t>技术参数。</w:t>
      </w:r>
    </w:p>
    <w:p w14:paraId="511906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3.</w:t>
      </w:r>
      <w:r>
        <w:rPr>
          <w:b/>
          <w:bCs/>
          <w:color w:val="auto"/>
          <w:spacing w:val="66"/>
          <w:w w:val="101"/>
          <w:sz w:val="24"/>
          <w:szCs w:val="24"/>
          <w:highlight w:val="none"/>
        </w:rPr>
        <w:t xml:space="preserve"> </w:t>
      </w:r>
      <w:r>
        <w:rPr>
          <w:b/>
          <w:bCs/>
          <w:color w:val="auto"/>
          <w:spacing w:val="-7"/>
          <w:sz w:val="24"/>
          <w:szCs w:val="24"/>
          <w:highlight w:val="none"/>
        </w:rPr>
        <w:t>标段划分：</w:t>
      </w:r>
    </w:p>
    <w:p w14:paraId="3199BA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4"/>
          <w:sz w:val="24"/>
          <w:szCs w:val="24"/>
          <w:highlight w:val="none"/>
        </w:rPr>
        <w:t>本项目划分：1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4"/>
          <w:sz w:val="24"/>
          <w:szCs w:val="24"/>
          <w:highlight w:val="none"/>
        </w:rPr>
        <w:t>个标段</w:t>
      </w:r>
    </w:p>
    <w:p w14:paraId="5BC3023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4.</w:t>
      </w:r>
      <w:r>
        <w:rPr>
          <w:b/>
          <w:bCs/>
          <w:color w:val="auto"/>
          <w:spacing w:val="65"/>
          <w:w w:val="101"/>
          <w:sz w:val="24"/>
          <w:szCs w:val="24"/>
          <w:highlight w:val="none"/>
        </w:rPr>
        <w:t xml:space="preserve"> </w:t>
      </w:r>
      <w:r>
        <w:rPr>
          <w:b/>
          <w:bCs/>
          <w:color w:val="auto"/>
          <w:spacing w:val="-6"/>
          <w:sz w:val="24"/>
          <w:szCs w:val="24"/>
          <w:highlight w:val="none"/>
        </w:rPr>
        <w:t>招标方式：</w:t>
      </w:r>
    </w:p>
    <w:p w14:paraId="644EC6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本项目招标方式：公开招标。</w:t>
      </w:r>
    </w:p>
    <w:p w14:paraId="1EDAC1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5.</w:t>
      </w:r>
      <w:r>
        <w:rPr>
          <w:b/>
          <w:bCs/>
          <w:color w:val="auto"/>
          <w:spacing w:val="67"/>
          <w:sz w:val="24"/>
          <w:szCs w:val="24"/>
          <w:highlight w:val="none"/>
        </w:rPr>
        <w:t xml:space="preserve"> </w:t>
      </w:r>
      <w:r>
        <w:rPr>
          <w:b/>
          <w:bCs/>
          <w:color w:val="auto"/>
          <w:spacing w:val="-7"/>
          <w:sz w:val="24"/>
          <w:szCs w:val="24"/>
          <w:highlight w:val="none"/>
        </w:rPr>
        <w:t>计价方式：</w:t>
      </w:r>
    </w:p>
    <w:p w14:paraId="2CAA63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5.1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2"/>
          <w:sz w:val="24"/>
          <w:szCs w:val="24"/>
          <w:highlight w:val="none"/>
        </w:rPr>
        <w:t>本次招标项目合同采用</w:t>
      </w:r>
      <w:r>
        <w:rPr>
          <w:rFonts w:ascii="新宋体" w:hAnsi="新宋体" w:eastAsia="新宋体" w:cs="新宋体"/>
          <w:color w:val="auto"/>
          <w:spacing w:val="-2"/>
          <w:sz w:val="24"/>
          <w:szCs w:val="24"/>
          <w:highlight w:val="none"/>
          <w:u w:val="single" w:color="auto"/>
        </w:rPr>
        <w:t xml:space="preserve">  </w:t>
      </w:r>
      <w:r>
        <w:rPr>
          <w:rFonts w:hint="eastAsia" w:ascii="新宋体" w:hAnsi="新宋体" w:eastAsia="新宋体" w:cs="新宋体"/>
          <w:color w:val="auto"/>
          <w:spacing w:val="-2"/>
          <w:sz w:val="24"/>
          <w:szCs w:val="24"/>
          <w:highlight w:val="none"/>
          <w:u w:val="single" w:color="auto"/>
          <w:lang w:val="en-US" w:eastAsia="zh-CN"/>
        </w:rPr>
        <w:t>固定总价合同</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68B76E6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6.</w:t>
      </w:r>
      <w:r>
        <w:rPr>
          <w:b/>
          <w:bCs/>
          <w:color w:val="auto"/>
          <w:spacing w:val="70"/>
          <w:sz w:val="24"/>
          <w:szCs w:val="24"/>
          <w:highlight w:val="none"/>
        </w:rPr>
        <w:t xml:space="preserve"> </w:t>
      </w:r>
      <w:r>
        <w:rPr>
          <w:b/>
          <w:bCs/>
          <w:color w:val="auto"/>
          <w:spacing w:val="-7"/>
          <w:sz w:val="24"/>
          <w:szCs w:val="24"/>
          <w:highlight w:val="none"/>
        </w:rPr>
        <w:t>评标办法：</w:t>
      </w:r>
    </w:p>
    <w:p w14:paraId="06CB4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6.1</w:t>
      </w:r>
      <w:r>
        <w:rPr>
          <w:rFonts w:ascii="新宋体" w:hAnsi="新宋体" w:eastAsia="新宋体" w:cs="新宋体"/>
          <w:color w:val="auto"/>
          <w:spacing w:val="-26"/>
          <w:sz w:val="24"/>
          <w:szCs w:val="24"/>
          <w:highlight w:val="none"/>
        </w:rPr>
        <w:t xml:space="preserve"> </w:t>
      </w:r>
      <w:r>
        <w:rPr>
          <w:rFonts w:ascii="新宋体" w:hAnsi="新宋体" w:eastAsia="新宋体" w:cs="新宋体"/>
          <w:color w:val="auto"/>
          <w:spacing w:val="-2"/>
          <w:sz w:val="24"/>
          <w:szCs w:val="24"/>
          <w:highlight w:val="none"/>
        </w:rPr>
        <w:t>本次招标评标采用</w:t>
      </w:r>
      <w:r>
        <w:rPr>
          <w:rFonts w:ascii="新宋体" w:hAnsi="新宋体" w:eastAsia="新宋体" w:cs="新宋体"/>
          <w:color w:val="auto"/>
          <w:spacing w:val="-2"/>
          <w:sz w:val="24"/>
          <w:szCs w:val="24"/>
          <w:highlight w:val="none"/>
          <w:u w:val="single" w:color="auto"/>
        </w:rPr>
        <w:t xml:space="preserve">  综合评分法 </w:t>
      </w:r>
      <w:r>
        <w:rPr>
          <w:rFonts w:ascii="新宋体" w:hAnsi="新宋体" w:eastAsia="新宋体" w:cs="新宋体"/>
          <w:color w:val="auto"/>
          <w:spacing w:val="-2"/>
          <w:sz w:val="24"/>
          <w:szCs w:val="24"/>
          <w:highlight w:val="none"/>
        </w:rPr>
        <w:t>（详见第三章评标办法）</w:t>
      </w:r>
    </w:p>
    <w:p w14:paraId="1E10641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7.</w:t>
      </w:r>
      <w:r>
        <w:rPr>
          <w:b/>
          <w:bCs/>
          <w:color w:val="auto"/>
          <w:spacing w:val="63"/>
          <w:sz w:val="24"/>
          <w:szCs w:val="24"/>
          <w:highlight w:val="none"/>
        </w:rPr>
        <w:t xml:space="preserve"> </w:t>
      </w:r>
      <w:r>
        <w:rPr>
          <w:b/>
          <w:bCs/>
          <w:color w:val="auto"/>
          <w:spacing w:val="-6"/>
          <w:sz w:val="24"/>
          <w:szCs w:val="24"/>
          <w:highlight w:val="none"/>
        </w:rPr>
        <w:t>投标人资格：</w:t>
      </w:r>
    </w:p>
    <w:p w14:paraId="29D456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7.1 见投标人须知前附表</w:t>
      </w:r>
    </w:p>
    <w:p w14:paraId="536FB2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z w:val="24"/>
          <w:szCs w:val="24"/>
          <w:highlight w:val="none"/>
        </w:rPr>
        <w:t>8.</w:t>
      </w:r>
      <w:r>
        <w:rPr>
          <w:b/>
          <w:bCs/>
          <w:color w:val="auto"/>
          <w:spacing w:val="65"/>
          <w:sz w:val="24"/>
          <w:szCs w:val="24"/>
          <w:highlight w:val="none"/>
        </w:rPr>
        <w:t xml:space="preserve"> </w:t>
      </w:r>
      <w:r>
        <w:rPr>
          <w:b/>
          <w:bCs/>
          <w:color w:val="auto"/>
          <w:sz w:val="24"/>
          <w:szCs w:val="24"/>
          <w:highlight w:val="none"/>
        </w:rPr>
        <w:t>投标费用</w:t>
      </w:r>
    </w:p>
    <w:p w14:paraId="3A1915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8.1</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3"/>
          <w:sz w:val="24"/>
          <w:szCs w:val="24"/>
          <w:highlight w:val="none"/>
        </w:rPr>
        <w:t>投标人准备和参加投标活动发生的费用自理。</w:t>
      </w:r>
    </w:p>
    <w:p w14:paraId="14C0AC9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z w:val="24"/>
          <w:szCs w:val="24"/>
          <w:highlight w:val="none"/>
        </w:rPr>
        <w:t>9.</w:t>
      </w:r>
      <w:r>
        <w:rPr>
          <w:b/>
          <w:bCs/>
          <w:color w:val="auto"/>
          <w:spacing w:val="66"/>
          <w:sz w:val="24"/>
          <w:szCs w:val="24"/>
          <w:highlight w:val="none"/>
        </w:rPr>
        <w:t xml:space="preserve"> </w:t>
      </w:r>
      <w:r>
        <w:rPr>
          <w:b/>
          <w:bCs/>
          <w:color w:val="auto"/>
          <w:sz w:val="24"/>
          <w:szCs w:val="24"/>
          <w:highlight w:val="none"/>
        </w:rPr>
        <w:t>踏勘现场</w:t>
      </w:r>
    </w:p>
    <w:p w14:paraId="3D6EA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9.1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投标人须知前附表规定组织踏勘现场的，招标人按</w:t>
      </w:r>
      <w:r>
        <w:rPr>
          <w:rFonts w:ascii="新宋体" w:hAnsi="新宋体" w:eastAsia="新宋体" w:cs="新宋体"/>
          <w:color w:val="auto"/>
          <w:spacing w:val="-2"/>
          <w:sz w:val="24"/>
          <w:szCs w:val="24"/>
          <w:highlight w:val="none"/>
        </w:rPr>
        <w:t>投标人须知前附表规定的时间、地</w:t>
      </w:r>
      <w:r>
        <w:rPr>
          <w:rFonts w:ascii="新宋体" w:hAnsi="新宋体" w:eastAsia="新宋体" w:cs="新宋体"/>
          <w:color w:val="auto"/>
          <w:spacing w:val="-5"/>
          <w:sz w:val="24"/>
          <w:szCs w:val="24"/>
          <w:highlight w:val="none"/>
        </w:rPr>
        <w:t>点组织投标人踏勘项目现场。</w:t>
      </w:r>
    </w:p>
    <w:p w14:paraId="0208F8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9.2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投标人踏勘现场发生的费用自理。</w:t>
      </w:r>
    </w:p>
    <w:p w14:paraId="2DFD14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9.3</w:t>
      </w:r>
      <w:r>
        <w:rPr>
          <w:rFonts w:ascii="新宋体" w:hAnsi="新宋体" w:eastAsia="新宋体" w:cs="新宋体"/>
          <w:color w:val="auto"/>
          <w:spacing w:val="-23"/>
          <w:sz w:val="24"/>
          <w:szCs w:val="24"/>
          <w:highlight w:val="none"/>
        </w:rPr>
        <w:t xml:space="preserve"> </w:t>
      </w:r>
      <w:r>
        <w:rPr>
          <w:rFonts w:ascii="新宋体" w:hAnsi="新宋体" w:eastAsia="新宋体" w:cs="新宋体"/>
          <w:color w:val="auto"/>
          <w:spacing w:val="-2"/>
          <w:sz w:val="24"/>
          <w:szCs w:val="24"/>
          <w:highlight w:val="none"/>
        </w:rPr>
        <w:t>除招标人的原因外，投标人自行负责在踏勘现场中所发生的人员伤亡和财产损失。</w:t>
      </w:r>
    </w:p>
    <w:p w14:paraId="0494BC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9.4</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招标人在踏勘现场中介绍的场地和相关的周边环境</w:t>
      </w:r>
      <w:r>
        <w:rPr>
          <w:rFonts w:ascii="新宋体" w:hAnsi="新宋体" w:eastAsia="新宋体" w:cs="新宋体"/>
          <w:color w:val="auto"/>
          <w:spacing w:val="-2"/>
          <w:sz w:val="24"/>
          <w:szCs w:val="24"/>
          <w:highlight w:val="none"/>
        </w:rPr>
        <w:t>情况，供投标人在编制投标文件时参考，招标人不对投标人据此作出的判断和决策</w:t>
      </w:r>
      <w:r>
        <w:rPr>
          <w:rFonts w:ascii="新宋体" w:hAnsi="新宋体" w:eastAsia="新宋体" w:cs="新宋体"/>
          <w:color w:val="auto"/>
          <w:spacing w:val="-3"/>
          <w:sz w:val="24"/>
          <w:szCs w:val="24"/>
          <w:highlight w:val="none"/>
        </w:rPr>
        <w:t>负责。</w:t>
      </w:r>
    </w:p>
    <w:p w14:paraId="4D62706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10.</w:t>
      </w:r>
      <w:r>
        <w:rPr>
          <w:b/>
          <w:bCs/>
          <w:color w:val="auto"/>
          <w:spacing w:val="67"/>
          <w:w w:val="101"/>
          <w:sz w:val="24"/>
          <w:szCs w:val="24"/>
          <w:highlight w:val="none"/>
        </w:rPr>
        <w:t xml:space="preserve"> </w:t>
      </w:r>
      <w:r>
        <w:rPr>
          <w:b/>
          <w:bCs/>
          <w:color w:val="auto"/>
          <w:spacing w:val="-6"/>
          <w:sz w:val="24"/>
          <w:szCs w:val="24"/>
          <w:highlight w:val="none"/>
        </w:rPr>
        <w:t>投标预备会</w:t>
      </w:r>
    </w:p>
    <w:p w14:paraId="4CA73D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投标人须知前附表规定召开投标预备会的，招标人按投标人须知前附表规定的时间</w:t>
      </w:r>
      <w:r>
        <w:rPr>
          <w:rFonts w:ascii="新宋体" w:hAnsi="新宋体" w:eastAsia="新宋体" w:cs="新宋体"/>
          <w:color w:val="auto"/>
          <w:spacing w:val="-2"/>
          <w:sz w:val="24"/>
          <w:szCs w:val="24"/>
          <w:highlight w:val="none"/>
        </w:rPr>
        <w:t>和地点召开投标预备会，澄清投标人提出的</w:t>
      </w:r>
      <w:r>
        <w:rPr>
          <w:rFonts w:ascii="新宋体" w:hAnsi="新宋体" w:eastAsia="新宋体" w:cs="新宋体"/>
          <w:color w:val="auto"/>
          <w:spacing w:val="-3"/>
          <w:sz w:val="24"/>
          <w:szCs w:val="24"/>
          <w:highlight w:val="none"/>
        </w:rPr>
        <w:t>问题。</w:t>
      </w:r>
    </w:p>
    <w:p w14:paraId="6DF12D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10.2</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投标人应在投标人须知前附表规定的时间前，将提出的问题送达招标人，以便招标</w:t>
      </w:r>
      <w:r>
        <w:rPr>
          <w:rFonts w:ascii="新宋体" w:hAnsi="新宋体" w:eastAsia="新宋体" w:cs="新宋体"/>
          <w:color w:val="auto"/>
          <w:spacing w:val="-10"/>
          <w:sz w:val="24"/>
          <w:szCs w:val="24"/>
          <w:highlight w:val="none"/>
        </w:rPr>
        <w:t>人澄清。</w:t>
      </w:r>
    </w:p>
    <w:p w14:paraId="2284FA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10.3</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招标人在投标人须知前附表规定的时间，将对投标人所提的问题进行澄清。该澄清</w:t>
      </w:r>
      <w:r>
        <w:rPr>
          <w:rFonts w:ascii="新宋体" w:hAnsi="新宋体" w:eastAsia="新宋体" w:cs="新宋体"/>
          <w:color w:val="auto"/>
          <w:spacing w:val="-6"/>
          <w:sz w:val="24"/>
          <w:szCs w:val="24"/>
          <w:highlight w:val="none"/>
        </w:rPr>
        <w:t>内容为招标文件的组成部分。</w:t>
      </w:r>
    </w:p>
    <w:p w14:paraId="319E14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11.</w:t>
      </w:r>
      <w:r>
        <w:rPr>
          <w:b/>
          <w:bCs/>
          <w:color w:val="auto"/>
          <w:spacing w:val="67"/>
          <w:sz w:val="24"/>
          <w:szCs w:val="24"/>
          <w:highlight w:val="none"/>
        </w:rPr>
        <w:t xml:space="preserve"> </w:t>
      </w:r>
      <w:r>
        <w:rPr>
          <w:b/>
          <w:bCs/>
          <w:color w:val="auto"/>
          <w:spacing w:val="-4"/>
          <w:sz w:val="24"/>
          <w:szCs w:val="24"/>
          <w:highlight w:val="none"/>
        </w:rPr>
        <w:t>联合投标：本项目不接受联合体投标。</w:t>
      </w:r>
    </w:p>
    <w:p w14:paraId="7117EA0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bookmarkStart w:id="9" w:name="bookmark5"/>
      <w:bookmarkEnd w:id="9"/>
      <w:r>
        <w:rPr>
          <w:b/>
          <w:bCs/>
          <w:color w:val="auto"/>
          <w:spacing w:val="-6"/>
          <w:sz w:val="24"/>
          <w:szCs w:val="24"/>
          <w:highlight w:val="none"/>
        </w:rPr>
        <w:t>12.</w:t>
      </w:r>
      <w:r>
        <w:rPr>
          <w:b/>
          <w:bCs/>
          <w:color w:val="auto"/>
          <w:spacing w:val="67"/>
          <w:w w:val="101"/>
          <w:sz w:val="24"/>
          <w:szCs w:val="24"/>
          <w:highlight w:val="none"/>
        </w:rPr>
        <w:t xml:space="preserve"> </w:t>
      </w:r>
      <w:r>
        <w:rPr>
          <w:b/>
          <w:bCs/>
          <w:color w:val="auto"/>
          <w:spacing w:val="-6"/>
          <w:sz w:val="24"/>
          <w:szCs w:val="24"/>
          <w:highlight w:val="none"/>
        </w:rPr>
        <w:t>招标代理费</w:t>
      </w:r>
    </w:p>
    <w:p w14:paraId="55D9B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12.1</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5"/>
          <w:sz w:val="24"/>
          <w:szCs w:val="24"/>
          <w:highlight w:val="none"/>
        </w:rPr>
        <w:t>招标代理费由</w:t>
      </w:r>
      <w:r>
        <w:rPr>
          <w:rFonts w:hint="eastAsia" w:ascii="新宋体" w:hAnsi="新宋体" w:eastAsia="新宋体" w:cs="新宋体"/>
          <w:color w:val="auto"/>
          <w:spacing w:val="-5"/>
          <w:sz w:val="24"/>
          <w:szCs w:val="24"/>
          <w:highlight w:val="none"/>
          <w:lang w:val="en-US" w:eastAsia="zh-CN"/>
        </w:rPr>
        <w:t>成交人</w:t>
      </w:r>
      <w:r>
        <w:rPr>
          <w:rFonts w:ascii="新宋体" w:hAnsi="新宋体" w:eastAsia="新宋体" w:cs="新宋体"/>
          <w:color w:val="auto"/>
          <w:spacing w:val="-5"/>
          <w:sz w:val="24"/>
          <w:szCs w:val="24"/>
          <w:highlight w:val="none"/>
        </w:rPr>
        <w:t>支付。</w:t>
      </w:r>
    </w:p>
    <w:p w14:paraId="5E84F2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13.</w:t>
      </w:r>
      <w:r>
        <w:rPr>
          <w:b/>
          <w:bCs/>
          <w:color w:val="auto"/>
          <w:spacing w:val="66"/>
          <w:sz w:val="24"/>
          <w:szCs w:val="24"/>
          <w:highlight w:val="none"/>
        </w:rPr>
        <w:t xml:space="preserve"> </w:t>
      </w:r>
      <w:r>
        <w:rPr>
          <w:b/>
          <w:bCs/>
          <w:color w:val="auto"/>
          <w:spacing w:val="-4"/>
          <w:sz w:val="24"/>
          <w:szCs w:val="24"/>
          <w:highlight w:val="none"/>
        </w:rPr>
        <w:t>投标人应注意的事项</w:t>
      </w:r>
    </w:p>
    <w:p w14:paraId="5CF64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13.1</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投标人一旦下载本招标文件并参加投标，即被认为接受了本招标文件中的所有条件</w:t>
      </w:r>
      <w:r>
        <w:rPr>
          <w:rFonts w:ascii="新宋体" w:hAnsi="新宋体" w:eastAsia="新宋体" w:cs="新宋体"/>
          <w:color w:val="auto"/>
          <w:spacing w:val="-6"/>
          <w:sz w:val="24"/>
          <w:szCs w:val="24"/>
          <w:highlight w:val="none"/>
        </w:rPr>
        <w:t>和规定。投标人必须严格按招标文件的要求编制投标文件， 投标文件宜编制页码和目录，以便</w:t>
      </w:r>
      <w:r>
        <w:rPr>
          <w:rFonts w:ascii="新宋体" w:hAnsi="新宋体" w:eastAsia="新宋体" w:cs="新宋体"/>
          <w:color w:val="auto"/>
          <w:spacing w:val="-8"/>
          <w:sz w:val="24"/>
          <w:szCs w:val="24"/>
          <w:highlight w:val="none"/>
        </w:rPr>
        <w:t>评委审核。</w:t>
      </w:r>
    </w:p>
    <w:p w14:paraId="232FF8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13.2</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投标人对采购内容中规定的技术参数、规格、数量和要求等最大限度的满足招标文</w:t>
      </w:r>
      <w:r>
        <w:rPr>
          <w:rFonts w:ascii="新宋体" w:hAnsi="新宋体" w:eastAsia="新宋体" w:cs="新宋体"/>
          <w:color w:val="auto"/>
          <w:spacing w:val="-8"/>
          <w:sz w:val="24"/>
          <w:szCs w:val="24"/>
          <w:highlight w:val="none"/>
        </w:rPr>
        <w:t>件的要求。</w:t>
      </w:r>
    </w:p>
    <w:p w14:paraId="19D92A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3"/>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13.3</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z w:val="24"/>
          <w:szCs w:val="24"/>
          <w:highlight w:val="none"/>
        </w:rPr>
        <w:t>所有投标人的投标保证金都应在投标文件规定的投标保证金缴纳截止</w:t>
      </w:r>
      <w:r>
        <w:rPr>
          <w:rFonts w:ascii="新宋体" w:hAnsi="新宋体" w:eastAsia="新宋体" w:cs="新宋体"/>
          <w:color w:val="auto"/>
          <w:spacing w:val="-1"/>
          <w:sz w:val="24"/>
          <w:szCs w:val="24"/>
          <w:highlight w:val="none"/>
        </w:rPr>
        <w:t>日期前缴纳，</w:t>
      </w:r>
      <w:r>
        <w:rPr>
          <w:rFonts w:ascii="新宋体" w:hAnsi="新宋体" w:eastAsia="新宋体" w:cs="新宋体"/>
          <w:color w:val="auto"/>
          <w:spacing w:val="-7"/>
          <w:sz w:val="24"/>
          <w:szCs w:val="24"/>
          <w:highlight w:val="none"/>
        </w:rPr>
        <w:t>以资金到账时间为准。</w:t>
      </w:r>
    </w:p>
    <w:p w14:paraId="28C74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13.4</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3"/>
          <w:sz w:val="24"/>
          <w:szCs w:val="24"/>
          <w:highlight w:val="none"/>
        </w:rPr>
        <w:t>法定代表人为同一个人的两个及两个以上法人，母公司、全资子公司</w:t>
      </w:r>
      <w:r>
        <w:rPr>
          <w:rFonts w:ascii="新宋体" w:hAnsi="新宋体" w:eastAsia="新宋体" w:cs="新宋体"/>
          <w:color w:val="auto"/>
          <w:spacing w:val="-4"/>
          <w:sz w:val="24"/>
          <w:szCs w:val="24"/>
          <w:highlight w:val="none"/>
        </w:rPr>
        <w:t>及其控股公司，均不得同时参加本项目的投标。</w:t>
      </w:r>
    </w:p>
    <w:p w14:paraId="565D09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本招标文件不再对上述情况进行描述。</w:t>
      </w:r>
    </w:p>
    <w:p w14:paraId="769FD8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rFonts w:ascii="新宋体" w:hAnsi="新宋体" w:eastAsia="新宋体" w:cs="新宋体"/>
          <w:color w:val="auto"/>
          <w:spacing w:val="-5"/>
          <w:sz w:val="24"/>
          <w:szCs w:val="24"/>
          <w:highlight w:val="none"/>
        </w:rPr>
        <w:t>14.</w:t>
      </w:r>
      <w:r>
        <w:rPr>
          <w:rFonts w:ascii="新宋体" w:hAnsi="新宋体" w:eastAsia="新宋体" w:cs="新宋体"/>
          <w:color w:val="auto"/>
          <w:spacing w:val="35"/>
          <w:sz w:val="24"/>
          <w:szCs w:val="24"/>
          <w:highlight w:val="none"/>
        </w:rPr>
        <w:t xml:space="preserve"> </w:t>
      </w:r>
      <w:r>
        <w:rPr>
          <w:b/>
          <w:bCs/>
          <w:color w:val="auto"/>
          <w:spacing w:val="-5"/>
          <w:sz w:val="24"/>
          <w:szCs w:val="24"/>
          <w:highlight w:val="none"/>
        </w:rPr>
        <w:t>需要补充的其它内容</w:t>
      </w:r>
    </w:p>
    <w:p w14:paraId="79A15A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（1）本招标文件前后条款若有不一致之处，在澄清答疑时又未作出明确规定时，各投标</w:t>
      </w:r>
      <w:r>
        <w:rPr>
          <w:rFonts w:ascii="新宋体" w:hAnsi="新宋体" w:eastAsia="新宋体" w:cs="新宋体"/>
          <w:color w:val="auto"/>
          <w:spacing w:val="-2"/>
          <w:sz w:val="24"/>
          <w:szCs w:val="24"/>
          <w:highlight w:val="none"/>
        </w:rPr>
        <w:t>人的投标文件只要满足其中任一条款，均视为对本招标文件的响应。</w:t>
      </w:r>
    </w:p>
    <w:p w14:paraId="48AC5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（2）投标企业被行业行政主管部门或招投标综合监</w:t>
      </w:r>
      <w:r>
        <w:rPr>
          <w:rFonts w:ascii="新宋体" w:hAnsi="新宋体" w:eastAsia="新宋体" w:cs="新宋体"/>
          <w:color w:val="auto"/>
          <w:spacing w:val="-1"/>
          <w:sz w:val="24"/>
          <w:szCs w:val="24"/>
          <w:highlight w:val="none"/>
        </w:rPr>
        <w:t>督管理部门暂停投标资格且开标日在</w:t>
      </w:r>
      <w:r>
        <w:rPr>
          <w:rFonts w:ascii="新宋体" w:hAnsi="新宋体" w:eastAsia="新宋体" w:cs="新宋体"/>
          <w:color w:val="auto"/>
          <w:sz w:val="24"/>
          <w:szCs w:val="24"/>
          <w:highlight w:val="none"/>
        </w:rPr>
        <w:t>处罚期限内的，一律限制投标资格，不得参加本项目招投标活动，若中标取消中标资格。</w:t>
      </w:r>
    </w:p>
    <w:p w14:paraId="2D61A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若本项目允许采购进口产品，供应商应保证所投产品可履行合法报通关手续进入中国关境内。若本项目不允许采购进口产品，如供应商所投产品为进口产品，其投标将被认定为投标无效。</w:t>
      </w:r>
    </w:p>
    <w:p w14:paraId="46649D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（二）招标文件</w:t>
      </w:r>
    </w:p>
    <w:p w14:paraId="46A664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15.</w:t>
      </w:r>
      <w:r>
        <w:rPr>
          <w:b/>
          <w:bCs/>
          <w:color w:val="auto"/>
          <w:spacing w:val="66"/>
          <w:sz w:val="24"/>
          <w:szCs w:val="24"/>
          <w:highlight w:val="none"/>
        </w:rPr>
        <w:t xml:space="preserve"> </w:t>
      </w:r>
      <w:r>
        <w:rPr>
          <w:b/>
          <w:bCs/>
          <w:color w:val="auto"/>
          <w:spacing w:val="-4"/>
          <w:sz w:val="24"/>
          <w:szCs w:val="24"/>
          <w:highlight w:val="none"/>
        </w:rPr>
        <w:t>招标文件的编制依据</w:t>
      </w:r>
    </w:p>
    <w:p w14:paraId="41BB10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根据《中华人</w:t>
      </w:r>
      <w:r>
        <w:rPr>
          <w:rFonts w:ascii="新宋体" w:hAnsi="新宋体" w:eastAsia="新宋体" w:cs="新宋体"/>
          <w:color w:val="auto"/>
          <w:spacing w:val="-4"/>
          <w:sz w:val="24"/>
          <w:szCs w:val="24"/>
          <w:highlight w:val="none"/>
        </w:rPr>
        <w:t>民共和国政府采购法及其实</w:t>
      </w:r>
      <w:r>
        <w:rPr>
          <w:rFonts w:ascii="新宋体" w:hAnsi="新宋体" w:eastAsia="新宋体" w:cs="新宋体"/>
          <w:color w:val="auto"/>
          <w:spacing w:val="-3"/>
          <w:sz w:val="24"/>
          <w:szCs w:val="24"/>
          <w:highlight w:val="none"/>
        </w:rPr>
        <w:t>施条例》、《政府采购货物和服务招标投标管理办法》</w:t>
      </w:r>
      <w:r>
        <w:rPr>
          <w:rFonts w:hint="eastAsia" w:ascii="新宋体" w:hAnsi="新宋体" w:eastAsia="新宋体" w:cs="新宋体"/>
          <w:color w:val="auto"/>
          <w:spacing w:val="-3"/>
          <w:sz w:val="24"/>
          <w:szCs w:val="24"/>
          <w:highlight w:val="none"/>
          <w:lang w:eastAsia="zh-CN"/>
        </w:rPr>
        <w:t>、《关于政府采购进口产品管理有关问题的通知》(财库[2007]119号)、《关于政府采购进口产品管理有关问题的通知财办库》(财库[2008]〕248 号)</w:t>
      </w:r>
      <w:r>
        <w:rPr>
          <w:rFonts w:ascii="新宋体" w:hAnsi="新宋体" w:eastAsia="新宋体" w:cs="新宋体"/>
          <w:color w:val="auto"/>
          <w:spacing w:val="-3"/>
          <w:sz w:val="24"/>
          <w:szCs w:val="24"/>
          <w:highlight w:val="none"/>
        </w:rPr>
        <w:t>和《中华人民共和国</w:t>
      </w:r>
      <w:r>
        <w:rPr>
          <w:rFonts w:hint="eastAsia" w:ascii="新宋体" w:hAnsi="新宋体" w:eastAsia="新宋体" w:cs="新宋体"/>
          <w:color w:val="auto"/>
          <w:spacing w:val="-3"/>
          <w:sz w:val="24"/>
          <w:szCs w:val="24"/>
          <w:highlight w:val="none"/>
          <w:lang w:val="en-US" w:eastAsia="zh-CN"/>
        </w:rPr>
        <w:t>民法典</w:t>
      </w:r>
      <w:r>
        <w:rPr>
          <w:rFonts w:ascii="新宋体" w:hAnsi="新宋体" w:eastAsia="新宋体" w:cs="新宋体"/>
          <w:color w:val="auto"/>
          <w:spacing w:val="-3"/>
          <w:sz w:val="24"/>
          <w:szCs w:val="24"/>
          <w:highlight w:val="none"/>
        </w:rPr>
        <w:t>》等相关法</w:t>
      </w:r>
      <w:r>
        <w:rPr>
          <w:rFonts w:ascii="新宋体" w:hAnsi="新宋体" w:eastAsia="新宋体" w:cs="新宋体"/>
          <w:color w:val="auto"/>
          <w:spacing w:val="-2"/>
          <w:sz w:val="24"/>
          <w:szCs w:val="24"/>
          <w:highlight w:val="none"/>
        </w:rPr>
        <w:t>律法规和规章及部、自治区、市级规范性文件的规定，编制本招标文件。</w:t>
      </w:r>
    </w:p>
    <w:p w14:paraId="7EE4DD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16.</w:t>
      </w:r>
      <w:r>
        <w:rPr>
          <w:b/>
          <w:bCs/>
          <w:color w:val="auto"/>
          <w:spacing w:val="68"/>
          <w:w w:val="101"/>
          <w:sz w:val="24"/>
          <w:szCs w:val="24"/>
          <w:highlight w:val="none"/>
        </w:rPr>
        <w:t xml:space="preserve"> </w:t>
      </w:r>
      <w:r>
        <w:rPr>
          <w:b/>
          <w:bCs/>
          <w:color w:val="auto"/>
          <w:spacing w:val="-5"/>
          <w:sz w:val="24"/>
          <w:szCs w:val="24"/>
          <w:highlight w:val="none"/>
        </w:rPr>
        <w:t>招标文件的组成</w:t>
      </w:r>
    </w:p>
    <w:p w14:paraId="5C50C4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16.1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8"/>
          <w:sz w:val="24"/>
          <w:szCs w:val="24"/>
          <w:highlight w:val="none"/>
        </w:rPr>
        <w:t>招标文件包括内容：</w:t>
      </w:r>
      <w:r>
        <w:rPr>
          <w:rFonts w:ascii="新宋体" w:hAnsi="新宋体" w:eastAsia="新宋体" w:cs="新宋体"/>
          <w:color w:val="auto"/>
          <w:sz w:val="24"/>
          <w:szCs w:val="24"/>
          <w:highlight w:val="none"/>
        </w:rPr>
        <w:t xml:space="preserve"> </w:t>
      </w:r>
    </w:p>
    <w:p w14:paraId="4B0C3B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第一章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招标公告</w:t>
      </w:r>
    </w:p>
    <w:p w14:paraId="730AD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第二章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投标须知</w:t>
      </w:r>
    </w:p>
    <w:p w14:paraId="5C8C5B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第三章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评标办法</w:t>
      </w:r>
    </w:p>
    <w:p w14:paraId="25F7D8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第四章  采购清单及技术参数</w:t>
      </w:r>
    </w:p>
    <w:p w14:paraId="704B1F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第五章</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5"/>
          <w:sz w:val="24"/>
          <w:szCs w:val="24"/>
          <w:highlight w:val="none"/>
        </w:rPr>
        <w:t>合同条款及格式</w:t>
      </w:r>
    </w:p>
    <w:p w14:paraId="4F579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第六章  投标文件格式文本</w:t>
      </w:r>
    </w:p>
    <w:p w14:paraId="2D5B7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16.2</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7"/>
          <w:sz w:val="24"/>
          <w:szCs w:val="24"/>
          <w:highlight w:val="none"/>
        </w:rPr>
        <w:t>除</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7"/>
          <w:sz w:val="24"/>
          <w:szCs w:val="24"/>
          <w:highlight w:val="none"/>
        </w:rPr>
        <w:t>16.1 内容外，招标答疑亦为招标文件的组成部分，对招标人和投标人</w:t>
      </w:r>
      <w:r>
        <w:rPr>
          <w:rFonts w:ascii="新宋体" w:hAnsi="新宋体" w:eastAsia="新宋体" w:cs="新宋体"/>
          <w:color w:val="auto"/>
          <w:spacing w:val="-8"/>
          <w:sz w:val="24"/>
          <w:szCs w:val="24"/>
          <w:highlight w:val="none"/>
        </w:rPr>
        <w:t>起约束作用。</w:t>
      </w:r>
    </w:p>
    <w:p w14:paraId="055143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16.3</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投标人应仔细阅读和检查招标文件的全部内容。如发现缺页或附件不全，应及时向</w:t>
      </w:r>
      <w:r>
        <w:rPr>
          <w:rFonts w:ascii="新宋体" w:hAnsi="新宋体" w:eastAsia="新宋体" w:cs="新宋体"/>
          <w:color w:val="auto"/>
          <w:spacing w:val="-6"/>
          <w:sz w:val="24"/>
          <w:szCs w:val="24"/>
          <w:highlight w:val="none"/>
        </w:rPr>
        <w:t>招标人提出，以便补齐。如有疑问，应在投标人须知前附表规定的时间前，要求招标人对招标文件予以澄清。</w:t>
      </w:r>
    </w:p>
    <w:p w14:paraId="29BE31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16.4</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z w:val="24"/>
          <w:szCs w:val="24"/>
          <w:highlight w:val="none"/>
        </w:rPr>
        <w:t>招标文件的澄清，但不指明澄清问题的来源。如果澄清内容影响投标文件编制的，</w:t>
      </w:r>
      <w:r>
        <w:rPr>
          <w:rFonts w:ascii="新宋体" w:hAnsi="新宋体" w:eastAsia="新宋体" w:cs="新宋体"/>
          <w:color w:val="auto"/>
          <w:spacing w:val="-4"/>
          <w:sz w:val="24"/>
          <w:szCs w:val="24"/>
          <w:highlight w:val="none"/>
        </w:rPr>
        <w:t>将相应延长投标截止时间。</w:t>
      </w:r>
    </w:p>
    <w:p w14:paraId="49C508D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17.</w:t>
      </w:r>
      <w:r>
        <w:rPr>
          <w:b/>
          <w:bCs/>
          <w:color w:val="auto"/>
          <w:spacing w:val="65"/>
          <w:w w:val="101"/>
          <w:sz w:val="24"/>
          <w:szCs w:val="24"/>
          <w:highlight w:val="none"/>
        </w:rPr>
        <w:t xml:space="preserve"> </w:t>
      </w:r>
      <w:r>
        <w:rPr>
          <w:b/>
          <w:bCs/>
          <w:color w:val="auto"/>
          <w:spacing w:val="-3"/>
          <w:sz w:val="24"/>
          <w:szCs w:val="24"/>
          <w:highlight w:val="none"/>
        </w:rPr>
        <w:t>招标文件的修改、补充、解释</w:t>
      </w:r>
    </w:p>
    <w:p w14:paraId="0C76F9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17.1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招标文件发出后，招标人在规定的投标截止时间前可对招标文件进行必要的修改和</w:t>
      </w:r>
      <w:r>
        <w:rPr>
          <w:rFonts w:ascii="新宋体" w:hAnsi="新宋体" w:eastAsia="新宋体" w:cs="新宋体"/>
          <w:color w:val="auto"/>
          <w:spacing w:val="-3"/>
          <w:sz w:val="24"/>
          <w:szCs w:val="24"/>
          <w:highlight w:val="none"/>
        </w:rPr>
        <w:t>补充，请各位投标人注意查看有关澄清内容，如不及时查看造成后果由投标人自负。招标文件</w:t>
      </w:r>
      <w:r>
        <w:rPr>
          <w:rFonts w:ascii="新宋体" w:hAnsi="新宋体" w:eastAsia="新宋体" w:cs="新宋体"/>
          <w:color w:val="auto"/>
          <w:spacing w:val="-2"/>
          <w:sz w:val="24"/>
          <w:szCs w:val="24"/>
          <w:highlight w:val="none"/>
        </w:rPr>
        <w:t>的修改、补充等内容作为招标文件的组成部分，具有约束作用。</w:t>
      </w:r>
    </w:p>
    <w:p w14:paraId="0CBC14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17.2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4"/>
          <w:sz w:val="24"/>
          <w:szCs w:val="24"/>
          <w:highlight w:val="none"/>
        </w:rPr>
        <w:t>招标文件的解释</w:t>
      </w:r>
    </w:p>
    <w:p w14:paraId="43861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本招标文件由招标人（或其委托的</w:t>
      </w:r>
      <w:r>
        <w:rPr>
          <w:rFonts w:hint="eastAsia" w:ascii="新宋体" w:hAnsi="新宋体" w:eastAsia="新宋体" w:cs="新宋体"/>
          <w:color w:val="auto"/>
          <w:spacing w:val="-2"/>
          <w:sz w:val="24"/>
          <w:szCs w:val="24"/>
          <w:highlight w:val="none"/>
          <w:lang w:eastAsia="zh-CN"/>
        </w:rPr>
        <w:t>采购代理机构</w:t>
      </w:r>
      <w:r>
        <w:rPr>
          <w:rFonts w:ascii="新宋体" w:hAnsi="新宋体" w:eastAsia="新宋体" w:cs="新宋体"/>
          <w:color w:val="auto"/>
          <w:spacing w:val="-2"/>
          <w:sz w:val="24"/>
          <w:szCs w:val="24"/>
          <w:highlight w:val="none"/>
        </w:rPr>
        <w:t>）负责解释。</w:t>
      </w:r>
    </w:p>
    <w:p w14:paraId="24B8630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18.</w:t>
      </w:r>
      <w:r>
        <w:rPr>
          <w:b/>
          <w:bCs/>
          <w:color w:val="auto"/>
          <w:spacing w:val="68"/>
          <w:w w:val="101"/>
          <w:sz w:val="24"/>
          <w:szCs w:val="24"/>
          <w:highlight w:val="none"/>
        </w:rPr>
        <w:t xml:space="preserve"> </w:t>
      </w:r>
      <w:r>
        <w:rPr>
          <w:b/>
          <w:bCs/>
          <w:color w:val="auto"/>
          <w:spacing w:val="-5"/>
          <w:sz w:val="24"/>
          <w:szCs w:val="24"/>
          <w:highlight w:val="none"/>
        </w:rPr>
        <w:t>招标文件的发出</w:t>
      </w:r>
    </w:p>
    <w:p w14:paraId="1ED503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Arial"/>
          <w:color w:val="auto"/>
          <w:sz w:val="21"/>
          <w:highlight w:val="none"/>
        </w:rPr>
      </w:pPr>
      <w:r>
        <w:rPr>
          <w:rFonts w:ascii="新宋体" w:hAnsi="新宋体" w:eastAsia="新宋体" w:cs="新宋体"/>
          <w:color w:val="auto"/>
          <w:spacing w:val="1"/>
          <w:sz w:val="24"/>
          <w:szCs w:val="24"/>
          <w:highlight w:val="none"/>
        </w:rPr>
        <w:t>18.1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招标文件、招标文件的澄清、修改、补充及招标答疑等均应报招投标监督管理机构</w:t>
      </w:r>
      <w:r>
        <w:rPr>
          <w:rFonts w:ascii="新宋体" w:hAnsi="新宋体" w:eastAsia="新宋体" w:cs="新宋体"/>
          <w:color w:val="auto"/>
          <w:spacing w:val="-5"/>
          <w:sz w:val="24"/>
          <w:szCs w:val="24"/>
          <w:highlight w:val="none"/>
        </w:rPr>
        <w:t>备案后，方可发出。</w:t>
      </w:r>
    </w:p>
    <w:p w14:paraId="4FFEF4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19.最高限价的作用和说明</w:t>
      </w:r>
    </w:p>
    <w:p w14:paraId="10DF93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19.1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本项目最高限价见投标人须知前附表。</w:t>
      </w:r>
    </w:p>
    <w:p w14:paraId="355D4BF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（三）投标文件的编制</w:t>
      </w:r>
    </w:p>
    <w:p w14:paraId="4FA38704">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z w:val="24"/>
          <w:szCs w:val="24"/>
          <w:highlight w:val="none"/>
        </w:rPr>
      </w:pPr>
      <w:r>
        <w:rPr>
          <w:b/>
          <w:bCs/>
          <w:color w:val="auto"/>
          <w:spacing w:val="-3"/>
          <w:sz w:val="24"/>
          <w:szCs w:val="24"/>
          <w:highlight w:val="none"/>
        </w:rPr>
        <w:t>20.</w:t>
      </w:r>
      <w:r>
        <w:rPr>
          <w:b/>
          <w:bCs/>
          <w:color w:val="auto"/>
          <w:spacing w:val="75"/>
          <w:sz w:val="24"/>
          <w:szCs w:val="24"/>
          <w:highlight w:val="none"/>
        </w:rPr>
        <w:t xml:space="preserve"> </w:t>
      </w:r>
      <w:r>
        <w:rPr>
          <w:b/>
          <w:bCs/>
          <w:color w:val="auto"/>
          <w:spacing w:val="-3"/>
          <w:sz w:val="24"/>
          <w:szCs w:val="24"/>
          <w:highlight w:val="none"/>
        </w:rPr>
        <w:t>投标的语言及度量衡单位</w:t>
      </w:r>
    </w:p>
    <w:p w14:paraId="0EF91C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20.1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投标人的投标文件、以及投标人与招</w:t>
      </w:r>
      <w:r>
        <w:rPr>
          <w:rFonts w:ascii="新宋体" w:hAnsi="新宋体" w:eastAsia="新宋体" w:cs="新宋体"/>
          <w:color w:val="auto"/>
          <w:spacing w:val="1"/>
          <w:sz w:val="24"/>
          <w:szCs w:val="24"/>
          <w:highlight w:val="none"/>
        </w:rPr>
        <w:t>标人就投标的所有往来函电，均须使用简体中</w:t>
      </w:r>
      <w:r>
        <w:rPr>
          <w:rFonts w:ascii="新宋体" w:hAnsi="新宋体" w:eastAsia="新宋体" w:cs="新宋体"/>
          <w:color w:val="auto"/>
          <w:spacing w:val="-12"/>
          <w:sz w:val="24"/>
          <w:szCs w:val="24"/>
          <w:highlight w:val="none"/>
        </w:rPr>
        <w:t>文。</w:t>
      </w:r>
    </w:p>
    <w:p w14:paraId="751F01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20.2</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2"/>
          <w:sz w:val="24"/>
          <w:szCs w:val="24"/>
          <w:highlight w:val="none"/>
        </w:rPr>
        <w:t>除招标文件中另有规定外，投标书所使用的度量衡均须采用法定计量单位。</w:t>
      </w:r>
    </w:p>
    <w:p w14:paraId="48319D8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21.</w:t>
      </w:r>
      <w:r>
        <w:rPr>
          <w:b/>
          <w:bCs/>
          <w:color w:val="auto"/>
          <w:spacing w:val="63"/>
          <w:w w:val="101"/>
          <w:sz w:val="24"/>
          <w:szCs w:val="24"/>
          <w:highlight w:val="none"/>
        </w:rPr>
        <w:t xml:space="preserve"> </w:t>
      </w:r>
      <w:r>
        <w:rPr>
          <w:b/>
          <w:bCs/>
          <w:color w:val="auto"/>
          <w:spacing w:val="-3"/>
          <w:sz w:val="24"/>
          <w:szCs w:val="24"/>
          <w:highlight w:val="none"/>
        </w:rPr>
        <w:t>投标文件的组成</w:t>
      </w:r>
    </w:p>
    <w:p w14:paraId="624F8F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投标文件由商务标、技术标、经济标，按以下顺序编制</w:t>
      </w:r>
      <w:r>
        <w:rPr>
          <w:rFonts w:ascii="新宋体" w:hAnsi="新宋体" w:eastAsia="新宋体" w:cs="新宋体"/>
          <w:color w:val="auto"/>
          <w:spacing w:val="-8"/>
          <w:sz w:val="24"/>
          <w:szCs w:val="24"/>
          <w:highlight w:val="none"/>
        </w:rPr>
        <w:t>并提交电子投标文件（务必按以下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顺序编制，每页加盖公章）</w:t>
      </w:r>
    </w:p>
    <w:p w14:paraId="51C2B3C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9"/>
          <w:sz w:val="24"/>
          <w:szCs w:val="24"/>
          <w:highlight w:val="none"/>
        </w:rPr>
        <w:t>21.1</w:t>
      </w:r>
      <w:r>
        <w:rPr>
          <w:b/>
          <w:bCs/>
          <w:color w:val="auto"/>
          <w:spacing w:val="14"/>
          <w:sz w:val="24"/>
          <w:szCs w:val="24"/>
          <w:highlight w:val="none"/>
        </w:rPr>
        <w:t xml:space="preserve"> </w:t>
      </w:r>
      <w:r>
        <w:rPr>
          <w:b/>
          <w:bCs/>
          <w:color w:val="auto"/>
          <w:spacing w:val="-9"/>
          <w:sz w:val="24"/>
          <w:szCs w:val="24"/>
          <w:highlight w:val="none"/>
        </w:rPr>
        <w:t>商务标</w:t>
      </w:r>
    </w:p>
    <w:p w14:paraId="59C678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（1）法定代表人身份证明及其有效身份证复印件或授权委托书及其有效身份证复印件；</w:t>
      </w:r>
    </w:p>
    <w:p w14:paraId="7FE5FC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（2）投标单位基本情况；</w:t>
      </w:r>
    </w:p>
    <w:p w14:paraId="66859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（3）投标保证金打款凭证或投标保函；</w:t>
      </w:r>
    </w:p>
    <w:p w14:paraId="17B4F8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（4）商务条款响应/偏离表；</w:t>
      </w:r>
    </w:p>
    <w:p w14:paraId="04782A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（5）在经营活动中没有重大违法记录的书面声明；</w:t>
      </w:r>
    </w:p>
    <w:p w14:paraId="1A431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（6）社会法人无失信被执行行为承诺书；</w:t>
      </w:r>
    </w:p>
    <w:p w14:paraId="5627CD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（7）无重大税收违法行为承诺书；</w:t>
      </w:r>
    </w:p>
    <w:p w14:paraId="58F339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（8）中标服务费承诺书；</w:t>
      </w:r>
    </w:p>
    <w:p w14:paraId="28ED1C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（9）售后服务；</w:t>
      </w:r>
    </w:p>
    <w:p w14:paraId="63E05C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（10）投标人认为需要提供的其他材料；</w:t>
      </w:r>
    </w:p>
    <w:p w14:paraId="08FDB1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（11）商务部分评分细则里需要提供的相关材料及方案；</w:t>
      </w:r>
    </w:p>
    <w:p w14:paraId="16585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注：凡提供复印件的资料需加盖投标人印章，提供营业执照加盖印章复印件的，投标企业自行承担复印件二维码不清晰可能导致投标人证件审查不通过的后果。</w:t>
      </w:r>
    </w:p>
    <w:p w14:paraId="372FB19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21.2 技术标</w:t>
      </w:r>
    </w:p>
    <w:p w14:paraId="7E3A64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（1）技术要求响应/偏离表；</w:t>
      </w:r>
    </w:p>
    <w:p w14:paraId="05DFB1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（2）货物的详细配置清单；</w:t>
      </w:r>
    </w:p>
    <w:p w14:paraId="6DAB5B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（3）项目实施方案；</w:t>
      </w:r>
    </w:p>
    <w:p w14:paraId="4038CD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（4）服务承诺书；</w:t>
      </w:r>
    </w:p>
    <w:p w14:paraId="245488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Arial"/>
          <w:color w:val="auto"/>
          <w:sz w:val="21"/>
          <w:highlight w:val="none"/>
        </w:rPr>
      </w:pPr>
      <w:r>
        <w:rPr>
          <w:rFonts w:ascii="新宋体" w:hAnsi="新宋体" w:eastAsia="新宋体" w:cs="新宋体"/>
          <w:color w:val="auto"/>
          <w:spacing w:val="-5"/>
          <w:sz w:val="24"/>
          <w:szCs w:val="24"/>
          <w:highlight w:val="none"/>
        </w:rPr>
        <w:t>（5）招标文件规定的其它材料；</w:t>
      </w:r>
    </w:p>
    <w:p w14:paraId="068C9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注：投标人应提交其货物和服务符合招标文件规定的证明，作为投</w:t>
      </w:r>
      <w:r>
        <w:rPr>
          <w:rFonts w:ascii="新宋体" w:hAnsi="新宋体" w:eastAsia="新宋体" w:cs="新宋体"/>
          <w:color w:val="auto"/>
          <w:spacing w:val="-2"/>
          <w:sz w:val="24"/>
          <w:szCs w:val="24"/>
          <w:highlight w:val="none"/>
        </w:rPr>
        <w:t>标文件的一部分。</w:t>
      </w:r>
    </w:p>
    <w:p w14:paraId="2B9990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货物和服务与招标文件的要求相一致的证明，可以是文字资料、图纸、数据、检测报告等，</w:t>
      </w:r>
      <w:r>
        <w:rPr>
          <w:rFonts w:ascii="新宋体" w:hAnsi="新宋体" w:eastAsia="新宋体" w:cs="新宋体"/>
          <w:color w:val="auto"/>
          <w:spacing w:val="-18"/>
          <w:sz w:val="24"/>
          <w:szCs w:val="24"/>
          <w:highlight w:val="none"/>
        </w:rPr>
        <w:t>包括：</w:t>
      </w:r>
    </w:p>
    <w:p w14:paraId="4EDF8D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1、所投货物主要技术指标和性能的详细说明。</w:t>
      </w:r>
    </w:p>
    <w:p w14:paraId="2305A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2、对照招标文件技术规范要求，逐条说明所提供货物和服务已对招标文件的技术规范要</w:t>
      </w:r>
      <w:r>
        <w:rPr>
          <w:rFonts w:ascii="新宋体" w:hAnsi="新宋体" w:eastAsia="新宋体" w:cs="新宋体"/>
          <w:color w:val="auto"/>
          <w:spacing w:val="-7"/>
          <w:sz w:val="24"/>
          <w:szCs w:val="24"/>
          <w:highlight w:val="none"/>
        </w:rPr>
        <w:t>求作出了实质性响应，或申明与技术规范要求的偏差和例外。特别对于有具体参数要求的指标，</w:t>
      </w:r>
      <w:r>
        <w:rPr>
          <w:rFonts w:ascii="新宋体" w:hAnsi="新宋体" w:eastAsia="新宋体" w:cs="新宋体"/>
          <w:color w:val="auto"/>
          <w:spacing w:val="-3"/>
          <w:sz w:val="24"/>
          <w:szCs w:val="24"/>
          <w:highlight w:val="none"/>
        </w:rPr>
        <w:t>投标人必须提供所投货物的具体参数。</w:t>
      </w:r>
    </w:p>
    <w:p w14:paraId="3DBAD2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3、商务条款的偏差和例外。</w:t>
      </w:r>
    </w:p>
    <w:p w14:paraId="605727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4、投标人的技术规范应符合招标文件设备清单的</w:t>
      </w:r>
      <w:r>
        <w:rPr>
          <w:rFonts w:ascii="新宋体" w:hAnsi="新宋体" w:eastAsia="新宋体" w:cs="新宋体"/>
          <w:color w:val="auto"/>
          <w:sz w:val="24"/>
          <w:szCs w:val="24"/>
          <w:highlight w:val="none"/>
        </w:rPr>
        <w:t>要求，投标人可提出改进建议，但该建</w:t>
      </w:r>
      <w:r>
        <w:rPr>
          <w:rFonts w:ascii="新宋体" w:hAnsi="新宋体" w:eastAsia="新宋体" w:cs="新宋体"/>
          <w:color w:val="auto"/>
          <w:spacing w:val="-3"/>
          <w:sz w:val="24"/>
          <w:szCs w:val="24"/>
          <w:highlight w:val="none"/>
        </w:rPr>
        <w:t>议应相当于或优于招标文件设备清单的技术规范要求的规定，以使招标人满意并得到招标人的</w:t>
      </w:r>
      <w:r>
        <w:rPr>
          <w:rFonts w:ascii="新宋体" w:hAnsi="新宋体" w:eastAsia="新宋体" w:cs="新宋体"/>
          <w:color w:val="auto"/>
          <w:spacing w:val="-11"/>
          <w:sz w:val="24"/>
          <w:szCs w:val="24"/>
          <w:highlight w:val="none"/>
        </w:rPr>
        <w:t>同意。</w:t>
      </w:r>
    </w:p>
    <w:p w14:paraId="17ED4C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21.3 经济标</w:t>
      </w:r>
    </w:p>
    <w:p w14:paraId="519AA1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（1）投标承诺书；</w:t>
      </w:r>
    </w:p>
    <w:p w14:paraId="09399F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（2）开标一览表；</w:t>
      </w:r>
    </w:p>
    <w:p w14:paraId="15821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（3）报价明细表；</w:t>
      </w:r>
    </w:p>
    <w:p w14:paraId="1E312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（4）诚信投标承诺书；</w:t>
      </w:r>
    </w:p>
    <w:p w14:paraId="16EF8A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（5）投标人认为需要提供的其他材料。</w:t>
      </w:r>
    </w:p>
    <w:p w14:paraId="0142D8E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22.</w:t>
      </w:r>
      <w:r>
        <w:rPr>
          <w:b/>
          <w:bCs/>
          <w:color w:val="auto"/>
          <w:spacing w:val="63"/>
          <w:sz w:val="24"/>
          <w:szCs w:val="24"/>
          <w:highlight w:val="none"/>
        </w:rPr>
        <w:t xml:space="preserve"> </w:t>
      </w:r>
      <w:r>
        <w:rPr>
          <w:b/>
          <w:bCs/>
          <w:color w:val="auto"/>
          <w:spacing w:val="-4"/>
          <w:sz w:val="24"/>
          <w:szCs w:val="24"/>
          <w:highlight w:val="none"/>
        </w:rPr>
        <w:t>投标报价</w:t>
      </w:r>
    </w:p>
    <w:p w14:paraId="046348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投标报价文件中的单价和总价全部采用人民</w:t>
      </w:r>
      <w:r>
        <w:rPr>
          <w:rFonts w:ascii="新宋体" w:hAnsi="新宋体" w:eastAsia="新宋体" w:cs="新宋体"/>
          <w:color w:val="auto"/>
          <w:spacing w:val="-3"/>
          <w:sz w:val="24"/>
          <w:szCs w:val="24"/>
          <w:highlight w:val="none"/>
        </w:rPr>
        <w:t>币表示。</w:t>
      </w:r>
    </w:p>
    <w:p w14:paraId="462FE6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投标报价表上应清楚地标明投标人拟</w:t>
      </w:r>
      <w:r>
        <w:rPr>
          <w:rFonts w:ascii="新宋体" w:hAnsi="新宋体" w:eastAsia="新宋体" w:cs="新宋体"/>
          <w:color w:val="auto"/>
          <w:spacing w:val="1"/>
          <w:sz w:val="24"/>
          <w:szCs w:val="24"/>
          <w:highlight w:val="none"/>
        </w:rPr>
        <w:t>提供货物的名称、型号、生产厂家、数量、单</w:t>
      </w:r>
      <w:r>
        <w:rPr>
          <w:rFonts w:ascii="新宋体" w:hAnsi="新宋体" w:eastAsia="新宋体" w:cs="新宋体"/>
          <w:color w:val="auto"/>
          <w:spacing w:val="-7"/>
          <w:sz w:val="24"/>
          <w:szCs w:val="24"/>
          <w:highlight w:val="none"/>
        </w:rPr>
        <w:t>价和总价等。</w:t>
      </w:r>
    </w:p>
    <w:p w14:paraId="0EE74F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22.3</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3"/>
          <w:sz w:val="24"/>
          <w:szCs w:val="24"/>
          <w:highlight w:val="none"/>
        </w:rPr>
        <w:t>投标人只允许有一个方案、一个报价。</w:t>
      </w:r>
    </w:p>
    <w:p w14:paraId="512789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22.4</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投标人应按“采购清单及技术参数</w:t>
      </w:r>
      <w:r>
        <w:rPr>
          <w:rFonts w:ascii="新宋体" w:hAnsi="新宋体" w:eastAsia="新宋体" w:cs="新宋体"/>
          <w:color w:val="auto"/>
          <w:spacing w:val="-86"/>
          <w:sz w:val="24"/>
          <w:szCs w:val="24"/>
          <w:highlight w:val="none"/>
        </w:rPr>
        <w:t xml:space="preserve"> </w:t>
      </w:r>
      <w:r>
        <w:rPr>
          <w:rFonts w:ascii="新宋体" w:hAnsi="新宋体" w:eastAsia="新宋体" w:cs="新宋体"/>
          <w:color w:val="auto"/>
          <w:spacing w:val="1"/>
          <w:sz w:val="24"/>
          <w:szCs w:val="24"/>
          <w:highlight w:val="none"/>
        </w:rPr>
        <w:t>”所列货物逐项</w:t>
      </w:r>
      <w:r>
        <w:rPr>
          <w:rFonts w:ascii="新宋体" w:hAnsi="新宋体" w:eastAsia="新宋体" w:cs="新宋体"/>
          <w:color w:val="auto"/>
          <w:sz w:val="24"/>
          <w:szCs w:val="24"/>
          <w:highlight w:val="none"/>
        </w:rPr>
        <w:t>进行报价，并最终按货物总量乘</w:t>
      </w:r>
      <w:r>
        <w:rPr>
          <w:rFonts w:ascii="新宋体" w:hAnsi="新宋体" w:eastAsia="新宋体" w:cs="新宋体"/>
          <w:color w:val="auto"/>
          <w:spacing w:val="-3"/>
          <w:sz w:val="24"/>
          <w:szCs w:val="24"/>
          <w:highlight w:val="none"/>
        </w:rPr>
        <w:t>以货物单价报总价，不得采用总价下浮的方式进行报价。</w:t>
      </w:r>
    </w:p>
    <w:p w14:paraId="3D82B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22.5</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2"/>
          <w:sz w:val="24"/>
          <w:szCs w:val="24"/>
          <w:highlight w:val="none"/>
        </w:rPr>
        <w:t>投标报价的价格是货物交货地验收价格，其总价即为履行合同的固定总价。</w:t>
      </w:r>
    </w:p>
    <w:p w14:paraId="029FE4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22.6</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3"/>
          <w:sz w:val="24"/>
          <w:szCs w:val="24"/>
          <w:highlight w:val="none"/>
        </w:rPr>
        <w:t>投标报价应由法定代表人或被授权人签署。</w:t>
      </w:r>
    </w:p>
    <w:p w14:paraId="13C925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22.7</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3"/>
          <w:sz w:val="24"/>
          <w:szCs w:val="24"/>
          <w:highlight w:val="none"/>
        </w:rPr>
        <w:t>投标人的报价不得高于本次招标最高限价。</w:t>
      </w:r>
    </w:p>
    <w:p w14:paraId="15D53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22.8</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总投标价中不得包含招标文件要求以外的内容，否则，在评标时不予核减，但在授</w:t>
      </w:r>
      <w:r>
        <w:rPr>
          <w:rFonts w:ascii="新宋体" w:hAnsi="新宋体" w:eastAsia="新宋体" w:cs="新宋体"/>
          <w:color w:val="auto"/>
          <w:spacing w:val="-2"/>
          <w:sz w:val="24"/>
          <w:szCs w:val="24"/>
          <w:highlight w:val="none"/>
        </w:rPr>
        <w:t>予合同时，招标人有权将这部分价格从其中标价格</w:t>
      </w:r>
      <w:r>
        <w:rPr>
          <w:rFonts w:ascii="新宋体" w:hAnsi="新宋体" w:eastAsia="新宋体" w:cs="新宋体"/>
          <w:color w:val="auto"/>
          <w:spacing w:val="-3"/>
          <w:sz w:val="24"/>
          <w:szCs w:val="24"/>
          <w:highlight w:val="none"/>
        </w:rPr>
        <w:t>中扣除。</w:t>
      </w:r>
    </w:p>
    <w:p w14:paraId="655513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23.</w:t>
      </w:r>
      <w:r>
        <w:rPr>
          <w:b/>
          <w:bCs/>
          <w:color w:val="auto"/>
          <w:spacing w:val="66"/>
          <w:sz w:val="24"/>
          <w:szCs w:val="24"/>
          <w:highlight w:val="none"/>
        </w:rPr>
        <w:t xml:space="preserve"> </w:t>
      </w:r>
      <w:r>
        <w:rPr>
          <w:b/>
          <w:bCs/>
          <w:color w:val="auto"/>
          <w:spacing w:val="-4"/>
          <w:sz w:val="24"/>
          <w:szCs w:val="24"/>
          <w:highlight w:val="none"/>
        </w:rPr>
        <w:t>投标有效期</w:t>
      </w:r>
    </w:p>
    <w:p w14:paraId="3078EC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23.1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4"/>
          <w:sz w:val="24"/>
          <w:szCs w:val="24"/>
          <w:highlight w:val="none"/>
        </w:rPr>
        <w:t>除投标人须知前附表另有规定外，投标有效期为</w:t>
      </w:r>
      <w:r>
        <w:rPr>
          <w:rFonts w:hint="eastAsia" w:ascii="新宋体" w:hAnsi="新宋体" w:eastAsia="新宋体" w:cs="新宋体"/>
          <w:color w:val="auto"/>
          <w:spacing w:val="-4"/>
          <w:sz w:val="24"/>
          <w:szCs w:val="24"/>
          <w:highlight w:val="none"/>
          <w:lang w:val="en-US" w:eastAsia="zh-CN"/>
        </w:rPr>
        <w:t>90</w:t>
      </w:r>
      <w:r>
        <w:rPr>
          <w:rFonts w:ascii="新宋体" w:hAnsi="新宋体" w:eastAsia="新宋体" w:cs="新宋体"/>
          <w:color w:val="auto"/>
          <w:spacing w:val="-4"/>
          <w:sz w:val="24"/>
          <w:szCs w:val="24"/>
          <w:highlight w:val="none"/>
        </w:rPr>
        <w:t>日历日（自投标截止时间起开始</w:t>
      </w:r>
      <w:r>
        <w:rPr>
          <w:rFonts w:ascii="新宋体" w:hAnsi="新宋体" w:eastAsia="新宋体" w:cs="新宋体"/>
          <w:color w:val="auto"/>
          <w:spacing w:val="-9"/>
          <w:sz w:val="24"/>
          <w:szCs w:val="24"/>
          <w:highlight w:val="none"/>
        </w:rPr>
        <w:t>计算）。</w:t>
      </w:r>
    </w:p>
    <w:p w14:paraId="1CB90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23.2</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在投标有效期内，投标人撤销或修改其投标文件的，应承担招标文件和法律规定的</w:t>
      </w:r>
      <w:r>
        <w:rPr>
          <w:rFonts w:ascii="新宋体" w:hAnsi="新宋体" w:eastAsia="新宋体" w:cs="新宋体"/>
          <w:color w:val="auto"/>
          <w:spacing w:val="-12"/>
          <w:sz w:val="24"/>
          <w:szCs w:val="24"/>
          <w:highlight w:val="none"/>
        </w:rPr>
        <w:t>责任。</w:t>
      </w:r>
    </w:p>
    <w:p w14:paraId="2CC96B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23.3 出现特殊情况需要延长投标有效期的，招标人以书面形式通知所有投标人延长投标</w:t>
      </w:r>
      <w:r>
        <w:rPr>
          <w:rFonts w:ascii="新宋体" w:hAnsi="新宋体" w:eastAsia="新宋体" w:cs="新宋体"/>
          <w:color w:val="auto"/>
          <w:spacing w:val="-6"/>
          <w:sz w:val="24"/>
          <w:szCs w:val="24"/>
          <w:highlight w:val="none"/>
        </w:rPr>
        <w:t>有效期。投标人同意延长的，应相应延长其投标保证金的有效期，但不得要求或被允许修改或</w:t>
      </w:r>
      <w:r>
        <w:rPr>
          <w:rFonts w:ascii="新宋体" w:hAnsi="新宋体" w:eastAsia="新宋体" w:cs="新宋体"/>
          <w:color w:val="auto"/>
          <w:spacing w:val="-1"/>
          <w:sz w:val="24"/>
          <w:szCs w:val="24"/>
          <w:highlight w:val="none"/>
        </w:rPr>
        <w:t>撤销其投标文件；投标人拒绝延长的，其投标失效，但投标人有权收回</w:t>
      </w:r>
      <w:r>
        <w:rPr>
          <w:rFonts w:ascii="新宋体" w:hAnsi="新宋体" w:eastAsia="新宋体" w:cs="新宋体"/>
          <w:color w:val="auto"/>
          <w:spacing w:val="-2"/>
          <w:sz w:val="24"/>
          <w:szCs w:val="24"/>
          <w:highlight w:val="none"/>
        </w:rPr>
        <w:t>其投标保证金。</w:t>
      </w:r>
    </w:p>
    <w:p w14:paraId="02B9EA7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24.</w:t>
      </w:r>
      <w:r>
        <w:rPr>
          <w:b/>
          <w:bCs/>
          <w:color w:val="auto"/>
          <w:spacing w:val="66"/>
          <w:sz w:val="24"/>
          <w:szCs w:val="24"/>
          <w:highlight w:val="none"/>
        </w:rPr>
        <w:t xml:space="preserve"> </w:t>
      </w:r>
      <w:r>
        <w:rPr>
          <w:b/>
          <w:bCs/>
          <w:color w:val="auto"/>
          <w:spacing w:val="-4"/>
          <w:sz w:val="24"/>
          <w:szCs w:val="24"/>
          <w:highlight w:val="none"/>
        </w:rPr>
        <w:t>投标保证金</w:t>
      </w:r>
    </w:p>
    <w:p w14:paraId="418B6B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投标人须知前附表规定递交投标保证</w:t>
      </w:r>
      <w:r>
        <w:rPr>
          <w:rFonts w:ascii="新宋体" w:hAnsi="新宋体" w:eastAsia="新宋体" w:cs="新宋体"/>
          <w:color w:val="auto"/>
          <w:spacing w:val="1"/>
          <w:sz w:val="24"/>
          <w:szCs w:val="24"/>
          <w:highlight w:val="none"/>
        </w:rPr>
        <w:t>金的，投标人在递交投标文件的同时，应按投</w:t>
      </w:r>
      <w:r>
        <w:rPr>
          <w:rFonts w:ascii="新宋体" w:hAnsi="新宋体" w:eastAsia="新宋体" w:cs="新宋体"/>
          <w:color w:val="auto"/>
          <w:spacing w:val="-3"/>
          <w:sz w:val="24"/>
          <w:szCs w:val="24"/>
          <w:highlight w:val="none"/>
        </w:rPr>
        <w:t>标人须知前附表规定的金额、担保形式和第六章“投标文件格式”规定的或者事先经过招标人</w:t>
      </w:r>
      <w:r>
        <w:rPr>
          <w:rFonts w:ascii="新宋体" w:hAnsi="新宋体" w:eastAsia="新宋体" w:cs="新宋体"/>
          <w:color w:val="auto"/>
          <w:spacing w:val="-2"/>
          <w:sz w:val="24"/>
          <w:szCs w:val="24"/>
          <w:highlight w:val="none"/>
        </w:rPr>
        <w:t>认可的投标保证金格式递交投标保证金，并作为其投标文件的组成部分。</w:t>
      </w:r>
    </w:p>
    <w:p w14:paraId="01CFB4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投标人不按本章</w:t>
      </w:r>
      <w:r>
        <w:rPr>
          <w:rFonts w:ascii="新宋体" w:hAnsi="新宋体" w:eastAsia="新宋体" w:cs="新宋体"/>
          <w:color w:val="auto"/>
          <w:spacing w:val="-48"/>
          <w:sz w:val="24"/>
          <w:szCs w:val="24"/>
          <w:highlight w:val="none"/>
        </w:rPr>
        <w:t xml:space="preserve"> </w:t>
      </w:r>
      <w:r>
        <w:rPr>
          <w:rFonts w:ascii="新宋体" w:hAnsi="新宋体" w:eastAsia="新宋体" w:cs="新宋体"/>
          <w:color w:val="auto"/>
          <w:spacing w:val="-2"/>
          <w:sz w:val="24"/>
          <w:szCs w:val="24"/>
          <w:highlight w:val="none"/>
        </w:rPr>
        <w:t>24.1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项要求提交保证金的，</w:t>
      </w:r>
      <w:r>
        <w:rPr>
          <w:rFonts w:ascii="新宋体" w:hAnsi="新宋体" w:eastAsia="新宋体" w:cs="新宋体"/>
          <w:color w:val="auto"/>
          <w:spacing w:val="-3"/>
          <w:sz w:val="24"/>
          <w:szCs w:val="24"/>
          <w:highlight w:val="none"/>
        </w:rPr>
        <w:t>评标委员会按无效标处理。</w:t>
      </w:r>
    </w:p>
    <w:p w14:paraId="5EA0BE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24.3 中标通知书发出之日起</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2"/>
          <w:sz w:val="24"/>
          <w:szCs w:val="24"/>
          <w:highlight w:val="none"/>
        </w:rPr>
        <w:t>5</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2"/>
          <w:sz w:val="24"/>
          <w:szCs w:val="24"/>
          <w:highlight w:val="none"/>
        </w:rPr>
        <w:t>个工作日内，</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pacing w:val="-2"/>
          <w:sz w:val="24"/>
          <w:szCs w:val="24"/>
          <w:highlight w:val="none"/>
        </w:rPr>
        <w:t>向未中标的投标人退还投标保证金；招标人</w:t>
      </w:r>
      <w:r>
        <w:rPr>
          <w:rFonts w:ascii="新宋体" w:hAnsi="新宋体" w:eastAsia="新宋体" w:cs="新宋体"/>
          <w:color w:val="auto"/>
          <w:spacing w:val="-3"/>
          <w:sz w:val="24"/>
          <w:szCs w:val="24"/>
          <w:highlight w:val="none"/>
        </w:rPr>
        <w:t>与中标人签订合同后</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5</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3"/>
          <w:sz w:val="24"/>
          <w:szCs w:val="24"/>
          <w:highlight w:val="none"/>
        </w:rPr>
        <w:t>个工作日内，向中标人退还投标保证</w:t>
      </w:r>
      <w:r>
        <w:rPr>
          <w:rFonts w:ascii="新宋体" w:hAnsi="新宋体" w:eastAsia="新宋体" w:cs="新宋体"/>
          <w:color w:val="auto"/>
          <w:spacing w:val="-4"/>
          <w:sz w:val="24"/>
          <w:szCs w:val="24"/>
          <w:highlight w:val="none"/>
        </w:rPr>
        <w:t>金。</w:t>
      </w:r>
    </w:p>
    <w:p w14:paraId="15F12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24.4</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有下列情形之一的，投标保证金将不予</w:t>
      </w:r>
      <w:r>
        <w:rPr>
          <w:rFonts w:ascii="新宋体" w:hAnsi="新宋体" w:eastAsia="新宋体" w:cs="新宋体"/>
          <w:color w:val="auto"/>
          <w:spacing w:val="-4"/>
          <w:sz w:val="24"/>
          <w:szCs w:val="24"/>
          <w:highlight w:val="none"/>
        </w:rPr>
        <w:t>退还：</w:t>
      </w:r>
    </w:p>
    <w:p w14:paraId="00430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（1）投标人在规定的投标有效期内撤销或修改其投标文件；</w:t>
      </w:r>
    </w:p>
    <w:p w14:paraId="2C3B44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（2）中标人无正当理由拒签合同协议书或未按招</w:t>
      </w:r>
      <w:r>
        <w:rPr>
          <w:rFonts w:ascii="新宋体" w:hAnsi="新宋体" w:eastAsia="新宋体" w:cs="新宋体"/>
          <w:color w:val="auto"/>
          <w:spacing w:val="-2"/>
          <w:sz w:val="24"/>
          <w:szCs w:val="24"/>
          <w:highlight w:val="none"/>
        </w:rPr>
        <w:t>标文件规定提交履约保证金。</w:t>
      </w:r>
    </w:p>
    <w:p w14:paraId="1CE6CE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4"/>
          <w:sz w:val="28"/>
          <w:szCs w:val="28"/>
          <w:highlight w:val="none"/>
        </w:rPr>
        <w:t>（四）投标文件的密封和递交</w:t>
      </w:r>
    </w:p>
    <w:p w14:paraId="7EBCEB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25.</w:t>
      </w:r>
      <w:r>
        <w:rPr>
          <w:b/>
          <w:bCs/>
          <w:color w:val="auto"/>
          <w:spacing w:val="72"/>
          <w:sz w:val="24"/>
          <w:szCs w:val="24"/>
          <w:highlight w:val="none"/>
        </w:rPr>
        <w:t xml:space="preserve"> </w:t>
      </w:r>
      <w:r>
        <w:rPr>
          <w:b/>
          <w:bCs/>
          <w:color w:val="auto"/>
          <w:spacing w:val="-3"/>
          <w:sz w:val="24"/>
          <w:szCs w:val="24"/>
          <w:highlight w:val="none"/>
        </w:rPr>
        <w:t>投标文件的份数和签署</w:t>
      </w:r>
    </w:p>
    <w:p w14:paraId="591AE6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25.1</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z w:val="24"/>
          <w:szCs w:val="24"/>
          <w:highlight w:val="none"/>
        </w:rPr>
        <w:t>加密电子版投标文件（一份）在投标截止时间前通过政采云平台上传到指定位置，</w:t>
      </w:r>
      <w:r>
        <w:rPr>
          <w:rFonts w:ascii="新宋体" w:hAnsi="新宋体" w:eastAsia="新宋体" w:cs="新宋体"/>
          <w:color w:val="auto"/>
          <w:spacing w:val="-3"/>
          <w:sz w:val="24"/>
          <w:szCs w:val="24"/>
          <w:highlight w:val="none"/>
        </w:rPr>
        <w:t>否则视为无效，投标文件须按招标文件要求签署。</w:t>
      </w:r>
    </w:p>
    <w:p w14:paraId="4BCF3F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25.2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投标文件中的授权书、投标承诺书及</w:t>
      </w:r>
      <w:r>
        <w:rPr>
          <w:rFonts w:ascii="新宋体" w:hAnsi="新宋体" w:eastAsia="新宋体" w:cs="新宋体"/>
          <w:color w:val="auto"/>
          <w:spacing w:val="1"/>
          <w:sz w:val="24"/>
          <w:szCs w:val="24"/>
          <w:highlight w:val="none"/>
        </w:rPr>
        <w:t>开标一览表等应当在格式文本要求的相应位置</w:t>
      </w:r>
      <w:r>
        <w:rPr>
          <w:rFonts w:ascii="新宋体" w:hAnsi="新宋体" w:eastAsia="新宋体" w:cs="新宋体"/>
          <w:color w:val="auto"/>
          <w:spacing w:val="-8"/>
          <w:sz w:val="24"/>
          <w:szCs w:val="24"/>
          <w:highlight w:val="none"/>
        </w:rPr>
        <w:t>签字和盖章。</w:t>
      </w:r>
    </w:p>
    <w:p w14:paraId="6C7317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25.3</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全套投标文件应无修改和行间插字。如有修改，须在修改处加盖投标单位法定代表</w:t>
      </w:r>
      <w:r>
        <w:rPr>
          <w:rFonts w:ascii="新宋体" w:hAnsi="新宋体" w:eastAsia="新宋体" w:cs="新宋体"/>
          <w:color w:val="auto"/>
          <w:spacing w:val="-4"/>
          <w:sz w:val="24"/>
          <w:szCs w:val="24"/>
          <w:highlight w:val="none"/>
        </w:rPr>
        <w:t>人或其委托代理人的印鉴。</w:t>
      </w:r>
    </w:p>
    <w:p w14:paraId="4FDC01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26.</w:t>
      </w:r>
      <w:r>
        <w:rPr>
          <w:b/>
          <w:bCs/>
          <w:color w:val="auto"/>
          <w:spacing w:val="65"/>
          <w:sz w:val="24"/>
          <w:szCs w:val="24"/>
          <w:highlight w:val="none"/>
        </w:rPr>
        <w:t xml:space="preserve"> </w:t>
      </w:r>
      <w:r>
        <w:rPr>
          <w:b/>
          <w:bCs/>
          <w:color w:val="auto"/>
          <w:spacing w:val="-2"/>
          <w:sz w:val="24"/>
          <w:szCs w:val="24"/>
          <w:highlight w:val="none"/>
        </w:rPr>
        <w:t>投标文件的装订、密封和标记（本项目不适用）</w:t>
      </w:r>
    </w:p>
    <w:p w14:paraId="0C9FBF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27.</w:t>
      </w:r>
      <w:r>
        <w:rPr>
          <w:b/>
          <w:bCs/>
          <w:color w:val="auto"/>
          <w:spacing w:val="63"/>
          <w:w w:val="101"/>
          <w:sz w:val="24"/>
          <w:szCs w:val="24"/>
          <w:highlight w:val="none"/>
        </w:rPr>
        <w:t xml:space="preserve"> </w:t>
      </w:r>
      <w:r>
        <w:rPr>
          <w:b/>
          <w:bCs/>
          <w:color w:val="auto"/>
          <w:spacing w:val="-3"/>
          <w:sz w:val="24"/>
          <w:szCs w:val="24"/>
          <w:highlight w:val="none"/>
        </w:rPr>
        <w:t>投标文件的提交</w:t>
      </w:r>
    </w:p>
    <w:p w14:paraId="42E381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2"/>
          <w:sz w:val="24"/>
          <w:szCs w:val="24"/>
          <w:highlight w:val="none"/>
        </w:rPr>
        <w:t>投标人应在投标人须知前附表规定的投标截止时间前递交投标文件。</w:t>
      </w:r>
    </w:p>
    <w:p w14:paraId="06D559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投标人递交投标文件的地点：见投标人须知</w:t>
      </w:r>
      <w:r>
        <w:rPr>
          <w:rFonts w:ascii="新宋体" w:hAnsi="新宋体" w:eastAsia="新宋体" w:cs="新宋体"/>
          <w:color w:val="auto"/>
          <w:spacing w:val="-3"/>
          <w:sz w:val="24"/>
          <w:szCs w:val="24"/>
          <w:highlight w:val="none"/>
        </w:rPr>
        <w:t>前附表。</w:t>
      </w:r>
    </w:p>
    <w:p w14:paraId="041C2D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Arial"/>
          <w:color w:val="auto"/>
          <w:sz w:val="21"/>
          <w:highlight w:val="none"/>
        </w:rPr>
      </w:pPr>
      <w:r>
        <w:rPr>
          <w:rFonts w:ascii="新宋体" w:hAnsi="新宋体" w:eastAsia="新宋体" w:cs="新宋体"/>
          <w:color w:val="auto"/>
          <w:spacing w:val="-2"/>
          <w:sz w:val="24"/>
          <w:szCs w:val="24"/>
          <w:highlight w:val="none"/>
        </w:rPr>
        <w:t>27.3</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除投标人须知前附表另有规定外，投标人所递交的投标文件不予退还。</w:t>
      </w:r>
    </w:p>
    <w:p w14:paraId="4E94AC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z w:val="24"/>
          <w:szCs w:val="24"/>
          <w:highlight w:val="none"/>
          <w:lang w:eastAsia="zh-CN"/>
        </w:rPr>
      </w:pPr>
      <w:r>
        <w:rPr>
          <w:rFonts w:ascii="新宋体" w:hAnsi="新宋体" w:eastAsia="新宋体" w:cs="新宋体"/>
          <w:color w:val="auto"/>
          <w:spacing w:val="-2"/>
          <w:sz w:val="24"/>
          <w:szCs w:val="24"/>
          <w:highlight w:val="none"/>
        </w:rPr>
        <w:t>27.4</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招标人收到投标文件后，向投标人出</w:t>
      </w:r>
      <w:r>
        <w:rPr>
          <w:rFonts w:ascii="新宋体" w:hAnsi="新宋体" w:eastAsia="新宋体" w:cs="新宋体"/>
          <w:color w:val="auto"/>
          <w:spacing w:val="-3"/>
          <w:sz w:val="24"/>
          <w:szCs w:val="24"/>
          <w:highlight w:val="none"/>
        </w:rPr>
        <w:t>具签收凭证。</w:t>
      </w:r>
      <w:r>
        <w:rPr>
          <w:rFonts w:hint="eastAsia" w:ascii="新宋体" w:hAnsi="新宋体" w:eastAsia="新宋体" w:cs="新宋体"/>
          <w:color w:val="auto"/>
          <w:spacing w:val="-3"/>
          <w:sz w:val="24"/>
          <w:szCs w:val="24"/>
          <w:highlight w:val="none"/>
          <w:lang w:eastAsia="zh-CN"/>
        </w:rPr>
        <w:t>（</w:t>
      </w:r>
      <w:r>
        <w:rPr>
          <w:rFonts w:hint="eastAsia" w:ascii="新宋体" w:hAnsi="新宋体" w:eastAsia="新宋体" w:cs="新宋体"/>
          <w:color w:val="auto"/>
          <w:spacing w:val="-3"/>
          <w:sz w:val="24"/>
          <w:szCs w:val="24"/>
          <w:highlight w:val="none"/>
          <w:lang w:val="en-US" w:eastAsia="zh-CN"/>
        </w:rPr>
        <w:t>不见面开标不适用</w:t>
      </w:r>
      <w:r>
        <w:rPr>
          <w:rFonts w:hint="eastAsia" w:ascii="新宋体" w:hAnsi="新宋体" w:eastAsia="新宋体" w:cs="新宋体"/>
          <w:color w:val="auto"/>
          <w:spacing w:val="-3"/>
          <w:sz w:val="24"/>
          <w:szCs w:val="24"/>
          <w:highlight w:val="none"/>
          <w:lang w:eastAsia="zh-CN"/>
        </w:rPr>
        <w:t>）</w:t>
      </w:r>
    </w:p>
    <w:p w14:paraId="2FC9D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27.5</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2"/>
          <w:sz w:val="24"/>
          <w:szCs w:val="24"/>
          <w:highlight w:val="none"/>
        </w:rPr>
        <w:t>逾期送达的或者未送达指定地点的投标文件，招标人不予受理。</w:t>
      </w:r>
    </w:p>
    <w:p w14:paraId="571E4CA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28.</w:t>
      </w:r>
      <w:r>
        <w:rPr>
          <w:b/>
          <w:bCs/>
          <w:color w:val="auto"/>
          <w:spacing w:val="64"/>
          <w:w w:val="101"/>
          <w:sz w:val="24"/>
          <w:szCs w:val="24"/>
          <w:highlight w:val="none"/>
        </w:rPr>
        <w:t xml:space="preserve"> </w:t>
      </w:r>
      <w:r>
        <w:rPr>
          <w:b/>
          <w:bCs/>
          <w:color w:val="auto"/>
          <w:spacing w:val="-2"/>
          <w:sz w:val="24"/>
          <w:szCs w:val="24"/>
          <w:highlight w:val="none"/>
        </w:rPr>
        <w:t>投标文件的补充、修改与撤回</w:t>
      </w:r>
    </w:p>
    <w:p w14:paraId="0ABFA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投标人在提交投标文件以后，在规定</w:t>
      </w:r>
      <w:r>
        <w:rPr>
          <w:rFonts w:ascii="新宋体" w:hAnsi="新宋体" w:eastAsia="新宋体" w:cs="新宋体"/>
          <w:color w:val="auto"/>
          <w:spacing w:val="1"/>
          <w:sz w:val="24"/>
          <w:szCs w:val="24"/>
          <w:highlight w:val="none"/>
        </w:rPr>
        <w:t>的投标截止时间之前，可以补充、修改或撤回</w:t>
      </w:r>
      <w:r>
        <w:rPr>
          <w:rFonts w:ascii="新宋体" w:hAnsi="新宋体" w:eastAsia="新宋体" w:cs="新宋体"/>
          <w:color w:val="auto"/>
          <w:spacing w:val="-3"/>
          <w:sz w:val="24"/>
          <w:szCs w:val="24"/>
          <w:highlight w:val="none"/>
        </w:rPr>
        <w:t>已提交的投标文件。补充、修改的内容为投标文件的组成部分。</w:t>
      </w:r>
    </w:p>
    <w:p w14:paraId="335214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28.2</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8"/>
          <w:sz w:val="24"/>
          <w:szCs w:val="24"/>
          <w:highlight w:val="none"/>
        </w:rPr>
        <w:t>投标人对投标文件的补充、修改，应按本须知第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25</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26</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条和第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27</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条有关规定</w:t>
      </w:r>
      <w:r>
        <w:rPr>
          <w:rFonts w:ascii="新宋体" w:hAnsi="新宋体" w:eastAsia="新宋体" w:cs="新宋体"/>
          <w:color w:val="auto"/>
          <w:spacing w:val="-6"/>
          <w:sz w:val="24"/>
          <w:szCs w:val="24"/>
          <w:highlight w:val="none"/>
        </w:rPr>
        <w:t>密封、标记和提交。</w:t>
      </w:r>
    </w:p>
    <w:p w14:paraId="1899E5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28.3</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在投标截止时间之后，投标人不得补充、修改投标文</w:t>
      </w:r>
      <w:r>
        <w:rPr>
          <w:rFonts w:ascii="新宋体" w:hAnsi="新宋体" w:eastAsia="新宋体" w:cs="新宋体"/>
          <w:color w:val="auto"/>
          <w:spacing w:val="-3"/>
          <w:sz w:val="24"/>
          <w:szCs w:val="24"/>
          <w:highlight w:val="none"/>
        </w:rPr>
        <w:t>件。</w:t>
      </w:r>
    </w:p>
    <w:p w14:paraId="0B28BF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3"/>
          <w:sz w:val="28"/>
          <w:szCs w:val="28"/>
          <w:highlight w:val="none"/>
        </w:rPr>
        <w:t>（五）开标、评标和定标</w:t>
      </w:r>
    </w:p>
    <w:p w14:paraId="1D772B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29.</w:t>
      </w:r>
      <w:r>
        <w:rPr>
          <w:b/>
          <w:bCs/>
          <w:color w:val="auto"/>
          <w:spacing w:val="64"/>
          <w:sz w:val="24"/>
          <w:szCs w:val="24"/>
          <w:highlight w:val="none"/>
        </w:rPr>
        <w:t xml:space="preserve"> </w:t>
      </w:r>
      <w:r>
        <w:rPr>
          <w:b/>
          <w:bCs/>
          <w:color w:val="auto"/>
          <w:spacing w:val="-5"/>
          <w:sz w:val="24"/>
          <w:szCs w:val="24"/>
          <w:highlight w:val="none"/>
        </w:rPr>
        <w:t>开标</w:t>
      </w:r>
    </w:p>
    <w:p w14:paraId="75C65D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29.1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3"/>
          <w:sz w:val="24"/>
          <w:szCs w:val="24"/>
          <w:highlight w:val="none"/>
        </w:rPr>
        <w:t>开标的时间和地点</w:t>
      </w:r>
    </w:p>
    <w:p w14:paraId="29C137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29.1.1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招标人按本须知第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2"/>
          <w:sz w:val="24"/>
          <w:szCs w:val="24"/>
          <w:highlight w:val="none"/>
        </w:rPr>
        <w:t>27</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2"/>
          <w:sz w:val="24"/>
          <w:szCs w:val="24"/>
          <w:highlight w:val="none"/>
        </w:rPr>
        <w:t>条提交投标文件的</w:t>
      </w:r>
      <w:r>
        <w:rPr>
          <w:rFonts w:ascii="新宋体" w:hAnsi="新宋体" w:eastAsia="新宋体" w:cs="新宋体"/>
          <w:color w:val="auto"/>
          <w:spacing w:val="-3"/>
          <w:sz w:val="24"/>
          <w:szCs w:val="24"/>
          <w:highlight w:val="none"/>
        </w:rPr>
        <w:t>截止时间和地点，按时参加。</w:t>
      </w:r>
    </w:p>
    <w:p w14:paraId="7C70BF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29.2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开标程序</w:t>
      </w:r>
    </w:p>
    <w:p w14:paraId="57F68C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本项目采用不见面开标：</w:t>
      </w:r>
    </w:p>
    <w:p w14:paraId="0724D8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（1）到投标截止时间后，主持人主持开标会议；</w:t>
      </w:r>
    </w:p>
    <w:p w14:paraId="02010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（2）公布投标人，投标文件解密；</w:t>
      </w:r>
    </w:p>
    <w:p w14:paraId="7C20D9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（3）评标专家进入评审阶段；</w:t>
      </w:r>
    </w:p>
    <w:p w14:paraId="1A2D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（4）评标结束后，有关人员在开标记录表签字确认。</w:t>
      </w:r>
    </w:p>
    <w:p w14:paraId="64C71B8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30.</w:t>
      </w:r>
      <w:r>
        <w:rPr>
          <w:b/>
          <w:bCs/>
          <w:color w:val="auto"/>
          <w:spacing w:val="65"/>
          <w:sz w:val="24"/>
          <w:szCs w:val="24"/>
          <w:highlight w:val="none"/>
        </w:rPr>
        <w:t xml:space="preserve"> </w:t>
      </w:r>
      <w:r>
        <w:rPr>
          <w:b/>
          <w:bCs/>
          <w:color w:val="auto"/>
          <w:spacing w:val="-4"/>
          <w:sz w:val="24"/>
          <w:szCs w:val="24"/>
          <w:highlight w:val="none"/>
        </w:rPr>
        <w:t>评标委员会</w:t>
      </w:r>
    </w:p>
    <w:p w14:paraId="1E3269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3"/>
          <w:sz w:val="24"/>
          <w:szCs w:val="24"/>
          <w:highlight w:val="none"/>
        </w:rPr>
        <w:t>评标委员会的组成</w:t>
      </w:r>
    </w:p>
    <w:p w14:paraId="476C21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30.1.1</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3"/>
          <w:sz w:val="24"/>
          <w:szCs w:val="24"/>
          <w:highlight w:val="none"/>
        </w:rPr>
        <w:t>评标由招标人依法组建的评标委员会负责。</w:t>
      </w:r>
    </w:p>
    <w:p w14:paraId="3370DC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30.1.2</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3"/>
          <w:sz w:val="24"/>
          <w:szCs w:val="24"/>
          <w:highlight w:val="none"/>
        </w:rPr>
        <w:t>评标委员会负责人依法推荐或确定。</w:t>
      </w:r>
    </w:p>
    <w:p w14:paraId="1AD53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30.2</w:t>
      </w:r>
      <w:r>
        <w:rPr>
          <w:rFonts w:ascii="新宋体" w:hAnsi="新宋体" w:eastAsia="新宋体" w:cs="新宋体"/>
          <w:color w:val="auto"/>
          <w:spacing w:val="-26"/>
          <w:sz w:val="24"/>
          <w:szCs w:val="24"/>
          <w:highlight w:val="none"/>
        </w:rPr>
        <w:t xml:space="preserve"> </w:t>
      </w:r>
      <w:r>
        <w:rPr>
          <w:rFonts w:ascii="新宋体" w:hAnsi="新宋体" w:eastAsia="新宋体" w:cs="新宋体"/>
          <w:color w:val="auto"/>
          <w:spacing w:val="-3"/>
          <w:sz w:val="24"/>
          <w:szCs w:val="24"/>
          <w:highlight w:val="none"/>
        </w:rPr>
        <w:t>评标委员会成员名单在中标结果确定前应当保密。</w:t>
      </w:r>
    </w:p>
    <w:p w14:paraId="44C573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30.3</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3"/>
          <w:sz w:val="24"/>
          <w:szCs w:val="24"/>
          <w:highlight w:val="none"/>
        </w:rPr>
        <w:t>评标委员会成员有下述情形的，应当主动提出回避：</w:t>
      </w:r>
    </w:p>
    <w:p w14:paraId="2B6819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（1）投标人或投标人主要负责人的近亲属；</w:t>
      </w:r>
    </w:p>
    <w:p w14:paraId="1D7D0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（2）项目主管部门或者行政监督部门的人员；</w:t>
      </w:r>
    </w:p>
    <w:p w14:paraId="0DAD4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（3）与投标人有经济利益关系；</w:t>
      </w:r>
    </w:p>
    <w:p w14:paraId="7E87E6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2"/>
          <w:sz w:val="24"/>
          <w:szCs w:val="24"/>
          <w:highlight w:val="none"/>
        </w:rPr>
        <w:t>曾因在招标、评标以及其他与招标投标有关活动中从事违法行为而受过行政处罚或</w:t>
      </w:r>
      <w:r>
        <w:rPr>
          <w:rFonts w:ascii="新宋体" w:hAnsi="新宋体" w:eastAsia="新宋体" w:cs="新宋体"/>
          <w:color w:val="auto"/>
          <w:spacing w:val="-11"/>
          <w:sz w:val="24"/>
          <w:szCs w:val="24"/>
          <w:highlight w:val="none"/>
        </w:rPr>
        <w:t>刑事处罚的；</w:t>
      </w:r>
    </w:p>
    <w:p w14:paraId="4CCEA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Arial"/>
          <w:color w:val="auto"/>
          <w:sz w:val="21"/>
          <w:highlight w:val="none"/>
        </w:rPr>
      </w:pPr>
      <w:r>
        <w:rPr>
          <w:rFonts w:ascii="新宋体" w:hAnsi="新宋体" w:eastAsia="新宋体" w:cs="新宋体"/>
          <w:color w:val="auto"/>
          <w:spacing w:val="-3"/>
          <w:sz w:val="24"/>
          <w:szCs w:val="24"/>
          <w:highlight w:val="none"/>
        </w:rPr>
        <w:t>（5）与投标人有其他利害关系。</w:t>
      </w:r>
    </w:p>
    <w:p w14:paraId="2B121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30.4</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评标委员会应当向招标人提出书面评标报告，并抄送有关行政监督部门。评标报告</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应当如实记载以下内容：</w:t>
      </w:r>
    </w:p>
    <w:p w14:paraId="40859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（1）基本情况和数据表；</w:t>
      </w:r>
    </w:p>
    <w:p w14:paraId="30AA7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（2）评标委员会成员名单；</w:t>
      </w:r>
    </w:p>
    <w:p w14:paraId="178E6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（3）开标记录；</w:t>
      </w:r>
    </w:p>
    <w:p w14:paraId="4ED220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（4）符合要求的投标人一览表；</w:t>
      </w:r>
    </w:p>
    <w:p w14:paraId="7902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（5）无效标情况说明；</w:t>
      </w:r>
    </w:p>
    <w:p w14:paraId="11B59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（6）评标标准、评标方法或者评标因素一览表；</w:t>
      </w:r>
    </w:p>
    <w:p w14:paraId="352269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（7）经评审的价格或者评分比较一览表；</w:t>
      </w:r>
    </w:p>
    <w:p w14:paraId="4BE0B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（8）投标人串标、围标等违规行为的确认报告；</w:t>
      </w:r>
    </w:p>
    <w:p w14:paraId="3DA8BB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（9）经评审的投标人排序；</w:t>
      </w:r>
    </w:p>
    <w:p w14:paraId="0CC5CC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（10）推荐的中标候选人名单；</w:t>
      </w:r>
    </w:p>
    <w:p w14:paraId="57EA3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（11）澄清、说明、补正事项纪要。</w:t>
      </w:r>
    </w:p>
    <w:p w14:paraId="739E58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30.5</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评标委员会应自觉接受有关监督管理部门的现场监督，评标委员会成员与评标活动</w:t>
      </w:r>
      <w:r>
        <w:rPr>
          <w:rFonts w:ascii="新宋体" w:hAnsi="新宋体" w:eastAsia="新宋体" w:cs="新宋体"/>
          <w:color w:val="auto"/>
          <w:spacing w:val="-3"/>
          <w:sz w:val="24"/>
          <w:szCs w:val="24"/>
          <w:highlight w:val="none"/>
        </w:rPr>
        <w:t>有关的工作人员和监督人员不得向他人透露对投标文件的评审和比较、中标候选人的推荐以及</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2"/>
          <w:sz w:val="24"/>
          <w:szCs w:val="24"/>
          <w:highlight w:val="none"/>
        </w:rPr>
        <w:t>与评标有关的其他情况。投标文件及与评标有关的资料应当保密。</w:t>
      </w:r>
    </w:p>
    <w:p w14:paraId="40BAFA0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31.</w:t>
      </w:r>
      <w:r>
        <w:rPr>
          <w:b/>
          <w:bCs/>
          <w:color w:val="auto"/>
          <w:spacing w:val="68"/>
          <w:sz w:val="24"/>
          <w:szCs w:val="24"/>
          <w:highlight w:val="none"/>
        </w:rPr>
        <w:t xml:space="preserve"> </w:t>
      </w:r>
      <w:r>
        <w:rPr>
          <w:b/>
          <w:bCs/>
          <w:color w:val="auto"/>
          <w:spacing w:val="-6"/>
          <w:sz w:val="24"/>
          <w:szCs w:val="24"/>
          <w:highlight w:val="none"/>
        </w:rPr>
        <w:t>评标</w:t>
      </w:r>
    </w:p>
    <w:p w14:paraId="498AB3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3"/>
          <w:sz w:val="24"/>
          <w:szCs w:val="24"/>
          <w:highlight w:val="none"/>
        </w:rPr>
        <w:t>评标准备工作</w:t>
      </w:r>
    </w:p>
    <w:p w14:paraId="5C5E89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31.1.1</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3"/>
          <w:sz w:val="24"/>
          <w:szCs w:val="24"/>
          <w:highlight w:val="none"/>
        </w:rPr>
        <w:t>阅读由招标人或招标代理单位编写的招标项目情况的说明材料；</w:t>
      </w:r>
    </w:p>
    <w:p w14:paraId="3219EF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31.1.2</w:t>
      </w:r>
      <w:r>
        <w:rPr>
          <w:rFonts w:ascii="新宋体" w:hAnsi="新宋体" w:eastAsia="新宋体" w:cs="新宋体"/>
          <w:color w:val="auto"/>
          <w:spacing w:val="-8"/>
          <w:sz w:val="24"/>
          <w:szCs w:val="24"/>
          <w:highlight w:val="none"/>
        </w:rPr>
        <w:t xml:space="preserve"> </w:t>
      </w:r>
      <w:r>
        <w:rPr>
          <w:rFonts w:ascii="新宋体" w:hAnsi="新宋体" w:eastAsia="新宋体" w:cs="新宋体"/>
          <w:color w:val="auto"/>
          <w:spacing w:val="-3"/>
          <w:sz w:val="24"/>
          <w:szCs w:val="24"/>
          <w:highlight w:val="none"/>
        </w:rPr>
        <w:t>阅读、研究招标文件和相关评标资料，获取评标所需要的重要信息和数据；</w:t>
      </w:r>
    </w:p>
    <w:p w14:paraId="579B3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31.1.3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熟悉招标文件规定的评标方法及在</w:t>
      </w:r>
      <w:r>
        <w:rPr>
          <w:rFonts w:ascii="新宋体" w:hAnsi="新宋体" w:eastAsia="新宋体" w:cs="新宋体"/>
          <w:color w:val="auto"/>
          <w:spacing w:val="-3"/>
          <w:sz w:val="24"/>
          <w:szCs w:val="24"/>
          <w:highlight w:val="none"/>
        </w:rPr>
        <w:t>评标过程中需要考虑的相关因素；</w:t>
      </w:r>
    </w:p>
    <w:p w14:paraId="363C2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31.1.4</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4"/>
          <w:sz w:val="24"/>
          <w:szCs w:val="24"/>
          <w:highlight w:val="none"/>
        </w:rPr>
        <w:t>核对评标工作用表。</w:t>
      </w:r>
    </w:p>
    <w:p w14:paraId="4E599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31.2</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4"/>
          <w:sz w:val="24"/>
          <w:szCs w:val="24"/>
          <w:highlight w:val="none"/>
        </w:rPr>
        <w:t>评标办法</w:t>
      </w:r>
    </w:p>
    <w:p w14:paraId="7A282A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31.2.1</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1"/>
          <w:sz w:val="24"/>
          <w:szCs w:val="24"/>
          <w:highlight w:val="none"/>
        </w:rPr>
        <w:t>评标委员会按照第三章“评标办法</w:t>
      </w:r>
      <w:r>
        <w:rPr>
          <w:rFonts w:ascii="新宋体" w:hAnsi="新宋体" w:eastAsia="新宋体" w:cs="新宋体"/>
          <w:color w:val="auto"/>
          <w:spacing w:val="-86"/>
          <w:sz w:val="24"/>
          <w:szCs w:val="24"/>
          <w:highlight w:val="none"/>
        </w:rPr>
        <w:t xml:space="preserve"> </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rPr>
        <w:t>规定的方法、评审因素、标准和程序对投标</w:t>
      </w:r>
      <w:r>
        <w:rPr>
          <w:rFonts w:ascii="新宋体" w:hAnsi="新宋体" w:eastAsia="新宋体" w:cs="新宋体"/>
          <w:color w:val="auto"/>
          <w:spacing w:val="-1"/>
          <w:sz w:val="24"/>
          <w:szCs w:val="24"/>
          <w:highlight w:val="none"/>
        </w:rPr>
        <w:t>文件进行评审。第三章“评标办法”没有规定的方法、评审因素和标准，</w:t>
      </w:r>
      <w:r>
        <w:rPr>
          <w:rFonts w:ascii="新宋体" w:hAnsi="新宋体" w:eastAsia="新宋体" w:cs="新宋体"/>
          <w:color w:val="auto"/>
          <w:spacing w:val="-2"/>
          <w:sz w:val="24"/>
          <w:szCs w:val="24"/>
          <w:highlight w:val="none"/>
        </w:rPr>
        <w:t>不作为评标依据。</w:t>
      </w:r>
    </w:p>
    <w:p w14:paraId="33B59E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31.3</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8"/>
          <w:sz w:val="24"/>
          <w:szCs w:val="24"/>
          <w:highlight w:val="none"/>
        </w:rPr>
        <w:t>评标原则：</w:t>
      </w:r>
    </w:p>
    <w:p w14:paraId="2F2686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31.3.1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3"/>
          <w:sz w:val="24"/>
          <w:szCs w:val="24"/>
          <w:highlight w:val="none"/>
        </w:rPr>
        <w:t>遵循公平、公正、科学和择优的原则。</w:t>
      </w:r>
    </w:p>
    <w:p w14:paraId="542E9B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31.4</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3"/>
          <w:sz w:val="24"/>
          <w:szCs w:val="24"/>
          <w:highlight w:val="none"/>
        </w:rPr>
        <w:t>评标报告的签署</w:t>
      </w:r>
    </w:p>
    <w:p w14:paraId="23E99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31.4.1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评标委员会应当编制书面评标报告，所有成员应签字确认。对评标结论持有异议</w:t>
      </w:r>
      <w:r>
        <w:rPr>
          <w:rFonts w:ascii="新宋体" w:hAnsi="新宋体" w:eastAsia="新宋体" w:cs="新宋体"/>
          <w:color w:val="auto"/>
          <w:spacing w:val="-3"/>
          <w:sz w:val="24"/>
          <w:szCs w:val="24"/>
          <w:highlight w:val="none"/>
        </w:rPr>
        <w:t>的评标委员会成员可以书面方式阐述其不同意见和理由。评标委员会成员拒绝在评</w:t>
      </w:r>
      <w:r>
        <w:rPr>
          <w:rFonts w:ascii="新宋体" w:hAnsi="新宋体" w:eastAsia="新宋体" w:cs="新宋体"/>
          <w:color w:val="auto"/>
          <w:spacing w:val="-4"/>
          <w:sz w:val="24"/>
          <w:szCs w:val="24"/>
          <w:highlight w:val="none"/>
        </w:rPr>
        <w:t>标报告上签</w:t>
      </w:r>
      <w:r>
        <w:rPr>
          <w:rFonts w:ascii="新宋体" w:hAnsi="新宋体" w:eastAsia="新宋体" w:cs="新宋体"/>
          <w:color w:val="auto"/>
          <w:spacing w:val="-3"/>
          <w:sz w:val="24"/>
          <w:szCs w:val="24"/>
          <w:highlight w:val="none"/>
        </w:rPr>
        <w:t>字且不陈述其不同意见和理由的，视为同意评标结论。</w:t>
      </w:r>
    </w:p>
    <w:p w14:paraId="4F2B2E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31.5</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3"/>
          <w:sz w:val="24"/>
          <w:szCs w:val="24"/>
          <w:highlight w:val="none"/>
        </w:rPr>
        <w:t>投标文件的澄清</w:t>
      </w:r>
    </w:p>
    <w:p w14:paraId="3A7C3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31.5.1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在评标过程中，评标委员会认为需要，在招投标监督管理部门的监督下，可要求</w:t>
      </w:r>
      <w:r>
        <w:rPr>
          <w:rFonts w:ascii="新宋体" w:hAnsi="新宋体" w:eastAsia="新宋体" w:cs="新宋体"/>
          <w:color w:val="auto"/>
          <w:spacing w:val="-4"/>
          <w:sz w:val="24"/>
          <w:szCs w:val="24"/>
          <w:highlight w:val="none"/>
        </w:rPr>
        <w:t>投标人对投标文件中的有关问题进行澄清或提供补充说明及有关资料，投标人应做出书面答复。</w:t>
      </w:r>
    </w:p>
    <w:p w14:paraId="7C9524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31.5.2</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书面答复须经投标人法定代表人或其委托代理人签字或盖章，签字或盖章的书面</w:t>
      </w:r>
      <w:r>
        <w:rPr>
          <w:rFonts w:ascii="新宋体" w:hAnsi="新宋体" w:eastAsia="新宋体" w:cs="新宋体"/>
          <w:color w:val="auto"/>
          <w:spacing w:val="-3"/>
          <w:sz w:val="24"/>
          <w:szCs w:val="24"/>
          <w:highlight w:val="none"/>
        </w:rPr>
        <w:t>答复将被视为投标文件的组成部分。</w:t>
      </w:r>
    </w:p>
    <w:p w14:paraId="18879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31.6</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5"/>
          <w:sz w:val="24"/>
          <w:szCs w:val="24"/>
          <w:highlight w:val="none"/>
        </w:rPr>
        <w:t>评审意见分歧的处理办法：</w:t>
      </w:r>
    </w:p>
    <w:p w14:paraId="6122B3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（1）评标委员会应当对投标人提供的报告、证明材料及详细说明认真</w:t>
      </w:r>
      <w:r>
        <w:rPr>
          <w:rFonts w:ascii="新宋体" w:hAnsi="新宋体" w:eastAsia="新宋体" w:cs="新宋体"/>
          <w:color w:val="auto"/>
          <w:spacing w:val="-1"/>
          <w:sz w:val="24"/>
          <w:szCs w:val="24"/>
          <w:highlight w:val="none"/>
        </w:rPr>
        <w:t>研究。对存在意见</w:t>
      </w:r>
      <w:r>
        <w:rPr>
          <w:rFonts w:ascii="新宋体" w:hAnsi="新宋体" w:eastAsia="新宋体" w:cs="新宋体"/>
          <w:color w:val="auto"/>
          <w:spacing w:val="-3"/>
          <w:sz w:val="24"/>
          <w:szCs w:val="24"/>
          <w:highlight w:val="none"/>
        </w:rPr>
        <w:t>分歧的，可采用投票方式表决决定（按多数评委意见为准</w:t>
      </w:r>
      <w:r>
        <w:rPr>
          <w:rFonts w:ascii="新宋体" w:hAnsi="新宋体" w:eastAsia="新宋体" w:cs="新宋体"/>
          <w:color w:val="auto"/>
          <w:spacing w:val="2"/>
          <w:sz w:val="24"/>
          <w:szCs w:val="24"/>
          <w:highlight w:val="none"/>
        </w:rPr>
        <w:t>）；</w:t>
      </w:r>
    </w:p>
    <w:p w14:paraId="4F9A7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（2）招标投标当事人对评标结果提出异议或者投诉，招投标监督机构认为需要</w:t>
      </w:r>
      <w:r>
        <w:rPr>
          <w:rFonts w:ascii="新宋体" w:hAnsi="新宋体" w:eastAsia="新宋体" w:cs="新宋体"/>
          <w:color w:val="auto"/>
          <w:spacing w:val="-1"/>
          <w:sz w:val="24"/>
          <w:szCs w:val="24"/>
          <w:highlight w:val="none"/>
        </w:rPr>
        <w:t>重新进行</w:t>
      </w:r>
      <w:r>
        <w:rPr>
          <w:rFonts w:ascii="新宋体" w:hAnsi="新宋体" w:eastAsia="新宋体" w:cs="新宋体"/>
          <w:color w:val="auto"/>
          <w:spacing w:val="-2"/>
          <w:sz w:val="24"/>
          <w:szCs w:val="24"/>
          <w:highlight w:val="none"/>
        </w:rPr>
        <w:t>评标的，评标委员会成员应当按照招投标监督机构要求重新评标。</w:t>
      </w:r>
    </w:p>
    <w:p w14:paraId="68CAC2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31.7</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3"/>
          <w:sz w:val="24"/>
          <w:szCs w:val="24"/>
          <w:highlight w:val="none"/>
        </w:rPr>
        <w:t>评标过程的保密</w:t>
      </w:r>
    </w:p>
    <w:p w14:paraId="5B7E09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31.7.1 开标后，直至授予中标人合同为止，凡属于对投标文件的审查、澄清、评价和比</w:t>
      </w:r>
      <w:r>
        <w:rPr>
          <w:rFonts w:ascii="新宋体" w:hAnsi="新宋体" w:eastAsia="新宋体" w:cs="新宋体"/>
          <w:color w:val="auto"/>
          <w:spacing w:val="-1"/>
          <w:sz w:val="24"/>
          <w:szCs w:val="24"/>
          <w:highlight w:val="none"/>
        </w:rPr>
        <w:t>较有关的资料以及中标候选人的推荐情况及与评标有关的其他</w:t>
      </w:r>
      <w:r>
        <w:rPr>
          <w:rFonts w:ascii="新宋体" w:hAnsi="新宋体" w:eastAsia="新宋体" w:cs="新宋体"/>
          <w:color w:val="auto"/>
          <w:spacing w:val="-2"/>
          <w:sz w:val="24"/>
          <w:szCs w:val="24"/>
          <w:highlight w:val="none"/>
        </w:rPr>
        <w:t>任何情况均须严格保密。</w:t>
      </w:r>
    </w:p>
    <w:p w14:paraId="0CD5488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32.  定标</w:t>
      </w:r>
    </w:p>
    <w:p w14:paraId="3830DA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32.1</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5"/>
          <w:sz w:val="24"/>
          <w:szCs w:val="24"/>
          <w:highlight w:val="none"/>
        </w:rPr>
        <w:t>中标候选人的确定</w:t>
      </w:r>
    </w:p>
    <w:p w14:paraId="64F250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32.1.1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除投标人须知前附表规定评标委员会直接确定中标人外，招标人依据评标委员会</w:t>
      </w:r>
      <w:r>
        <w:rPr>
          <w:rFonts w:ascii="新宋体" w:hAnsi="新宋体" w:eastAsia="新宋体" w:cs="新宋体"/>
          <w:color w:val="auto"/>
          <w:spacing w:val="-3"/>
          <w:sz w:val="24"/>
          <w:szCs w:val="24"/>
          <w:highlight w:val="none"/>
        </w:rPr>
        <w:t>推荐的中标候选人确定中标人，评标委员会推荐中标候选人的人数见投标人须知前附表。评审结束后，根据评标委员会评审初步结论，招标人（或代理公司）将对推荐的中标候选人及其法</w:t>
      </w:r>
      <w:r>
        <w:rPr>
          <w:rFonts w:ascii="新宋体" w:hAnsi="新宋体" w:eastAsia="新宋体" w:cs="新宋体"/>
          <w:color w:val="auto"/>
          <w:spacing w:val="-5"/>
          <w:sz w:val="24"/>
          <w:szCs w:val="24"/>
          <w:highlight w:val="none"/>
        </w:rPr>
        <w:t>定代表人、项目负责人是否是人民法院公布的失信被执行人进行网上核查，若核查结果与投标</w:t>
      </w:r>
      <w:r>
        <w:rPr>
          <w:rFonts w:ascii="新宋体" w:hAnsi="新宋体" w:eastAsia="新宋体" w:cs="新宋体"/>
          <w:color w:val="auto"/>
          <w:spacing w:val="-3"/>
          <w:sz w:val="24"/>
          <w:szCs w:val="24"/>
          <w:highlight w:val="none"/>
        </w:rPr>
        <w:t>人承诺不一致，则提交评标委员会取消其预中标候选人资格，依次替补，并再次对替补单位进</w:t>
      </w:r>
      <w:r>
        <w:rPr>
          <w:rFonts w:ascii="新宋体" w:hAnsi="新宋体" w:eastAsia="新宋体" w:cs="新宋体"/>
          <w:color w:val="auto"/>
          <w:spacing w:val="-10"/>
          <w:sz w:val="24"/>
          <w:szCs w:val="24"/>
          <w:highlight w:val="none"/>
        </w:rPr>
        <w:t>行核查。</w:t>
      </w:r>
    </w:p>
    <w:p w14:paraId="342DBA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32.1.2 中标人确定后，招标人应将中标结果在新疆政府采购网上</w:t>
      </w:r>
      <w:r>
        <w:rPr>
          <w:rFonts w:ascii="新宋体" w:hAnsi="新宋体" w:eastAsia="新宋体" w:cs="新宋体"/>
          <w:color w:val="auto"/>
          <w:spacing w:val="-12"/>
          <w:sz w:val="24"/>
          <w:szCs w:val="24"/>
          <w:highlight w:val="none"/>
        </w:rPr>
        <w:t>公示</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12"/>
          <w:sz w:val="24"/>
          <w:szCs w:val="24"/>
          <w:highlight w:val="none"/>
        </w:rPr>
        <w:t>1</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12"/>
          <w:sz w:val="24"/>
          <w:szCs w:val="24"/>
          <w:highlight w:val="none"/>
        </w:rPr>
        <w:t>个工作日。</w:t>
      </w:r>
    </w:p>
    <w:p w14:paraId="18ACDE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32.2</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6"/>
          <w:sz w:val="24"/>
          <w:szCs w:val="24"/>
          <w:highlight w:val="none"/>
        </w:rPr>
        <w:t>中标人的确定</w:t>
      </w:r>
    </w:p>
    <w:p w14:paraId="28C937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32.2.1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若招标人未接到投诉或公共资源监督管理部门未通知招标人中标候选人在招标投</w:t>
      </w:r>
      <w:r>
        <w:rPr>
          <w:rFonts w:ascii="新宋体" w:hAnsi="新宋体" w:eastAsia="新宋体" w:cs="新宋体"/>
          <w:color w:val="auto"/>
          <w:spacing w:val="-3"/>
          <w:sz w:val="24"/>
          <w:szCs w:val="24"/>
          <w:highlight w:val="none"/>
        </w:rPr>
        <w:t>标活动中有违法行为的，招标人应当确定排名第一的中标候选人为中标人，排名第一的中标候</w:t>
      </w:r>
      <w:r>
        <w:rPr>
          <w:rFonts w:ascii="新宋体" w:hAnsi="新宋体" w:eastAsia="新宋体" w:cs="新宋体"/>
          <w:color w:val="auto"/>
          <w:spacing w:val="-5"/>
          <w:sz w:val="24"/>
          <w:szCs w:val="24"/>
          <w:highlight w:val="none"/>
        </w:rPr>
        <w:t>选人放弃中标、因不可抗力提出不能履行合同，</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或者招标文件规定应当提交履约保证金而在规</w:t>
      </w:r>
      <w:r>
        <w:rPr>
          <w:rFonts w:ascii="新宋体" w:hAnsi="新宋体" w:eastAsia="新宋体" w:cs="新宋体"/>
          <w:color w:val="auto"/>
          <w:spacing w:val="-3"/>
          <w:sz w:val="24"/>
          <w:szCs w:val="24"/>
          <w:highlight w:val="none"/>
        </w:rPr>
        <w:t>定的期限内未能提交的，招标人可以确定排名第二的中标候选人为中标人或重新组织招标。排名第二的中标候选人因前款规定的同样原因不能签订合同的，招标人可以确定排名第三的中标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候选人为中标人或重新组织招标。</w:t>
      </w:r>
    </w:p>
    <w:p w14:paraId="46417C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32.3</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6"/>
          <w:sz w:val="24"/>
          <w:szCs w:val="24"/>
          <w:highlight w:val="none"/>
        </w:rPr>
        <w:t>中标通知书</w:t>
      </w:r>
    </w:p>
    <w:p w14:paraId="7985D1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32.3.1 中标人确定后，招标人将向中标人发出中标通知书。</w:t>
      </w:r>
    </w:p>
    <w:p w14:paraId="76F5C4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32.3.2 中标通知书须加盖招标人、</w:t>
      </w:r>
      <w:r>
        <w:rPr>
          <w:rFonts w:hint="eastAsia" w:ascii="新宋体" w:hAnsi="新宋体" w:eastAsia="新宋体" w:cs="新宋体"/>
          <w:color w:val="auto"/>
          <w:spacing w:val="-3"/>
          <w:sz w:val="24"/>
          <w:szCs w:val="24"/>
          <w:highlight w:val="none"/>
          <w:lang w:eastAsia="zh-CN"/>
        </w:rPr>
        <w:t>采购代理机构</w:t>
      </w:r>
      <w:r>
        <w:rPr>
          <w:rFonts w:ascii="新宋体" w:hAnsi="新宋体" w:eastAsia="新宋体" w:cs="新宋体"/>
          <w:color w:val="auto"/>
          <w:spacing w:val="-3"/>
          <w:sz w:val="24"/>
          <w:szCs w:val="24"/>
          <w:highlight w:val="none"/>
        </w:rPr>
        <w:t>公章，</w:t>
      </w:r>
      <w:r>
        <w:rPr>
          <w:rFonts w:ascii="新宋体" w:hAnsi="新宋体" w:eastAsia="新宋体" w:cs="新宋体"/>
          <w:color w:val="auto"/>
          <w:spacing w:val="-4"/>
          <w:sz w:val="24"/>
          <w:szCs w:val="24"/>
          <w:highlight w:val="none"/>
        </w:rPr>
        <w:t>方可发出。</w:t>
      </w:r>
    </w:p>
    <w:p w14:paraId="537C96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33.</w:t>
      </w:r>
      <w:r>
        <w:rPr>
          <w:b/>
          <w:bCs/>
          <w:color w:val="auto"/>
          <w:spacing w:val="67"/>
          <w:sz w:val="24"/>
          <w:szCs w:val="24"/>
          <w:highlight w:val="none"/>
        </w:rPr>
        <w:t xml:space="preserve"> </w:t>
      </w:r>
      <w:r>
        <w:rPr>
          <w:b/>
          <w:bCs/>
          <w:color w:val="auto"/>
          <w:spacing w:val="-3"/>
          <w:sz w:val="24"/>
          <w:szCs w:val="24"/>
          <w:highlight w:val="none"/>
        </w:rPr>
        <w:t>开评标异常情况处理</w:t>
      </w:r>
    </w:p>
    <w:p w14:paraId="5EC3F4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33.1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4"/>
          <w:sz w:val="24"/>
          <w:szCs w:val="24"/>
          <w:highlight w:val="none"/>
        </w:rPr>
        <w:t>重新招标</w:t>
      </w:r>
    </w:p>
    <w:p w14:paraId="5B7EA2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有下列情形之一的，招标人将重新招标：</w:t>
      </w:r>
    </w:p>
    <w:p w14:paraId="39421E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（1）经评标委员会评审后否决所有投标的；</w:t>
      </w:r>
    </w:p>
    <w:p w14:paraId="7730B5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（2）出现影响采购公正的违法、违规行为的；</w:t>
      </w:r>
    </w:p>
    <w:p w14:paraId="660BDD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（3）投标人的报价均脱离实际且无充分证据的；</w:t>
      </w:r>
    </w:p>
    <w:p w14:paraId="4033AF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（4）因重大变故，采购任务取消的。</w:t>
      </w:r>
    </w:p>
    <w:p w14:paraId="204378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（5）法律、法规规定的其他情形。</w:t>
      </w:r>
    </w:p>
    <w:p w14:paraId="616328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6"/>
          <w:sz w:val="28"/>
          <w:szCs w:val="28"/>
          <w:highlight w:val="none"/>
        </w:rPr>
        <w:t>（六）合同的授予</w:t>
      </w:r>
    </w:p>
    <w:p w14:paraId="1202294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34.  合同</w:t>
      </w:r>
    </w:p>
    <w:p w14:paraId="234A9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34.1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招标人与中标人将于中标通知书发出之日起</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30 日内，按照招标文件和</w:t>
      </w:r>
      <w:r>
        <w:rPr>
          <w:rFonts w:ascii="新宋体" w:hAnsi="新宋体" w:eastAsia="新宋体" w:cs="新宋体"/>
          <w:color w:val="auto"/>
          <w:spacing w:val="-4"/>
          <w:sz w:val="24"/>
          <w:szCs w:val="24"/>
          <w:highlight w:val="none"/>
        </w:rPr>
        <w:t>投标文件和中</w:t>
      </w:r>
      <w:r>
        <w:rPr>
          <w:rFonts w:ascii="新宋体" w:hAnsi="新宋体" w:eastAsia="新宋体" w:cs="新宋体"/>
          <w:color w:val="auto"/>
          <w:spacing w:val="-3"/>
          <w:sz w:val="24"/>
          <w:szCs w:val="24"/>
          <w:highlight w:val="none"/>
        </w:rPr>
        <w:t>标人订立书面采购合同。合同双方不得再行订立背离合同实质性内容的其他协议。合同价款按</w:t>
      </w:r>
      <w:r>
        <w:rPr>
          <w:rFonts w:ascii="新宋体" w:hAnsi="新宋体" w:eastAsia="新宋体" w:cs="新宋体"/>
          <w:color w:val="auto"/>
          <w:spacing w:val="-5"/>
          <w:sz w:val="24"/>
          <w:szCs w:val="24"/>
          <w:highlight w:val="none"/>
        </w:rPr>
        <w:t>招标文件前附表规定。</w:t>
      </w:r>
    </w:p>
    <w:p w14:paraId="746B85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34.2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招标人如不按招标文件第</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2"/>
          <w:sz w:val="24"/>
          <w:szCs w:val="24"/>
          <w:highlight w:val="none"/>
        </w:rPr>
        <w:t>34.1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条的规定与中标人订立合同，或者招</w:t>
      </w:r>
      <w:r>
        <w:rPr>
          <w:rFonts w:ascii="新宋体" w:hAnsi="新宋体" w:eastAsia="新宋体" w:cs="新宋体"/>
          <w:color w:val="auto"/>
          <w:spacing w:val="-3"/>
          <w:sz w:val="24"/>
          <w:szCs w:val="24"/>
          <w:highlight w:val="none"/>
        </w:rPr>
        <w:t>标人、中标人订立背离合同实质性内容的协议，招标人应当按投标保证金的数额对投标人进行赔偿，给投标人</w:t>
      </w:r>
      <w:r>
        <w:rPr>
          <w:rFonts w:ascii="新宋体" w:hAnsi="新宋体" w:eastAsia="新宋体" w:cs="新宋体"/>
          <w:color w:val="auto"/>
          <w:spacing w:val="-6"/>
          <w:sz w:val="24"/>
          <w:szCs w:val="24"/>
          <w:highlight w:val="none"/>
        </w:rPr>
        <w:t>造成的损失超过投标保证金数额的，还应当对超过部分</w:t>
      </w:r>
      <w:r>
        <w:rPr>
          <w:rFonts w:ascii="新宋体" w:hAnsi="新宋体" w:eastAsia="新宋体" w:cs="新宋体"/>
          <w:color w:val="auto"/>
          <w:spacing w:val="-7"/>
          <w:sz w:val="24"/>
          <w:szCs w:val="24"/>
          <w:highlight w:val="none"/>
        </w:rPr>
        <w:t>予以赔偿，同时依法承担相应法律责任。</w:t>
      </w:r>
    </w:p>
    <w:p w14:paraId="41888C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34.3</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3"/>
          <w:sz w:val="24"/>
          <w:szCs w:val="24"/>
          <w:highlight w:val="none"/>
        </w:rPr>
        <w:t>中标人如不按本投标须知第</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3"/>
          <w:sz w:val="24"/>
          <w:szCs w:val="24"/>
          <w:highlight w:val="none"/>
        </w:rPr>
        <w:t>34.1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3"/>
          <w:sz w:val="24"/>
          <w:szCs w:val="24"/>
          <w:highlight w:val="none"/>
        </w:rPr>
        <w:t>条的规定与招标人订立合同，招标人将取消其中标资格，投标保证金不予退还，给招标人造成的损失超过投标保证金数额的，还应当对</w:t>
      </w:r>
      <w:r>
        <w:rPr>
          <w:rFonts w:ascii="新宋体" w:hAnsi="新宋体" w:eastAsia="新宋体" w:cs="新宋体"/>
          <w:color w:val="auto"/>
          <w:spacing w:val="-4"/>
          <w:sz w:val="24"/>
          <w:szCs w:val="24"/>
          <w:highlight w:val="none"/>
        </w:rPr>
        <w:t>超过部分</w:t>
      </w:r>
      <w:r>
        <w:rPr>
          <w:rFonts w:ascii="新宋体" w:hAnsi="新宋体" w:eastAsia="新宋体" w:cs="新宋体"/>
          <w:color w:val="auto"/>
          <w:spacing w:val="-3"/>
          <w:sz w:val="24"/>
          <w:szCs w:val="24"/>
          <w:highlight w:val="none"/>
        </w:rPr>
        <w:t>予以赔偿，同时依法承担相应法律责任。</w:t>
      </w:r>
    </w:p>
    <w:p w14:paraId="2F9892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34.4 中标人应当按照合同约定履行义务，完成中标项目，不得将中标项目转让（转包）</w:t>
      </w:r>
      <w:r>
        <w:rPr>
          <w:rFonts w:ascii="新宋体" w:hAnsi="新宋体" w:eastAsia="新宋体" w:cs="新宋体"/>
          <w:color w:val="auto"/>
          <w:spacing w:val="-10"/>
          <w:sz w:val="24"/>
          <w:szCs w:val="24"/>
          <w:highlight w:val="none"/>
        </w:rPr>
        <w:t>给他人。</w:t>
      </w:r>
    </w:p>
    <w:p w14:paraId="7CE831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35.  履约保证金</w:t>
      </w:r>
    </w:p>
    <w:p w14:paraId="62629C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35.1</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z w:val="24"/>
          <w:szCs w:val="24"/>
          <w:highlight w:val="none"/>
        </w:rPr>
        <w:t>在签订合同后五日内，</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z w:val="24"/>
          <w:szCs w:val="24"/>
          <w:highlight w:val="none"/>
        </w:rPr>
        <w:t>中标人应按投标人须知前附表规定的金额、担保形式向招标</w:t>
      </w:r>
      <w:r>
        <w:rPr>
          <w:rFonts w:ascii="新宋体" w:hAnsi="新宋体" w:eastAsia="新宋体" w:cs="新宋体"/>
          <w:color w:val="auto"/>
          <w:spacing w:val="-6"/>
          <w:sz w:val="24"/>
          <w:szCs w:val="24"/>
          <w:highlight w:val="none"/>
        </w:rPr>
        <w:t>人提交履约保证金。</w:t>
      </w:r>
    </w:p>
    <w:p w14:paraId="504910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35.2 中标人不能按本章第</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35.1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3"/>
          <w:sz w:val="24"/>
          <w:szCs w:val="24"/>
          <w:highlight w:val="none"/>
        </w:rPr>
        <w:t>项要求提交履约保证金的，视为放弃中标，其</w:t>
      </w:r>
      <w:r>
        <w:rPr>
          <w:rFonts w:ascii="新宋体" w:hAnsi="新宋体" w:eastAsia="新宋体" w:cs="新宋体"/>
          <w:color w:val="auto"/>
          <w:spacing w:val="-4"/>
          <w:sz w:val="24"/>
          <w:szCs w:val="24"/>
          <w:highlight w:val="none"/>
        </w:rPr>
        <w:t>投标保证金</w:t>
      </w:r>
      <w:r>
        <w:rPr>
          <w:rFonts w:ascii="新宋体" w:hAnsi="新宋体" w:eastAsia="新宋体" w:cs="新宋体"/>
          <w:color w:val="auto"/>
          <w:spacing w:val="-1"/>
          <w:sz w:val="24"/>
          <w:szCs w:val="24"/>
          <w:highlight w:val="none"/>
        </w:rPr>
        <w:t>不予退还，给招标人造成的损失超过投标保证金数额的，中标</w:t>
      </w:r>
      <w:r>
        <w:rPr>
          <w:rFonts w:ascii="新宋体" w:hAnsi="新宋体" w:eastAsia="新宋体" w:cs="新宋体"/>
          <w:color w:val="auto"/>
          <w:spacing w:val="-2"/>
          <w:sz w:val="24"/>
          <w:szCs w:val="24"/>
          <w:highlight w:val="none"/>
        </w:rPr>
        <w:t>人还应当对超过部分予以赔偿。</w:t>
      </w:r>
    </w:p>
    <w:p w14:paraId="2668BB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（七）纪律和监督</w:t>
      </w:r>
    </w:p>
    <w:p w14:paraId="15DC79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36.</w:t>
      </w:r>
      <w:r>
        <w:rPr>
          <w:b/>
          <w:bCs/>
          <w:color w:val="auto"/>
          <w:spacing w:val="67"/>
          <w:w w:val="101"/>
          <w:sz w:val="24"/>
          <w:szCs w:val="24"/>
          <w:highlight w:val="none"/>
        </w:rPr>
        <w:t xml:space="preserve"> </w:t>
      </w:r>
      <w:r>
        <w:rPr>
          <w:b/>
          <w:bCs/>
          <w:color w:val="auto"/>
          <w:spacing w:val="-3"/>
          <w:sz w:val="24"/>
          <w:szCs w:val="24"/>
          <w:highlight w:val="none"/>
        </w:rPr>
        <w:t>对招标人的纪律要求</w:t>
      </w:r>
    </w:p>
    <w:p w14:paraId="468C0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36.1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招标人不得泄漏招标投标活动中应当保密的情况和资料，不得与投标人串通损害国</w:t>
      </w:r>
      <w:r>
        <w:rPr>
          <w:rFonts w:ascii="新宋体" w:hAnsi="新宋体" w:eastAsia="新宋体" w:cs="新宋体"/>
          <w:color w:val="auto"/>
          <w:spacing w:val="-3"/>
          <w:sz w:val="24"/>
          <w:szCs w:val="24"/>
          <w:highlight w:val="none"/>
        </w:rPr>
        <w:t>家利益，社会公共利益或者他人合法权益。</w:t>
      </w:r>
    </w:p>
    <w:p w14:paraId="06EBAF5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37.</w:t>
      </w:r>
      <w:r>
        <w:rPr>
          <w:b/>
          <w:bCs/>
          <w:color w:val="auto"/>
          <w:spacing w:val="67"/>
          <w:w w:val="101"/>
          <w:sz w:val="24"/>
          <w:szCs w:val="24"/>
          <w:highlight w:val="none"/>
        </w:rPr>
        <w:t xml:space="preserve"> </w:t>
      </w:r>
      <w:r>
        <w:rPr>
          <w:b/>
          <w:bCs/>
          <w:color w:val="auto"/>
          <w:spacing w:val="-3"/>
          <w:sz w:val="24"/>
          <w:szCs w:val="24"/>
          <w:highlight w:val="none"/>
        </w:rPr>
        <w:t>对投标人的纪律要求</w:t>
      </w:r>
    </w:p>
    <w:p w14:paraId="1387FE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37.1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投标人不得相互串通投标或者与招标人串通投标，不得向招标人或者评标委员会成</w:t>
      </w:r>
      <w:r>
        <w:rPr>
          <w:rFonts w:ascii="新宋体" w:hAnsi="新宋体" w:eastAsia="新宋体" w:cs="新宋体"/>
          <w:color w:val="auto"/>
          <w:spacing w:val="-3"/>
          <w:sz w:val="24"/>
          <w:szCs w:val="24"/>
          <w:highlight w:val="none"/>
        </w:rPr>
        <w:t>员行贿谋取中标，不得以他人名义投标或者以其他方式弄虚作假骗取中标；投标人不得以任何</w:t>
      </w:r>
      <w:r>
        <w:rPr>
          <w:rFonts w:ascii="新宋体" w:hAnsi="新宋体" w:eastAsia="新宋体" w:cs="新宋体"/>
          <w:color w:val="auto"/>
          <w:spacing w:val="-5"/>
          <w:sz w:val="24"/>
          <w:szCs w:val="24"/>
          <w:highlight w:val="none"/>
        </w:rPr>
        <w:t>方式干扰、影响评标工作。</w:t>
      </w:r>
    </w:p>
    <w:p w14:paraId="065BD3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38.</w:t>
      </w:r>
      <w:r>
        <w:rPr>
          <w:b/>
          <w:bCs/>
          <w:color w:val="auto"/>
          <w:spacing w:val="79"/>
          <w:sz w:val="24"/>
          <w:szCs w:val="24"/>
          <w:highlight w:val="none"/>
        </w:rPr>
        <w:t xml:space="preserve"> </w:t>
      </w:r>
      <w:r>
        <w:rPr>
          <w:b/>
          <w:bCs/>
          <w:color w:val="auto"/>
          <w:spacing w:val="-3"/>
          <w:sz w:val="24"/>
          <w:szCs w:val="24"/>
          <w:highlight w:val="none"/>
        </w:rPr>
        <w:t>对评标委员会成员的纪律要求</w:t>
      </w:r>
    </w:p>
    <w:p w14:paraId="12CCFC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38.1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标委员会成员不得收受他人的财物或者其他好处，不得向他人透漏对投标文件的评</w:t>
      </w:r>
      <w:r>
        <w:rPr>
          <w:rFonts w:ascii="新宋体" w:hAnsi="新宋体" w:eastAsia="新宋体" w:cs="新宋体"/>
          <w:color w:val="auto"/>
          <w:spacing w:val="-3"/>
          <w:sz w:val="24"/>
          <w:szCs w:val="24"/>
          <w:highlight w:val="none"/>
        </w:rPr>
        <w:t>审和比较、中标候选人的推荐情况以及评标有关的其他情况。</w:t>
      </w:r>
    </w:p>
    <w:p w14:paraId="6B213B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38.2</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在评标活动中，评标委员会成员不得擅离职守，影响评标程序正常进行，不得使用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第三章“评标办法”没有规定的评审因素和标准</w:t>
      </w:r>
      <w:r>
        <w:rPr>
          <w:rFonts w:ascii="新宋体" w:hAnsi="新宋体" w:eastAsia="新宋体" w:cs="新宋体"/>
          <w:color w:val="auto"/>
          <w:spacing w:val="-3"/>
          <w:sz w:val="24"/>
          <w:szCs w:val="24"/>
          <w:highlight w:val="none"/>
        </w:rPr>
        <w:t>进行评标。</w:t>
      </w:r>
    </w:p>
    <w:p w14:paraId="1C68DA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39.</w:t>
      </w:r>
      <w:r>
        <w:rPr>
          <w:b/>
          <w:bCs/>
          <w:color w:val="auto"/>
          <w:spacing w:val="72"/>
          <w:w w:val="101"/>
          <w:sz w:val="24"/>
          <w:szCs w:val="24"/>
          <w:highlight w:val="none"/>
        </w:rPr>
        <w:t xml:space="preserve"> </w:t>
      </w:r>
      <w:r>
        <w:rPr>
          <w:b/>
          <w:bCs/>
          <w:color w:val="auto"/>
          <w:spacing w:val="-2"/>
          <w:sz w:val="24"/>
          <w:szCs w:val="24"/>
          <w:highlight w:val="none"/>
        </w:rPr>
        <w:t>对与评标活动有关的工作人员的纪律要求</w:t>
      </w:r>
    </w:p>
    <w:p w14:paraId="0A393C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39.1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与评标活动有关的工作人员不得收受他人的财物或者其他好处，不得向他人透漏对</w:t>
      </w:r>
      <w:r>
        <w:rPr>
          <w:rFonts w:ascii="新宋体" w:hAnsi="新宋体" w:eastAsia="新宋体" w:cs="新宋体"/>
          <w:color w:val="auto"/>
          <w:spacing w:val="-6"/>
          <w:sz w:val="24"/>
          <w:szCs w:val="24"/>
          <w:highlight w:val="none"/>
        </w:rPr>
        <w:t>投标文件的评审和比较、中标候选人的推荐情况以及评标有关的其他情况。在评标活动中，与</w:t>
      </w:r>
      <w:r>
        <w:rPr>
          <w:rFonts w:ascii="新宋体" w:hAnsi="新宋体" w:eastAsia="新宋体" w:cs="新宋体"/>
          <w:color w:val="auto"/>
          <w:spacing w:val="-2"/>
          <w:sz w:val="24"/>
          <w:szCs w:val="24"/>
          <w:highlight w:val="none"/>
        </w:rPr>
        <w:t>评标活动有关的工作人员不得擅离职守，影响评标程序正常进行。</w:t>
      </w:r>
    </w:p>
    <w:p w14:paraId="3C9D317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（八）质疑与投诉</w:t>
      </w:r>
    </w:p>
    <w:p w14:paraId="766A465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40.  质疑</w:t>
      </w:r>
    </w:p>
    <w:p w14:paraId="1DCF2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招标文件发售后，参与采购活动的投标人如发</w:t>
      </w:r>
      <w:r>
        <w:rPr>
          <w:rFonts w:ascii="新宋体" w:hAnsi="新宋体" w:eastAsia="新宋体" w:cs="新宋体"/>
          <w:color w:val="auto"/>
          <w:spacing w:val="1"/>
          <w:sz w:val="24"/>
          <w:szCs w:val="24"/>
          <w:highlight w:val="none"/>
        </w:rPr>
        <w:t>现招标文件的商务条款、技术要求存</w:t>
      </w:r>
      <w:r>
        <w:rPr>
          <w:rFonts w:ascii="新宋体" w:hAnsi="新宋体" w:eastAsia="新宋体" w:cs="新宋体"/>
          <w:color w:val="auto"/>
          <w:spacing w:val="-2"/>
          <w:sz w:val="24"/>
          <w:szCs w:val="24"/>
          <w:highlight w:val="none"/>
        </w:rPr>
        <w:t>在倾向性、错误、遗漏、含混不清等问题，可在招标文件规定的时间之前，请与招标人联系，</w:t>
      </w:r>
      <w:r>
        <w:rPr>
          <w:rFonts w:ascii="新宋体" w:hAnsi="新宋体" w:eastAsia="新宋体" w:cs="新宋体"/>
          <w:color w:val="auto"/>
          <w:spacing w:val="-4"/>
          <w:sz w:val="24"/>
          <w:szCs w:val="24"/>
          <w:highlight w:val="none"/>
        </w:rPr>
        <w:t>提出质疑，要求修改或澄清。</w:t>
      </w:r>
    </w:p>
    <w:p w14:paraId="23C2B3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40.2 中标公告发布后，参与投标的投标人对</w:t>
      </w:r>
      <w:r>
        <w:rPr>
          <w:rFonts w:ascii="新宋体" w:hAnsi="新宋体" w:eastAsia="新宋体" w:cs="新宋体"/>
          <w:color w:val="auto"/>
          <w:sz w:val="24"/>
          <w:szCs w:val="24"/>
          <w:highlight w:val="none"/>
        </w:rPr>
        <w:t>中标公告有异议的，应该在中标公告发布之</w:t>
      </w:r>
      <w:r>
        <w:rPr>
          <w:rFonts w:ascii="新宋体" w:hAnsi="新宋体" w:eastAsia="新宋体" w:cs="新宋体"/>
          <w:color w:val="auto"/>
          <w:spacing w:val="-3"/>
          <w:sz w:val="24"/>
          <w:szCs w:val="24"/>
          <w:highlight w:val="none"/>
        </w:rPr>
        <w:t>日起七个工作日内向招标人书面提出质疑。未在规定时间提出质疑的，不予受理。</w:t>
      </w:r>
    </w:p>
    <w:p w14:paraId="5D4B95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参与投标的投标人对中标公告提出的</w:t>
      </w:r>
      <w:r>
        <w:rPr>
          <w:rFonts w:ascii="新宋体" w:hAnsi="新宋体" w:eastAsia="新宋体" w:cs="新宋体"/>
          <w:color w:val="auto"/>
          <w:spacing w:val="1"/>
          <w:sz w:val="24"/>
          <w:szCs w:val="24"/>
          <w:highlight w:val="none"/>
        </w:rPr>
        <w:t>书面质疑，负有举证的责任。在质疑函中应清</w:t>
      </w:r>
      <w:r>
        <w:rPr>
          <w:rFonts w:ascii="新宋体" w:hAnsi="新宋体" w:eastAsia="新宋体" w:cs="新宋体"/>
          <w:color w:val="auto"/>
          <w:spacing w:val="-6"/>
          <w:sz w:val="24"/>
          <w:szCs w:val="24"/>
          <w:highlight w:val="none"/>
        </w:rPr>
        <w:t>楚地写明所质疑的项目名称、编号、标包号标包名、质疑的事项与事实等内容，并附上质疑事</w:t>
      </w:r>
      <w:r>
        <w:rPr>
          <w:rFonts w:ascii="新宋体" w:hAnsi="新宋体" w:eastAsia="新宋体" w:cs="新宋体"/>
          <w:color w:val="auto"/>
          <w:spacing w:val="-3"/>
          <w:sz w:val="24"/>
          <w:szCs w:val="24"/>
          <w:highlight w:val="none"/>
        </w:rPr>
        <w:t>项、事实的证明文件。投标人在经其法定代表人签字并盖上投标人公章后，将该质疑函当面递</w:t>
      </w:r>
      <w:r>
        <w:rPr>
          <w:rFonts w:ascii="新宋体" w:hAnsi="新宋体" w:eastAsia="新宋体" w:cs="新宋体"/>
          <w:color w:val="auto"/>
          <w:spacing w:val="-8"/>
          <w:sz w:val="24"/>
          <w:szCs w:val="24"/>
          <w:highlight w:val="none"/>
        </w:rPr>
        <w:t>交至招标人。</w:t>
      </w:r>
    </w:p>
    <w:p w14:paraId="38A3B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40.4</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招标人在收到投标人的质疑函后，将审查质疑</w:t>
      </w:r>
      <w:r>
        <w:rPr>
          <w:rFonts w:ascii="新宋体" w:hAnsi="新宋体" w:eastAsia="新宋体" w:cs="新宋体"/>
          <w:color w:val="auto"/>
          <w:spacing w:val="1"/>
          <w:sz w:val="24"/>
          <w:szCs w:val="24"/>
          <w:highlight w:val="none"/>
        </w:rPr>
        <w:t>函的格式、内容以及所附的证明文件</w:t>
      </w:r>
      <w:r>
        <w:rPr>
          <w:rFonts w:ascii="新宋体" w:hAnsi="新宋体" w:eastAsia="新宋体" w:cs="新宋体"/>
          <w:color w:val="auto"/>
          <w:spacing w:val="-3"/>
          <w:sz w:val="24"/>
          <w:szCs w:val="24"/>
          <w:highlight w:val="none"/>
        </w:rPr>
        <w:t>是否符合要求。如不符合，说明原因退回投标人；如符合要求，则接受该质疑函并向投标人出</w:t>
      </w:r>
      <w:r>
        <w:rPr>
          <w:rFonts w:ascii="新宋体" w:hAnsi="新宋体" w:eastAsia="新宋体" w:cs="新宋体"/>
          <w:color w:val="auto"/>
          <w:spacing w:val="-7"/>
          <w:sz w:val="24"/>
          <w:szCs w:val="24"/>
          <w:highlight w:val="none"/>
        </w:rPr>
        <w:t>具受理证明。</w:t>
      </w:r>
    </w:p>
    <w:p w14:paraId="4860AB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40.5</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处理质疑的时间，从实际接受投标人</w:t>
      </w:r>
      <w:r>
        <w:rPr>
          <w:rFonts w:ascii="新宋体" w:hAnsi="新宋体" w:eastAsia="新宋体" w:cs="新宋体"/>
          <w:color w:val="auto"/>
          <w:spacing w:val="-2"/>
          <w:sz w:val="24"/>
          <w:szCs w:val="24"/>
          <w:highlight w:val="none"/>
        </w:rPr>
        <w:t>质疑函、出具受理证明的时间开始计算。</w:t>
      </w:r>
    </w:p>
    <w:p w14:paraId="55F918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40.6</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投标人对招标人的答复不满意，或者招标人未</w:t>
      </w:r>
      <w:r>
        <w:rPr>
          <w:rFonts w:ascii="新宋体" w:hAnsi="新宋体" w:eastAsia="新宋体" w:cs="新宋体"/>
          <w:color w:val="auto"/>
          <w:spacing w:val="1"/>
          <w:sz w:val="24"/>
          <w:szCs w:val="24"/>
          <w:highlight w:val="none"/>
        </w:rPr>
        <w:t>在规定的时间内答复的，可以在答复</w:t>
      </w:r>
      <w:r>
        <w:rPr>
          <w:rFonts w:ascii="新宋体" w:hAnsi="新宋体" w:eastAsia="新宋体" w:cs="新宋体"/>
          <w:color w:val="auto"/>
          <w:spacing w:val="-1"/>
          <w:sz w:val="24"/>
          <w:szCs w:val="24"/>
          <w:highlight w:val="none"/>
        </w:rPr>
        <w:t>期满后十五个工作日内按有关规定，向同级人民政府招</w:t>
      </w:r>
      <w:r>
        <w:rPr>
          <w:rFonts w:ascii="新宋体" w:hAnsi="新宋体" w:eastAsia="新宋体" w:cs="新宋体"/>
          <w:color w:val="auto"/>
          <w:spacing w:val="-2"/>
          <w:sz w:val="24"/>
          <w:szCs w:val="24"/>
          <w:highlight w:val="none"/>
        </w:rPr>
        <w:t>标采购监管部门进行投诉。</w:t>
      </w:r>
    </w:p>
    <w:p w14:paraId="32962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40.7</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质疑与投诉按照《政府采购质疑和投诉办法》文号【财政部令第</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3"/>
          <w:sz w:val="24"/>
          <w:szCs w:val="24"/>
          <w:highlight w:val="none"/>
        </w:rPr>
        <w:t>94</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3"/>
          <w:sz w:val="24"/>
          <w:szCs w:val="24"/>
          <w:highlight w:val="none"/>
        </w:rPr>
        <w:t>号】要求，投标单位应当在知道或者应知（即收到采购文件之日）其权益受到损害之日起七个工作日内以书面</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6"/>
          <w:sz w:val="24"/>
          <w:szCs w:val="24"/>
          <w:highlight w:val="none"/>
        </w:rPr>
        <w:t>形式一次性提出。</w:t>
      </w:r>
    </w:p>
    <w:p w14:paraId="3F6E3AD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7"/>
          <w:sz w:val="28"/>
          <w:szCs w:val="28"/>
          <w:highlight w:val="none"/>
        </w:rPr>
        <w:t>（九）其他</w:t>
      </w:r>
    </w:p>
    <w:p w14:paraId="5D50C1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41.</w:t>
      </w:r>
      <w:r>
        <w:rPr>
          <w:b/>
          <w:bCs/>
          <w:color w:val="auto"/>
          <w:spacing w:val="69"/>
          <w:sz w:val="24"/>
          <w:szCs w:val="24"/>
          <w:highlight w:val="none"/>
        </w:rPr>
        <w:t xml:space="preserve"> </w:t>
      </w:r>
      <w:r>
        <w:rPr>
          <w:b/>
          <w:bCs/>
          <w:color w:val="auto"/>
          <w:spacing w:val="-5"/>
          <w:sz w:val="24"/>
          <w:szCs w:val="24"/>
          <w:highlight w:val="none"/>
        </w:rPr>
        <w:t>其他</w:t>
      </w:r>
    </w:p>
    <w:p w14:paraId="637878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招标文件内容及要求严格执行国家、省（自治区）有关法律法规。</w:t>
      </w:r>
    </w:p>
    <w:p w14:paraId="4E97891D">
      <w:pPr>
        <w:spacing w:line="224" w:lineRule="auto"/>
        <w:rPr>
          <w:rFonts w:ascii="新宋体" w:hAnsi="新宋体" w:eastAsia="新宋体" w:cs="新宋体"/>
          <w:color w:val="auto"/>
          <w:sz w:val="24"/>
          <w:szCs w:val="24"/>
          <w:highlight w:val="none"/>
        </w:rPr>
        <w:sectPr>
          <w:footerReference r:id="rId9" w:type="default"/>
          <w:pgSz w:w="11905" w:h="16839"/>
          <w:pgMar w:top="1440" w:right="1800" w:bottom="1440" w:left="1800" w:header="0" w:footer="1090" w:gutter="0"/>
          <w:pgNumType w:fmt="numberInDash"/>
          <w:cols w:space="720" w:num="1"/>
        </w:sectPr>
      </w:pPr>
    </w:p>
    <w:p w14:paraId="5A33BBE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sz w:val="30"/>
          <w:szCs w:val="30"/>
          <w:highlight w:val="none"/>
        </w:rPr>
      </w:pPr>
      <w:bookmarkStart w:id="10" w:name="bookmark4"/>
      <w:bookmarkEnd w:id="10"/>
      <w:r>
        <w:rPr>
          <w:b/>
          <w:bCs/>
          <w:color w:val="auto"/>
          <w:spacing w:val="-7"/>
          <w:sz w:val="30"/>
          <w:szCs w:val="30"/>
          <w:highlight w:val="none"/>
        </w:rPr>
        <w:t>第三章</w:t>
      </w:r>
      <w:r>
        <w:rPr>
          <w:b/>
          <w:bCs/>
          <w:color w:val="auto"/>
          <w:spacing w:val="17"/>
          <w:sz w:val="30"/>
          <w:szCs w:val="30"/>
          <w:highlight w:val="none"/>
        </w:rPr>
        <w:t xml:space="preserve">   </w:t>
      </w:r>
      <w:r>
        <w:rPr>
          <w:b/>
          <w:bCs/>
          <w:color w:val="auto"/>
          <w:spacing w:val="-7"/>
          <w:sz w:val="30"/>
          <w:szCs w:val="30"/>
          <w:highlight w:val="none"/>
        </w:rPr>
        <w:t>评标办法</w:t>
      </w:r>
    </w:p>
    <w:p w14:paraId="1C48CB2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9"/>
          <w:w w:val="97"/>
          <w:sz w:val="24"/>
          <w:szCs w:val="24"/>
          <w:highlight w:val="none"/>
        </w:rPr>
        <w:t>一</w:t>
      </w:r>
      <w:r>
        <w:rPr>
          <w:b/>
          <w:bCs/>
          <w:color w:val="auto"/>
          <w:spacing w:val="4"/>
          <w:sz w:val="24"/>
          <w:szCs w:val="24"/>
          <w:highlight w:val="none"/>
        </w:rPr>
        <w:t xml:space="preserve">  </w:t>
      </w:r>
      <w:r>
        <w:rPr>
          <w:b/>
          <w:bCs/>
          <w:color w:val="auto"/>
          <w:spacing w:val="-9"/>
          <w:w w:val="97"/>
          <w:sz w:val="24"/>
          <w:szCs w:val="24"/>
          <w:highlight w:val="none"/>
        </w:rPr>
        <w:t>、总则</w:t>
      </w:r>
    </w:p>
    <w:p w14:paraId="746DBB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1.评标方法</w:t>
      </w:r>
    </w:p>
    <w:p w14:paraId="3AF48C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综合评分法是指投标文件满足招标文件全部实质性要求且按照评审因素的量化指标</w:t>
      </w:r>
      <w:r>
        <w:rPr>
          <w:rFonts w:ascii="新宋体" w:hAnsi="新宋体" w:eastAsia="新宋体" w:cs="新宋体"/>
          <w:color w:val="auto"/>
          <w:spacing w:val="-3"/>
          <w:sz w:val="24"/>
          <w:szCs w:val="24"/>
          <w:highlight w:val="none"/>
        </w:rPr>
        <w:t>评审得分最高的供应商为中标候选人的评标方法。</w:t>
      </w:r>
    </w:p>
    <w:p w14:paraId="5D6B0F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1.2</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2"/>
          <w:sz w:val="24"/>
          <w:szCs w:val="24"/>
          <w:highlight w:val="none"/>
        </w:rPr>
        <w:t>综合评分法一般适用于较为复杂、评价指标难以量化且价格为非主要因素的非标准定</w:t>
      </w:r>
      <w:r>
        <w:rPr>
          <w:rFonts w:ascii="新宋体" w:hAnsi="新宋体" w:eastAsia="新宋体" w:cs="新宋体"/>
          <w:color w:val="auto"/>
          <w:spacing w:val="-3"/>
          <w:sz w:val="24"/>
          <w:szCs w:val="24"/>
          <w:highlight w:val="none"/>
        </w:rPr>
        <w:t>制商品和非通用服务项目的项目评审。</w:t>
      </w:r>
    </w:p>
    <w:p w14:paraId="43F17E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第一步：先进行投标人证件审查，只有投标人证件审查评审合格后，才能进入下一阶段评</w:t>
      </w:r>
      <w:r>
        <w:rPr>
          <w:rFonts w:ascii="新宋体" w:hAnsi="新宋体" w:eastAsia="新宋体" w:cs="新宋体"/>
          <w:color w:val="auto"/>
          <w:spacing w:val="-22"/>
          <w:sz w:val="24"/>
          <w:szCs w:val="24"/>
          <w:highlight w:val="none"/>
        </w:rPr>
        <w:t>审；</w:t>
      </w:r>
    </w:p>
    <w:p w14:paraId="218C63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第二步：通过技术标和商务标评审，在满足招标文件实质性要求前提下，由评标委员会评</w:t>
      </w:r>
      <w:r>
        <w:rPr>
          <w:rFonts w:ascii="新宋体" w:hAnsi="新宋体" w:eastAsia="新宋体" w:cs="新宋体"/>
          <w:color w:val="auto"/>
          <w:spacing w:val="-4"/>
          <w:sz w:val="24"/>
          <w:szCs w:val="24"/>
          <w:highlight w:val="none"/>
        </w:rPr>
        <w:t>审技术标和商务标得分，计算总得分。</w:t>
      </w:r>
    </w:p>
    <w:p w14:paraId="442F2D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评标委员会按总得分从高到低按顺序推荐三名中标候选人，若总得分最高有两个及以上时，</w:t>
      </w:r>
      <w:r>
        <w:rPr>
          <w:rFonts w:ascii="新宋体" w:hAnsi="新宋体" w:eastAsia="新宋体" w:cs="新宋体"/>
          <w:color w:val="auto"/>
          <w:spacing w:val="-3"/>
          <w:sz w:val="24"/>
          <w:szCs w:val="24"/>
          <w:highlight w:val="none"/>
        </w:rPr>
        <w:t>以报价低者优先；得分且投标报价相同的，按技术指标优劣顺序排列。技术标也相同时由招标人现场采取随机摇号的方式确定中标候选人。</w:t>
      </w:r>
    </w:p>
    <w:p w14:paraId="22DF91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二  、投标文件初审</w:t>
      </w:r>
    </w:p>
    <w:p w14:paraId="5D3036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rFonts w:ascii="新宋体" w:hAnsi="新宋体" w:eastAsia="新宋体" w:cs="新宋体"/>
          <w:color w:val="auto"/>
          <w:spacing w:val="-1"/>
          <w:sz w:val="24"/>
          <w:szCs w:val="24"/>
          <w:highlight w:val="none"/>
        </w:rPr>
        <w:t>2.1.投标人资格审查</w:t>
      </w:r>
    </w:p>
    <w:tbl>
      <w:tblPr>
        <w:tblStyle w:val="15"/>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8135"/>
      </w:tblGrid>
      <w:tr w14:paraId="7E66B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844" w:type="dxa"/>
            <w:tcBorders>
              <w:top w:val="single" w:color="000000" w:sz="12" w:space="0"/>
              <w:left w:val="single" w:color="000000" w:sz="12" w:space="0"/>
            </w:tcBorders>
            <w:vAlign w:val="center"/>
          </w:tcPr>
          <w:p w14:paraId="6B8D2A1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1"/>
                <w:szCs w:val="21"/>
                <w:highlight w:val="none"/>
              </w:rPr>
            </w:pPr>
            <w:r>
              <w:rPr>
                <w:color w:val="auto"/>
                <w:spacing w:val="-5"/>
                <w:sz w:val="21"/>
                <w:szCs w:val="21"/>
                <w:highlight w:val="none"/>
              </w:rPr>
              <w:t>类型</w:t>
            </w:r>
          </w:p>
        </w:tc>
        <w:tc>
          <w:tcPr>
            <w:tcW w:w="8135" w:type="dxa"/>
            <w:tcBorders>
              <w:top w:val="single" w:color="000000" w:sz="12" w:space="0"/>
              <w:right w:val="single" w:color="000000" w:sz="12" w:space="0"/>
            </w:tcBorders>
            <w:vAlign w:val="center"/>
          </w:tcPr>
          <w:p w14:paraId="639CD99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z w:val="21"/>
                <w:szCs w:val="21"/>
                <w:highlight w:val="none"/>
              </w:rPr>
            </w:pPr>
            <w:r>
              <w:rPr>
                <w:color w:val="auto"/>
                <w:spacing w:val="-6"/>
                <w:sz w:val="21"/>
                <w:szCs w:val="21"/>
                <w:highlight w:val="none"/>
              </w:rPr>
              <w:t>审查要求</w:t>
            </w:r>
          </w:p>
        </w:tc>
      </w:tr>
      <w:tr w14:paraId="7565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44" w:type="dxa"/>
            <w:tcBorders>
              <w:left w:val="single" w:color="000000" w:sz="12" w:space="0"/>
            </w:tcBorders>
            <w:shd w:val="clear" w:color="auto" w:fill="auto"/>
            <w:vAlign w:val="center"/>
          </w:tcPr>
          <w:p w14:paraId="0EFDF7A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新宋体" w:hAnsi="新宋体" w:eastAsia="新宋体" w:cs="新宋体"/>
                <w:snapToGrid w:val="0"/>
                <w:color w:val="auto"/>
                <w:kern w:val="0"/>
                <w:sz w:val="21"/>
                <w:szCs w:val="21"/>
                <w:highlight w:val="none"/>
                <w:lang w:val="en-US" w:eastAsia="en-US" w:bidi="ar-SA"/>
              </w:rPr>
            </w:pPr>
            <w:r>
              <w:rPr>
                <w:color w:val="auto"/>
                <w:spacing w:val="-4"/>
                <w:sz w:val="21"/>
                <w:szCs w:val="21"/>
                <w:highlight w:val="none"/>
              </w:rPr>
              <w:t>营业执照</w:t>
            </w:r>
          </w:p>
        </w:tc>
        <w:tc>
          <w:tcPr>
            <w:tcW w:w="8135" w:type="dxa"/>
            <w:tcBorders>
              <w:right w:val="single" w:color="000000" w:sz="12" w:space="0"/>
            </w:tcBorders>
            <w:shd w:val="clear" w:color="auto" w:fill="auto"/>
            <w:vAlign w:val="center"/>
          </w:tcPr>
          <w:p w14:paraId="28B7F59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jc w:val="both"/>
              <w:textAlignment w:val="baseline"/>
              <w:rPr>
                <w:rFonts w:ascii="新宋体" w:hAnsi="新宋体" w:eastAsia="新宋体" w:cs="新宋体"/>
                <w:snapToGrid w:val="0"/>
                <w:color w:val="auto"/>
                <w:kern w:val="0"/>
                <w:sz w:val="21"/>
                <w:szCs w:val="21"/>
                <w:highlight w:val="none"/>
                <w:lang w:val="en-US" w:eastAsia="en-US" w:bidi="ar-SA"/>
              </w:rPr>
            </w:pPr>
            <w:r>
              <w:rPr>
                <w:color w:val="auto"/>
                <w:spacing w:val="-1"/>
                <w:sz w:val="21"/>
                <w:szCs w:val="21"/>
                <w:highlight w:val="none"/>
              </w:rPr>
              <w:t>符合《中华人民共和国政府采购法》第二十二条的相关规定；投标人应在中华人民共和国注册，具有有效的营业执照，并在人员、</w:t>
            </w:r>
            <w:r>
              <w:rPr>
                <w:color w:val="auto"/>
                <w:spacing w:val="-2"/>
                <w:sz w:val="21"/>
                <w:szCs w:val="21"/>
                <w:highlight w:val="none"/>
              </w:rPr>
              <w:t>技术、货物等方面具有承担本项目的能</w:t>
            </w:r>
            <w:r>
              <w:rPr>
                <w:color w:val="auto"/>
                <w:spacing w:val="-16"/>
                <w:sz w:val="21"/>
                <w:szCs w:val="21"/>
                <w:highlight w:val="none"/>
              </w:rPr>
              <w:t>力；</w:t>
            </w:r>
          </w:p>
        </w:tc>
      </w:tr>
      <w:tr w14:paraId="2F3D9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844" w:type="dxa"/>
            <w:tcBorders>
              <w:left w:val="single" w:color="000000" w:sz="12" w:space="0"/>
            </w:tcBorders>
            <w:vAlign w:val="center"/>
          </w:tcPr>
          <w:p w14:paraId="77492C9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1"/>
                <w:szCs w:val="21"/>
                <w:highlight w:val="none"/>
              </w:rPr>
            </w:pPr>
            <w:r>
              <w:rPr>
                <w:color w:val="auto"/>
                <w:spacing w:val="-4"/>
                <w:sz w:val="21"/>
                <w:szCs w:val="21"/>
                <w:highlight w:val="none"/>
              </w:rPr>
              <w:t>财务报告</w:t>
            </w:r>
          </w:p>
        </w:tc>
        <w:tc>
          <w:tcPr>
            <w:tcW w:w="8135" w:type="dxa"/>
            <w:tcBorders>
              <w:right w:val="single" w:color="000000" w:sz="12" w:space="0"/>
            </w:tcBorders>
            <w:vAlign w:val="center"/>
          </w:tcPr>
          <w:p w14:paraId="0443CB3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8"/>
              <w:jc w:val="both"/>
              <w:textAlignment w:val="baseline"/>
              <w:rPr>
                <w:color w:val="auto"/>
                <w:sz w:val="21"/>
                <w:szCs w:val="21"/>
                <w:highlight w:val="none"/>
              </w:rPr>
            </w:pPr>
            <w:r>
              <w:rPr>
                <w:rFonts w:hint="eastAsia"/>
                <w:color w:val="auto"/>
                <w:spacing w:val="-4"/>
                <w:sz w:val="21"/>
                <w:szCs w:val="21"/>
                <w:highlight w:val="none"/>
              </w:rPr>
              <w:t>提供近两年（2023年或2024年）任意一年第三方财务审计报告或银行出具的资信证明等，成立不满一年的投标企业须提供成立至今的财务报表；</w:t>
            </w:r>
          </w:p>
        </w:tc>
      </w:tr>
      <w:tr w14:paraId="6682A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1844" w:type="dxa"/>
            <w:vMerge w:val="restart"/>
            <w:tcBorders>
              <w:left w:val="single" w:color="000000" w:sz="12" w:space="0"/>
              <w:bottom w:val="nil"/>
            </w:tcBorders>
            <w:vAlign w:val="top"/>
          </w:tcPr>
          <w:p w14:paraId="613C39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5B9DC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0DC6F2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D5BB40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1"/>
                <w:szCs w:val="21"/>
                <w:highlight w:val="none"/>
              </w:rPr>
            </w:pPr>
            <w:r>
              <w:rPr>
                <w:color w:val="auto"/>
                <w:spacing w:val="-3"/>
                <w:sz w:val="21"/>
                <w:szCs w:val="21"/>
                <w:highlight w:val="none"/>
              </w:rPr>
              <w:t>基本资质</w:t>
            </w:r>
          </w:p>
        </w:tc>
        <w:tc>
          <w:tcPr>
            <w:tcW w:w="8135" w:type="dxa"/>
            <w:tcBorders>
              <w:right w:val="single" w:color="000000" w:sz="12" w:space="0"/>
            </w:tcBorders>
            <w:vAlign w:val="center"/>
          </w:tcPr>
          <w:p w14:paraId="7DE5684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z w:val="21"/>
                <w:szCs w:val="21"/>
                <w:highlight w:val="none"/>
              </w:rPr>
            </w:pPr>
            <w:r>
              <w:rPr>
                <w:color w:val="auto"/>
                <w:spacing w:val="-2"/>
                <w:sz w:val="21"/>
                <w:szCs w:val="21"/>
                <w:highlight w:val="none"/>
              </w:rPr>
              <w:t>法定代表人身份证明及其有效身份证复印件或授权委托书及其有效身份证复印件；</w:t>
            </w:r>
          </w:p>
        </w:tc>
      </w:tr>
      <w:tr w14:paraId="4C7F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844" w:type="dxa"/>
            <w:vMerge w:val="continue"/>
            <w:tcBorders>
              <w:top w:val="nil"/>
              <w:left w:val="single" w:color="000000" w:sz="12" w:space="0"/>
              <w:bottom w:val="nil"/>
            </w:tcBorders>
            <w:vAlign w:val="top"/>
          </w:tcPr>
          <w:p w14:paraId="010D51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8135" w:type="dxa"/>
            <w:tcBorders>
              <w:right w:val="single" w:color="000000" w:sz="12" w:space="0"/>
            </w:tcBorders>
            <w:vAlign w:val="center"/>
          </w:tcPr>
          <w:p w14:paraId="5F0AF6C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z w:val="21"/>
                <w:szCs w:val="21"/>
                <w:highlight w:val="none"/>
              </w:rPr>
            </w:pPr>
            <w:r>
              <w:rPr>
                <w:rFonts w:hint="eastAsia"/>
                <w:color w:val="auto"/>
                <w:spacing w:val="-4"/>
                <w:sz w:val="21"/>
                <w:szCs w:val="21"/>
                <w:highlight w:val="none"/>
              </w:rPr>
              <w:t>提供近一年任意三个月缴税记录及社保缴纳证明；（新成立公司提供成立之日起至今的缴税记录及社保缴纳证明；若供应商的纳税记录为零申报的，提供申报记录）</w:t>
            </w:r>
          </w:p>
        </w:tc>
      </w:tr>
      <w:tr w14:paraId="4D26F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844" w:type="dxa"/>
            <w:vMerge w:val="continue"/>
            <w:tcBorders>
              <w:top w:val="nil"/>
              <w:left w:val="single" w:color="000000" w:sz="12" w:space="0"/>
              <w:bottom w:val="nil"/>
            </w:tcBorders>
            <w:vAlign w:val="top"/>
          </w:tcPr>
          <w:p w14:paraId="2062A0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8135" w:type="dxa"/>
            <w:tcBorders>
              <w:right w:val="single" w:color="000000" w:sz="12" w:space="0"/>
            </w:tcBorders>
            <w:vAlign w:val="center"/>
          </w:tcPr>
          <w:p w14:paraId="26615CB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
              <w:jc w:val="both"/>
              <w:textAlignment w:val="baseline"/>
              <w:rPr>
                <w:color w:val="auto"/>
                <w:sz w:val="21"/>
                <w:szCs w:val="21"/>
                <w:highlight w:val="none"/>
              </w:rPr>
            </w:pPr>
            <w:r>
              <w:rPr>
                <w:color w:val="auto"/>
                <w:spacing w:val="-2"/>
                <w:sz w:val="21"/>
                <w:szCs w:val="21"/>
                <w:highlight w:val="none"/>
              </w:rPr>
              <w:t>提供法人或授权委托人在本单位近</w:t>
            </w:r>
            <w:r>
              <w:rPr>
                <w:rFonts w:hint="eastAsia"/>
                <w:color w:val="auto"/>
                <w:spacing w:val="-2"/>
                <w:sz w:val="21"/>
                <w:szCs w:val="21"/>
                <w:highlight w:val="none"/>
                <w:lang w:eastAsia="zh-CN"/>
              </w:rPr>
              <w:t>三个月</w:t>
            </w:r>
            <w:r>
              <w:rPr>
                <w:color w:val="auto"/>
                <w:spacing w:val="-2"/>
                <w:sz w:val="21"/>
                <w:szCs w:val="21"/>
                <w:highlight w:val="none"/>
              </w:rPr>
              <w:t>（</w:t>
            </w:r>
            <w:r>
              <w:rPr>
                <w:color w:val="auto"/>
                <w:spacing w:val="-4"/>
                <w:sz w:val="21"/>
                <w:szCs w:val="21"/>
                <w:highlight w:val="none"/>
              </w:rPr>
              <w:t>202</w:t>
            </w:r>
            <w:r>
              <w:rPr>
                <w:rFonts w:hint="eastAsia"/>
                <w:color w:val="auto"/>
                <w:spacing w:val="-4"/>
                <w:sz w:val="21"/>
                <w:szCs w:val="21"/>
                <w:highlight w:val="none"/>
                <w:lang w:val="en-US" w:eastAsia="zh-CN"/>
              </w:rPr>
              <w:t>5</w:t>
            </w:r>
            <w:r>
              <w:rPr>
                <w:color w:val="auto"/>
                <w:spacing w:val="-18"/>
                <w:sz w:val="21"/>
                <w:szCs w:val="21"/>
                <w:highlight w:val="none"/>
              </w:rPr>
              <w:t xml:space="preserve"> </w:t>
            </w:r>
            <w:r>
              <w:rPr>
                <w:color w:val="auto"/>
                <w:spacing w:val="-4"/>
                <w:sz w:val="21"/>
                <w:szCs w:val="21"/>
                <w:highlight w:val="none"/>
              </w:rPr>
              <w:t>年</w:t>
            </w:r>
            <w:r>
              <w:rPr>
                <w:color w:val="auto"/>
                <w:spacing w:val="-43"/>
                <w:sz w:val="21"/>
                <w:szCs w:val="21"/>
                <w:highlight w:val="none"/>
              </w:rPr>
              <w:t xml:space="preserve"> </w:t>
            </w:r>
            <w:r>
              <w:rPr>
                <w:rFonts w:hint="eastAsia"/>
                <w:color w:val="auto"/>
                <w:spacing w:val="-4"/>
                <w:sz w:val="21"/>
                <w:szCs w:val="21"/>
                <w:highlight w:val="none"/>
                <w:lang w:val="en-US" w:eastAsia="zh-CN"/>
              </w:rPr>
              <w:t>1</w:t>
            </w:r>
            <w:r>
              <w:rPr>
                <w:color w:val="auto"/>
                <w:spacing w:val="-29"/>
                <w:sz w:val="21"/>
                <w:szCs w:val="21"/>
                <w:highlight w:val="none"/>
              </w:rPr>
              <w:t xml:space="preserve"> </w:t>
            </w:r>
            <w:r>
              <w:rPr>
                <w:color w:val="auto"/>
                <w:spacing w:val="-4"/>
                <w:sz w:val="21"/>
                <w:szCs w:val="21"/>
                <w:highlight w:val="none"/>
              </w:rPr>
              <w:t>月</w:t>
            </w:r>
            <w:r>
              <w:rPr>
                <w:color w:val="auto"/>
                <w:spacing w:val="-2"/>
                <w:sz w:val="21"/>
                <w:szCs w:val="21"/>
                <w:highlight w:val="none"/>
              </w:rPr>
              <w:t>至投标截止日</w:t>
            </w:r>
            <w:r>
              <w:rPr>
                <w:rFonts w:hint="eastAsia"/>
                <w:color w:val="auto"/>
                <w:spacing w:val="-2"/>
                <w:sz w:val="21"/>
                <w:szCs w:val="21"/>
                <w:highlight w:val="none"/>
                <w:lang w:val="en-US" w:eastAsia="zh-CN"/>
              </w:rPr>
              <w:t>任意三个月</w:t>
            </w:r>
            <w:r>
              <w:rPr>
                <w:color w:val="auto"/>
                <w:spacing w:val="-2"/>
                <w:sz w:val="21"/>
                <w:szCs w:val="21"/>
                <w:highlight w:val="none"/>
              </w:rPr>
              <w:t>）缴纳社保证明</w:t>
            </w:r>
            <w:r>
              <w:rPr>
                <w:color w:val="auto"/>
                <w:spacing w:val="-14"/>
                <w:sz w:val="21"/>
                <w:szCs w:val="21"/>
                <w:highlight w:val="none"/>
              </w:rPr>
              <w:t>文件；</w:t>
            </w:r>
          </w:p>
        </w:tc>
      </w:tr>
      <w:tr w14:paraId="1ADF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844" w:type="dxa"/>
            <w:vMerge w:val="continue"/>
            <w:tcBorders>
              <w:top w:val="nil"/>
              <w:left w:val="single" w:color="000000" w:sz="12" w:space="0"/>
              <w:bottom w:val="single" w:color="000000" w:sz="12" w:space="0"/>
            </w:tcBorders>
            <w:vAlign w:val="top"/>
          </w:tcPr>
          <w:p w14:paraId="1CC5CF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tc>
        <w:tc>
          <w:tcPr>
            <w:tcW w:w="8135" w:type="dxa"/>
            <w:tcBorders>
              <w:bottom w:val="single" w:color="000000" w:sz="12" w:space="0"/>
              <w:right w:val="single" w:color="000000" w:sz="12" w:space="0"/>
            </w:tcBorders>
            <w:vAlign w:val="center"/>
          </w:tcPr>
          <w:p w14:paraId="0A037EE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z w:val="21"/>
                <w:szCs w:val="21"/>
                <w:highlight w:val="none"/>
              </w:rPr>
            </w:pPr>
            <w:r>
              <w:rPr>
                <w:color w:val="auto"/>
                <w:spacing w:val="-3"/>
                <w:sz w:val="21"/>
                <w:szCs w:val="21"/>
                <w:highlight w:val="none"/>
              </w:rPr>
              <w:t>投标保证金凭证或保函。</w:t>
            </w:r>
          </w:p>
        </w:tc>
      </w:tr>
    </w:tbl>
    <w:p w14:paraId="2F640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568C88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pacing w:val="-1"/>
          <w:sz w:val="24"/>
          <w:szCs w:val="24"/>
          <w:highlight w:val="none"/>
        </w:rPr>
      </w:pPr>
    </w:p>
    <w:p w14:paraId="0ED538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r>
        <w:rPr>
          <w:rFonts w:ascii="新宋体" w:hAnsi="新宋体" w:eastAsia="新宋体" w:cs="新宋体"/>
          <w:color w:val="auto"/>
          <w:spacing w:val="-1"/>
          <w:sz w:val="24"/>
          <w:szCs w:val="24"/>
          <w:highlight w:val="none"/>
        </w:rPr>
        <w:t>2.2.符合性审查</w:t>
      </w:r>
    </w:p>
    <w:p w14:paraId="61A9176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b/>
          <w:bCs/>
          <w:color w:val="auto"/>
          <w:spacing w:val="-4"/>
          <w:sz w:val="24"/>
          <w:szCs w:val="24"/>
          <w:highlight w:val="none"/>
        </w:rPr>
        <w:t>评审细则</w:t>
      </w:r>
    </w:p>
    <w:tbl>
      <w:tblPr>
        <w:tblStyle w:val="15"/>
        <w:tblW w:w="89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7477"/>
      </w:tblGrid>
      <w:tr w14:paraId="32F3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31" w:type="dxa"/>
            <w:tcBorders>
              <w:top w:val="single" w:color="000000" w:sz="12" w:space="0"/>
              <w:left w:val="single" w:color="000000" w:sz="12" w:space="0"/>
            </w:tcBorders>
            <w:vAlign w:val="center"/>
          </w:tcPr>
          <w:p w14:paraId="47327ED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1"/>
                <w:szCs w:val="21"/>
                <w:highlight w:val="none"/>
              </w:rPr>
            </w:pPr>
            <w:r>
              <w:rPr>
                <w:color w:val="auto"/>
                <w:spacing w:val="-5"/>
                <w:sz w:val="21"/>
                <w:szCs w:val="21"/>
                <w:highlight w:val="none"/>
              </w:rPr>
              <w:t>类型</w:t>
            </w:r>
          </w:p>
        </w:tc>
        <w:tc>
          <w:tcPr>
            <w:tcW w:w="7477" w:type="dxa"/>
            <w:tcBorders>
              <w:top w:val="single" w:color="000000" w:sz="12" w:space="0"/>
              <w:right w:val="single" w:color="000000" w:sz="12" w:space="0"/>
            </w:tcBorders>
            <w:vAlign w:val="center"/>
          </w:tcPr>
          <w:p w14:paraId="4C1C40D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1"/>
                <w:szCs w:val="21"/>
                <w:highlight w:val="none"/>
              </w:rPr>
            </w:pPr>
            <w:r>
              <w:rPr>
                <w:color w:val="auto"/>
                <w:spacing w:val="-6"/>
                <w:sz w:val="21"/>
                <w:szCs w:val="21"/>
                <w:highlight w:val="none"/>
              </w:rPr>
              <w:t>审查要求</w:t>
            </w:r>
          </w:p>
        </w:tc>
      </w:tr>
      <w:tr w14:paraId="79CE4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31" w:type="dxa"/>
            <w:vMerge w:val="restart"/>
            <w:tcBorders>
              <w:left w:val="single" w:color="000000" w:sz="12" w:space="0"/>
            </w:tcBorders>
            <w:vAlign w:val="center"/>
          </w:tcPr>
          <w:p w14:paraId="3AB037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378B08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16934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525C90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49E983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p w14:paraId="78ABD9A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6"/>
                <w:sz w:val="21"/>
                <w:szCs w:val="21"/>
                <w:highlight w:val="none"/>
              </w:rPr>
            </w:pPr>
          </w:p>
          <w:p w14:paraId="1C3C1C2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pacing w:val="-6"/>
                <w:sz w:val="21"/>
                <w:szCs w:val="21"/>
                <w:highlight w:val="none"/>
              </w:rPr>
            </w:pPr>
          </w:p>
          <w:p w14:paraId="0BFB013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1"/>
                <w:szCs w:val="21"/>
                <w:highlight w:val="none"/>
              </w:rPr>
            </w:pPr>
            <w:r>
              <w:rPr>
                <w:color w:val="auto"/>
                <w:spacing w:val="-6"/>
                <w:sz w:val="21"/>
                <w:szCs w:val="21"/>
                <w:highlight w:val="none"/>
              </w:rPr>
              <w:t>商务</w:t>
            </w:r>
          </w:p>
        </w:tc>
        <w:tc>
          <w:tcPr>
            <w:tcW w:w="7477" w:type="dxa"/>
            <w:tcBorders>
              <w:right w:val="single" w:color="000000" w:sz="12" w:space="0"/>
            </w:tcBorders>
            <w:vAlign w:val="center"/>
          </w:tcPr>
          <w:p w14:paraId="103FEF5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jc w:val="both"/>
              <w:textAlignment w:val="baseline"/>
              <w:rPr>
                <w:color w:val="auto"/>
                <w:sz w:val="21"/>
                <w:szCs w:val="21"/>
                <w:highlight w:val="none"/>
              </w:rPr>
            </w:pPr>
            <w:r>
              <w:rPr>
                <w:color w:val="auto"/>
                <w:spacing w:val="-1"/>
                <w:sz w:val="21"/>
                <w:szCs w:val="21"/>
                <w:highlight w:val="none"/>
              </w:rPr>
              <w:t>1、投标文件按照招标文件规定的内容、格式填写</w:t>
            </w:r>
            <w:r>
              <w:rPr>
                <w:color w:val="auto"/>
                <w:spacing w:val="-2"/>
                <w:sz w:val="21"/>
                <w:szCs w:val="21"/>
                <w:highlight w:val="none"/>
              </w:rPr>
              <w:t>，字迹清晰可辨、按招标文件要求签署、</w:t>
            </w:r>
            <w:r>
              <w:rPr>
                <w:color w:val="auto"/>
                <w:spacing w:val="-13"/>
                <w:sz w:val="21"/>
                <w:szCs w:val="21"/>
                <w:highlight w:val="none"/>
              </w:rPr>
              <w:t>盖章的；</w:t>
            </w:r>
          </w:p>
        </w:tc>
      </w:tr>
      <w:tr w14:paraId="11B8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31" w:type="dxa"/>
            <w:vMerge w:val="continue"/>
            <w:tcBorders>
              <w:left w:val="single" w:color="000000" w:sz="12" w:space="0"/>
            </w:tcBorders>
            <w:vAlign w:val="center"/>
          </w:tcPr>
          <w:p w14:paraId="795F4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7477" w:type="dxa"/>
            <w:tcBorders>
              <w:right w:val="single" w:color="000000" w:sz="12" w:space="0"/>
            </w:tcBorders>
            <w:vAlign w:val="center"/>
          </w:tcPr>
          <w:p w14:paraId="5B9102E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z w:val="21"/>
                <w:szCs w:val="21"/>
                <w:highlight w:val="none"/>
              </w:rPr>
            </w:pPr>
            <w:r>
              <w:rPr>
                <w:color w:val="auto"/>
                <w:spacing w:val="-4"/>
                <w:sz w:val="21"/>
                <w:szCs w:val="21"/>
                <w:highlight w:val="none"/>
              </w:rPr>
              <w:t>2、投标文件按照招标文件要求编写；</w:t>
            </w:r>
          </w:p>
        </w:tc>
      </w:tr>
      <w:tr w14:paraId="14A74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vMerge w:val="continue"/>
            <w:tcBorders>
              <w:left w:val="single" w:color="000000" w:sz="12" w:space="0"/>
            </w:tcBorders>
            <w:vAlign w:val="center"/>
          </w:tcPr>
          <w:p w14:paraId="5ABEE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7477" w:type="dxa"/>
            <w:tcBorders>
              <w:right w:val="single" w:color="000000" w:sz="12" w:space="0"/>
            </w:tcBorders>
            <w:vAlign w:val="center"/>
          </w:tcPr>
          <w:p w14:paraId="35E6C1F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z w:val="21"/>
                <w:szCs w:val="21"/>
                <w:highlight w:val="none"/>
              </w:rPr>
            </w:pPr>
            <w:r>
              <w:rPr>
                <w:color w:val="auto"/>
                <w:spacing w:val="-3"/>
                <w:sz w:val="21"/>
                <w:szCs w:val="21"/>
                <w:highlight w:val="none"/>
              </w:rPr>
              <w:t>3、投标文件承诺投标有效期满足招标文件要求；</w:t>
            </w:r>
          </w:p>
        </w:tc>
      </w:tr>
      <w:tr w14:paraId="65A5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31" w:type="dxa"/>
            <w:vMerge w:val="continue"/>
            <w:tcBorders>
              <w:left w:val="single" w:color="000000" w:sz="12" w:space="0"/>
            </w:tcBorders>
            <w:vAlign w:val="center"/>
          </w:tcPr>
          <w:p w14:paraId="02083B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7477" w:type="dxa"/>
            <w:tcBorders>
              <w:right w:val="single" w:color="000000" w:sz="12" w:space="0"/>
            </w:tcBorders>
            <w:vAlign w:val="center"/>
          </w:tcPr>
          <w:p w14:paraId="0F28E8F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z w:val="21"/>
                <w:szCs w:val="21"/>
                <w:highlight w:val="none"/>
              </w:rPr>
            </w:pPr>
            <w:r>
              <w:rPr>
                <w:color w:val="auto"/>
                <w:spacing w:val="-3"/>
                <w:sz w:val="21"/>
                <w:szCs w:val="21"/>
                <w:highlight w:val="none"/>
              </w:rPr>
              <w:t>4、合同履行期限、质保期满足招标文件要求；</w:t>
            </w:r>
          </w:p>
        </w:tc>
      </w:tr>
      <w:tr w14:paraId="65F3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vMerge w:val="continue"/>
            <w:tcBorders>
              <w:left w:val="single" w:color="000000" w:sz="12" w:space="0"/>
            </w:tcBorders>
            <w:vAlign w:val="center"/>
          </w:tcPr>
          <w:p w14:paraId="39DD04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7477" w:type="dxa"/>
            <w:tcBorders>
              <w:right w:val="single" w:color="000000" w:sz="12" w:space="0"/>
            </w:tcBorders>
            <w:vAlign w:val="center"/>
          </w:tcPr>
          <w:p w14:paraId="299C325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z w:val="21"/>
                <w:szCs w:val="21"/>
                <w:highlight w:val="none"/>
              </w:rPr>
            </w:pPr>
            <w:r>
              <w:rPr>
                <w:color w:val="auto"/>
                <w:spacing w:val="-2"/>
                <w:sz w:val="21"/>
                <w:szCs w:val="21"/>
                <w:highlight w:val="none"/>
              </w:rPr>
              <w:t>5、商务条款响应程度（包括但不限于合同履行期限等</w:t>
            </w:r>
            <w:r>
              <w:rPr>
                <w:color w:val="auto"/>
                <w:spacing w:val="2"/>
                <w:sz w:val="21"/>
                <w:szCs w:val="21"/>
                <w:highlight w:val="none"/>
              </w:rPr>
              <w:t>）：</w:t>
            </w:r>
            <w:r>
              <w:rPr>
                <w:color w:val="auto"/>
                <w:spacing w:val="-2"/>
                <w:sz w:val="21"/>
                <w:szCs w:val="21"/>
                <w:highlight w:val="none"/>
              </w:rPr>
              <w:t>响应招标文件；</w:t>
            </w:r>
          </w:p>
        </w:tc>
      </w:tr>
      <w:tr w14:paraId="62701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vMerge w:val="continue"/>
            <w:tcBorders>
              <w:left w:val="single" w:color="000000" w:sz="12" w:space="0"/>
            </w:tcBorders>
            <w:vAlign w:val="center"/>
          </w:tcPr>
          <w:p w14:paraId="1050E0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Arial"/>
                <w:color w:val="auto"/>
                <w:sz w:val="21"/>
                <w:highlight w:val="none"/>
              </w:rPr>
            </w:pPr>
          </w:p>
        </w:tc>
        <w:tc>
          <w:tcPr>
            <w:tcW w:w="7477" w:type="dxa"/>
            <w:tcBorders>
              <w:right w:val="single" w:color="000000" w:sz="12" w:space="0"/>
            </w:tcBorders>
            <w:vAlign w:val="center"/>
          </w:tcPr>
          <w:p w14:paraId="28527CE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pacing w:val="-2"/>
                <w:sz w:val="21"/>
                <w:szCs w:val="21"/>
                <w:highlight w:val="none"/>
              </w:rPr>
            </w:pPr>
            <w:r>
              <w:rPr>
                <w:rFonts w:hint="eastAsia"/>
                <w:color w:val="auto"/>
                <w:spacing w:val="-2"/>
                <w:sz w:val="21"/>
                <w:szCs w:val="21"/>
                <w:highlight w:val="none"/>
                <w:lang w:val="en-US" w:eastAsia="zh-CN"/>
              </w:rPr>
              <w:t>6、</w:t>
            </w:r>
            <w:r>
              <w:rPr>
                <w:rFonts w:hint="eastAsia"/>
                <w:color w:val="auto"/>
                <w:spacing w:val="-2"/>
                <w:sz w:val="21"/>
                <w:szCs w:val="21"/>
                <w:highlight w:val="none"/>
              </w:rPr>
              <w:t>在评标过程中，评标委员会若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招标方不接受不符合国家有关部门相关规定的投标报价或优惠方案，其投标报价视为无效报价。</w:t>
            </w:r>
          </w:p>
        </w:tc>
      </w:tr>
      <w:tr w14:paraId="40C5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tcBorders>
              <w:left w:val="single" w:color="000000" w:sz="12" w:space="0"/>
            </w:tcBorders>
            <w:vAlign w:val="center"/>
          </w:tcPr>
          <w:p w14:paraId="1A65C7E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1"/>
                <w:szCs w:val="21"/>
                <w:highlight w:val="none"/>
              </w:rPr>
            </w:pPr>
            <w:r>
              <w:rPr>
                <w:color w:val="auto"/>
                <w:spacing w:val="-4"/>
                <w:sz w:val="21"/>
                <w:szCs w:val="21"/>
                <w:highlight w:val="none"/>
              </w:rPr>
              <w:t>报价</w:t>
            </w:r>
          </w:p>
        </w:tc>
        <w:tc>
          <w:tcPr>
            <w:tcW w:w="7477" w:type="dxa"/>
            <w:tcBorders>
              <w:right w:val="single" w:color="000000" w:sz="12" w:space="0"/>
            </w:tcBorders>
            <w:vAlign w:val="center"/>
          </w:tcPr>
          <w:p w14:paraId="3364239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z w:val="21"/>
                <w:szCs w:val="21"/>
                <w:highlight w:val="none"/>
              </w:rPr>
            </w:pPr>
            <w:r>
              <w:rPr>
                <w:rFonts w:hint="eastAsia"/>
                <w:color w:val="auto"/>
                <w:spacing w:val="-2"/>
                <w:sz w:val="21"/>
                <w:szCs w:val="21"/>
                <w:highlight w:val="none"/>
                <w:lang w:val="en-US" w:eastAsia="zh-CN"/>
              </w:rPr>
              <w:t>7</w:t>
            </w:r>
            <w:r>
              <w:rPr>
                <w:color w:val="auto"/>
                <w:spacing w:val="-2"/>
                <w:sz w:val="21"/>
                <w:szCs w:val="21"/>
                <w:highlight w:val="none"/>
              </w:rPr>
              <w:t>、报价具有唯一性，报价未超过招标文件中规定的预算金额或者最高限价的；</w:t>
            </w:r>
          </w:p>
        </w:tc>
      </w:tr>
      <w:tr w14:paraId="446D2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431" w:type="dxa"/>
            <w:tcBorders>
              <w:left w:val="single" w:color="000000" w:sz="12" w:space="0"/>
              <w:bottom w:val="single" w:color="000000" w:sz="12" w:space="0"/>
            </w:tcBorders>
            <w:vAlign w:val="center"/>
          </w:tcPr>
          <w:p w14:paraId="2E8A6E4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color w:val="auto"/>
                <w:sz w:val="21"/>
                <w:szCs w:val="21"/>
                <w:highlight w:val="none"/>
              </w:rPr>
            </w:pPr>
            <w:r>
              <w:rPr>
                <w:color w:val="auto"/>
                <w:spacing w:val="-4"/>
                <w:sz w:val="21"/>
                <w:szCs w:val="21"/>
                <w:highlight w:val="none"/>
              </w:rPr>
              <w:t>技术</w:t>
            </w:r>
          </w:p>
        </w:tc>
        <w:tc>
          <w:tcPr>
            <w:tcW w:w="7477" w:type="dxa"/>
            <w:tcBorders>
              <w:bottom w:val="single" w:color="000000" w:sz="12" w:space="0"/>
              <w:right w:val="single" w:color="000000" w:sz="12" w:space="0"/>
            </w:tcBorders>
            <w:vAlign w:val="center"/>
          </w:tcPr>
          <w:p w14:paraId="1F4CD98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color w:val="auto"/>
                <w:sz w:val="21"/>
                <w:szCs w:val="21"/>
                <w:highlight w:val="none"/>
              </w:rPr>
            </w:pPr>
            <w:r>
              <w:rPr>
                <w:rFonts w:hint="eastAsia"/>
                <w:color w:val="auto"/>
                <w:spacing w:val="-3"/>
                <w:sz w:val="21"/>
                <w:szCs w:val="21"/>
                <w:highlight w:val="none"/>
                <w:lang w:val="en-US" w:eastAsia="zh-CN"/>
              </w:rPr>
              <w:t>8</w:t>
            </w:r>
            <w:r>
              <w:rPr>
                <w:color w:val="auto"/>
                <w:spacing w:val="-3"/>
                <w:sz w:val="21"/>
                <w:szCs w:val="21"/>
                <w:highlight w:val="none"/>
              </w:rPr>
              <w:t>、只能有一个方案投标。</w:t>
            </w:r>
          </w:p>
        </w:tc>
      </w:tr>
    </w:tbl>
    <w:p w14:paraId="1DBB33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0F8DA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新宋体" w:hAnsi="新宋体" w:eastAsia="新宋体" w:cs="新宋体"/>
          <w:color w:val="auto"/>
          <w:spacing w:val="-5"/>
          <w:sz w:val="24"/>
          <w:szCs w:val="24"/>
          <w:highlight w:val="none"/>
        </w:rPr>
      </w:pPr>
      <w:r>
        <w:rPr>
          <w:rFonts w:hint="eastAsia" w:ascii="新宋体" w:hAnsi="新宋体" w:eastAsia="新宋体" w:cs="新宋体"/>
          <w:color w:val="auto"/>
          <w:spacing w:val="-4"/>
          <w:sz w:val="24"/>
          <w:szCs w:val="24"/>
          <w:highlight w:val="none"/>
          <w:lang w:val="en-US" w:eastAsia="zh-CN"/>
        </w:rPr>
        <w:t xml:space="preserve">  </w:t>
      </w:r>
      <w:r>
        <w:rPr>
          <w:rFonts w:ascii="新宋体" w:hAnsi="新宋体" w:eastAsia="新宋体" w:cs="新宋体"/>
          <w:color w:val="auto"/>
          <w:spacing w:val="-4"/>
          <w:sz w:val="24"/>
          <w:szCs w:val="24"/>
          <w:highlight w:val="none"/>
        </w:rPr>
        <w:t>2.3</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4"/>
          <w:sz w:val="24"/>
          <w:szCs w:val="24"/>
          <w:highlight w:val="none"/>
        </w:rPr>
        <w:t>投标人资格审查及评分细则中涉及的有关证明材料</w:t>
      </w:r>
      <w:r>
        <w:rPr>
          <w:rFonts w:ascii="新宋体" w:hAnsi="新宋体" w:eastAsia="新宋体" w:cs="新宋体"/>
          <w:color w:val="auto"/>
          <w:spacing w:val="-5"/>
          <w:sz w:val="24"/>
          <w:szCs w:val="24"/>
          <w:highlight w:val="none"/>
        </w:rPr>
        <w:t>及相关证书，应加盖公</w:t>
      </w:r>
    </w:p>
    <w:p w14:paraId="045D0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章以供审查。</w:t>
      </w:r>
    </w:p>
    <w:p w14:paraId="69F436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2.4</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5"/>
          <w:sz w:val="24"/>
          <w:szCs w:val="24"/>
          <w:highlight w:val="none"/>
        </w:rPr>
        <w:t>评标委员会判定投标文件的响应性只根据投标文件本身的内容，而不寻求外部的证据，</w:t>
      </w:r>
      <w:r>
        <w:rPr>
          <w:rFonts w:ascii="新宋体" w:hAnsi="新宋体" w:eastAsia="新宋体" w:cs="新宋体"/>
          <w:color w:val="auto"/>
          <w:spacing w:val="-3"/>
          <w:sz w:val="24"/>
          <w:szCs w:val="24"/>
          <w:highlight w:val="none"/>
        </w:rPr>
        <w:t>但投标有不真实不正确的内容时除外。</w:t>
      </w:r>
    </w:p>
    <w:p w14:paraId="501A45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如果投标文件实质上没有响应招标文件</w:t>
      </w:r>
      <w:r>
        <w:rPr>
          <w:rFonts w:ascii="新宋体" w:hAnsi="新宋体" w:eastAsia="新宋体" w:cs="新宋体"/>
          <w:color w:val="auto"/>
          <w:spacing w:val="-2"/>
          <w:sz w:val="24"/>
          <w:szCs w:val="24"/>
          <w:highlight w:val="none"/>
        </w:rPr>
        <w:t>的要求，评标委员会将予以拒绝，投标人不得通过修正或撤销不符合要求的偏离或保留，而使其投标成为实质上响应的投标。</w:t>
      </w:r>
    </w:p>
    <w:p w14:paraId="371F00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2.6</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3"/>
          <w:sz w:val="24"/>
          <w:szCs w:val="24"/>
          <w:highlight w:val="none"/>
        </w:rPr>
        <w:t>只有通过初审的投标人才能进入下一步评标程序。</w:t>
      </w:r>
    </w:p>
    <w:p w14:paraId="2E52B6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三  、投标文件的澄清和补正</w:t>
      </w:r>
    </w:p>
    <w:p w14:paraId="41B017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评审阶段，评委可能会要求有关投标</w:t>
      </w:r>
      <w:r>
        <w:rPr>
          <w:rFonts w:ascii="新宋体" w:hAnsi="新宋体" w:eastAsia="新宋体" w:cs="新宋体"/>
          <w:color w:val="auto"/>
          <w:spacing w:val="-2"/>
          <w:sz w:val="24"/>
          <w:szCs w:val="24"/>
          <w:highlight w:val="none"/>
        </w:rPr>
        <w:t>人就其投标书中含义不明确、同类问题表述不一</w:t>
      </w:r>
      <w:r>
        <w:rPr>
          <w:rFonts w:ascii="新宋体" w:hAnsi="新宋体" w:eastAsia="新宋体" w:cs="新宋体"/>
          <w:color w:val="auto"/>
          <w:spacing w:val="-3"/>
          <w:sz w:val="24"/>
          <w:szCs w:val="24"/>
          <w:highlight w:val="none"/>
        </w:rPr>
        <w:t>致或者有明显文字和计算错误的内容进行澄清。</w:t>
      </w:r>
    </w:p>
    <w:p w14:paraId="2FE8C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投标人的澄清、说明或者补正应当通过“</w:t>
      </w:r>
      <w:r>
        <w:rPr>
          <w:rFonts w:ascii="新宋体" w:hAnsi="新宋体" w:eastAsia="新宋体" w:cs="新宋体"/>
          <w:color w:val="auto"/>
          <w:spacing w:val="-2"/>
          <w:sz w:val="24"/>
          <w:szCs w:val="24"/>
          <w:highlight w:val="none"/>
        </w:rPr>
        <w:t>政府采购云平台”在线答复的方式提交，并</w:t>
      </w:r>
      <w:r>
        <w:rPr>
          <w:rFonts w:ascii="新宋体" w:hAnsi="新宋体" w:eastAsia="新宋体" w:cs="新宋体"/>
          <w:color w:val="auto"/>
          <w:spacing w:val="-3"/>
          <w:sz w:val="24"/>
          <w:szCs w:val="24"/>
          <w:highlight w:val="none"/>
        </w:rPr>
        <w:t>加盖公章（电子印章</w:t>
      </w:r>
      <w:r>
        <w:rPr>
          <w:rFonts w:ascii="新宋体" w:hAnsi="新宋体" w:eastAsia="新宋体" w:cs="新宋体"/>
          <w:color w:val="auto"/>
          <w:spacing w:val="-1"/>
          <w:sz w:val="24"/>
          <w:szCs w:val="24"/>
          <w:highlight w:val="none"/>
        </w:rPr>
        <w:t>），</w:t>
      </w:r>
      <w:r>
        <w:rPr>
          <w:rFonts w:ascii="新宋体" w:hAnsi="新宋体" w:eastAsia="新宋体" w:cs="新宋体"/>
          <w:color w:val="auto"/>
          <w:spacing w:val="-3"/>
          <w:sz w:val="24"/>
          <w:szCs w:val="24"/>
          <w:highlight w:val="none"/>
        </w:rPr>
        <w:t>或者由法定代表人（负责人）或其授权的代表签章。投标供应商的澄</w:t>
      </w:r>
      <w:r>
        <w:rPr>
          <w:rFonts w:ascii="新宋体" w:hAnsi="新宋体" w:eastAsia="新宋体" w:cs="新宋体"/>
          <w:color w:val="auto"/>
          <w:spacing w:val="-5"/>
          <w:sz w:val="24"/>
          <w:szCs w:val="24"/>
          <w:highlight w:val="none"/>
        </w:rPr>
        <w:t>清、说明或者补正不得超出投标文件的范围或者改变投标文件的实质性内容，不接受投标供应</w:t>
      </w:r>
      <w:r>
        <w:rPr>
          <w:rFonts w:ascii="新宋体" w:hAnsi="新宋体" w:eastAsia="新宋体" w:cs="新宋体"/>
          <w:color w:val="auto"/>
          <w:spacing w:val="-3"/>
          <w:sz w:val="24"/>
          <w:szCs w:val="24"/>
          <w:highlight w:val="none"/>
        </w:rPr>
        <w:t>商主动对投标文件的澄清、说明或者补正。</w:t>
      </w:r>
    </w:p>
    <w:p w14:paraId="1C364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6"/>
          <w:sz w:val="24"/>
          <w:szCs w:val="24"/>
          <w:highlight w:val="none"/>
        </w:rPr>
        <w:t>评委会修正错误的原则：</w:t>
      </w:r>
    </w:p>
    <w:p w14:paraId="6ECEC4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3.3.1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如果数字表示的金额和用文字表示的</w:t>
      </w:r>
      <w:r>
        <w:rPr>
          <w:rFonts w:ascii="新宋体" w:hAnsi="新宋体" w:eastAsia="新宋体" w:cs="新宋体"/>
          <w:color w:val="auto"/>
          <w:spacing w:val="-2"/>
          <w:sz w:val="24"/>
          <w:szCs w:val="24"/>
          <w:highlight w:val="none"/>
        </w:rPr>
        <w:t>金额不一致时，以文字表示的金额为准；当投标函与开标一览表不一致时，以开标一览表为准。</w:t>
      </w:r>
    </w:p>
    <w:p w14:paraId="7886D8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1"/>
          <w:sz w:val="24"/>
          <w:szCs w:val="24"/>
          <w:highlight w:val="none"/>
        </w:rPr>
        <w:t>3.3.2</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如果单价与数量的乘积和总价不一致</w:t>
      </w:r>
      <w:r>
        <w:rPr>
          <w:rFonts w:ascii="新宋体" w:hAnsi="新宋体" w:eastAsia="新宋体" w:cs="新宋体"/>
          <w:color w:val="auto"/>
          <w:spacing w:val="-2"/>
          <w:sz w:val="24"/>
          <w:szCs w:val="24"/>
          <w:highlight w:val="none"/>
        </w:rPr>
        <w:t>，以单价为准，修正总价及开标一览表；当单价小数点有明显的错位时，评标委员会将以总价为准，并修正其单价。</w:t>
      </w:r>
    </w:p>
    <w:p w14:paraId="7A56C8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3.4</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评委会将按上述修正错误的方法调整</w:t>
      </w:r>
      <w:r>
        <w:rPr>
          <w:rFonts w:ascii="新宋体" w:hAnsi="新宋体" w:eastAsia="新宋体" w:cs="新宋体"/>
          <w:color w:val="auto"/>
          <w:spacing w:val="-2"/>
          <w:sz w:val="24"/>
          <w:szCs w:val="24"/>
          <w:highlight w:val="none"/>
        </w:rPr>
        <w:t>投标文件中的投标报价，调整后的价格应对投标</w:t>
      </w:r>
      <w:r>
        <w:rPr>
          <w:rFonts w:ascii="新宋体" w:hAnsi="新宋体" w:eastAsia="新宋体" w:cs="新宋体"/>
          <w:color w:val="auto"/>
          <w:spacing w:val="-6"/>
          <w:sz w:val="24"/>
          <w:szCs w:val="24"/>
          <w:highlight w:val="none"/>
        </w:rPr>
        <w:t>人具有约束力。无论投标人是接受或是拒绝调整后的价格，都应当采用电子询标的形式，并加</w:t>
      </w:r>
      <w:r>
        <w:rPr>
          <w:rFonts w:ascii="新宋体" w:hAnsi="新宋体" w:eastAsia="新宋体" w:cs="新宋体"/>
          <w:color w:val="auto"/>
          <w:spacing w:val="-4"/>
          <w:sz w:val="24"/>
          <w:szCs w:val="24"/>
          <w:highlight w:val="none"/>
        </w:rPr>
        <w:t>盖公章（电子印章）</w:t>
      </w:r>
    </w:p>
    <w:p w14:paraId="6478D2C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四、比较与评价</w:t>
      </w:r>
    </w:p>
    <w:p w14:paraId="2E3FD6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详细评审即按招标文件中规定的评标方法和标准，评标委员会将对通过初审的投标文件，进行经济标和技术标和商务标的评分、综合比较与评价。</w:t>
      </w:r>
    </w:p>
    <w:p w14:paraId="4BE8C3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综合评分满分100</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3"/>
          <w:sz w:val="24"/>
          <w:szCs w:val="24"/>
          <w:highlight w:val="none"/>
        </w:rPr>
        <w:t>分，各投标人的最终得分由商务标、技术标和经济标汇总组成。</w:t>
      </w:r>
    </w:p>
    <w:p w14:paraId="2E809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sectPr>
          <w:footerReference r:id="rId10" w:type="default"/>
          <w:pgSz w:w="11905" w:h="16839"/>
          <w:pgMar w:top="1440" w:right="1800" w:bottom="1440" w:left="1800" w:header="0" w:footer="1090" w:gutter="0"/>
          <w:pgNumType w:fmt="numberInDash"/>
          <w:cols w:space="720" w:num="1"/>
        </w:sectPr>
      </w:pPr>
    </w:p>
    <w:p w14:paraId="3A90713F">
      <w:pPr>
        <w:pStyle w:val="4"/>
        <w:spacing w:before="102" w:line="184" w:lineRule="auto"/>
        <w:jc w:val="center"/>
        <w:rPr>
          <w:color w:val="auto"/>
          <w:sz w:val="24"/>
          <w:szCs w:val="24"/>
          <w:highlight w:val="none"/>
        </w:rPr>
      </w:pPr>
      <w:r>
        <w:rPr>
          <w:b/>
          <w:bCs/>
          <w:color w:val="auto"/>
          <w:spacing w:val="-1"/>
          <w:sz w:val="24"/>
          <w:szCs w:val="24"/>
          <w:highlight w:val="none"/>
        </w:rPr>
        <w:t>评分标准（评分采用百分制</w:t>
      </w:r>
      <w:r>
        <w:rPr>
          <w:b/>
          <w:bCs/>
          <w:color w:val="auto"/>
          <w:spacing w:val="51"/>
          <w:sz w:val="24"/>
          <w:szCs w:val="24"/>
          <w:highlight w:val="none"/>
        </w:rPr>
        <w:t xml:space="preserve"> </w:t>
      </w:r>
      <w:r>
        <w:rPr>
          <w:b/>
          <w:bCs/>
          <w:color w:val="auto"/>
          <w:spacing w:val="-1"/>
          <w:sz w:val="24"/>
          <w:szCs w:val="24"/>
          <w:highlight w:val="none"/>
        </w:rPr>
        <w:t>，计算结果精确</w:t>
      </w:r>
      <w:r>
        <w:rPr>
          <w:b/>
          <w:bCs/>
          <w:color w:val="auto"/>
          <w:spacing w:val="-2"/>
          <w:sz w:val="24"/>
          <w:szCs w:val="24"/>
          <w:highlight w:val="none"/>
        </w:rPr>
        <w:t>到小数点后两位）</w:t>
      </w:r>
    </w:p>
    <w:p w14:paraId="550E9CB7">
      <w:pPr>
        <w:spacing w:line="114" w:lineRule="exact"/>
        <w:rPr>
          <w:color w:val="auto"/>
          <w:highlight w:val="none"/>
        </w:rPr>
      </w:pPr>
    </w:p>
    <w:tbl>
      <w:tblPr>
        <w:tblStyle w:val="15"/>
        <w:tblW w:w="9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10"/>
        <w:gridCol w:w="1049"/>
        <w:gridCol w:w="765"/>
        <w:gridCol w:w="6656"/>
      </w:tblGrid>
      <w:tr w14:paraId="77C39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2250" w:type="dxa"/>
            <w:gridSpan w:val="3"/>
            <w:vAlign w:val="center"/>
          </w:tcPr>
          <w:p w14:paraId="07E4EF49">
            <w:pPr>
              <w:spacing w:before="91" w:line="189" w:lineRule="auto"/>
              <w:jc w:val="center"/>
              <w:rPr>
                <w:rFonts w:ascii="微软雅黑" w:hAnsi="微软雅黑" w:eastAsia="微软雅黑" w:cs="微软雅黑"/>
                <w:b/>
                <w:bCs/>
                <w:color w:val="auto"/>
                <w:spacing w:val="-3"/>
                <w:sz w:val="21"/>
                <w:szCs w:val="21"/>
                <w:highlight w:val="none"/>
              </w:rPr>
            </w:pPr>
            <w:r>
              <w:rPr>
                <w:rFonts w:ascii="微软雅黑" w:hAnsi="微软雅黑" w:eastAsia="微软雅黑" w:cs="微软雅黑"/>
                <w:b/>
                <w:bCs/>
                <w:color w:val="auto"/>
                <w:spacing w:val="-3"/>
                <w:sz w:val="21"/>
                <w:szCs w:val="21"/>
                <w:highlight w:val="none"/>
              </w:rPr>
              <w:t>评审因素</w:t>
            </w:r>
          </w:p>
        </w:tc>
        <w:tc>
          <w:tcPr>
            <w:tcW w:w="765" w:type="dxa"/>
            <w:vAlign w:val="center"/>
          </w:tcPr>
          <w:p w14:paraId="249D1BC9">
            <w:pPr>
              <w:spacing w:before="91" w:line="189" w:lineRule="auto"/>
              <w:jc w:val="center"/>
              <w:rPr>
                <w:rFonts w:ascii="微软雅黑" w:hAnsi="微软雅黑" w:eastAsia="微软雅黑" w:cs="微软雅黑"/>
                <w:b/>
                <w:bCs/>
                <w:color w:val="auto"/>
                <w:spacing w:val="-3"/>
                <w:sz w:val="21"/>
                <w:szCs w:val="21"/>
                <w:highlight w:val="none"/>
              </w:rPr>
            </w:pPr>
            <w:r>
              <w:rPr>
                <w:rFonts w:ascii="微软雅黑" w:hAnsi="微软雅黑" w:eastAsia="微软雅黑" w:cs="微软雅黑"/>
                <w:b/>
                <w:bCs/>
                <w:color w:val="auto"/>
                <w:spacing w:val="-3"/>
                <w:sz w:val="21"/>
                <w:szCs w:val="21"/>
                <w:highlight w:val="none"/>
              </w:rPr>
              <w:t>分值</w:t>
            </w:r>
          </w:p>
        </w:tc>
        <w:tc>
          <w:tcPr>
            <w:tcW w:w="6656" w:type="dxa"/>
            <w:vAlign w:val="center"/>
          </w:tcPr>
          <w:p w14:paraId="071E5115">
            <w:pPr>
              <w:spacing w:before="91" w:line="189" w:lineRule="auto"/>
              <w:jc w:val="center"/>
              <w:rPr>
                <w:rFonts w:ascii="微软雅黑" w:hAnsi="微软雅黑" w:eastAsia="微软雅黑" w:cs="微软雅黑"/>
                <w:b/>
                <w:bCs/>
                <w:color w:val="auto"/>
                <w:spacing w:val="-3"/>
                <w:sz w:val="21"/>
                <w:szCs w:val="21"/>
                <w:highlight w:val="none"/>
              </w:rPr>
            </w:pPr>
            <w:r>
              <w:rPr>
                <w:rFonts w:ascii="微软雅黑" w:hAnsi="微软雅黑" w:eastAsia="微软雅黑" w:cs="微软雅黑"/>
                <w:b/>
                <w:bCs/>
                <w:color w:val="auto"/>
                <w:spacing w:val="-3"/>
                <w:sz w:val="21"/>
                <w:szCs w:val="21"/>
                <w:highlight w:val="none"/>
              </w:rPr>
              <w:t>评分标准</w:t>
            </w:r>
          </w:p>
        </w:tc>
      </w:tr>
      <w:tr w14:paraId="1B92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jc w:val="center"/>
        </w:trPr>
        <w:tc>
          <w:tcPr>
            <w:tcW w:w="1191" w:type="dxa"/>
            <w:vAlign w:val="center"/>
          </w:tcPr>
          <w:p w14:paraId="3266597B">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经济部分</w:t>
            </w:r>
          </w:p>
          <w:p w14:paraId="1DB7F2B8">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（30分）</w:t>
            </w:r>
          </w:p>
        </w:tc>
        <w:tc>
          <w:tcPr>
            <w:tcW w:w="1059" w:type="dxa"/>
            <w:gridSpan w:val="2"/>
            <w:vAlign w:val="center"/>
          </w:tcPr>
          <w:p w14:paraId="511A5FBC">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价格</w:t>
            </w:r>
          </w:p>
        </w:tc>
        <w:tc>
          <w:tcPr>
            <w:tcW w:w="765" w:type="dxa"/>
            <w:vAlign w:val="top"/>
          </w:tcPr>
          <w:p w14:paraId="7BD63F42">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p>
          <w:p w14:paraId="71BD10AA">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p>
          <w:p w14:paraId="603653CE">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p>
          <w:p w14:paraId="62F6D8F1">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30 分</w:t>
            </w:r>
          </w:p>
        </w:tc>
        <w:tc>
          <w:tcPr>
            <w:tcW w:w="6656" w:type="dxa"/>
            <w:vAlign w:val="center"/>
          </w:tcPr>
          <w:p w14:paraId="48F8B8FA">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价格分统一采用低价优先法计算，即满足采购文件要求且最后报价最低的供 应商的价格为评标基准价，其价格分为满分。其他供应商的价格分统一按照 下列公式计算：</w:t>
            </w:r>
          </w:p>
          <w:p w14:paraId="53DCDBF7">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投标报价得分=（评标基准价/最终投标报价）×价格权值×100 本项目的价格权值为 30%。</w:t>
            </w:r>
          </w:p>
          <w:p w14:paraId="11B3A386">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项目评审过程中，不得去掉最终报价中的最高报价和最低报价。</w:t>
            </w:r>
          </w:p>
        </w:tc>
      </w:tr>
      <w:tr w14:paraId="5E6C8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250" w:type="dxa"/>
            <w:gridSpan w:val="3"/>
            <w:tcBorders>
              <w:bottom w:val="single" w:color="auto" w:sz="4" w:space="0"/>
            </w:tcBorders>
            <w:vAlign w:val="center"/>
          </w:tcPr>
          <w:p w14:paraId="7A1271EF">
            <w:pPr>
              <w:spacing w:before="91" w:line="189" w:lineRule="auto"/>
              <w:jc w:val="center"/>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3"/>
                <w:sz w:val="21"/>
                <w:szCs w:val="21"/>
                <w:highlight w:val="none"/>
              </w:rPr>
              <w:t>评审因素</w:t>
            </w:r>
          </w:p>
        </w:tc>
        <w:tc>
          <w:tcPr>
            <w:tcW w:w="765" w:type="dxa"/>
            <w:tcBorders>
              <w:bottom w:val="single" w:color="auto" w:sz="4" w:space="0"/>
            </w:tcBorders>
            <w:vAlign w:val="center"/>
          </w:tcPr>
          <w:p w14:paraId="13A5132D">
            <w:pPr>
              <w:spacing w:before="90" w:line="188" w:lineRule="auto"/>
              <w:jc w:val="center"/>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4"/>
                <w:w w:val="99"/>
                <w:sz w:val="21"/>
                <w:szCs w:val="21"/>
                <w:highlight w:val="none"/>
              </w:rPr>
              <w:t>分值</w:t>
            </w:r>
          </w:p>
        </w:tc>
        <w:tc>
          <w:tcPr>
            <w:tcW w:w="6656" w:type="dxa"/>
            <w:vAlign w:val="center"/>
          </w:tcPr>
          <w:p w14:paraId="6ABBCF4B">
            <w:pPr>
              <w:spacing w:before="90" w:line="188" w:lineRule="auto"/>
              <w:jc w:val="center"/>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3"/>
                <w:sz w:val="21"/>
                <w:szCs w:val="21"/>
                <w:highlight w:val="none"/>
              </w:rPr>
              <w:t>评分标准</w:t>
            </w:r>
          </w:p>
        </w:tc>
      </w:tr>
      <w:tr w14:paraId="742F9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jc w:val="center"/>
        </w:trPr>
        <w:tc>
          <w:tcPr>
            <w:tcW w:w="1201" w:type="dxa"/>
            <w:gridSpan w:val="2"/>
            <w:vMerge w:val="restart"/>
            <w:tcBorders>
              <w:top w:val="single" w:color="auto" w:sz="4" w:space="0"/>
              <w:left w:val="single" w:color="auto" w:sz="4" w:space="0"/>
              <w:bottom w:val="single" w:color="auto" w:sz="4" w:space="0"/>
              <w:right w:val="single" w:color="auto" w:sz="4" w:space="0"/>
            </w:tcBorders>
            <w:vAlign w:val="top"/>
          </w:tcPr>
          <w:p w14:paraId="60763B9A">
            <w:pPr>
              <w:spacing w:line="245" w:lineRule="auto"/>
              <w:rPr>
                <w:rFonts w:ascii="Arial"/>
                <w:color w:val="auto"/>
                <w:sz w:val="21"/>
                <w:highlight w:val="none"/>
              </w:rPr>
            </w:pPr>
          </w:p>
          <w:p w14:paraId="6AEEB309">
            <w:pPr>
              <w:spacing w:line="245" w:lineRule="auto"/>
              <w:rPr>
                <w:rFonts w:ascii="Arial"/>
                <w:color w:val="auto"/>
                <w:sz w:val="21"/>
                <w:highlight w:val="none"/>
              </w:rPr>
            </w:pPr>
          </w:p>
          <w:p w14:paraId="1364121B">
            <w:pPr>
              <w:spacing w:line="245" w:lineRule="auto"/>
              <w:rPr>
                <w:rFonts w:ascii="Arial"/>
                <w:color w:val="auto"/>
                <w:sz w:val="21"/>
                <w:highlight w:val="none"/>
              </w:rPr>
            </w:pPr>
          </w:p>
          <w:p w14:paraId="733D5846">
            <w:pPr>
              <w:spacing w:line="245" w:lineRule="auto"/>
              <w:rPr>
                <w:rFonts w:ascii="Arial"/>
                <w:color w:val="auto"/>
                <w:sz w:val="21"/>
                <w:highlight w:val="none"/>
              </w:rPr>
            </w:pPr>
          </w:p>
          <w:p w14:paraId="6BCAC097">
            <w:pPr>
              <w:spacing w:line="245" w:lineRule="auto"/>
              <w:rPr>
                <w:rFonts w:ascii="Arial"/>
                <w:color w:val="auto"/>
                <w:sz w:val="21"/>
                <w:highlight w:val="none"/>
              </w:rPr>
            </w:pPr>
          </w:p>
          <w:p w14:paraId="4F303791">
            <w:pPr>
              <w:spacing w:line="245" w:lineRule="auto"/>
              <w:rPr>
                <w:rFonts w:ascii="Arial"/>
                <w:color w:val="auto"/>
                <w:sz w:val="21"/>
                <w:highlight w:val="none"/>
              </w:rPr>
            </w:pPr>
          </w:p>
          <w:p w14:paraId="083644A9">
            <w:pPr>
              <w:spacing w:line="245" w:lineRule="auto"/>
              <w:rPr>
                <w:rFonts w:ascii="Arial"/>
                <w:color w:val="auto"/>
                <w:sz w:val="21"/>
                <w:highlight w:val="none"/>
              </w:rPr>
            </w:pPr>
          </w:p>
          <w:p w14:paraId="3FE4047B">
            <w:pPr>
              <w:spacing w:line="245" w:lineRule="auto"/>
              <w:rPr>
                <w:rFonts w:ascii="Arial"/>
                <w:color w:val="auto"/>
                <w:sz w:val="21"/>
                <w:highlight w:val="none"/>
              </w:rPr>
            </w:pPr>
          </w:p>
          <w:p w14:paraId="5EBFC373">
            <w:pPr>
              <w:spacing w:line="245" w:lineRule="auto"/>
              <w:rPr>
                <w:rFonts w:ascii="Arial"/>
                <w:color w:val="auto"/>
                <w:sz w:val="21"/>
                <w:highlight w:val="none"/>
              </w:rPr>
            </w:pPr>
          </w:p>
          <w:p w14:paraId="36B76FA6">
            <w:pPr>
              <w:spacing w:line="245" w:lineRule="auto"/>
              <w:rPr>
                <w:rFonts w:ascii="Arial"/>
                <w:color w:val="auto"/>
                <w:sz w:val="21"/>
                <w:highlight w:val="none"/>
              </w:rPr>
            </w:pPr>
          </w:p>
          <w:p w14:paraId="2527B2E4">
            <w:pPr>
              <w:spacing w:line="245" w:lineRule="auto"/>
              <w:rPr>
                <w:rFonts w:ascii="Arial"/>
                <w:color w:val="auto"/>
                <w:sz w:val="21"/>
                <w:highlight w:val="none"/>
              </w:rPr>
            </w:pPr>
          </w:p>
          <w:p w14:paraId="25972FD5">
            <w:pPr>
              <w:spacing w:line="245" w:lineRule="auto"/>
              <w:rPr>
                <w:rFonts w:ascii="Arial"/>
                <w:color w:val="auto"/>
                <w:sz w:val="21"/>
                <w:highlight w:val="none"/>
              </w:rPr>
            </w:pPr>
          </w:p>
          <w:p w14:paraId="74F892D8">
            <w:pPr>
              <w:spacing w:line="246" w:lineRule="auto"/>
              <w:rPr>
                <w:rFonts w:ascii="Arial"/>
                <w:color w:val="auto"/>
                <w:sz w:val="21"/>
                <w:highlight w:val="none"/>
              </w:rPr>
            </w:pPr>
          </w:p>
          <w:p w14:paraId="5AC1DA53">
            <w:pPr>
              <w:spacing w:line="246" w:lineRule="auto"/>
              <w:rPr>
                <w:rFonts w:ascii="Arial"/>
                <w:color w:val="auto"/>
                <w:sz w:val="21"/>
                <w:highlight w:val="none"/>
              </w:rPr>
            </w:pPr>
          </w:p>
          <w:p w14:paraId="1FEA1305">
            <w:pPr>
              <w:spacing w:line="246" w:lineRule="auto"/>
              <w:rPr>
                <w:rFonts w:ascii="Arial"/>
                <w:color w:val="auto"/>
                <w:sz w:val="21"/>
                <w:highlight w:val="none"/>
              </w:rPr>
            </w:pPr>
          </w:p>
          <w:p w14:paraId="59C8263E">
            <w:pPr>
              <w:spacing w:line="246" w:lineRule="auto"/>
              <w:rPr>
                <w:rFonts w:ascii="Arial"/>
                <w:color w:val="auto"/>
                <w:sz w:val="21"/>
                <w:highlight w:val="none"/>
              </w:rPr>
            </w:pPr>
          </w:p>
          <w:p w14:paraId="271B7619">
            <w:pPr>
              <w:spacing w:line="246" w:lineRule="auto"/>
              <w:rPr>
                <w:rFonts w:ascii="Arial"/>
                <w:color w:val="auto"/>
                <w:sz w:val="21"/>
                <w:highlight w:val="none"/>
              </w:rPr>
            </w:pPr>
          </w:p>
          <w:p w14:paraId="7C941344">
            <w:pPr>
              <w:spacing w:line="246" w:lineRule="auto"/>
              <w:rPr>
                <w:rFonts w:ascii="Arial"/>
                <w:color w:val="auto"/>
                <w:sz w:val="21"/>
                <w:highlight w:val="none"/>
              </w:rPr>
            </w:pPr>
          </w:p>
          <w:p w14:paraId="71B8DA5E">
            <w:pPr>
              <w:pStyle w:val="16"/>
              <w:spacing w:before="68" w:line="303" w:lineRule="auto"/>
              <w:ind w:left="116" w:right="77" w:firstLine="12"/>
              <w:rPr>
                <w:color w:val="auto"/>
                <w:sz w:val="21"/>
                <w:szCs w:val="21"/>
                <w:highlight w:val="none"/>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商务、技术部分 （70分）</w:t>
            </w:r>
          </w:p>
        </w:tc>
        <w:tc>
          <w:tcPr>
            <w:tcW w:w="1049" w:type="dxa"/>
            <w:tcBorders>
              <w:top w:val="single" w:color="auto" w:sz="4" w:space="0"/>
              <w:left w:val="single" w:color="auto" w:sz="4" w:space="0"/>
              <w:bottom w:val="single" w:color="auto" w:sz="4" w:space="0"/>
              <w:right w:val="single" w:color="auto" w:sz="4" w:space="0"/>
            </w:tcBorders>
            <w:vAlign w:val="center"/>
          </w:tcPr>
          <w:p w14:paraId="5996CE77">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类似</w:t>
            </w:r>
          </w:p>
          <w:p w14:paraId="5045AADC">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业绩</w:t>
            </w:r>
          </w:p>
        </w:tc>
        <w:tc>
          <w:tcPr>
            <w:tcW w:w="765" w:type="dxa"/>
            <w:tcBorders>
              <w:top w:val="single" w:color="auto" w:sz="4" w:space="0"/>
              <w:left w:val="single" w:color="auto" w:sz="4" w:space="0"/>
              <w:bottom w:val="single" w:color="auto" w:sz="4" w:space="0"/>
              <w:right w:val="single" w:color="auto" w:sz="4" w:space="0"/>
            </w:tcBorders>
            <w:vAlign w:val="top"/>
          </w:tcPr>
          <w:p w14:paraId="5D0AAE9A">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p>
          <w:p w14:paraId="1AF02463">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6分</w:t>
            </w:r>
          </w:p>
        </w:tc>
        <w:tc>
          <w:tcPr>
            <w:tcW w:w="6656" w:type="dxa"/>
            <w:tcBorders>
              <w:left w:val="single" w:color="auto" w:sz="4" w:space="0"/>
            </w:tcBorders>
            <w:vAlign w:val="center"/>
          </w:tcPr>
          <w:p w14:paraId="082C7937">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投标人提供近三年以来（2022年5 月 1 日至投标截止日）类似的项目业绩， 需提供中标通知书或合同,并注明业主方联系人及联系方式，每提供一项得2分，满分 6 分。</w:t>
            </w:r>
          </w:p>
        </w:tc>
      </w:tr>
      <w:tr w14:paraId="21873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1510EA69">
            <w:pPr>
              <w:rPr>
                <w:rFonts w:ascii="Arial"/>
                <w:color w:val="auto"/>
                <w:sz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632A370">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default"/>
                <w:b w:val="0"/>
                <w:bCs w:val="0"/>
                <w:color w:val="auto"/>
                <w:spacing w:val="-2"/>
                <w:sz w:val="21"/>
                <w:szCs w:val="21"/>
                <w:highlight w:val="none"/>
                <w:vertAlign w:val="baseline"/>
                <w:lang w:val="en-US" w:eastAsia="zh-CN"/>
              </w:rPr>
              <w:t>售后服务时间响应程度</w:t>
            </w:r>
          </w:p>
        </w:tc>
        <w:tc>
          <w:tcPr>
            <w:tcW w:w="765" w:type="dxa"/>
            <w:tcBorders>
              <w:top w:val="single" w:color="auto" w:sz="4" w:space="0"/>
              <w:left w:val="single" w:color="auto" w:sz="4" w:space="0"/>
              <w:bottom w:val="single" w:color="auto" w:sz="4" w:space="0"/>
              <w:right w:val="single" w:color="auto" w:sz="4" w:space="0"/>
            </w:tcBorders>
            <w:vAlign w:val="center"/>
          </w:tcPr>
          <w:p w14:paraId="2B96BAF3">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6分</w:t>
            </w:r>
          </w:p>
        </w:tc>
        <w:tc>
          <w:tcPr>
            <w:tcW w:w="6656" w:type="dxa"/>
            <w:tcBorders>
              <w:left w:val="single" w:color="auto" w:sz="4" w:space="0"/>
            </w:tcBorders>
            <w:vAlign w:val="center"/>
          </w:tcPr>
          <w:p w14:paraId="183EC5F6">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完全响应清单目录中售后时间要求的，得4分；优于清单目录中售后时间要求的，得6分；对未响应清单目录中时间要求的，不得分。</w:t>
            </w:r>
          </w:p>
        </w:tc>
      </w:tr>
      <w:tr w14:paraId="26B18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jc w:val="center"/>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5CAE8768">
            <w:pPr>
              <w:pStyle w:val="16"/>
              <w:spacing w:before="69" w:line="307" w:lineRule="auto"/>
              <w:ind w:right="219"/>
              <w:jc w:val="center"/>
              <w:rPr>
                <w:color w:val="auto"/>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AF2F78F">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备品备件及维修方案</w:t>
            </w:r>
          </w:p>
        </w:tc>
        <w:tc>
          <w:tcPr>
            <w:tcW w:w="765" w:type="dxa"/>
            <w:tcBorders>
              <w:top w:val="single" w:color="auto" w:sz="4" w:space="0"/>
              <w:left w:val="single" w:color="auto" w:sz="4" w:space="0"/>
              <w:bottom w:val="single" w:color="auto" w:sz="4" w:space="0"/>
              <w:right w:val="single" w:color="auto" w:sz="4" w:space="0"/>
            </w:tcBorders>
            <w:vAlign w:val="center"/>
          </w:tcPr>
          <w:p w14:paraId="7F6A808C">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4分</w:t>
            </w:r>
          </w:p>
        </w:tc>
        <w:tc>
          <w:tcPr>
            <w:tcW w:w="6656" w:type="dxa"/>
            <w:tcBorders>
              <w:left w:val="single" w:color="auto" w:sz="4" w:space="0"/>
            </w:tcBorders>
            <w:vAlign w:val="center"/>
          </w:tcPr>
          <w:p w14:paraId="2E0D19CF">
            <w:pPr>
              <w:pStyle w:val="4"/>
              <w:widowControl w:val="0"/>
              <w:spacing w:before="102" w:line="184" w:lineRule="auto"/>
              <w:jc w:val="left"/>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提供针对本项目制定的专项备品备件及维修方案。包含：</w:t>
            </w:r>
          </w:p>
          <w:p w14:paraId="4B177A5A">
            <w:pPr>
              <w:pStyle w:val="4"/>
              <w:widowControl w:val="0"/>
              <w:spacing w:before="102" w:line="184" w:lineRule="auto"/>
              <w:jc w:val="left"/>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①质保期结束后硬件设备能够提供终身维修且有明确说明的得 2 分；</w:t>
            </w:r>
          </w:p>
          <w:p w14:paraId="67995A26">
            <w:pPr>
              <w:pStyle w:val="4"/>
              <w:widowControl w:val="0"/>
              <w:spacing w:before="102" w:line="184" w:lineRule="auto"/>
              <w:jc w:val="left"/>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②备品备件只收取零配件费，零部件保证按采购人设备安装地市场最低价供应的得2 分。</w:t>
            </w:r>
          </w:p>
          <w:p w14:paraId="4562A35B">
            <w:pPr>
              <w:pStyle w:val="4"/>
              <w:widowControl w:val="0"/>
              <w:spacing w:before="102" w:line="184" w:lineRule="auto"/>
              <w:jc w:val="left"/>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本项目最高得4分。以上内容未提供或不响应的，本项不得分。</w:t>
            </w:r>
          </w:p>
        </w:tc>
      </w:tr>
      <w:tr w14:paraId="3B4D7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jc w:val="center"/>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4D40FF3B">
            <w:pPr>
              <w:rPr>
                <w:rFonts w:ascii="Arial"/>
                <w:color w:val="auto"/>
                <w:sz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886F09A">
            <w:pPr>
              <w:pStyle w:val="4"/>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质量管理与保证措施</w:t>
            </w:r>
          </w:p>
        </w:tc>
        <w:tc>
          <w:tcPr>
            <w:tcW w:w="765" w:type="dxa"/>
            <w:tcBorders>
              <w:top w:val="single" w:color="auto" w:sz="4" w:space="0"/>
              <w:left w:val="single" w:color="auto" w:sz="4" w:space="0"/>
              <w:bottom w:val="single" w:color="auto" w:sz="4" w:space="0"/>
              <w:right w:val="single" w:color="auto" w:sz="4" w:space="0"/>
            </w:tcBorders>
            <w:vAlign w:val="center"/>
          </w:tcPr>
          <w:p w14:paraId="0EB892D0">
            <w:pPr>
              <w:pStyle w:val="4"/>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8分</w:t>
            </w:r>
          </w:p>
        </w:tc>
        <w:tc>
          <w:tcPr>
            <w:tcW w:w="6656" w:type="dxa"/>
            <w:tcBorders>
              <w:left w:val="single" w:color="auto" w:sz="4" w:space="0"/>
            </w:tcBorders>
            <w:vAlign w:val="center"/>
          </w:tcPr>
          <w:p w14:paraId="0DDB08D8">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针对本项目制定全面详实的质量管理与保证措施包括:①质量保证体系、②质量管理实施方案、③质量保证措施、④质量保证风险预估。</w:t>
            </w:r>
          </w:p>
          <w:p w14:paraId="751E60E0">
            <w:pPr>
              <w:pStyle w:val="4"/>
              <w:widowControl w:val="0"/>
              <w:spacing w:before="102" w:line="184" w:lineRule="auto"/>
              <w:jc w:val="both"/>
              <w:rPr>
                <w:color w:val="auto"/>
                <w:sz w:val="21"/>
                <w:szCs w:val="21"/>
                <w:highlight w:val="none"/>
              </w:rPr>
            </w:pPr>
            <w:r>
              <w:rPr>
                <w:rFonts w:hint="eastAsia"/>
                <w:b/>
                <w:bCs/>
                <w:color w:val="auto"/>
                <w:spacing w:val="-2"/>
                <w:sz w:val="21"/>
                <w:szCs w:val="21"/>
                <w:highlight w:val="none"/>
                <w:vertAlign w:val="baseline"/>
                <w:lang w:val="en-US" w:eastAsia="zh-CN"/>
              </w:rPr>
              <w:t>以上内容每缺一项扣2分；每有一项内容有“ 瑕疵或缺陷 ”的，每有一项扣 1 分， 扣完为止， 如未提供或不满足要求的不得分。</w:t>
            </w:r>
          </w:p>
        </w:tc>
      </w:tr>
      <w:tr w14:paraId="75B70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jc w:val="center"/>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33F1E472">
            <w:pPr>
              <w:rPr>
                <w:rFonts w:ascii="Arial"/>
                <w:color w:val="auto"/>
                <w:sz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B974D27">
            <w:pPr>
              <w:pStyle w:val="4"/>
              <w:widowControl w:val="0"/>
              <w:spacing w:before="102" w:line="184" w:lineRule="auto"/>
              <w:jc w:val="center"/>
              <w:rPr>
                <w:color w:val="auto"/>
                <w:spacing w:val="-8"/>
                <w:sz w:val="21"/>
                <w:szCs w:val="21"/>
                <w:highlight w:val="none"/>
              </w:rPr>
            </w:pPr>
            <w:r>
              <w:rPr>
                <w:color w:val="auto"/>
                <w:spacing w:val="-8"/>
                <w:sz w:val="21"/>
                <w:szCs w:val="21"/>
                <w:highlight w:val="none"/>
              </w:rPr>
              <w:t>培训</w:t>
            </w:r>
          </w:p>
          <w:p w14:paraId="51145143">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color w:val="auto"/>
                <w:spacing w:val="-10"/>
                <w:sz w:val="21"/>
                <w:szCs w:val="21"/>
                <w:highlight w:val="none"/>
              </w:rPr>
              <w:t>方案</w:t>
            </w:r>
          </w:p>
        </w:tc>
        <w:tc>
          <w:tcPr>
            <w:tcW w:w="765" w:type="dxa"/>
            <w:tcBorders>
              <w:top w:val="single" w:color="auto" w:sz="4" w:space="0"/>
              <w:left w:val="single" w:color="auto" w:sz="4" w:space="0"/>
              <w:bottom w:val="single" w:color="auto" w:sz="4" w:space="0"/>
              <w:right w:val="single" w:color="auto" w:sz="4" w:space="0"/>
            </w:tcBorders>
            <w:vAlign w:val="center"/>
          </w:tcPr>
          <w:p w14:paraId="69DC6BE6">
            <w:pPr>
              <w:pStyle w:val="4"/>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10分</w:t>
            </w:r>
          </w:p>
        </w:tc>
        <w:tc>
          <w:tcPr>
            <w:tcW w:w="6656" w:type="dxa"/>
            <w:tcBorders>
              <w:left w:val="single" w:color="auto" w:sz="4" w:space="0"/>
            </w:tcBorders>
            <w:vAlign w:val="center"/>
          </w:tcPr>
          <w:p w14:paraId="2AD8E57F">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投标人应制定全面详实的培训计划，对操作人员和相关养护人员进行培训，直至达到能够独立操作的水平。包含：</w:t>
            </w:r>
          </w:p>
          <w:p w14:paraId="4FB68289">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① 培训方案。② 培训时间安排。③ 培训模式。④ 培训团队人员配置。</w:t>
            </w:r>
          </w:p>
          <w:p w14:paraId="0F4EF589">
            <w:pPr>
              <w:pStyle w:val="4"/>
              <w:widowControl w:val="0"/>
              <w:spacing w:before="102" w:line="184" w:lineRule="auto"/>
              <w:jc w:val="both"/>
              <w:rPr>
                <w:rFonts w:hint="default"/>
                <w:b w:val="0"/>
                <w:bCs w:val="0"/>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⑤ 培训过程中突发事件处置方案。</w:t>
            </w:r>
          </w:p>
          <w:p w14:paraId="091BDF69">
            <w:pPr>
              <w:pStyle w:val="4"/>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以上内容每缺一项扣2分；每有一项内容有“ 瑕疵或缺陷 ”的，每有一项扣 1 分， 扣完为止， 如未提供或不满足要求的不得分。</w:t>
            </w:r>
          </w:p>
        </w:tc>
      </w:tr>
    </w:tbl>
    <w:p w14:paraId="4DA72310">
      <w:pPr>
        <w:rPr>
          <w:rFonts w:ascii="Arial"/>
          <w:color w:val="auto"/>
          <w:sz w:val="21"/>
          <w:highlight w:val="none"/>
        </w:rPr>
      </w:pPr>
    </w:p>
    <w:p w14:paraId="1325E7F0">
      <w:pPr>
        <w:rPr>
          <w:rFonts w:ascii="Arial" w:hAnsi="Arial" w:eastAsia="Arial" w:cs="Arial"/>
          <w:color w:val="auto"/>
          <w:sz w:val="21"/>
          <w:szCs w:val="21"/>
          <w:highlight w:val="none"/>
        </w:rPr>
        <w:sectPr>
          <w:footerReference r:id="rId11" w:type="default"/>
          <w:pgSz w:w="11905" w:h="16839"/>
          <w:pgMar w:top="1440" w:right="1800" w:bottom="1440" w:left="1800" w:header="0" w:footer="1090" w:gutter="0"/>
          <w:pgNumType w:fmt="numberInDash"/>
          <w:cols w:space="720" w:num="1"/>
        </w:sectPr>
      </w:pPr>
    </w:p>
    <w:p w14:paraId="7FF7E741">
      <w:pPr>
        <w:spacing w:before="18"/>
        <w:rPr>
          <w:color w:val="auto"/>
          <w:highlight w:val="none"/>
        </w:rPr>
      </w:pPr>
    </w:p>
    <w:p w14:paraId="08375362">
      <w:pPr>
        <w:spacing w:before="18"/>
        <w:rPr>
          <w:color w:val="auto"/>
          <w:highlight w:val="none"/>
        </w:rPr>
      </w:pPr>
    </w:p>
    <w:tbl>
      <w:tblPr>
        <w:tblStyle w:val="15"/>
        <w:tblW w:w="9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7"/>
        <w:gridCol w:w="1020"/>
        <w:gridCol w:w="773"/>
        <w:gridCol w:w="6869"/>
      </w:tblGrid>
      <w:tr w14:paraId="23CE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4" w:hRule="atLeast"/>
        </w:trPr>
        <w:tc>
          <w:tcPr>
            <w:tcW w:w="1217" w:type="dxa"/>
            <w:vMerge w:val="restart"/>
            <w:vAlign w:val="top"/>
          </w:tcPr>
          <w:p w14:paraId="400FA3A6">
            <w:pPr>
              <w:pStyle w:val="16"/>
              <w:spacing w:before="68" w:line="303" w:lineRule="auto"/>
              <w:ind w:left="116" w:right="77" w:firstLine="5"/>
              <w:rPr>
                <w:color w:val="auto"/>
                <w:spacing w:val="-4"/>
                <w:sz w:val="21"/>
                <w:szCs w:val="21"/>
                <w:highlight w:val="none"/>
              </w:rPr>
            </w:pPr>
          </w:p>
        </w:tc>
        <w:tc>
          <w:tcPr>
            <w:tcW w:w="1020" w:type="dxa"/>
            <w:vAlign w:val="center"/>
          </w:tcPr>
          <w:p w14:paraId="01D41DC0">
            <w:pPr>
              <w:pStyle w:val="4"/>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项目实施方案</w:t>
            </w:r>
          </w:p>
        </w:tc>
        <w:tc>
          <w:tcPr>
            <w:tcW w:w="773" w:type="dxa"/>
            <w:vAlign w:val="center"/>
          </w:tcPr>
          <w:p w14:paraId="5099EBAE">
            <w:pPr>
              <w:pStyle w:val="4"/>
              <w:widowControl w:val="0"/>
              <w:spacing w:before="102" w:line="184" w:lineRule="auto"/>
              <w:jc w:val="center"/>
              <w:rPr>
                <w:rFonts w:hint="default"/>
                <w:color w:val="auto"/>
                <w:sz w:val="21"/>
                <w:szCs w:val="21"/>
                <w:highlight w:val="none"/>
                <w:lang w:val="en-US"/>
              </w:rPr>
            </w:pPr>
            <w:r>
              <w:rPr>
                <w:rFonts w:hint="eastAsia"/>
                <w:b w:val="0"/>
                <w:bCs w:val="0"/>
                <w:color w:val="auto"/>
                <w:spacing w:val="-2"/>
                <w:sz w:val="21"/>
                <w:szCs w:val="21"/>
                <w:highlight w:val="none"/>
                <w:vertAlign w:val="baseline"/>
                <w:lang w:val="en-US" w:eastAsia="zh-CN"/>
              </w:rPr>
              <w:t>16分</w:t>
            </w:r>
          </w:p>
        </w:tc>
        <w:tc>
          <w:tcPr>
            <w:tcW w:w="6869" w:type="dxa"/>
            <w:vAlign w:val="center"/>
          </w:tcPr>
          <w:p w14:paraId="39ED5BE2">
            <w:pPr>
              <w:pStyle w:val="4"/>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投标人提供本项目的实施方案，包含:①项目实施目标明确，②项目资源合理规划，③项目组织方案逻辑清晰、完整详实，④对项目有合理化建议，⑤项目实施准备计划、工期安排计划明确，提供专项的工期保证措施和体系，⑥ 关键阶段时间节点安排合理， ⑦产品测试和验收有详细说明，明确验收标准及流程，⑧设备包装、装卸、运输等方案有详细说明，有响应保护措施；</w:t>
            </w:r>
          </w:p>
          <w:p w14:paraId="1463EC32">
            <w:pPr>
              <w:pStyle w:val="4"/>
              <w:widowControl w:val="0"/>
              <w:spacing w:before="102" w:line="184" w:lineRule="auto"/>
              <w:jc w:val="both"/>
              <w:rPr>
                <w:rFonts w:ascii="微软雅黑" w:hAnsi="微软雅黑" w:eastAsia="微软雅黑" w:cs="微软雅黑"/>
                <w:color w:val="auto"/>
                <w:sz w:val="21"/>
                <w:szCs w:val="21"/>
                <w:highlight w:val="none"/>
              </w:rPr>
            </w:pPr>
            <w:r>
              <w:rPr>
                <w:rFonts w:hint="eastAsia"/>
                <w:b/>
                <w:bCs/>
                <w:color w:val="auto"/>
                <w:spacing w:val="-2"/>
                <w:sz w:val="21"/>
                <w:szCs w:val="21"/>
                <w:highlight w:val="none"/>
                <w:vertAlign w:val="baseline"/>
                <w:lang w:val="en-US" w:eastAsia="zh-CN"/>
              </w:rPr>
              <w:t>以上内容每缺一项扣2分；</w:t>
            </w:r>
            <w:r>
              <w:rPr>
                <w:rFonts w:hint="eastAsia" w:ascii="微软雅黑" w:hAnsi="微软雅黑" w:eastAsia="微软雅黑" w:cs="微软雅黑"/>
                <w:b/>
                <w:bCs/>
                <w:snapToGrid w:val="0"/>
                <w:color w:val="auto"/>
                <w:spacing w:val="-2"/>
                <w:kern w:val="0"/>
                <w:sz w:val="21"/>
                <w:szCs w:val="21"/>
                <w:highlight w:val="none"/>
                <w:vertAlign w:val="baseline"/>
                <w:lang w:val="en-US" w:eastAsia="zh-CN" w:bidi="ar-SA"/>
              </w:rPr>
              <w:t>每有一项内容</w:t>
            </w:r>
            <w:r>
              <w:rPr>
                <w:rFonts w:hint="eastAsia"/>
                <w:b/>
                <w:bCs/>
                <w:color w:val="auto"/>
                <w:spacing w:val="-2"/>
                <w:sz w:val="21"/>
                <w:szCs w:val="21"/>
                <w:highlight w:val="none"/>
                <w:vertAlign w:val="baseline"/>
                <w:lang w:val="en-US" w:eastAsia="zh-CN"/>
              </w:rPr>
              <w:t>有“ 瑕疵或缺陷 ”的，每有一项扣1分， 扣完为止， 如未提供或不满足要求的不得分。</w:t>
            </w:r>
          </w:p>
        </w:tc>
      </w:tr>
      <w:tr w14:paraId="2802B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1217" w:type="dxa"/>
            <w:vMerge w:val="continue"/>
            <w:vAlign w:val="top"/>
          </w:tcPr>
          <w:p w14:paraId="43FC8FC3">
            <w:pPr>
              <w:pStyle w:val="16"/>
              <w:spacing w:before="68" w:line="303" w:lineRule="auto"/>
              <w:ind w:left="116" w:right="77" w:firstLine="5"/>
              <w:rPr>
                <w:color w:val="auto"/>
                <w:spacing w:val="-4"/>
                <w:sz w:val="21"/>
                <w:szCs w:val="21"/>
                <w:highlight w:val="none"/>
              </w:rPr>
            </w:pPr>
          </w:p>
        </w:tc>
        <w:tc>
          <w:tcPr>
            <w:tcW w:w="1020" w:type="dxa"/>
            <w:vAlign w:val="center"/>
          </w:tcPr>
          <w:p w14:paraId="1454802F">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售后服务</w:t>
            </w:r>
          </w:p>
          <w:p w14:paraId="5226AF6F">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方案</w:t>
            </w:r>
          </w:p>
        </w:tc>
        <w:tc>
          <w:tcPr>
            <w:tcW w:w="773" w:type="dxa"/>
            <w:vAlign w:val="center"/>
          </w:tcPr>
          <w:p w14:paraId="5BC041B9">
            <w:pPr>
              <w:pStyle w:val="4"/>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20分</w:t>
            </w:r>
          </w:p>
        </w:tc>
        <w:tc>
          <w:tcPr>
            <w:tcW w:w="6869" w:type="dxa"/>
            <w:vAlign w:val="center"/>
          </w:tcPr>
          <w:p w14:paraId="76622BB8">
            <w:pPr>
              <w:pStyle w:val="16"/>
              <w:spacing w:before="106" w:line="224" w:lineRule="auto"/>
              <w:ind w:left="114"/>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投标人根据项目需求编写售后服务承诺和管理措施，制定完善的售后服务方案，包括</w:t>
            </w:r>
            <w:r>
              <w:rPr>
                <w:rFonts w:hint="eastAsia"/>
                <w:b w:val="0"/>
                <w:bCs w:val="0"/>
                <w:color w:val="auto"/>
                <w:spacing w:val="-2"/>
                <w:sz w:val="21"/>
                <w:szCs w:val="21"/>
                <w:highlight w:val="none"/>
                <w:vertAlign w:val="baseline"/>
                <w:lang w:val="en-US" w:eastAsia="zh-CN"/>
              </w:rPr>
              <w:t>①售后服务</w:t>
            </w: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承诺、</w:t>
            </w:r>
            <w:r>
              <w:rPr>
                <w:rFonts w:hint="eastAsia"/>
                <w:b w:val="0"/>
                <w:bCs w:val="0"/>
                <w:color w:val="auto"/>
                <w:spacing w:val="-2"/>
                <w:sz w:val="21"/>
                <w:szCs w:val="21"/>
                <w:highlight w:val="none"/>
                <w:vertAlign w:val="baseline"/>
                <w:lang w:val="en-US" w:eastAsia="zh-CN"/>
              </w:rPr>
              <w:t>②</w:t>
            </w: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售后服务计划、</w:t>
            </w:r>
            <w:r>
              <w:rPr>
                <w:rFonts w:hint="eastAsia"/>
                <w:b w:val="0"/>
                <w:bCs w:val="0"/>
                <w:color w:val="auto"/>
                <w:spacing w:val="-2"/>
                <w:sz w:val="21"/>
                <w:szCs w:val="21"/>
                <w:highlight w:val="none"/>
                <w:vertAlign w:val="baseline"/>
                <w:lang w:val="en-US" w:eastAsia="zh-CN"/>
              </w:rPr>
              <w:t>③</w:t>
            </w: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售后服务能力、</w:t>
            </w:r>
            <w:r>
              <w:rPr>
                <w:rFonts w:hint="eastAsia"/>
                <w:b w:val="0"/>
                <w:bCs w:val="0"/>
                <w:color w:val="auto"/>
                <w:spacing w:val="-2"/>
                <w:sz w:val="21"/>
                <w:szCs w:val="21"/>
                <w:highlight w:val="none"/>
                <w:vertAlign w:val="baseline"/>
                <w:lang w:val="en-US" w:eastAsia="zh-CN"/>
              </w:rPr>
              <w:t>④</w:t>
            </w: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应急服务响应方案、</w:t>
            </w:r>
            <w:r>
              <w:rPr>
                <w:rFonts w:hint="eastAsia"/>
                <w:b w:val="0"/>
                <w:bCs w:val="0"/>
                <w:color w:val="auto"/>
                <w:spacing w:val="-2"/>
                <w:sz w:val="21"/>
                <w:szCs w:val="21"/>
                <w:highlight w:val="none"/>
                <w:vertAlign w:val="baseline"/>
                <w:lang w:val="en-US" w:eastAsia="zh-CN"/>
              </w:rPr>
              <w:t>⑤</w:t>
            </w: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充分考虑便于后期维护和保养。</w:t>
            </w:r>
          </w:p>
          <w:p w14:paraId="2B985C09">
            <w:pPr>
              <w:pStyle w:val="16"/>
              <w:spacing w:before="106" w:line="224" w:lineRule="auto"/>
              <w:ind w:left="114" w:leftChars="0"/>
              <w:jc w:val="both"/>
              <w:rPr>
                <w:rFonts w:hint="eastAsia"/>
                <w:b/>
                <w:bCs/>
                <w:color w:val="auto"/>
                <w:spacing w:val="-2"/>
                <w:sz w:val="21"/>
                <w:szCs w:val="21"/>
                <w:highlight w:val="none"/>
                <w:vertAlign w:val="baseline"/>
                <w:lang w:val="en-US" w:eastAsia="zh-CN"/>
              </w:rPr>
            </w:pPr>
            <w:r>
              <w:rPr>
                <w:rFonts w:hint="eastAsia" w:ascii="微软雅黑" w:hAnsi="微软雅黑" w:eastAsia="微软雅黑" w:cs="微软雅黑"/>
                <w:b/>
                <w:bCs/>
                <w:snapToGrid w:val="0"/>
                <w:color w:val="auto"/>
                <w:spacing w:val="-2"/>
                <w:kern w:val="0"/>
                <w:sz w:val="21"/>
                <w:szCs w:val="21"/>
                <w:highlight w:val="none"/>
                <w:vertAlign w:val="baseline"/>
                <w:lang w:val="en-US" w:eastAsia="zh-CN" w:bidi="ar-SA"/>
              </w:rPr>
              <w:t>以上内容每缺一项扣4分；每有一项内容</w:t>
            </w:r>
            <w:r>
              <w:rPr>
                <w:rFonts w:hint="eastAsia"/>
                <w:b/>
                <w:bCs/>
                <w:color w:val="auto"/>
                <w:spacing w:val="-2"/>
                <w:sz w:val="21"/>
                <w:szCs w:val="21"/>
                <w:highlight w:val="none"/>
                <w:vertAlign w:val="baseline"/>
                <w:lang w:val="en-US" w:eastAsia="zh-CN"/>
              </w:rPr>
              <w:t>有“ 瑕疵或缺陷 ”的，每有一项扣2分， 扣完为止， 如未提供或不满足要求的不得分。</w:t>
            </w:r>
          </w:p>
        </w:tc>
      </w:tr>
      <w:tr w14:paraId="1A99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9879" w:type="dxa"/>
            <w:gridSpan w:val="4"/>
            <w:vAlign w:val="top"/>
          </w:tcPr>
          <w:p w14:paraId="4CFCF8A1">
            <w:pPr>
              <w:spacing w:before="111" w:line="224" w:lineRule="auto"/>
              <w:ind w:left="119" w:right="103" w:firstLine="3"/>
              <w:rPr>
                <w:rFonts w:ascii="微软雅黑" w:hAnsi="微软雅黑" w:eastAsia="微软雅黑" w:cs="微软雅黑"/>
                <w:color w:val="auto"/>
                <w:sz w:val="21"/>
                <w:szCs w:val="21"/>
                <w:highlight w:val="none"/>
              </w:rPr>
            </w:pPr>
            <w:r>
              <w:rPr>
                <w:rFonts w:ascii="微软雅黑" w:hAnsi="微软雅黑" w:eastAsia="微软雅黑" w:cs="微软雅黑"/>
                <w:b/>
                <w:bCs/>
                <w:color w:val="auto"/>
                <w:sz w:val="21"/>
                <w:szCs w:val="21"/>
                <w:highlight w:val="none"/>
              </w:rPr>
              <w:t>注：本项所称“瑕疵或缺陷”是指方案非专门针对本项目或不</w:t>
            </w:r>
            <w:r>
              <w:rPr>
                <w:rFonts w:ascii="微软雅黑" w:hAnsi="微软雅黑" w:eastAsia="微软雅黑" w:cs="微软雅黑"/>
                <w:b/>
                <w:bCs/>
                <w:color w:val="auto"/>
                <w:spacing w:val="-1"/>
                <w:sz w:val="21"/>
                <w:szCs w:val="21"/>
                <w:highlight w:val="none"/>
              </w:rPr>
              <w:t>适用本项目特性、实际情况不符或不适用；</w:t>
            </w:r>
            <w:r>
              <w:rPr>
                <w:rFonts w:ascii="微软雅黑" w:hAnsi="微软雅黑" w:eastAsia="微软雅黑" w:cs="微软雅黑"/>
                <w:b/>
                <w:bCs/>
                <w:color w:val="auto"/>
                <w:sz w:val="21"/>
                <w:szCs w:val="21"/>
                <w:highlight w:val="none"/>
              </w:rPr>
              <w:t xml:space="preserve"> 存在与项目无关的文字内容、内容原理错误、对采购需求理解缺位混乱</w:t>
            </w:r>
            <w:r>
              <w:rPr>
                <w:rFonts w:ascii="微软雅黑" w:hAnsi="微软雅黑" w:eastAsia="微软雅黑" w:cs="微软雅黑"/>
                <w:b/>
                <w:bCs/>
                <w:color w:val="auto"/>
                <w:spacing w:val="-1"/>
                <w:sz w:val="21"/>
                <w:szCs w:val="21"/>
                <w:highlight w:val="none"/>
              </w:rPr>
              <w:t>、套用其他项目内容；对同一问题</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1"/>
                <w:sz w:val="21"/>
                <w:szCs w:val="21"/>
                <w:highlight w:val="none"/>
              </w:rPr>
              <w:t>前后表述矛盾；存在逻辑漏洞、科学原理或常识错误；</w:t>
            </w:r>
            <w:r>
              <w:rPr>
                <w:rFonts w:ascii="微软雅黑" w:hAnsi="微软雅黑" w:eastAsia="微软雅黑" w:cs="微软雅黑"/>
                <w:b/>
                <w:bCs/>
                <w:color w:val="auto"/>
                <w:spacing w:val="-28"/>
                <w:sz w:val="21"/>
                <w:szCs w:val="21"/>
                <w:highlight w:val="none"/>
              </w:rPr>
              <w:t xml:space="preserve"> </w:t>
            </w:r>
            <w:r>
              <w:rPr>
                <w:rFonts w:ascii="微软雅黑" w:hAnsi="微软雅黑" w:eastAsia="微软雅黑" w:cs="微软雅黑"/>
                <w:b/>
                <w:bCs/>
                <w:color w:val="auto"/>
                <w:spacing w:val="-1"/>
                <w:sz w:val="21"/>
                <w:szCs w:val="21"/>
                <w:highlight w:val="none"/>
              </w:rPr>
              <w:t>引用的规定、规范错误；内容描述不符合</w:t>
            </w:r>
            <w:r>
              <w:rPr>
                <w:rFonts w:ascii="微软雅黑" w:hAnsi="微软雅黑" w:eastAsia="微软雅黑" w:cs="微软雅黑"/>
                <w:b/>
                <w:bCs/>
                <w:color w:val="auto"/>
                <w:spacing w:val="-2"/>
                <w:sz w:val="21"/>
                <w:szCs w:val="21"/>
                <w:highlight w:val="none"/>
              </w:rPr>
              <w:t>国家相关</w:t>
            </w:r>
            <w:r>
              <w:rPr>
                <w:rFonts w:ascii="微软雅黑" w:hAnsi="微软雅黑" w:eastAsia="微软雅黑" w:cs="微软雅黑"/>
                <w:b/>
                <w:bCs/>
                <w:color w:val="auto"/>
                <w:sz w:val="21"/>
                <w:szCs w:val="21"/>
                <w:highlight w:val="none"/>
              </w:rPr>
              <w:t xml:space="preserve"> 法律法规、政策文件、规范标准要求；不利于本项目目标的实现、现有</w:t>
            </w:r>
            <w:r>
              <w:rPr>
                <w:rFonts w:ascii="微软雅黑" w:hAnsi="微软雅黑" w:eastAsia="微软雅黑" w:cs="微软雅黑"/>
                <w:b/>
                <w:bCs/>
                <w:color w:val="auto"/>
                <w:spacing w:val="-1"/>
                <w:sz w:val="21"/>
                <w:szCs w:val="21"/>
                <w:highlight w:val="none"/>
              </w:rPr>
              <w:t>技术条件下不可能出现的情形等任</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7"/>
                <w:sz w:val="21"/>
                <w:szCs w:val="21"/>
                <w:highlight w:val="none"/>
              </w:rPr>
              <w:t>意一种情形。</w:t>
            </w:r>
          </w:p>
        </w:tc>
      </w:tr>
    </w:tbl>
    <w:p w14:paraId="22ED9F23">
      <w:pPr>
        <w:spacing w:line="314" w:lineRule="auto"/>
        <w:rPr>
          <w:rFonts w:ascii="Arial"/>
          <w:color w:val="auto"/>
          <w:sz w:val="21"/>
          <w:highlight w:val="none"/>
        </w:rPr>
      </w:pPr>
    </w:p>
    <w:p w14:paraId="4EA4AAB9">
      <w:pPr>
        <w:keepNext w:val="0"/>
        <w:keepLines w:val="0"/>
        <w:pageBreakBefore w:val="0"/>
        <w:widowControl/>
        <w:kinsoku w:val="0"/>
        <w:wordWrap/>
        <w:overflowPunct/>
        <w:topLinePunct w:val="0"/>
        <w:autoSpaceDE w:val="0"/>
        <w:autoSpaceDN w:val="0"/>
        <w:bidi w:val="0"/>
        <w:adjustRightInd w:val="0"/>
        <w:snapToGrid w:val="0"/>
        <w:spacing w:before="78" w:line="330" w:lineRule="exact"/>
        <w:ind w:left="5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注：评标总得分=F1+F2+…+Fn</w:t>
      </w:r>
    </w:p>
    <w:p w14:paraId="1911004D">
      <w:pPr>
        <w:keepNext w:val="0"/>
        <w:keepLines w:val="0"/>
        <w:pageBreakBefore w:val="0"/>
        <w:widowControl/>
        <w:kinsoku w:val="0"/>
        <w:wordWrap/>
        <w:overflowPunct/>
        <w:topLinePunct w:val="0"/>
        <w:autoSpaceDE w:val="0"/>
        <w:autoSpaceDN w:val="0"/>
        <w:bidi w:val="0"/>
        <w:adjustRightInd w:val="0"/>
        <w:snapToGrid w:val="0"/>
        <w:spacing w:before="175" w:line="330" w:lineRule="exact"/>
        <w:ind w:left="54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F1、F2...分别为各项评审因素得分：</w:t>
      </w:r>
    </w:p>
    <w:p w14:paraId="13976087">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5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评标过程中，不得去掉报价中的最高报价和最低报价。</w:t>
      </w:r>
    </w:p>
    <w:p w14:paraId="36CC9D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因落实政府政策进行价格调整，以调整后的价格计算评标基准价和投</w:t>
      </w:r>
      <w:r>
        <w:rPr>
          <w:rFonts w:ascii="新宋体" w:hAnsi="新宋体" w:eastAsia="新宋体" w:cs="新宋体"/>
          <w:color w:val="auto"/>
          <w:spacing w:val="-3"/>
          <w:sz w:val="24"/>
          <w:szCs w:val="24"/>
          <w:highlight w:val="none"/>
        </w:rPr>
        <w:t>标报价。</w:t>
      </w:r>
    </w:p>
    <w:p w14:paraId="02B5EB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推荐原则：评标委员会评审后，按照综合得分由高到低顺序推荐三位中标候选人。投标人的综合得分若相同，以投标报价低者顺序在先。</w:t>
      </w:r>
    </w:p>
    <w:p w14:paraId="153A9B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注：1、经济标：得分分值由评标委员会汇总，汇总结果由评标委员会复核</w:t>
      </w:r>
    </w:p>
    <w:p w14:paraId="4F512A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确认。</w:t>
      </w:r>
    </w:p>
    <w:p w14:paraId="3FC327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2、评标委员会按技术、商务和综合三项得分之和从高到低按顺序推荐三名中标候选投标</w:t>
      </w:r>
      <w:r>
        <w:rPr>
          <w:rFonts w:ascii="新宋体" w:hAnsi="新宋体" w:eastAsia="新宋体" w:cs="新宋体"/>
          <w:color w:val="auto"/>
          <w:spacing w:val="-13"/>
          <w:sz w:val="24"/>
          <w:szCs w:val="24"/>
          <w:highlight w:val="none"/>
        </w:rPr>
        <w:t>人。</w:t>
      </w:r>
    </w:p>
    <w:p w14:paraId="45F542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1"/>
          <w:sz w:val="24"/>
          <w:szCs w:val="24"/>
          <w:highlight w:val="none"/>
        </w:rPr>
        <w:t>3、投标人所供设备的技术规格、参数、质量等最大</w:t>
      </w:r>
      <w:r>
        <w:rPr>
          <w:rFonts w:ascii="新宋体" w:hAnsi="新宋体" w:eastAsia="新宋体" w:cs="新宋体"/>
          <w:color w:val="auto"/>
          <w:spacing w:val="-2"/>
          <w:sz w:val="24"/>
          <w:szCs w:val="24"/>
          <w:highlight w:val="none"/>
        </w:rPr>
        <w:t>限度的满足招标人要求。</w:t>
      </w:r>
    </w:p>
    <w:p w14:paraId="731C83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Arial"/>
          <w:color w:val="auto"/>
          <w:sz w:val="21"/>
          <w:highlight w:val="none"/>
        </w:rPr>
      </w:pPr>
      <w:r>
        <w:rPr>
          <w:rFonts w:ascii="新宋体" w:hAnsi="新宋体" w:eastAsia="新宋体" w:cs="新宋体"/>
          <w:color w:val="auto"/>
          <w:spacing w:val="-2"/>
          <w:sz w:val="24"/>
          <w:szCs w:val="24"/>
          <w:highlight w:val="none"/>
        </w:rPr>
        <w:t>4、投标人最终得分=技术标得分+经济标得分+商务标得分。</w:t>
      </w:r>
    </w:p>
    <w:p w14:paraId="3B88F8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5、投标产品技术规格、参数、数量必须最大限度的满足招标文件的要求；</w:t>
      </w:r>
    </w:p>
    <w:p w14:paraId="0CB690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pacing w:val="-1"/>
          <w:sz w:val="24"/>
          <w:szCs w:val="24"/>
          <w:highlight w:val="none"/>
        </w:rPr>
      </w:pPr>
      <w:r>
        <w:rPr>
          <w:rFonts w:ascii="新宋体" w:hAnsi="新宋体" w:eastAsia="新宋体" w:cs="新宋体"/>
          <w:color w:val="auto"/>
          <w:spacing w:val="-1"/>
          <w:sz w:val="24"/>
          <w:szCs w:val="24"/>
          <w:highlight w:val="none"/>
        </w:rPr>
        <w:t>6、因落实政府采购政策进行价格调整的，以调整后的价格计算评标基准价</w:t>
      </w:r>
    </w:p>
    <w:p w14:paraId="55C310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和投</w:t>
      </w:r>
      <w:r>
        <w:rPr>
          <w:rFonts w:ascii="新宋体" w:hAnsi="新宋体" w:eastAsia="新宋体" w:cs="新宋体"/>
          <w:color w:val="auto"/>
          <w:spacing w:val="-2"/>
          <w:sz w:val="24"/>
          <w:szCs w:val="24"/>
          <w:highlight w:val="none"/>
        </w:rPr>
        <w:t>标报价。</w:t>
      </w:r>
    </w:p>
    <w:p w14:paraId="61163B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7、在评审过程中，评审小组发现投标供应商的报价明显低于其他投标报价，使得其投标</w:t>
      </w:r>
      <w:r>
        <w:rPr>
          <w:rFonts w:ascii="新宋体" w:hAnsi="新宋体" w:eastAsia="新宋体" w:cs="新宋体"/>
          <w:color w:val="auto"/>
          <w:spacing w:val="-3"/>
          <w:sz w:val="24"/>
          <w:szCs w:val="24"/>
          <w:highlight w:val="none"/>
        </w:rPr>
        <w:t>报价可能低于其个别成本的，应当要求该投标供应商做出书面说明并提供相关证明材料。投标供应商不能合理说明或者不能提供相关证明材料的，评审小组认定该投标供应商以低于成本报</w:t>
      </w:r>
      <w:r>
        <w:rPr>
          <w:rFonts w:ascii="新宋体" w:hAnsi="新宋体" w:eastAsia="新宋体" w:cs="新宋体"/>
          <w:color w:val="auto"/>
          <w:spacing w:val="-4"/>
          <w:sz w:val="24"/>
          <w:szCs w:val="24"/>
          <w:highlight w:val="none"/>
        </w:rPr>
        <w:t>价竞标，其投标将被否决。</w:t>
      </w:r>
    </w:p>
    <w:p w14:paraId="16B8E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8、投标最低报价，不作为是否成交的保证。</w:t>
      </w:r>
    </w:p>
    <w:p w14:paraId="3D197D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9、评审过程中，在同等条件下，优先采购具有环境标</w:t>
      </w:r>
      <w:r>
        <w:rPr>
          <w:rFonts w:ascii="新宋体" w:hAnsi="新宋体" w:eastAsia="新宋体" w:cs="新宋体"/>
          <w:color w:val="auto"/>
          <w:spacing w:val="-9"/>
          <w:sz w:val="24"/>
          <w:szCs w:val="24"/>
          <w:highlight w:val="none"/>
        </w:rPr>
        <w:t>志、节能、自主创新的产品。（注：</w:t>
      </w:r>
      <w:r>
        <w:rPr>
          <w:rFonts w:ascii="新宋体" w:hAnsi="新宋体" w:eastAsia="新宋体" w:cs="新宋体"/>
          <w:color w:val="auto"/>
          <w:spacing w:val="-3"/>
          <w:sz w:val="24"/>
          <w:szCs w:val="24"/>
          <w:highlight w:val="none"/>
        </w:rPr>
        <w:t>环境标志产品是指由财政部、国家环境保护总局颁布的“环境标志产品政府采购清单”中的有</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效期内的产品；节能产品是指由财政部、国家发展改革委颁布的“节能产品政府采购清单”中的有效期内的产品。）</w:t>
      </w:r>
    </w:p>
    <w:p w14:paraId="7AD6D7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right"/>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1"/>
          <w:sz w:val="24"/>
          <w:szCs w:val="24"/>
          <w:highlight w:val="none"/>
        </w:rPr>
        <w:t>10、根据中华人民共和国财政部《政府采</w:t>
      </w:r>
      <w:r>
        <w:rPr>
          <w:rFonts w:ascii="新宋体" w:hAnsi="新宋体" w:eastAsia="新宋体" w:cs="新宋体"/>
          <w:color w:val="auto"/>
          <w:spacing w:val="-2"/>
          <w:sz w:val="24"/>
          <w:szCs w:val="24"/>
          <w:highlight w:val="none"/>
        </w:rPr>
        <w:t>购促进中小企业发展管理办法》（财</w:t>
      </w:r>
    </w:p>
    <w:p w14:paraId="5CEA47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库〔2020〕</w:t>
      </w:r>
      <w:r>
        <w:rPr>
          <w:rFonts w:ascii="新宋体" w:hAnsi="新宋体" w:eastAsia="新宋体" w:cs="新宋体"/>
          <w:color w:val="auto"/>
          <w:spacing w:val="-3"/>
          <w:sz w:val="24"/>
          <w:szCs w:val="24"/>
          <w:highlight w:val="none"/>
        </w:rPr>
        <w:t>46</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3"/>
          <w:sz w:val="24"/>
          <w:szCs w:val="24"/>
          <w:highlight w:val="none"/>
        </w:rPr>
        <w:t>号）文件的规定，属于中小企业评审优惠内容及幅度如下：</w:t>
      </w:r>
    </w:p>
    <w:p w14:paraId="3667D9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（1）在政府采购活动中，供应商提供的货物、工程或者服务符合下列情形的</w:t>
      </w:r>
      <w:r>
        <w:rPr>
          <w:rFonts w:ascii="新宋体" w:hAnsi="新宋体" w:eastAsia="新宋体" w:cs="新宋体"/>
          <w:color w:val="auto"/>
          <w:spacing w:val="-1"/>
          <w:sz w:val="24"/>
          <w:szCs w:val="24"/>
          <w:highlight w:val="none"/>
        </w:rPr>
        <w:t>，享受《政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府采购促进中小企业发展管理办法》（财库〔2020〕46</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号）规定的中小企</w:t>
      </w:r>
      <w:r>
        <w:rPr>
          <w:rFonts w:ascii="新宋体" w:hAnsi="新宋体" w:eastAsia="新宋体" w:cs="新宋体"/>
          <w:color w:val="auto"/>
          <w:spacing w:val="-3"/>
          <w:sz w:val="24"/>
          <w:szCs w:val="24"/>
          <w:highlight w:val="none"/>
        </w:rPr>
        <w:t>业扶持政策：</w:t>
      </w:r>
    </w:p>
    <w:p w14:paraId="58BF87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（一）在货物采购项目中，货物由中小企业制造，即货物由中小企业生产且</w:t>
      </w:r>
      <w:r>
        <w:rPr>
          <w:rFonts w:ascii="新宋体" w:hAnsi="新宋体" w:eastAsia="新宋体" w:cs="新宋体"/>
          <w:color w:val="auto"/>
          <w:spacing w:val="-4"/>
          <w:sz w:val="24"/>
          <w:szCs w:val="24"/>
          <w:highlight w:val="none"/>
        </w:rPr>
        <w:t>使用该中小企</w:t>
      </w:r>
      <w:r>
        <w:rPr>
          <w:rFonts w:ascii="新宋体" w:hAnsi="新宋体" w:eastAsia="新宋体" w:cs="新宋体"/>
          <w:color w:val="auto"/>
          <w:spacing w:val="-7"/>
          <w:sz w:val="24"/>
          <w:szCs w:val="24"/>
          <w:highlight w:val="none"/>
        </w:rPr>
        <w:t>业商号或者注册商标；</w:t>
      </w:r>
    </w:p>
    <w:p w14:paraId="6442F7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（二）在工程采购项目中，工程由中小企业承建，即工程施工单位为中小企业；</w:t>
      </w:r>
    </w:p>
    <w:p w14:paraId="52CC6C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（三）在服务采购项目中，服务由中小企业承接，即提供服务的人员为中小企业依照《中</w:t>
      </w:r>
      <w:r>
        <w:rPr>
          <w:rFonts w:ascii="新宋体" w:hAnsi="新宋体" w:eastAsia="新宋体" w:cs="新宋体"/>
          <w:color w:val="auto"/>
          <w:spacing w:val="-3"/>
          <w:sz w:val="24"/>
          <w:szCs w:val="24"/>
          <w:highlight w:val="none"/>
        </w:rPr>
        <w:t>华人民共和国劳动合同法》订立劳动合同的从业人员。</w:t>
      </w:r>
    </w:p>
    <w:p w14:paraId="35D887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在货物采购项目中，供应商提供的货物既有中小企业制造货物，也有大型企业制造货物的，</w:t>
      </w:r>
      <w:r>
        <w:rPr>
          <w:rFonts w:ascii="新宋体" w:hAnsi="新宋体" w:eastAsia="新宋体" w:cs="新宋体"/>
          <w:color w:val="auto"/>
          <w:spacing w:val="-3"/>
          <w:sz w:val="24"/>
          <w:szCs w:val="24"/>
          <w:highlight w:val="none"/>
        </w:rPr>
        <w:t>不享受本办法规定的中小企业扶持政策。</w:t>
      </w:r>
    </w:p>
    <w:p w14:paraId="7F7569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right"/>
        <w:textAlignment w:val="baseline"/>
        <w:rPr>
          <w:rFonts w:ascii="新宋体" w:hAnsi="新宋体" w:eastAsia="新宋体" w:cs="新宋体"/>
          <w:color w:val="auto"/>
          <w:spacing w:val="-2"/>
          <w:sz w:val="24"/>
          <w:szCs w:val="24"/>
          <w:highlight w:val="none"/>
        </w:rPr>
      </w:pPr>
      <w:r>
        <w:rPr>
          <w:rFonts w:hint="eastAsia" w:ascii="新宋体" w:hAnsi="新宋体" w:eastAsia="新宋体" w:cs="新宋体"/>
          <w:color w:val="auto"/>
          <w:spacing w:val="-2"/>
          <w:sz w:val="24"/>
          <w:szCs w:val="24"/>
          <w:highlight w:val="none"/>
          <w:lang w:val="en-US" w:eastAsia="zh-CN"/>
        </w:rPr>
        <w:t xml:space="preserve">  </w:t>
      </w:r>
      <w:r>
        <w:rPr>
          <w:rFonts w:ascii="新宋体" w:hAnsi="新宋体" w:eastAsia="新宋体" w:cs="新宋体"/>
          <w:color w:val="auto"/>
          <w:spacing w:val="-2"/>
          <w:sz w:val="24"/>
          <w:szCs w:val="24"/>
          <w:highlight w:val="none"/>
        </w:rPr>
        <w:t>中小企业划分标准按《关于印发中小企业划型标准规定的通知》（工信部联</w:t>
      </w:r>
    </w:p>
    <w:p w14:paraId="07907E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企业〔20</w:t>
      </w:r>
      <w:r>
        <w:rPr>
          <w:rFonts w:ascii="新宋体" w:hAnsi="新宋体" w:eastAsia="新宋体" w:cs="新宋体"/>
          <w:color w:val="auto"/>
          <w:spacing w:val="-3"/>
          <w:sz w:val="24"/>
          <w:szCs w:val="24"/>
          <w:highlight w:val="none"/>
        </w:rPr>
        <w:t>11〕</w:t>
      </w:r>
      <w:r>
        <w:rPr>
          <w:rFonts w:ascii="新宋体" w:hAnsi="新宋体" w:eastAsia="新宋体" w:cs="新宋体"/>
          <w:color w:val="auto"/>
          <w:spacing w:val="-5"/>
          <w:sz w:val="24"/>
          <w:szCs w:val="24"/>
          <w:highlight w:val="none"/>
        </w:rPr>
        <w:t>300</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5"/>
          <w:sz w:val="24"/>
          <w:szCs w:val="24"/>
          <w:highlight w:val="none"/>
        </w:rPr>
        <w:t>号）执行</w:t>
      </w:r>
    </w:p>
    <w:p w14:paraId="620EF7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（2）价格扣除办法：</w:t>
      </w:r>
    </w:p>
    <w:p w14:paraId="7D2B3E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对于非专门面向中小企业的项目，对小型和微型企业产品的价格给予10%的扣除，用扣除</w:t>
      </w:r>
      <w:r>
        <w:rPr>
          <w:rFonts w:ascii="新宋体" w:hAnsi="新宋体" w:eastAsia="新宋体" w:cs="新宋体"/>
          <w:color w:val="auto"/>
          <w:spacing w:val="-4"/>
          <w:sz w:val="24"/>
          <w:szCs w:val="24"/>
          <w:highlight w:val="none"/>
        </w:rPr>
        <w:t>后的价格参与价格分的评审。</w:t>
      </w:r>
    </w:p>
    <w:p w14:paraId="30C7AE1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pacing w:val="-9"/>
          <w:sz w:val="24"/>
          <w:szCs w:val="24"/>
          <w:highlight w:val="none"/>
        </w:rPr>
      </w:pPr>
      <w:r>
        <w:rPr>
          <w:rFonts w:ascii="新宋体" w:hAnsi="新宋体" w:eastAsia="新宋体" w:cs="新宋体"/>
          <w:color w:val="auto"/>
          <w:spacing w:val="-4"/>
          <w:sz w:val="24"/>
          <w:szCs w:val="24"/>
          <w:highlight w:val="none"/>
        </w:rPr>
        <w:t>小型和微型企业适用价格扣除办法时应提供《中小企业声明函》，否则将不给予价</w:t>
      </w:r>
      <w:r>
        <w:rPr>
          <w:rFonts w:ascii="新宋体" w:hAnsi="新宋体" w:eastAsia="新宋体" w:cs="新宋体"/>
          <w:color w:val="auto"/>
          <w:spacing w:val="-9"/>
          <w:sz w:val="24"/>
          <w:szCs w:val="24"/>
          <w:highlight w:val="none"/>
        </w:rPr>
        <w:t>格扣除。</w:t>
      </w:r>
      <w:bookmarkStart w:id="11" w:name="bookmark11"/>
      <w:bookmarkEnd w:id="11"/>
    </w:p>
    <w:p w14:paraId="6F93081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新宋体" w:hAnsi="新宋体" w:eastAsia="新宋体" w:cs="新宋体"/>
          <w:b/>
          <w:bCs/>
          <w:color w:val="auto"/>
          <w:sz w:val="24"/>
          <w:szCs w:val="24"/>
          <w:highlight w:val="none"/>
        </w:rPr>
      </w:pPr>
      <w:r>
        <w:rPr>
          <w:rFonts w:ascii="新宋体" w:hAnsi="新宋体" w:eastAsia="新宋体" w:cs="新宋体"/>
          <w:color w:val="auto"/>
          <w:sz w:val="24"/>
          <w:szCs w:val="24"/>
          <w:highlight w:val="none"/>
        </w:rPr>
        <w:t>供应商需在响应文件报价部分中“报</w:t>
      </w:r>
      <w:r>
        <w:rPr>
          <w:rFonts w:ascii="新宋体" w:hAnsi="新宋体" w:eastAsia="新宋体" w:cs="新宋体"/>
          <w:color w:val="auto"/>
          <w:spacing w:val="-1"/>
          <w:sz w:val="24"/>
          <w:szCs w:val="24"/>
          <w:highlight w:val="none"/>
        </w:rPr>
        <w:t>价明细表</w:t>
      </w:r>
      <w:r>
        <w:rPr>
          <w:rFonts w:ascii="新宋体" w:hAnsi="新宋体" w:eastAsia="新宋体" w:cs="新宋体"/>
          <w:color w:val="auto"/>
          <w:spacing w:val="-87"/>
          <w:sz w:val="24"/>
          <w:szCs w:val="24"/>
          <w:highlight w:val="none"/>
        </w:rPr>
        <w:t xml:space="preserve"> </w:t>
      </w:r>
      <w:r>
        <w:rPr>
          <w:rFonts w:ascii="新宋体" w:hAnsi="新宋体" w:eastAsia="新宋体" w:cs="新宋体"/>
          <w:color w:val="auto"/>
          <w:spacing w:val="-1"/>
          <w:sz w:val="24"/>
          <w:szCs w:val="24"/>
          <w:highlight w:val="none"/>
        </w:rPr>
        <w:t>”中逐项注明所投产品的生产厂家具</w:t>
      </w:r>
      <w:r>
        <w:rPr>
          <w:rFonts w:ascii="新宋体" w:hAnsi="新宋体" w:eastAsia="新宋体" w:cs="新宋体"/>
          <w:color w:val="auto"/>
          <w:spacing w:val="-3"/>
          <w:sz w:val="24"/>
          <w:szCs w:val="24"/>
          <w:highlight w:val="none"/>
        </w:rPr>
        <w:t>体名称并备注是否属于小型、微型企业。</w:t>
      </w:r>
    </w:p>
    <w:p w14:paraId="5D0C28A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rightChars="0" w:firstLine="478" w:firstLineChars="200"/>
        <w:textAlignment w:val="baseline"/>
        <w:rPr>
          <w:rFonts w:ascii="新宋体" w:hAnsi="新宋体" w:eastAsia="新宋体" w:cs="新宋体"/>
          <w:b/>
          <w:bCs/>
          <w:color w:val="auto"/>
          <w:spacing w:val="-2"/>
          <w:sz w:val="24"/>
          <w:szCs w:val="24"/>
          <w:highlight w:val="none"/>
        </w:rPr>
      </w:pPr>
      <w:r>
        <w:rPr>
          <w:rFonts w:ascii="新宋体" w:hAnsi="新宋体" w:eastAsia="新宋体" w:cs="新宋体"/>
          <w:b/>
          <w:bCs/>
          <w:color w:val="auto"/>
          <w:spacing w:val="-1"/>
          <w:sz w:val="24"/>
          <w:szCs w:val="24"/>
          <w:highlight w:val="none"/>
        </w:rPr>
        <w:t>若所投标产品为进口产品的，不适用《政府采购促进中小</w:t>
      </w:r>
      <w:r>
        <w:rPr>
          <w:rFonts w:ascii="新宋体" w:hAnsi="新宋体" w:eastAsia="新宋体" w:cs="新宋体"/>
          <w:b/>
          <w:bCs/>
          <w:color w:val="auto"/>
          <w:spacing w:val="-2"/>
          <w:sz w:val="24"/>
          <w:szCs w:val="24"/>
          <w:highlight w:val="none"/>
        </w:rPr>
        <w:t>企业发展管</w:t>
      </w:r>
    </w:p>
    <w:p w14:paraId="4537A531">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right="0" w:rightChars="0"/>
        <w:textAlignment w:val="baseline"/>
        <w:rPr>
          <w:rFonts w:ascii="新宋体" w:hAnsi="新宋体" w:eastAsia="新宋体" w:cs="新宋体"/>
          <w:color w:val="auto"/>
          <w:sz w:val="24"/>
          <w:szCs w:val="24"/>
          <w:highlight w:val="none"/>
        </w:rPr>
      </w:pPr>
      <w:r>
        <w:rPr>
          <w:rFonts w:ascii="新宋体" w:hAnsi="新宋体" w:eastAsia="新宋体" w:cs="新宋体"/>
          <w:b/>
          <w:bCs/>
          <w:color w:val="auto"/>
          <w:spacing w:val="-2"/>
          <w:sz w:val="24"/>
          <w:szCs w:val="24"/>
          <w:highlight w:val="none"/>
        </w:rPr>
        <w:t>理办法》。</w:t>
      </w:r>
    </w:p>
    <w:p w14:paraId="247A6BAF">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right="0" w:rightChars="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11、根据《财政部、民政部、中国残疾人联合会关于促进残疾人就业政府采购政策的通知》</w:t>
      </w:r>
      <w:r>
        <w:rPr>
          <w:rFonts w:ascii="新宋体" w:hAnsi="新宋体" w:eastAsia="新宋体" w:cs="新宋体"/>
          <w:color w:val="auto"/>
          <w:spacing w:val="-5"/>
          <w:sz w:val="24"/>
          <w:szCs w:val="24"/>
          <w:highlight w:val="none"/>
        </w:rPr>
        <w:t>（财库〔2017〕141</w:t>
      </w:r>
      <w:r>
        <w:rPr>
          <w:rFonts w:ascii="新宋体" w:hAnsi="新宋体" w:eastAsia="新宋体" w:cs="新宋体"/>
          <w:color w:val="auto"/>
          <w:spacing w:val="-23"/>
          <w:sz w:val="24"/>
          <w:szCs w:val="24"/>
          <w:highlight w:val="none"/>
        </w:rPr>
        <w:t xml:space="preserve"> </w:t>
      </w:r>
      <w:r>
        <w:rPr>
          <w:rFonts w:ascii="新宋体" w:hAnsi="新宋体" w:eastAsia="新宋体" w:cs="新宋体"/>
          <w:color w:val="auto"/>
          <w:spacing w:val="-5"/>
          <w:sz w:val="24"/>
          <w:szCs w:val="24"/>
          <w:highlight w:val="none"/>
        </w:rPr>
        <w:t>号）和《财政部、司法部关于政府采购支持监狱企业发展有关问题的通知》</w:t>
      </w:r>
      <w:r>
        <w:rPr>
          <w:rFonts w:ascii="新宋体" w:hAnsi="新宋体" w:eastAsia="新宋体" w:cs="新宋体"/>
          <w:color w:val="auto"/>
          <w:spacing w:val="1"/>
          <w:sz w:val="24"/>
          <w:szCs w:val="24"/>
          <w:highlight w:val="none"/>
        </w:rPr>
        <w:t>（财库〔2014〕68</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1"/>
          <w:sz w:val="24"/>
          <w:szCs w:val="24"/>
          <w:highlight w:val="none"/>
        </w:rPr>
        <w:t>号）的规定，属残疾人福利性单位和监狱企业的，投标人须</w:t>
      </w:r>
      <w:r>
        <w:rPr>
          <w:rFonts w:ascii="新宋体" w:hAnsi="新宋体" w:eastAsia="新宋体" w:cs="新宋体"/>
          <w:color w:val="auto"/>
          <w:sz w:val="24"/>
          <w:szCs w:val="24"/>
          <w:highlight w:val="none"/>
        </w:rPr>
        <w:t>提供《残疾人</w:t>
      </w:r>
      <w:r>
        <w:rPr>
          <w:rFonts w:ascii="新宋体" w:hAnsi="新宋体" w:eastAsia="新宋体" w:cs="新宋体"/>
          <w:color w:val="auto"/>
          <w:spacing w:val="-3"/>
          <w:sz w:val="24"/>
          <w:szCs w:val="24"/>
          <w:highlight w:val="none"/>
        </w:rPr>
        <w:t>福利性单位声明函》和《监狱企业声明函》，并</w:t>
      </w:r>
      <w:r>
        <w:rPr>
          <w:rFonts w:ascii="新宋体" w:hAnsi="新宋体" w:eastAsia="新宋体" w:cs="新宋体"/>
          <w:color w:val="auto"/>
          <w:spacing w:val="-4"/>
          <w:sz w:val="24"/>
          <w:szCs w:val="24"/>
          <w:highlight w:val="none"/>
        </w:rPr>
        <w:t>由投标人加盖公章，残疾人福利性单位视同小</w:t>
      </w:r>
      <w:r>
        <w:rPr>
          <w:rFonts w:ascii="新宋体" w:hAnsi="新宋体" w:eastAsia="新宋体" w:cs="新宋体"/>
          <w:color w:val="auto"/>
          <w:spacing w:val="-6"/>
          <w:sz w:val="24"/>
          <w:szCs w:val="24"/>
          <w:highlight w:val="none"/>
        </w:rPr>
        <w:t>型、微型企业，享受预留份额、评标中价格扣除等促进中小企业发展的政府采购政策。向残疾</w:t>
      </w:r>
      <w:r>
        <w:rPr>
          <w:rFonts w:ascii="新宋体" w:hAnsi="新宋体" w:eastAsia="新宋体" w:cs="新宋体"/>
          <w:color w:val="auto"/>
          <w:spacing w:val="-3"/>
          <w:sz w:val="24"/>
          <w:szCs w:val="24"/>
          <w:highlight w:val="none"/>
        </w:rPr>
        <w:t>人福利性单位采购的金额，计入面向中小企业采购的统计数据。投</w:t>
      </w:r>
      <w:r>
        <w:rPr>
          <w:rFonts w:ascii="新宋体" w:hAnsi="新宋体" w:eastAsia="新宋体" w:cs="新宋体"/>
          <w:color w:val="auto"/>
          <w:spacing w:val="-4"/>
          <w:sz w:val="24"/>
          <w:szCs w:val="24"/>
          <w:highlight w:val="none"/>
        </w:rPr>
        <w:t>标人提供的《残疾人福利性</w:t>
      </w:r>
      <w:r>
        <w:rPr>
          <w:rFonts w:ascii="新宋体" w:hAnsi="新宋体" w:eastAsia="新宋体" w:cs="新宋体"/>
          <w:color w:val="auto"/>
          <w:spacing w:val="-1"/>
          <w:sz w:val="24"/>
          <w:szCs w:val="24"/>
          <w:highlight w:val="none"/>
        </w:rPr>
        <w:t>单位声明函》和《监狱企业声明函》资料必须真实，否则，</w:t>
      </w:r>
      <w:r>
        <w:rPr>
          <w:rFonts w:ascii="新宋体" w:hAnsi="新宋体" w:eastAsia="新宋体" w:cs="新宋体"/>
          <w:color w:val="auto"/>
          <w:spacing w:val="-2"/>
          <w:sz w:val="24"/>
          <w:szCs w:val="24"/>
          <w:highlight w:val="none"/>
        </w:rPr>
        <w:t>按照有关规定予以处理。</w:t>
      </w:r>
    </w:p>
    <w:p w14:paraId="14600F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auto"/>
          <w:sz w:val="24"/>
          <w:szCs w:val="24"/>
          <w:highlight w:val="none"/>
        </w:rPr>
      </w:pPr>
      <w:r>
        <w:rPr>
          <w:b/>
          <w:bCs/>
          <w:color w:val="auto"/>
          <w:spacing w:val="-5"/>
          <w:sz w:val="24"/>
          <w:szCs w:val="24"/>
          <w:highlight w:val="none"/>
        </w:rPr>
        <w:t>五  、推荐中标候选人</w:t>
      </w:r>
    </w:p>
    <w:p w14:paraId="71EF01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评标委员会按经济、技术和商务三项</w:t>
      </w:r>
      <w:r>
        <w:rPr>
          <w:rFonts w:ascii="新宋体" w:hAnsi="新宋体" w:eastAsia="新宋体" w:cs="新宋体"/>
          <w:color w:val="auto"/>
          <w:spacing w:val="-2"/>
          <w:sz w:val="24"/>
          <w:szCs w:val="24"/>
          <w:highlight w:val="none"/>
        </w:rPr>
        <w:t>得分之和从高到低按顺序推荐三名中标候选投标</w:t>
      </w:r>
      <w:r>
        <w:rPr>
          <w:rFonts w:ascii="新宋体" w:hAnsi="新宋体" w:eastAsia="新宋体" w:cs="新宋体"/>
          <w:color w:val="auto"/>
          <w:spacing w:val="-13"/>
          <w:sz w:val="24"/>
          <w:szCs w:val="24"/>
          <w:highlight w:val="none"/>
        </w:rPr>
        <w:t>人。</w:t>
      </w:r>
    </w:p>
    <w:p w14:paraId="6F1A69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5.2</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得分相同的，按投标报价由低到高顺</w:t>
      </w:r>
      <w:r>
        <w:rPr>
          <w:rFonts w:ascii="新宋体" w:hAnsi="新宋体" w:eastAsia="新宋体" w:cs="新宋体"/>
          <w:color w:val="auto"/>
          <w:spacing w:val="-2"/>
          <w:sz w:val="24"/>
          <w:szCs w:val="24"/>
          <w:highlight w:val="none"/>
        </w:rPr>
        <w:t>序排列；得分且投标报价相同的，按技术指标优劣顺序排列。技术标也相同时由招标人抽签确定中标候选人名次。</w:t>
      </w:r>
    </w:p>
    <w:p w14:paraId="601393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color w:val="auto"/>
          <w:sz w:val="24"/>
          <w:szCs w:val="24"/>
          <w:highlight w:val="none"/>
        </w:rPr>
      </w:pPr>
      <w:r>
        <w:rPr>
          <w:b/>
          <w:bCs/>
          <w:color w:val="auto"/>
          <w:spacing w:val="-6"/>
          <w:sz w:val="24"/>
          <w:szCs w:val="24"/>
          <w:highlight w:val="none"/>
        </w:rPr>
        <w:t>六  、无效标条款</w:t>
      </w:r>
    </w:p>
    <w:p w14:paraId="1B9A4B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6.1</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4"/>
          <w:sz w:val="24"/>
          <w:szCs w:val="24"/>
          <w:highlight w:val="none"/>
        </w:rPr>
        <w:t>投标文件有下列情形之一的其投标文件拒收：</w:t>
      </w:r>
    </w:p>
    <w:p w14:paraId="080B782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（1）投标文件逾期送达的或未送达指定地点的；</w:t>
      </w:r>
    </w:p>
    <w:p w14:paraId="0D85FEC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（2）招标文件未按要求密封，招标人及代理公司应报经监督部门批准后拒收；</w:t>
      </w:r>
    </w:p>
    <w:p w14:paraId="4399BF9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（3）其它情形，经招标人和代理公司提出拒收，并经监督部门</w:t>
      </w:r>
      <w:r>
        <w:rPr>
          <w:rFonts w:ascii="新宋体" w:hAnsi="新宋体" w:eastAsia="新宋体" w:cs="新宋体"/>
          <w:color w:val="auto"/>
          <w:spacing w:val="-3"/>
          <w:sz w:val="24"/>
          <w:szCs w:val="24"/>
          <w:highlight w:val="none"/>
        </w:rPr>
        <w:t>批准的；</w:t>
      </w:r>
    </w:p>
    <w:p w14:paraId="4DB518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投标人有下列情形之一的，投标人证件审</w:t>
      </w:r>
      <w:r>
        <w:rPr>
          <w:rFonts w:ascii="新宋体" w:hAnsi="新宋体" w:eastAsia="新宋体" w:cs="新宋体"/>
          <w:color w:val="auto"/>
          <w:spacing w:val="-3"/>
          <w:sz w:val="24"/>
          <w:szCs w:val="24"/>
          <w:highlight w:val="none"/>
        </w:rPr>
        <w:t>查后其投标作无效标处理：</w:t>
      </w:r>
    </w:p>
    <w:p w14:paraId="0201FD3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（1）法定代表人（或授权委托人）未准时参加会议；</w:t>
      </w:r>
    </w:p>
    <w:p w14:paraId="34E1A3A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（2）投标人为本项目提供招标代理服务的；</w:t>
      </w:r>
    </w:p>
    <w:p w14:paraId="564BBC1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（3）投标人与在本项目代理机构存在相互任职或工作的；</w:t>
      </w:r>
    </w:p>
    <w:p w14:paraId="025CFB6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（4）投标保证金未按规定要求缴纳的；</w:t>
      </w:r>
    </w:p>
    <w:p w14:paraId="3170C1D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（5）投标人不满足资格条件的；</w:t>
      </w:r>
    </w:p>
    <w:p w14:paraId="63145F5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（6）联合体投标未提交联合体协议的；</w:t>
      </w:r>
    </w:p>
    <w:p w14:paraId="16E299B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（7）被暂停营业的；</w:t>
      </w:r>
    </w:p>
    <w:p w14:paraId="4DCD8F7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（8）被暂停或取消投标资格的；</w:t>
      </w:r>
    </w:p>
    <w:p w14:paraId="766D960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（9）财产被接管或冻结的；</w:t>
      </w:r>
    </w:p>
    <w:p w14:paraId="7A83FA3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（10）在最近三年内有骗取中标或严重违约的；</w:t>
      </w:r>
    </w:p>
    <w:p w14:paraId="3095AB4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（11）投标人单位负责人为同一人或者存在</w:t>
      </w:r>
      <w:r>
        <w:rPr>
          <w:rFonts w:ascii="新宋体" w:hAnsi="新宋体" w:eastAsia="新宋体" w:cs="新宋体"/>
          <w:color w:val="auto"/>
          <w:spacing w:val="-2"/>
          <w:sz w:val="24"/>
          <w:szCs w:val="24"/>
          <w:highlight w:val="none"/>
        </w:rPr>
        <w:t>控股、管理关系的不同单位的。</w:t>
      </w:r>
    </w:p>
    <w:p w14:paraId="44150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（12）投标人基本资格条件和特定资格条件中有一项及以上不符合要求的；</w:t>
      </w:r>
    </w:p>
    <w:p w14:paraId="337CFA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（13）其它情形，经评标委员会委提出无效标，并经招投标监督部门批准的；</w:t>
      </w:r>
    </w:p>
    <w:p w14:paraId="43592A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6.3 投标人有下列情形之一的，符合性审查后其投标作无效标处理：</w:t>
      </w:r>
    </w:p>
    <w:p w14:paraId="01560C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（1）投标文件签字、盖章不全，经评标委员会一致认定对开评标内容有实质性影响并经、</w:t>
      </w:r>
      <w:r>
        <w:rPr>
          <w:rFonts w:ascii="新宋体" w:hAnsi="新宋体" w:eastAsia="新宋体" w:cs="新宋体"/>
          <w:color w:val="auto"/>
          <w:spacing w:val="-9"/>
          <w:sz w:val="24"/>
          <w:szCs w:val="24"/>
          <w:highlight w:val="none"/>
        </w:rPr>
        <w:t>监督部门批准的；</w:t>
      </w:r>
    </w:p>
    <w:p w14:paraId="5540B4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（2）未按规定的格式填写，实质性内容不全或关键字迹模糊、无法辨认；经监督部</w:t>
      </w:r>
      <w:r>
        <w:rPr>
          <w:rFonts w:ascii="新宋体" w:hAnsi="新宋体" w:eastAsia="新宋体" w:cs="新宋体"/>
          <w:color w:val="auto"/>
          <w:spacing w:val="-1"/>
          <w:sz w:val="24"/>
          <w:szCs w:val="24"/>
          <w:highlight w:val="none"/>
        </w:rPr>
        <w:t>门批</w:t>
      </w:r>
      <w:r>
        <w:rPr>
          <w:rFonts w:ascii="新宋体" w:hAnsi="新宋体" w:eastAsia="新宋体" w:cs="新宋体"/>
          <w:color w:val="auto"/>
          <w:spacing w:val="-16"/>
          <w:sz w:val="24"/>
          <w:szCs w:val="24"/>
          <w:highlight w:val="none"/>
        </w:rPr>
        <w:t>准的；</w:t>
      </w:r>
    </w:p>
    <w:p w14:paraId="1BC3E1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（3）同一投标人提交两个以上不同的投标文件或者投标报价，但招标文件规定提交备选</w:t>
      </w:r>
      <w:r>
        <w:rPr>
          <w:rFonts w:ascii="新宋体" w:hAnsi="新宋体" w:eastAsia="新宋体" w:cs="新宋体"/>
          <w:color w:val="auto"/>
          <w:spacing w:val="-11"/>
          <w:sz w:val="24"/>
          <w:szCs w:val="24"/>
          <w:highlight w:val="none"/>
        </w:rPr>
        <w:t>方案的除外；</w:t>
      </w:r>
    </w:p>
    <w:p w14:paraId="640120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（4）投标文件没有对招标文件的实质性要求和条件作出响应;</w:t>
      </w:r>
    </w:p>
    <w:p w14:paraId="7B6742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（5）投标报价超出规定的投标限价或公布的采购预算的；</w:t>
      </w:r>
    </w:p>
    <w:p w14:paraId="7DABF0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（6）改变采购清单中工程量的；</w:t>
      </w:r>
    </w:p>
    <w:p w14:paraId="37EC97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（7）不按评标委员会要求澄清、说明或补正的，或者评标委员会根据招标文件</w:t>
      </w:r>
      <w:r>
        <w:rPr>
          <w:rFonts w:ascii="新宋体" w:hAnsi="新宋体" w:eastAsia="新宋体" w:cs="新宋体"/>
          <w:color w:val="auto"/>
          <w:spacing w:val="-1"/>
          <w:sz w:val="24"/>
          <w:szCs w:val="24"/>
          <w:highlight w:val="none"/>
        </w:rPr>
        <w:t>的规定对</w:t>
      </w:r>
      <w:r>
        <w:rPr>
          <w:rFonts w:ascii="新宋体" w:hAnsi="新宋体" w:eastAsia="新宋体" w:cs="新宋体"/>
          <w:color w:val="auto"/>
          <w:spacing w:val="-2"/>
          <w:sz w:val="24"/>
          <w:szCs w:val="24"/>
          <w:highlight w:val="none"/>
        </w:rPr>
        <w:t>招标文件的计算错误进行修正后，投标人不接受修正的投标报价的。</w:t>
      </w:r>
    </w:p>
    <w:p w14:paraId="64C7D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（8）评标委员会认为投标人的报价明显低于其他通过符合性审查投标人的报价，有可能</w:t>
      </w:r>
      <w:r>
        <w:rPr>
          <w:rFonts w:ascii="新宋体" w:hAnsi="新宋体" w:eastAsia="新宋体" w:cs="新宋体"/>
          <w:color w:val="auto"/>
          <w:spacing w:val="-3"/>
          <w:sz w:val="24"/>
          <w:szCs w:val="24"/>
          <w:highlight w:val="none"/>
        </w:rPr>
        <w:t>影响产品质量或者不能诚信履约的，应当要求其在评标现场合理的时间内提供书面说明，必要时提交相关证明材料；投标人不能证明其报价合理性的，评标委员会应当将其作为无效投标处</w:t>
      </w:r>
      <w:r>
        <w:rPr>
          <w:rFonts w:ascii="新宋体" w:hAnsi="新宋体" w:eastAsia="新宋体" w:cs="新宋体"/>
          <w:color w:val="auto"/>
          <w:spacing w:val="-13"/>
          <w:sz w:val="24"/>
          <w:szCs w:val="24"/>
          <w:highlight w:val="none"/>
        </w:rPr>
        <w:t>理。</w:t>
      </w:r>
    </w:p>
    <w:p w14:paraId="44ED33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（9）其它情形，经评标委员会委提出无效标，并经监督</w:t>
      </w:r>
      <w:r>
        <w:rPr>
          <w:rFonts w:ascii="新宋体" w:hAnsi="新宋体" w:eastAsia="新宋体" w:cs="新宋体"/>
          <w:color w:val="auto"/>
          <w:spacing w:val="-3"/>
          <w:sz w:val="24"/>
          <w:szCs w:val="24"/>
          <w:highlight w:val="none"/>
        </w:rPr>
        <w:t>部门批准的；</w:t>
      </w:r>
    </w:p>
    <w:p w14:paraId="58B01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6.4 投标人有下列情形之一的，详细评审后其投标作无效标处理：</w:t>
      </w:r>
    </w:p>
    <w:p w14:paraId="1CE42C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（1）投标产品不符合必须强制执行的国家标准的；</w:t>
      </w:r>
    </w:p>
    <w:p w14:paraId="21EFD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（2）投标人有串通投标、弄虚作假、行贿等违法行为；</w:t>
      </w:r>
    </w:p>
    <w:p w14:paraId="7B4CB6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（3）投标文件含有违反国家法律、法规的内容，或附有招</w:t>
      </w:r>
      <w:r>
        <w:rPr>
          <w:rFonts w:ascii="新宋体" w:hAnsi="新宋体" w:eastAsia="新宋体" w:cs="新宋体"/>
          <w:color w:val="auto"/>
          <w:spacing w:val="-2"/>
          <w:sz w:val="24"/>
          <w:szCs w:val="24"/>
          <w:highlight w:val="none"/>
        </w:rPr>
        <w:t>标人不能接受的条件的。</w:t>
      </w:r>
    </w:p>
    <w:p w14:paraId="6EBD36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新宋体" w:hAnsi="新宋体" w:eastAsia="新宋体" w:cs="新宋体"/>
          <w:color w:val="auto"/>
          <w:sz w:val="24"/>
          <w:szCs w:val="24"/>
          <w:highlight w:val="none"/>
        </w:rPr>
        <w:sectPr>
          <w:footerReference r:id="rId12" w:type="default"/>
          <w:pgSz w:w="11905" w:h="16839"/>
          <w:pgMar w:top="1440" w:right="1800" w:bottom="1440" w:left="1800" w:header="0" w:footer="1090" w:gutter="0"/>
          <w:pgNumType w:fmt="numberInDash"/>
          <w:cols w:space="720" w:num="1"/>
        </w:sectPr>
      </w:pPr>
      <w:r>
        <w:rPr>
          <w:rFonts w:ascii="新宋体" w:hAnsi="新宋体" w:eastAsia="新宋体" w:cs="新宋体"/>
          <w:color w:val="auto"/>
          <w:spacing w:val="-2"/>
          <w:sz w:val="24"/>
          <w:szCs w:val="24"/>
          <w:highlight w:val="none"/>
        </w:rPr>
        <w:t>（4）其它情形，经评标委员会委提出无效标，并经招投标监督部门批准的；</w:t>
      </w:r>
    </w:p>
    <w:p w14:paraId="68B3957A">
      <w:pPr>
        <w:spacing w:line="317" w:lineRule="auto"/>
        <w:rPr>
          <w:rFonts w:ascii="Arial"/>
          <w:color w:val="auto"/>
          <w:sz w:val="21"/>
          <w:highlight w:val="none"/>
        </w:rPr>
      </w:pPr>
    </w:p>
    <w:p w14:paraId="40DA47EA">
      <w:pPr>
        <w:pStyle w:val="4"/>
        <w:numPr>
          <w:ilvl w:val="0"/>
          <w:numId w:val="2"/>
        </w:numPr>
        <w:spacing w:line="240" w:lineRule="auto"/>
        <w:ind w:left="0"/>
        <w:jc w:val="center"/>
        <w:outlineLvl w:val="0"/>
        <w:rPr>
          <w:b/>
          <w:bCs/>
          <w:color w:val="auto"/>
          <w:spacing w:val="-5"/>
          <w:sz w:val="30"/>
          <w:szCs w:val="30"/>
          <w:highlight w:val="none"/>
        </w:rPr>
      </w:pPr>
      <w:bookmarkStart w:id="12" w:name="bookmark6"/>
      <w:bookmarkEnd w:id="12"/>
      <w:r>
        <w:rPr>
          <w:b/>
          <w:bCs/>
          <w:color w:val="auto"/>
          <w:spacing w:val="-5"/>
          <w:sz w:val="30"/>
          <w:szCs w:val="30"/>
          <w:highlight w:val="none"/>
        </w:rPr>
        <w:t>采购清单及技术参数</w:t>
      </w:r>
    </w:p>
    <w:tbl>
      <w:tblPr>
        <w:tblStyle w:val="13"/>
        <w:tblpPr w:leftFromText="180" w:rightFromText="180" w:vertAnchor="text" w:horzAnchor="margin" w:tblpY="-54"/>
        <w:tblOverlap w:val="never"/>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590"/>
        <w:gridCol w:w="562"/>
        <w:gridCol w:w="5993"/>
        <w:gridCol w:w="427"/>
        <w:gridCol w:w="689"/>
        <w:gridCol w:w="689"/>
      </w:tblGrid>
      <w:tr w14:paraId="2652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7" w:type="dxa"/>
            <w:vAlign w:val="center"/>
          </w:tcPr>
          <w:p w14:paraId="69BA3147">
            <w:pPr>
              <w:rPr>
                <w:b/>
                <w:bCs/>
                <w:color w:val="auto"/>
                <w:szCs w:val="21"/>
                <w:highlight w:val="none"/>
              </w:rPr>
            </w:pPr>
            <w:r>
              <w:rPr>
                <w:rFonts w:hint="eastAsia"/>
                <w:b/>
                <w:bCs/>
                <w:color w:val="auto"/>
                <w:szCs w:val="21"/>
                <w:highlight w:val="none"/>
              </w:rPr>
              <w:t>序号</w:t>
            </w:r>
          </w:p>
        </w:tc>
        <w:tc>
          <w:tcPr>
            <w:tcW w:w="590" w:type="dxa"/>
            <w:vAlign w:val="center"/>
          </w:tcPr>
          <w:p w14:paraId="49D76260">
            <w:pPr>
              <w:rPr>
                <w:b/>
                <w:bCs/>
                <w:color w:val="auto"/>
                <w:szCs w:val="21"/>
                <w:highlight w:val="none"/>
              </w:rPr>
            </w:pPr>
            <w:r>
              <w:rPr>
                <w:rFonts w:hint="eastAsia"/>
                <w:b/>
                <w:bCs/>
                <w:color w:val="auto"/>
                <w:szCs w:val="21"/>
                <w:highlight w:val="none"/>
              </w:rPr>
              <w:t>设备名称</w:t>
            </w:r>
          </w:p>
        </w:tc>
        <w:tc>
          <w:tcPr>
            <w:tcW w:w="562" w:type="dxa"/>
            <w:vAlign w:val="center"/>
          </w:tcPr>
          <w:p w14:paraId="58914A71">
            <w:pPr>
              <w:jc w:val="center"/>
              <w:rPr>
                <w:b/>
                <w:bCs/>
                <w:color w:val="auto"/>
                <w:szCs w:val="21"/>
                <w:highlight w:val="none"/>
              </w:rPr>
            </w:pPr>
            <w:r>
              <w:rPr>
                <w:rFonts w:hint="eastAsia"/>
                <w:b/>
                <w:bCs/>
                <w:color w:val="auto"/>
                <w:szCs w:val="21"/>
                <w:highlight w:val="none"/>
              </w:rPr>
              <w:t>参考型号</w:t>
            </w:r>
          </w:p>
        </w:tc>
        <w:tc>
          <w:tcPr>
            <w:tcW w:w="5993" w:type="dxa"/>
            <w:vAlign w:val="center"/>
          </w:tcPr>
          <w:p w14:paraId="4EB4A0EE">
            <w:pPr>
              <w:ind w:firstLine="422"/>
              <w:jc w:val="center"/>
              <w:rPr>
                <w:b/>
                <w:bCs/>
                <w:color w:val="auto"/>
                <w:szCs w:val="21"/>
                <w:highlight w:val="none"/>
              </w:rPr>
            </w:pPr>
            <w:r>
              <w:rPr>
                <w:rFonts w:hint="eastAsia"/>
                <w:b/>
                <w:bCs/>
                <w:color w:val="auto"/>
                <w:szCs w:val="21"/>
                <w:highlight w:val="none"/>
              </w:rPr>
              <w:t>用途、技术指标及配置</w:t>
            </w:r>
          </w:p>
        </w:tc>
        <w:tc>
          <w:tcPr>
            <w:tcW w:w="427" w:type="dxa"/>
            <w:vAlign w:val="center"/>
          </w:tcPr>
          <w:p w14:paraId="64D18B19">
            <w:pPr>
              <w:rPr>
                <w:b/>
                <w:bCs/>
                <w:color w:val="auto"/>
                <w:szCs w:val="21"/>
                <w:highlight w:val="none"/>
              </w:rPr>
            </w:pPr>
            <w:r>
              <w:rPr>
                <w:rFonts w:hint="eastAsia"/>
                <w:b/>
                <w:bCs/>
                <w:color w:val="auto"/>
                <w:szCs w:val="21"/>
                <w:highlight w:val="none"/>
              </w:rPr>
              <w:t>数量</w:t>
            </w:r>
          </w:p>
        </w:tc>
        <w:tc>
          <w:tcPr>
            <w:tcW w:w="689" w:type="dxa"/>
            <w:vAlign w:val="center"/>
          </w:tcPr>
          <w:p w14:paraId="7183BDD3">
            <w:pPr>
              <w:rPr>
                <w:b/>
                <w:bCs/>
                <w:color w:val="auto"/>
                <w:szCs w:val="21"/>
                <w:highlight w:val="none"/>
              </w:rPr>
            </w:pPr>
            <w:r>
              <w:rPr>
                <w:rFonts w:hint="eastAsia"/>
                <w:b/>
                <w:bCs/>
                <w:color w:val="auto"/>
                <w:szCs w:val="21"/>
                <w:highlight w:val="none"/>
              </w:rPr>
              <w:t xml:space="preserve">单价 </w:t>
            </w:r>
            <w:r>
              <w:rPr>
                <w:rFonts w:hint="eastAsia"/>
                <w:b/>
                <w:bCs/>
                <w:color w:val="auto"/>
                <w:sz w:val="18"/>
                <w:szCs w:val="18"/>
                <w:highlight w:val="none"/>
              </w:rPr>
              <w:t>万元</w:t>
            </w:r>
          </w:p>
        </w:tc>
        <w:tc>
          <w:tcPr>
            <w:tcW w:w="689" w:type="dxa"/>
            <w:vAlign w:val="center"/>
          </w:tcPr>
          <w:p w14:paraId="120AB184">
            <w:pPr>
              <w:rPr>
                <w:b/>
                <w:bCs/>
                <w:color w:val="auto"/>
                <w:szCs w:val="21"/>
                <w:highlight w:val="none"/>
              </w:rPr>
            </w:pPr>
            <w:r>
              <w:rPr>
                <w:rFonts w:hint="eastAsia"/>
                <w:b/>
                <w:bCs/>
                <w:color w:val="auto"/>
                <w:szCs w:val="21"/>
                <w:highlight w:val="none"/>
              </w:rPr>
              <w:t xml:space="preserve">金额 </w:t>
            </w:r>
            <w:r>
              <w:rPr>
                <w:rFonts w:hint="eastAsia"/>
                <w:b/>
                <w:bCs/>
                <w:color w:val="auto"/>
                <w:sz w:val="18"/>
                <w:szCs w:val="18"/>
                <w:highlight w:val="none"/>
              </w:rPr>
              <w:t>万元</w:t>
            </w:r>
          </w:p>
        </w:tc>
      </w:tr>
      <w:tr w14:paraId="2BEF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trPr>
        <w:tc>
          <w:tcPr>
            <w:tcW w:w="427" w:type="dxa"/>
            <w:vAlign w:val="center"/>
          </w:tcPr>
          <w:p w14:paraId="6F509108">
            <w:pPr>
              <w:rPr>
                <w:rFonts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p>
        </w:tc>
        <w:tc>
          <w:tcPr>
            <w:tcW w:w="590" w:type="dxa"/>
            <w:vAlign w:val="center"/>
          </w:tcPr>
          <w:p w14:paraId="778C7D5E">
            <w:pP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实验室辅助设备维护保养</w:t>
            </w:r>
          </w:p>
        </w:tc>
        <w:tc>
          <w:tcPr>
            <w:tcW w:w="562" w:type="dxa"/>
            <w:vAlign w:val="center"/>
          </w:tcPr>
          <w:p w14:paraId="62547D1A">
            <w:pPr>
              <w:rPr>
                <w:rFonts w:hint="eastAsia" w:ascii="Times New Roman" w:hAnsi="Times New Roman" w:eastAsia="宋体" w:cs="Times New Roman"/>
                <w:color w:val="auto"/>
                <w:kern w:val="2"/>
                <w:sz w:val="21"/>
                <w:szCs w:val="21"/>
                <w:highlight w:val="none"/>
                <w:lang w:val="en-US" w:eastAsia="zh-CN" w:bidi="ar-SA"/>
              </w:rPr>
            </w:pPr>
          </w:p>
        </w:tc>
        <w:tc>
          <w:tcPr>
            <w:tcW w:w="5993" w:type="dxa"/>
            <w:vAlign w:val="center"/>
          </w:tcPr>
          <w:p w14:paraId="0C96CAA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p>
          <w:p w14:paraId="44DE13B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b/>
                <w:bCs/>
                <w:color w:val="auto"/>
                <w:sz w:val="18"/>
                <w:szCs w:val="18"/>
                <w:highlight w:val="none"/>
                <w:lang w:val="en-US" w:eastAsia="zh-CN"/>
              </w:rPr>
              <w:t>用途：</w:t>
            </w:r>
            <w:r>
              <w:rPr>
                <w:rFonts w:hint="eastAsia"/>
                <w:color w:val="auto"/>
                <w:sz w:val="18"/>
                <w:szCs w:val="18"/>
                <w:highlight w:val="none"/>
                <w:lang w:val="en-US" w:eastAsia="zh-CN"/>
              </w:rPr>
              <w:t>为保障棉花公证检验的顺利运行，对涉及检验的实验室空调、空压机等辅助设备维护服务。</w:t>
            </w:r>
          </w:p>
          <w:p w14:paraId="17ED86EC">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color w:val="auto"/>
                <w:sz w:val="18"/>
                <w:szCs w:val="18"/>
                <w:highlight w:val="none"/>
                <w:lang w:val="en-US" w:eastAsia="zh-CN"/>
              </w:rPr>
            </w:pPr>
          </w:p>
          <w:p w14:paraId="48220EEB">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color w:val="auto"/>
                <w:sz w:val="18"/>
                <w:szCs w:val="18"/>
                <w:highlight w:val="none"/>
                <w:lang w:val="en-US" w:eastAsia="zh-CN"/>
              </w:rPr>
            </w:pPr>
            <w:r>
              <w:rPr>
                <w:rFonts w:hint="eastAsia"/>
                <w:b/>
                <w:bCs/>
                <w:color w:val="auto"/>
                <w:sz w:val="18"/>
                <w:szCs w:val="18"/>
                <w:highlight w:val="none"/>
                <w:lang w:val="en-US" w:eastAsia="zh-CN"/>
              </w:rPr>
              <w:t>实验室辅助设备维护保养要求：</w:t>
            </w:r>
            <w:r>
              <w:rPr>
                <w:rFonts w:hint="eastAsia"/>
                <w:color w:val="auto"/>
                <w:sz w:val="18"/>
                <w:szCs w:val="18"/>
                <w:highlight w:val="none"/>
                <w:lang w:val="en-US" w:eastAsia="zh-CN"/>
              </w:rPr>
              <w:t>维护保养后设备能正常运行，空调连续运行6个月满足棉花仪器化HVI公证检验实验室温湿度标准要求，温度20℃±2，湿度RH65%±3，设备出现较大故障24小时内排除、一般性故障6小时内排出，不得影响检验工作。服务范围为实验室内部运行的全项，做到开检前全面保养维护，公检结束后做停机保养，并建立维保记录档案。保障维护好实验室所有供电、供水涉及的设备和管线。服务地点为：奎屯市和伊宁市两地</w:t>
            </w:r>
          </w:p>
          <w:p w14:paraId="239BAC09">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p>
          <w:p w14:paraId="77F3B36D">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一、恒温恒湿空调系统设备（主要设备</w:t>
            </w:r>
            <w:r>
              <w:rPr>
                <w:rFonts w:hint="eastAsia" w:ascii="宋体" w:hAnsi="宋体" w:eastAsia="宋体" w:cs="宋体"/>
                <w:b/>
                <w:bCs/>
                <w:i w:val="0"/>
                <w:iCs w:val="0"/>
                <w:color w:val="auto"/>
                <w:kern w:val="0"/>
                <w:sz w:val="16"/>
                <w:szCs w:val="16"/>
                <w:highlight w:val="none"/>
                <w:u w:val="none"/>
                <w:lang w:val="en-US" w:eastAsia="zh-CN" w:bidi="ar"/>
              </w:rPr>
              <w:t>约顿牌恒温恒室机室内机组</w:t>
            </w:r>
            <w:r>
              <w:rPr>
                <w:rFonts w:hint="eastAsia" w:ascii="宋体" w:hAnsi="宋体" w:cs="宋体"/>
                <w:b/>
                <w:bCs/>
                <w:i w:val="0"/>
                <w:iCs w:val="0"/>
                <w:color w:val="auto"/>
                <w:kern w:val="0"/>
                <w:sz w:val="16"/>
                <w:szCs w:val="16"/>
                <w:highlight w:val="none"/>
                <w:u w:val="none"/>
                <w:lang w:val="en-US" w:eastAsia="zh-CN" w:bidi="ar"/>
              </w:rPr>
              <w:t>）</w:t>
            </w:r>
          </w:p>
          <w:p w14:paraId="75D184E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开检前进行全面维护保养，检查机组运行状况，记录报警内容并对报警内容进行分析消除隐患；</w:t>
            </w:r>
          </w:p>
          <w:p w14:paraId="018CF1E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检查设定参数，控制电路，并根据实际需要调整各项运行参数；</w:t>
            </w:r>
          </w:p>
          <w:p w14:paraId="1FF9C56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检查压缩机、风机的运行电流值；</w:t>
            </w:r>
          </w:p>
          <w:p w14:paraId="7766DBB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检查制冷系统运行情况，检查运行压力，检查膨胀阀的工作状态，必要时调整过热度，使设备处于最佳状态；</w:t>
            </w:r>
          </w:p>
          <w:p w14:paraId="4CEEE78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检查冷媒管道和加湿系统供水管道是否正常；</w:t>
            </w:r>
          </w:p>
          <w:p w14:paraId="706CF31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检测高低压保护装置；</w:t>
            </w:r>
          </w:p>
          <w:p w14:paraId="21A8F5D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检查主控板和图形显示器的工作状态；</w:t>
            </w:r>
          </w:p>
          <w:p w14:paraId="67E4BDB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2、实验室内部运行的全项</w:t>
            </w:r>
          </w:p>
          <w:p w14:paraId="1D6D270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公证检验期内每天有由驻厂人员进行巡查，确保实验室检验正常运行。（淡季每月联系一次，询问实验室设备情况。）</w:t>
            </w:r>
          </w:p>
          <w:p w14:paraId="7840A43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3、保养操作工艺方法及项目</w:t>
            </w:r>
          </w:p>
          <w:p w14:paraId="561E956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p>
          <w:p w14:paraId="5109C79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过滤网</w:t>
            </w:r>
          </w:p>
          <w:p w14:paraId="495C00E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1、过滤网气流是否通畅：透光目测，看滤材的干净程度，对灰尘进行清除，如有外观的上的损坏，进行更换。</w:t>
            </w:r>
          </w:p>
          <w:p w14:paraId="2EB1238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2、检查风压开关：用物件挡住空调回风口1/2的面积，检查风压开关是否动作。</w:t>
            </w:r>
          </w:p>
          <w:p w14:paraId="23434DC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p>
          <w:p w14:paraId="2B8BF2E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室内风机</w:t>
            </w:r>
          </w:p>
          <w:p w14:paraId="5CDDC49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1、检查并调整电机的装配，检查是否牢固和正确。</w:t>
            </w:r>
          </w:p>
          <w:p w14:paraId="0795445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2、检查风机轴承，运行是否平稳，无异常噪音，并且不发热，润滑是否良好。</w:t>
            </w:r>
          </w:p>
          <w:p w14:paraId="5C42735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3、检查风机电机电流，同开机的测试报告进行比较，看数据是否正常。</w:t>
            </w:r>
          </w:p>
          <w:p w14:paraId="22E2D85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压缩机</w:t>
            </w:r>
          </w:p>
          <w:p w14:paraId="0A70182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1、检查是否有漏油及油位，如有泄漏，应找到漏点，并进行处理。若油位不够，应补充冷冻油。</w:t>
            </w:r>
          </w:p>
          <w:p w14:paraId="7389ACC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2、检查压缩机三相电流是否均衡，同开机的测试报告进行比较，看数据是否正常。</w:t>
            </w:r>
          </w:p>
          <w:p w14:paraId="2E41557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3、检查压缩机运转声音和机身温度（运转中）是否正常</w:t>
            </w:r>
          </w:p>
          <w:p w14:paraId="2BB9AE1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4、检查压缩机高低压传感器的工作参数，同开机的测试报告进行比较，看数据是否正常</w:t>
            </w:r>
          </w:p>
          <w:p w14:paraId="788AF57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5、检查压缩机的吸气及排气温度，吸气过热度不能超过10℃，排气温度不能超过150℃ 。</w:t>
            </w:r>
          </w:p>
          <w:p w14:paraId="4C2F4CA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6、检查压缩机高压压力是否正常，低压通常在0.5—0.8Mpa之间，高压压力通常在1.5—1.9Mpa之间。</w:t>
            </w:r>
          </w:p>
          <w:p w14:paraId="7E776CD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p>
          <w:p w14:paraId="09F9F0C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风冷凝器</w:t>
            </w:r>
          </w:p>
          <w:p w14:paraId="4E378D4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1、检查风扇绕组，测量风扇电流，同开机的测试报告进行比较，看数据是否正常。</w:t>
            </w:r>
          </w:p>
          <w:p w14:paraId="0DDC79C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2、检查风扇是否紧固，轴承工作状态是否正常，运行是否平稳。</w:t>
            </w:r>
          </w:p>
          <w:p w14:paraId="6B86501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3、检查清洁状况。</w:t>
            </w:r>
          </w:p>
          <w:p w14:paraId="53ADDF3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4、检查调整控制板及温度开关工作状态。</w:t>
            </w:r>
          </w:p>
          <w:p w14:paraId="5D5D513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p>
          <w:p w14:paraId="2758FD3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蒸气系统加湿器</w:t>
            </w:r>
          </w:p>
          <w:p w14:paraId="4D515E5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1、检查加湿罐内是否沉积，并进行清除</w:t>
            </w:r>
          </w:p>
          <w:p w14:paraId="6AB560C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2、检查所有的蒸气软管的工作状态，是否通畅，老化</w:t>
            </w:r>
          </w:p>
          <w:p w14:paraId="282E457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3、检查进水阀和排水阀（或者排水泵）是否工作正常。检查是否进、排水</w:t>
            </w:r>
          </w:p>
          <w:p w14:paraId="0CE70A9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p>
          <w:p w14:paraId="34E168B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制冷循环部分</w:t>
            </w:r>
          </w:p>
          <w:p w14:paraId="1A29ACE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1、检查制冷管路是否有泄漏，通过检查管路是否有油迹</w:t>
            </w:r>
          </w:p>
          <w:p w14:paraId="4E65BEC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2、通过视镜，检查系统是否有水汽，色圈的颜色是否表示正常，并判断制冷剂是否需要补充。</w:t>
            </w:r>
          </w:p>
          <w:p w14:paraId="44070F7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3、检查吸气压力，同开机的测试报告进行比较，看数据是否正常。</w:t>
            </w:r>
          </w:p>
          <w:p w14:paraId="0911823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4、检查排气压力，同开机的测试报告进行比较，看数据是否正常。</w:t>
            </w:r>
          </w:p>
          <w:p w14:paraId="20C2980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5、检查热气旁通</w:t>
            </w:r>
          </w:p>
          <w:p w14:paraId="0DF9242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p>
          <w:p w14:paraId="7E39621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电气装置</w:t>
            </w:r>
          </w:p>
          <w:p w14:paraId="3EA8EB1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1、所有电器外观和动作情况，所有电器外观完好，设置正确</w:t>
            </w:r>
          </w:p>
          <w:p w14:paraId="08C1040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2、检查和紧固所有导线连接，所有导线无发热</w:t>
            </w:r>
          </w:p>
          <w:p w14:paraId="27FD34F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3、检查校验运行状态显示，有无报警记录及自动控制是否正常</w:t>
            </w:r>
          </w:p>
          <w:p w14:paraId="79D8717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上述检查中，发现问题做及时处理。</w:t>
            </w:r>
          </w:p>
          <w:p w14:paraId="48ACF8B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p>
          <w:p w14:paraId="43F3A9C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维修操作工艺项目：</w:t>
            </w:r>
          </w:p>
          <w:p w14:paraId="702FB7D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检修电气控制系统</w:t>
            </w:r>
          </w:p>
          <w:p w14:paraId="5D57107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检查控制电路熔丝（或空气开关）。</w:t>
            </w:r>
          </w:p>
          <w:p w14:paraId="626359B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 xml:space="preserve">检查控制电源变压器外观，校验输出电压。 </w:t>
            </w:r>
          </w:p>
          <w:p w14:paraId="1E6F50C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紧固全部电气连接。</w:t>
            </w:r>
          </w:p>
          <w:p w14:paraId="2009421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校验电脑板控制信号，紧固板上插接口。</w:t>
            </w:r>
          </w:p>
          <w:p w14:paraId="5712AD7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检修制冷系统</w:t>
            </w:r>
          </w:p>
          <w:p w14:paraId="166464C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用氮气做制冷系统压力试验，查漏并做处理。</w:t>
            </w:r>
          </w:p>
          <w:p w14:paraId="3F156D8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检查压缩机用熔丝（或空气开关）、接触器，校验绕组阻值。</w:t>
            </w:r>
          </w:p>
          <w:p w14:paraId="24C0657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检查电磁阀，调速器和温度控制器。</w:t>
            </w:r>
          </w:p>
          <w:p w14:paraId="390BD85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校验冷凝器风扇电机绕组阻值，检查电机轴承。</w:t>
            </w:r>
          </w:p>
          <w:p w14:paraId="6372CD6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检修加湿系统</w:t>
            </w:r>
          </w:p>
          <w:p w14:paraId="0CD8B01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检查加湿系统熔丝（或空气开关）、接触器。</w:t>
            </w:r>
          </w:p>
          <w:p w14:paraId="6E44170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检查上水电磁阀，过温保护。</w:t>
            </w:r>
          </w:p>
          <w:p w14:paraId="1E59394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 xml:space="preserve">清理加湿水盘和机内给/排水管路。   </w:t>
            </w:r>
          </w:p>
          <w:p w14:paraId="7B94A16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在上述检修过程中，对已损坏的器件予以更换。</w:t>
            </w:r>
          </w:p>
          <w:p w14:paraId="76F0A7D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p>
          <w:p w14:paraId="5428173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维修操作</w:t>
            </w:r>
          </w:p>
          <w:p w14:paraId="3F0A157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1、油加温预热</w:t>
            </w:r>
          </w:p>
          <w:p w14:paraId="6FF65EB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室内外机连接线确认接线正确无误。接通电源对压缩机油加温进行预热（冬季预热最少时间2个小时）。方法：打开压缩机1、2号制冷空气开关即可</w:t>
            </w:r>
          </w:p>
          <w:p w14:paraId="2768F4C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2、抽真空</w:t>
            </w:r>
          </w:p>
          <w:p w14:paraId="2976DFB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排出制冷系统内氮气后，用双头压力表连接室内机制冷系统高低压针阀，打开真空泵确认有空气吸入，拧紧加液管，开启双头表高低压阀门抽真空20分钟以上达－1Mpa停止真空泵运转。407c制冷系统和管路比较长的系统，抽真空时间应在30分钟以上。</w:t>
            </w:r>
          </w:p>
          <w:p w14:paraId="42F2B18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3、补加冷冻油</w:t>
            </w:r>
          </w:p>
          <w:p w14:paraId="7BAB9EC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如果制冷系统管路超出25米以上必须补加冷冻油（每超出1米约补加3毫升冷冻油）。方法：液管连接真空泵抽真空时，从汽管补加冷冻油。</w:t>
            </w:r>
          </w:p>
          <w:p w14:paraId="30E33E6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4、低压报警试验</w:t>
            </w:r>
          </w:p>
          <w:p w14:paraId="6726447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抽空的同时，并打开24V主控制空气开关。（其它主电源空气开关不用打开，测试压缩机低压开关通断是否正常）手动开启压缩机1号机，压缩机1号交流接触器吸合后，低压开关低于1kg应报《压缩机1低压告警》并复位。（2号压缩机测试方法同上）如果没有报警出现，检查低压顶针阀是否顶开或有顶偏现象。</w:t>
            </w:r>
          </w:p>
          <w:p w14:paraId="4B275F5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5、相位测试</w:t>
            </w:r>
          </w:p>
          <w:p w14:paraId="07A9FF0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抽空完毕后设备静态时可先补加一部分液态氟利昂，压力稳定后开始开机调试。压缩机初次运行必须判断相位是否正常。可以根据高低压。压力工作情况测得，正常时高压表不断升高，低压下降。反之高低压，压力有轻微摆动且压缩机声音异常。（2）JOV变频系列压缩机的相位调整应在变频器输出端做任意两相对调，输入端做相位调整不能改变其相序。室内风机电机相位试验方法同压缩机基本相同。反相位电机声音异常，回风处无明显吸力。</w:t>
            </w:r>
          </w:p>
          <w:p w14:paraId="6D296C7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6、加注氟利昂</w:t>
            </w:r>
          </w:p>
          <w:p w14:paraId="26312EC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制冷剂的充注方法可采用以下两种：</w:t>
            </w:r>
          </w:p>
          <w:p w14:paraId="4C702A1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低压开机加液：抽真空结束或需要补充制冷剂时，将制冷剂瓶通过压力表三通阀的加液管与系统低压工艺口连接。事先排出加液管内的空气，再将钢瓶倒置，开启压缩机，同时打开钢瓶阀，开启度不易过大（因这时所加的制冷剂是液态的），同时注意压力表指示在0.3－0.5Mpa时停止加液，观察制冷效果。</w:t>
            </w:r>
          </w:p>
          <w:p w14:paraId="3A8A32A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静态平衡加液：这种方法要求停机加注制冷剂。系统平衡压力应为0.8－0.9Mpa时。</w:t>
            </w:r>
          </w:p>
          <w:p w14:paraId="59D38F5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氟利昂充注量可根据连接管道长短估算补充。加氟时，不要急于求成，要少量、多次加入。每加一定量后要观察10分钟，再根据回气压力和运转电流做相应的调整，切勿匆匆忙忙加完液，再匆匆忙忙测一下压缩机电流值，一看差不多便认为可以了。不可出现已加液过量，运行时间一常，便出报警的情况。加氟量遵循宁少勿多的原则。</w:t>
            </w:r>
          </w:p>
          <w:p w14:paraId="316AC58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JOV系列加氟时钳形电流表钳在变频器的输出端，观察电流变化。手动开机把除湿开度2设为130％即设为最大。观察此时电流值的变化。实测数据仅供参考（JOV13机型电流一般在7～9A左右。JOV18机型电流10～12A ，JOV20机型电流11～13A）如果此时电流超过变频器的输出最大电流。把室外机压控（KP5）压力启动值调到16KG。观察电流是否下降。假如此时电流在正常范围。除湿开度2再设回出厂设定的范围。除湿开度1可根据除湿能力稍作修正。</w:t>
            </w:r>
          </w:p>
          <w:p w14:paraId="5B7385D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充注制冷剂要掌握加液的速度，切忌过量，轻度的过量会引起制冷量下降。严重的过量会导致压缩机损坏，由于过多的液体制冷剂进入蒸发器而未能全部气化，被制冷压缩机低压吸入，压缩机机身就会出现结露和结霜现象，此时加入膨胀阀开度过大严重时会产生液击事故。压缩机的电流随之增大，启动困难</w:t>
            </w:r>
          </w:p>
          <w:p w14:paraId="0DE9A3A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7、除湿方式</w:t>
            </w:r>
          </w:p>
          <w:p w14:paraId="28CED1A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除湿方式有两种方式：（1）变风量除湿时，是通过调节风机电机风速功率来实现的。制冷时风机高速运转，需要除湿时切换低风速，变风量除湿一般选用单相多速风机电机。（2）在原有蒸发面积上，切断1∕3制冷管路或更多，通过控制电磁阀的通断来实现除湿功能。除湿时低压压力相应降低。JOV系列分两级除湿。</w:t>
            </w:r>
          </w:p>
          <w:p w14:paraId="57FA03A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8、电加热</w:t>
            </w:r>
          </w:p>
          <w:p w14:paraId="32F36A0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手动打开电加热之前，应检查电加热保护线插片有无脱落和虚接现象。检查控制器菜单电加热级数设置是否正确。（是几级加热就设成几级，如果是一级加热就不能设成二级，否则报电加热过热告警。）手动运行30分钟以上，确保电加热无报警。并测出三相之间电流值，进行对比。三相之间电流值误差最大不应超过1A以上。检查主电源和各支路的各相电压，检查所有接触器的触点是否松动，检测吸合的瞬间电流；对24V控制线路进行检测，保证控制的灵敏度。</w:t>
            </w:r>
          </w:p>
          <w:p w14:paraId="4D74012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9、加湿器</w:t>
            </w:r>
          </w:p>
          <w:p w14:paraId="5C29059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检查加湿器进水管应无渗水现象，并判断水压是否过高或过低。应保证进水通畅且上水速度平衡。根据加湿桶大小桶之分,设定&lt;加湿器类型&gt;（大桶设置93H，小桶设置53H）。进入控制器&lt;功能配置&gt;菜单,设置&lt;蒸汽输出量&gt;。进入《模块检修菜单》手动开启加湿器，监视《模块检修菜单》下页中&lt;加湿器电流&gt;显示值与电流表实测电流值进行对比。如果&lt;加湿器电流&gt;项无电流显示，则加湿检测模块损坏或加湿模块针脚虚焊。显示电流值过小或者过大应考虑当地水质等因素。</w:t>
            </w:r>
          </w:p>
          <w:p w14:paraId="0649A14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p>
          <w:p w14:paraId="2B40AFD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参数设置</w:t>
            </w:r>
          </w:p>
          <w:p w14:paraId="1F4876D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每单项试验结束后，按用户要求参数设置温湿度，并开机自动运行。运行期间注意观察压缩机有无异常声音，机身表面正常时比常温稍高，不应整体凝露或者结霜。检查设备送风口有无喷水或整机是否有漏水现象。</w:t>
            </w:r>
          </w:p>
          <w:p w14:paraId="0A5256C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调整膨胀阀</w:t>
            </w:r>
          </w:p>
          <w:p w14:paraId="322D07E4">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热力膨胀阀以蒸发器出口处温度为控制信号。通过感温包，将此信号转换成感温包内蒸气的压力，进而控制膨胀阀的开度。制冷剂量不足调大膨胀阀的开度，低压增大高压降低。膨胀阀开度关小，低压下降高压上升。对于膨胀阀的调整。每调整一次（1/4圈）需要观察5分钟左右，注意高低压表的变化，电流值的波动，以及压缩机壳体的表面温度，等到系统稳定后再作调整。</w:t>
            </w:r>
          </w:p>
          <w:p w14:paraId="32A9EC5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1、精度参数设置</w:t>
            </w:r>
          </w:p>
          <w:p w14:paraId="79EDA49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val="en-US" w:eastAsia="zh-CN"/>
              </w:rPr>
            </w:pPr>
            <w:r>
              <w:rPr>
                <w:rFonts w:hint="eastAsia"/>
                <w:color w:val="auto"/>
                <w:sz w:val="18"/>
                <w:szCs w:val="18"/>
                <w:highlight w:val="none"/>
                <w:lang w:val="en-US" w:eastAsia="zh-CN"/>
              </w:rPr>
              <w:t>对于精度要求较高的实验室，《温湿度设置》项里的参数设定尤为重要。因为没有一个标准值，对各个项目的参数设置就决定了，这台设备的精度是否能达到要求。比如启动点和结束点设置范围太大，就会达不到温湿度要求，设置范围太窄变化太快也会超出范围。每修改一次单项参数，都要留心观察其它项目的设置是否合理。修改后的值，对其它参数项影响有多大，并通过不断修正使其在一个相对平稳的基础上运行。即使运行稳定后的参数，不一定适合所有的实验室使用，但是仍然有参考价值。</w:t>
            </w:r>
          </w:p>
          <w:p w14:paraId="03652283">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p>
          <w:p w14:paraId="5330BBD1">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二、水幕除尘系统设备</w:t>
            </w:r>
          </w:p>
          <w:p w14:paraId="07E60EB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1、维修服务：设备出现较大故障 12 小时内排除、一般性故障 2 小时内排除，不得影响检验 工作。</w:t>
            </w:r>
          </w:p>
          <w:p w14:paraId="240A0E30">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2、开检前进行全面维护保养，检查机组运行状况，记录报警内容并对报警内容进行分析消 除隐患；</w:t>
            </w:r>
          </w:p>
          <w:p w14:paraId="4D882B8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实验室水幕除尘系统内部运行的全项包含：</w:t>
            </w:r>
          </w:p>
          <w:p w14:paraId="389C110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1）水幕除尘系统内部风机、水阀、水泵、湿膜、滤网的检查维护；</w:t>
            </w:r>
          </w:p>
          <w:p w14:paraId="614B17DD">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2）数据传输检查维护；</w:t>
            </w:r>
          </w:p>
          <w:p w14:paraId="59D4A86C">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3）变频器的检查维护；</w:t>
            </w:r>
          </w:p>
          <w:p w14:paraId="7B5D5BB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4）水幕除尘系统上水、排水的检查维护等。</w:t>
            </w:r>
          </w:p>
          <w:p w14:paraId="490004F2">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公证检验高峰期服务人员需每天不低于二次巡查实验室，确保实验室检验正常运行。</w:t>
            </w:r>
          </w:p>
          <w:p w14:paraId="550B9D01">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3、检查滤网气流是否通畅：透光目测，看滤材的干净程度，对棉絮进行清除，如有外观的 上的损坏，进行更换。</w:t>
            </w:r>
          </w:p>
          <w:p w14:paraId="30F170A3">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4、检查风压开关、风机、电机、水泵、水阀、水循环系统、变频器、电气控制系统等内容。</w:t>
            </w:r>
          </w:p>
          <w:p w14:paraId="3EB1E9E2">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5、停检期对HVI 检验间、平衡间水幕除尘的湿膜进行更换。</w:t>
            </w:r>
          </w:p>
          <w:p w14:paraId="4DE5AC8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6、停检期对HVI 检验间、平衡间水幕除尘的水泵进行拆卸检修清理。</w:t>
            </w:r>
          </w:p>
          <w:p w14:paraId="7B828023">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7、开检前对目前在用的水幕除尘机组 PLC 控制系统进行更新优化。</w:t>
            </w:r>
          </w:p>
          <w:p w14:paraId="4C29C430">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b w:val="0"/>
                <w:bCs w:val="0"/>
                <w:color w:val="auto"/>
                <w:sz w:val="18"/>
                <w:szCs w:val="18"/>
                <w:highlight w:val="none"/>
                <w:lang w:val="en-US" w:eastAsia="zh-CN"/>
              </w:rPr>
            </w:pPr>
          </w:p>
          <w:p w14:paraId="123CA8DF">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三、直膨组合式洁净空调维保</w:t>
            </w:r>
          </w:p>
          <w:p w14:paraId="78EF1741">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1、电源电压检修</w:t>
            </w:r>
          </w:p>
          <w:p w14:paraId="5A47675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1.1检查电源电压。</w:t>
            </w:r>
          </w:p>
          <w:p w14:paraId="2A81156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2、初、中、高效过滤器检修</w:t>
            </w:r>
          </w:p>
          <w:p w14:paraId="29BA9F62">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2.1初效过滤网检查通透性，更换清理。</w:t>
            </w:r>
          </w:p>
          <w:p w14:paraId="3C104F53">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3、制冷压缩机检修</w:t>
            </w:r>
          </w:p>
          <w:p w14:paraId="7D2A64C3">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3.1检查压缩机噪音和振动，通过目视耳闻确认跟平时的变化接近于通常压力； </w:t>
            </w:r>
          </w:p>
          <w:p w14:paraId="2272871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3.2检测压力及时注冷媒。</w:t>
            </w:r>
          </w:p>
          <w:p w14:paraId="211723A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4、电加热检修</w:t>
            </w:r>
          </w:p>
          <w:p w14:paraId="47F6A9FD">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4.1调节、更换、清理直至电加热、表冷、其它调节装置等正常运行。</w:t>
            </w:r>
          </w:p>
          <w:p w14:paraId="0C2BDC2B">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5、电极加湿罐检修</w:t>
            </w:r>
          </w:p>
          <w:p w14:paraId="5DECF73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5.1检查加湿罐电极接线: 线鼻固定和氧化程度检修，工作时电线发热量和电流的测量； </w:t>
            </w:r>
          </w:p>
          <w:p w14:paraId="65AAC06F">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5.2检查加湿罐控制电路: 控制信号检修，主电路控制元件检修，报警电路及元件检修； </w:t>
            </w:r>
          </w:p>
          <w:p w14:paraId="23DE841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5.3检查加湿罐上水及排水:过滤器滤芯检修，阀门检修，上水阀，排水阀检修，排水管路通畅的检修。</w:t>
            </w:r>
          </w:p>
          <w:p w14:paraId="618B9960">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6、冷凝器检修</w:t>
            </w:r>
          </w:p>
          <w:p w14:paraId="3A0C421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6.1检查冷却风扇（2*2）、冷却翅片清扫，运转正常及无杂物堵塞。</w:t>
            </w:r>
          </w:p>
          <w:p w14:paraId="4638BEC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7、控制系统检修</w:t>
            </w:r>
          </w:p>
          <w:p w14:paraId="33F53CD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7.1使用棉丝擦清扫风扇电机网罩； </w:t>
            </w:r>
          </w:p>
          <w:p w14:paraId="0B0329FC">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7.2检查RS485通讯监控接口； </w:t>
            </w:r>
          </w:p>
          <w:p w14:paraId="004CD6E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7.3安全保护措施是否齐全； </w:t>
            </w:r>
          </w:p>
          <w:p w14:paraId="3AA51BF4">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7.4检查连接线是否紧固，检查电气是否变色老化。</w:t>
            </w:r>
          </w:p>
          <w:p w14:paraId="1229DA89">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p>
          <w:p w14:paraId="7B9A3F4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四、多联机空调维保</w:t>
            </w:r>
          </w:p>
          <w:p w14:paraId="5782C1ED">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1、多联机室内机维保</w:t>
            </w:r>
          </w:p>
          <w:p w14:paraId="7CB90C20">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1.1滤网检修</w:t>
            </w:r>
          </w:p>
          <w:p w14:paraId="3BF6AEA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清洗滤网，网眼均匀无破损，框架是否变形，接口是否松动。</w:t>
            </w:r>
          </w:p>
          <w:p w14:paraId="58B9A4D3">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1.2风机检修</w:t>
            </w:r>
          </w:p>
          <w:p w14:paraId="0D8A5DB3">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检查电机紧固是否松动，轴承是否卡涩； </w:t>
            </w:r>
          </w:p>
          <w:p w14:paraId="5DD907C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检查扇叶是否有异常振动及松动，运行是否有杂音。</w:t>
            </w:r>
          </w:p>
          <w:p w14:paraId="11AC43C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1.3蒸发器检修</w:t>
            </w:r>
          </w:p>
          <w:p w14:paraId="49797449">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检查翅片是否脏堵并清洗； </w:t>
            </w:r>
          </w:p>
          <w:p w14:paraId="73CA46EC">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冷凝水泵运行是否正常控制主板检修。</w:t>
            </w:r>
          </w:p>
          <w:p w14:paraId="79F1A0E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1.4控制主板检修</w:t>
            </w:r>
          </w:p>
          <w:p w14:paraId="0D525941">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检查接线是否牢固，自检正常； </w:t>
            </w:r>
          </w:p>
          <w:p w14:paraId="12CC508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检查通讯是否正常； </w:t>
            </w:r>
          </w:p>
          <w:p w14:paraId="1C69B99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检查接控接收信号是否良好，检查温度探头位置是否正确，温度是否正常。</w:t>
            </w:r>
          </w:p>
          <w:p w14:paraId="7B2F7284">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p>
          <w:p w14:paraId="4AA83F2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五、高效送风口维保</w:t>
            </w:r>
          </w:p>
          <w:p w14:paraId="6F85FE4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1、高效送风口散流板的清洁</w:t>
            </w:r>
          </w:p>
          <w:p w14:paraId="2E99816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1.1将高效送风口散流板螺钉松掉，拆下散流板，将散流板擦试干净后，装回原位置。</w:t>
            </w:r>
          </w:p>
          <w:p w14:paraId="5F3197E1">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2、定期检查高效送风口</w:t>
            </w:r>
          </w:p>
          <w:p w14:paraId="1B79E5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定期检查高效送风口是否有泄漏、高效过滤器是否有失效、容尘量达到极限等，根据环境的洁净度，更换高效过滤器，按实际环境情况更换。</w:t>
            </w:r>
          </w:p>
          <w:p w14:paraId="1F5772F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p>
          <w:p w14:paraId="004B0D9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六、空压机</w:t>
            </w:r>
          </w:p>
          <w:p w14:paraId="469569B4">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1、巡视内容：</w:t>
            </w:r>
          </w:p>
          <w:p w14:paraId="0A1D4E8C">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检查机组运行状况；</w:t>
            </w:r>
          </w:p>
          <w:p w14:paraId="5FE86B3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检查油位；</w:t>
            </w:r>
          </w:p>
          <w:p w14:paraId="25BFE1AD">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检查显示屏上的读数（排气压力、排气温度、运行时间、加载时间）；</w:t>
            </w:r>
          </w:p>
          <w:p w14:paraId="503BAA3A">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检查空滤保养指示器；</w:t>
            </w:r>
          </w:p>
          <w:p w14:paraId="5604572F">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润滑油</w:t>
            </w:r>
          </w:p>
          <w:p w14:paraId="1A005CAA">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只能使用说明书中标明的螺杆式压缩机专用油。</w:t>
            </w:r>
          </w:p>
          <w:p w14:paraId="709BDD3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2、维修操作工艺项目</w:t>
            </w:r>
          </w:p>
          <w:p w14:paraId="71CF5A92">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检查油位、在机组加载时，油位必须在绿色或橙色区域或油位镜1/3以上；</w:t>
            </w:r>
          </w:p>
          <w:p w14:paraId="51448213">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检查显示屏上的读数（排气压力、排气温度、运行时间、加载时间）；</w:t>
            </w:r>
          </w:p>
          <w:p w14:paraId="0CEC7A42">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检查空滤保养指示器；</w:t>
            </w:r>
          </w:p>
          <w:p w14:paraId="0576752D">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定期清洁冷却器 拆卸空气过滤芯，利用空气喷射进行清洁并检查</w:t>
            </w:r>
          </w:p>
          <w:p w14:paraId="27E788A1">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清洁电机表面</w:t>
            </w:r>
          </w:p>
          <w:p w14:paraId="46E1D74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p>
          <w:p w14:paraId="4188E23F">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七、转轮除湿机</w:t>
            </w:r>
          </w:p>
          <w:p w14:paraId="3E11AF4D">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1、维修服务：1小时内响应并作出应急处理，2 小时内抵达现场，12 小时内解决故障；</w:t>
            </w:r>
          </w:p>
          <w:p w14:paraId="5B6D5FB9">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2、开检前进行全面维护保养，检查机组运行状况，记录报警内容并对报警内容进行分析消除 隐患；</w:t>
            </w:r>
          </w:p>
          <w:p w14:paraId="2B618A0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3、月巡视内容（每个月一次）</w:t>
            </w:r>
          </w:p>
          <w:p w14:paraId="73763B4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检查机组运行状况，记录报警内容并对报警内容进行分析消除隐患； 检查设定参数，控制电路，并根据实际需要调整各项运行参数；</w:t>
            </w:r>
          </w:p>
          <w:p w14:paraId="7E3EB3C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检查除湿转轮运行情况，检查运行压力，检查膨胀阀的工作状态，必要时调整过热度，使设 备处于最佳状态；</w:t>
            </w:r>
          </w:p>
          <w:p w14:paraId="236EA0C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检查湿度/露点控制的工作状态；</w:t>
            </w:r>
          </w:p>
          <w:p w14:paraId="1C4F21B9">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p>
          <w:p w14:paraId="053DA8B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八、UPS 电源部分具体维护内容包括：</w:t>
            </w:r>
          </w:p>
          <w:p w14:paraId="4842C6E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1、每半年进行一次巡检保养，测试 UPS 性能指标（按 UPS 保养性能测试单逐项测试），并 出具书面报告一式二份。</w:t>
            </w:r>
          </w:p>
          <w:p w14:paraId="0D62599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2、设备检修：对 UPS 设备进行一次彻底的检查、测试和维修；</w:t>
            </w:r>
          </w:p>
          <w:p w14:paraId="55AFC95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3、设备保养：每季度进行一次，1 年进行2 次；对设备的运行状态进行检查，确保设备工 作于最佳方式和状态；对故障件和已经损耗件进行更换；对 UPS 的电池组进行一次放电充电的激活。</w:t>
            </w:r>
          </w:p>
          <w:p w14:paraId="7839F87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p>
          <w:p w14:paraId="7E9F755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九、视频监控系统</w:t>
            </w:r>
          </w:p>
          <w:p w14:paraId="2FFB84B0">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1、维修保养范围及维护具体措施：</w:t>
            </w:r>
          </w:p>
          <w:p w14:paraId="2FF4A63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    该监控系统由监控系统软件、监控主机、前端摄像机、摄像机控制解码器四部分组成，传输线路分为视频线路传输、供电系统传输、控制线路传输。 </w:t>
            </w:r>
          </w:p>
          <w:p w14:paraId="25A51DE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1.1更换末端摄像头3台；改变摄像头安装位置8台。</w:t>
            </w:r>
          </w:p>
          <w:p w14:paraId="6AC0FEF8">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1.2根据实验室使用要求，对实验室120台末端摄像头拍摄位置进行优化。</w:t>
            </w:r>
          </w:p>
          <w:p w14:paraId="1AC2EAAC">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定期检测各项技术参数及监控系统传输线路质量，处理故障隐患，协助监控主管设定使用级别等各种数据，确保各部份设备各项功能良好，能够正常运行。  </w:t>
            </w:r>
          </w:p>
          <w:p w14:paraId="1D3C13DD">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1.3对长时间工作的监控设备每月定期维护一次，如硬盘录像机长时间工作会产生较多的热量，一旦其电风扇有故障，会影响排热，以免硬盘录像机工作不正常。</w:t>
            </w:r>
          </w:p>
          <w:p w14:paraId="3AAC5EEC">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p>
          <w:p w14:paraId="2C14A441">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十、实验室广播系统</w:t>
            </w:r>
          </w:p>
          <w:p w14:paraId="75AC387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硬件维护 ： </w:t>
            </w:r>
          </w:p>
          <w:p w14:paraId="34536CA0">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1、更换广播系统功率放大器1台；</w:t>
            </w:r>
          </w:p>
          <w:p w14:paraId="7083F07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2、更换广播系统功喇叭1台；</w:t>
            </w:r>
          </w:p>
          <w:p w14:paraId="4DB27679">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3、更换广播系统功喇叭变压器2台；</w:t>
            </w:r>
          </w:p>
          <w:p w14:paraId="4897CE4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4、对实验室广播系统所有线路与接头进行检查：检查音频线、电源线是否老化，接头是否松动或氧化（如BNC、XLR接口）。  </w:t>
            </w:r>
          </w:p>
          <w:p w14:paraId="49DECFC3">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5、使用软毛刷或吸尘器清理喇叭及功放设备散热孔，避免灰尘堆积导致过热（尤其功放）。</w:t>
            </w:r>
          </w:p>
          <w:p w14:paraId="3803560A">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 xml:space="preserve">  </w:t>
            </w:r>
          </w:p>
          <w:p w14:paraId="6387768B">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十一、响应时间要求</w:t>
            </w:r>
          </w:p>
          <w:p w14:paraId="261684BA">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投标人需提供7×24小时的电话响应售后服务（包括故障处理、上门维护、紧急维护、重要服务、电话维护、主动巡检等），出现一般性故障，接到维修通知后，在半小时内电话响应，在2小时内到达现场，在24小时内完成修复。</w:t>
            </w:r>
          </w:p>
          <w:p w14:paraId="70854E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p>
          <w:p w14:paraId="46F0B2D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bCs/>
                <w:color w:val="auto"/>
                <w:sz w:val="18"/>
                <w:szCs w:val="18"/>
                <w:highlight w:val="none"/>
                <w:lang w:val="en-US" w:eastAsia="zh-CN"/>
              </w:rPr>
            </w:pPr>
            <w:r>
              <w:rPr>
                <w:rFonts w:hint="eastAsia"/>
                <w:b/>
                <w:bCs/>
                <w:color w:val="auto"/>
                <w:sz w:val="18"/>
                <w:szCs w:val="18"/>
                <w:highlight w:val="none"/>
                <w:lang w:val="en-US" w:eastAsia="zh-CN"/>
              </w:rPr>
              <w:t>十二、维保人员要求</w:t>
            </w:r>
            <w:r>
              <w:rPr>
                <w:b/>
                <w:bCs/>
                <w:color w:val="auto"/>
                <w:spacing w:val="-3"/>
                <w:sz w:val="21"/>
                <w:szCs w:val="21"/>
                <w:highlight w:val="none"/>
              </w:rPr>
              <w:t>*</w:t>
            </w:r>
          </w:p>
          <w:p w14:paraId="390D285C">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1、 维保人员资质为机电工程师及以上不少于2人，持有电工证不少于1人。</w:t>
            </w:r>
          </w:p>
          <w:p w14:paraId="5490538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2、提供7×24小时的电话响应售后服务（包括故障处理、上门维护、紧急维护、重要服务、电话维护、主动巡检等），出现一般性故障，接到维修通知后，在半小时内电话响应，在2小时内到达现场，在24小时内完成修复；每次故障维修完毕后，维修人员必须现场填写维修记录并交甲方存档。</w:t>
            </w:r>
          </w:p>
          <w:p w14:paraId="26266D90">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3、对比相关设备的实际功能，分析设备使用的合理性，提出设备合理使用、功能优化的建议。</w:t>
            </w:r>
          </w:p>
          <w:p w14:paraId="41BF60F9">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4、评估维保设备运行过程中可能存在的风险，提出整改建议。</w:t>
            </w:r>
          </w:p>
          <w:p w14:paraId="18ACC07F">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5、在合同期内要确保维保人员的人身安全，维保人员需有商业保险。</w:t>
            </w:r>
          </w:p>
          <w:p w14:paraId="23263AC6">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default"/>
                <w:b w:val="0"/>
                <w:bCs w:val="0"/>
                <w:color w:val="auto"/>
                <w:sz w:val="18"/>
                <w:szCs w:val="18"/>
                <w:highlight w:val="none"/>
                <w:lang w:val="en-US" w:eastAsia="zh-CN"/>
              </w:rPr>
            </w:pPr>
            <w:r>
              <w:rPr>
                <w:rFonts w:hint="eastAsia"/>
                <w:b w:val="0"/>
                <w:bCs w:val="0"/>
                <w:color w:val="auto"/>
                <w:sz w:val="18"/>
                <w:szCs w:val="18"/>
                <w:highlight w:val="none"/>
                <w:lang w:val="en-US" w:eastAsia="zh-CN"/>
              </w:rPr>
              <w:t>6、公证检验期间每天派驻1名持电工操作证、具有维保经验的技术人员，进行日常巡查，确保应急响应，保证实验室检验正常运行，淡季每月联系一次，询问实验室设备情况。</w:t>
            </w:r>
          </w:p>
          <w:tbl>
            <w:tblPr>
              <w:tblStyle w:val="12"/>
              <w:tblW w:w="607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4245"/>
              <w:gridCol w:w="689"/>
              <w:gridCol w:w="525"/>
            </w:tblGrid>
            <w:tr w14:paraId="5344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6DC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序号</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4B9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配件名称</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5F1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09C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1"/>
                      <w:szCs w:val="11"/>
                      <w:highlight w:val="none"/>
                      <w:u w:val="none"/>
                      <w:lang w:val="en-US" w:eastAsia="zh-CN" w:bidi="ar"/>
                    </w:rPr>
                    <w:t>需求</w:t>
                  </w:r>
                  <w:r>
                    <w:rPr>
                      <w:rFonts w:hint="eastAsia" w:ascii="宋体" w:hAnsi="宋体" w:eastAsia="宋体" w:cs="宋体"/>
                      <w:b/>
                      <w:bCs/>
                      <w:i w:val="0"/>
                      <w:iCs w:val="0"/>
                      <w:color w:val="auto"/>
                      <w:kern w:val="0"/>
                      <w:sz w:val="11"/>
                      <w:szCs w:val="11"/>
                      <w:highlight w:val="none"/>
                      <w:u w:val="none"/>
                      <w:lang w:val="en-US" w:eastAsia="zh-CN" w:bidi="ar"/>
                    </w:rPr>
                    <w:br w:type="textWrapping"/>
                  </w:r>
                  <w:r>
                    <w:rPr>
                      <w:rFonts w:hint="eastAsia" w:ascii="宋体" w:hAnsi="宋体" w:eastAsia="宋体" w:cs="宋体"/>
                      <w:b/>
                      <w:bCs/>
                      <w:i w:val="0"/>
                      <w:iCs w:val="0"/>
                      <w:color w:val="auto"/>
                      <w:kern w:val="0"/>
                      <w:sz w:val="11"/>
                      <w:szCs w:val="11"/>
                      <w:highlight w:val="none"/>
                      <w:u w:val="none"/>
                      <w:lang w:val="en-US" w:eastAsia="zh-CN" w:bidi="ar"/>
                    </w:rPr>
                    <w:t>数量</w:t>
                  </w:r>
                </w:p>
              </w:tc>
            </w:tr>
            <w:tr w14:paraId="4081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276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34E8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加湿桶</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553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A29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7F06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9F1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F3C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干燥过滤器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868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514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1866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64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CB7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回风过滤网</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D65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82EFD">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p>
              </w:tc>
            </w:tr>
            <w:tr w14:paraId="58CB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16D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2E1E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上水阀</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58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80CA7">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p>
              </w:tc>
            </w:tr>
            <w:tr w14:paraId="5F71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3D9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5080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排水阀</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17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078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5561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ADA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BFE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接触器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621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C6DD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56B2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D8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3D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断路器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1B5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9E5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38B5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475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2BA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变频器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5513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C61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1981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BBC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B1A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高压开关</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39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727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4D49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43B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7D24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低压开关</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7FF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240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47AC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27B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CAE2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约顿牌恒温恒室机室外机组 MO120、MO125 制冷剂</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9BFC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KG</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28F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0B98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C885">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cs="宋体"/>
                      <w:i w:val="0"/>
                      <w:iCs w:val="0"/>
                      <w:color w:val="auto"/>
                      <w:kern w:val="0"/>
                      <w:sz w:val="16"/>
                      <w:szCs w:val="16"/>
                      <w:highlight w:val="none"/>
                      <w:u w:val="none"/>
                      <w:lang w:val="en-US" w:eastAsia="zh-CN" w:bidi="ar"/>
                    </w:rPr>
                    <w:t>12</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E5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约顿牌恒温恒室机室外机组 MO120、MO125 压缩机</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7C22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BAD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2EA5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1A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3</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9AF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JOV26 固态继电器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5F5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85F3E">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p>
              </w:tc>
            </w:tr>
            <w:tr w14:paraId="7FB5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0F7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4</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28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JOV26 干燥过滤器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4C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EF1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4BC3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6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6F8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JOV26 回风过滤网</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EB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CA1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7993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BD7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6</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DDC0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约顿牌恒温恒室机室外机组 MO47、MO57 风扇</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3DFA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8543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r>
            <w:tr w14:paraId="7B1A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BB2">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17</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344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JOV70约顿牌恒温恒室机室内机主板</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57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EF0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CC6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D1B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85C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 台约顿牌恒温恒室机室内机 组 JOV70 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9544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120A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A98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EC3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5F4E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台约顿牌新风处理机组 JC10 的的巡检维护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78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F961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C51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CCC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20</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E7A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台约顿牌恒温恒室机室外机组 MO42 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958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79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700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F9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82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台约顿牌新风处理机组 JC7 的 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512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5A2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F74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23A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025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台约顿牌恒温恒室机室外机组 MO30 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7D9D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673E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162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B9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23</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2CF9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台约顿牌应急除尘风柜的巡检维护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767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4C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DB3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A5A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24</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D7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台约顿牌水幕除尘机组的巡检维护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9C0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30D1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1B0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C2E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E4A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水幕除尘机组风压传感器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A16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BB32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717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77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26</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5E5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套约顿牌末端电加热系统的巡检维护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644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D40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4D8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BD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27</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D4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 台约顿牌 SCR 末端辅助电加热器的巡检维护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E22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541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684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9E3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E555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 SCR 末端辅助电加热器控制主板</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6914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9E6E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FC5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62B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AB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外挂电梯口冷风处理设备</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D27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C7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3CF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D6E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30</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28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 台约顿牌温湿度记录仪的巡检维护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AEC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CC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95B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DCD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459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视频转换模块的巡检维护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76DC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86A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6D1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79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FE16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液晶显示屏的巡检维护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989E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58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250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6C0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33</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12B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一级过滤器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A58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017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88A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760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60BA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不锈钢过滤网</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E626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123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641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D16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8514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尼龙网过滤网</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FD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59B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269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3A7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36</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3607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二级不锈钢过滤器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86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686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0DB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05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37</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592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软化水系统增压水泵</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1FB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66E8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45D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2A8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38</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D5E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软化水系统的增压水泵维护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4487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E9B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C5B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1AD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39</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8EE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通风风道清洁设备</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BB3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CB2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888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EE0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40</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832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软化水系统的树脂</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0E4A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E8FC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934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5E4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41</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88A3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软化水系统的工业盐</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51D2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79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A71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522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42</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4EB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阿特拉斯牌空气压缩机的空气 滤芯</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506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930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4F16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B85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04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阿特拉斯牌空气压缩机的机油 滤芯</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DDF2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3D8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131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0C1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24D9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阿特拉斯牌空气压缩机的油气 分离器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8C3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BEB5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2A7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7B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CDD3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阿特拉斯牌空气压缩机的机油</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7D5F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87D6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6DA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E3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46</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E93F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自动排水装置维护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08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BB3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FD3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0CE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47</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3C6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山立牌空气干燥机的日常维护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F93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EE4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902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5DE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48</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037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干燥剂</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927E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705F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024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61B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49</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7D2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科士达 UPS 主机的日常巡检</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0FD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3971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C63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6FC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50</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E9F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松下牌电池的测定</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021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节</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3B1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374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48D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51</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FC8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蒙特牌转轮除湿机的日常维护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DE3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9EE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667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C3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52</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F03A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实验室广播系统维护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C2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296F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9A0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F8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53</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42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实验室监控系统维护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DE6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01A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A21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A0D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54</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BE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天加牌恒温恒湿空调内外机组 检修保养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552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ADB6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4CF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AC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E55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天加牌恒温恒湿空调皮带耗材</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EB5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C5A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220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8B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52E9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天加牌恒温恒湿空调初效耗材</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E83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39D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67A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AFE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57</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7C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天加牌恒温恒湿空调中效耗材</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91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C316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B7F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00F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58</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9A4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天加牌恒温恒湿空调高效耗材</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800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F78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FF9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B1D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59</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06A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 25kg加湿桶</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D92D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96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2DF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D10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60</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50AE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 15kg加湿桶</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2E1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BE44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0FA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1C2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61</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E6E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天加牌恒温恒湿空调排水系统 改造解决漏水问题</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803E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F24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909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1DCD">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5FB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天加牌恒温恒湿空调主机控制 板</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F5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块</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61C0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C35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478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63</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2CF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阿特拉斯空气压缩系统空气滤 芯保养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23A8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06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579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17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64</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5C5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阿特拉斯空气压缩系统机油滤 芯保养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A37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00F9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D38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559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3BD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阿特拉斯空气压缩系统油气分 离器保养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E2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633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193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2F58">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66</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959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阿特拉斯牌空气压缩机的机油</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AA4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3B2D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C79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53A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67</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A718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阿特拉斯空气压缩系统正常保 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53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EEDA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964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940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68</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6C6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空气干燥剂</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628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C2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CF5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C20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69</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927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冷干机保养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C4D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B49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A31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30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70</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C3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大多联内外机保养清洗</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A9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 统</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D5B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FC1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631F">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71</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36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风柜内外机清洗保养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54C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 统</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03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213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281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72</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390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风柜初效滤网更换</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776F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C0B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1F3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A2BB">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73</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B4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中效袋式空气过滤器</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DF8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FD6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931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205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74</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7C3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高过滤器更换</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E569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C44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070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027E">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80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新风机</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0F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E41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B2D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AA8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76</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C4B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中央空调室内机</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9DA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9E54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B24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9FD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77</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FE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排风机</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1F2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ECA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B1E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033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78</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B7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空调系统保养维护</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728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 统</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FE3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50AE5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656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79</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C10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机组内加湿器维护保养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D2C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7AE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99F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F59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80</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91F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机组内电加热器维护保养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6BFF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1172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9C86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A043">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81</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EF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机组内臭氧发生器维护保养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38F5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EAAB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011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ED6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82</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1E6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内外机保养清洗</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02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C17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FAC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6D0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83</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E01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水过滤器清洗</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A23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7D2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625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2895">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84</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065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滤网更换</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4F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B8F0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B97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0120">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85</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403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加湿罐清洗/ 更换</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0BD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0E0B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EF4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9536">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86</w:t>
                  </w:r>
                </w:p>
              </w:tc>
              <w:tc>
                <w:tcPr>
                  <w:tcW w:w="4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0FD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过滤器更换</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F4B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9C0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870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9769">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87</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DA1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加湿器维护保养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9A5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8EE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0241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49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88</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F86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电加热器维护保养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8A2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96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3E66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2971">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89</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42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臭氧发生器维护保养</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4D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F4B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1372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0AD2">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cs="宋体"/>
                      <w:i w:val="0"/>
                      <w:iCs w:val="0"/>
                      <w:color w:val="auto"/>
                      <w:kern w:val="0"/>
                      <w:sz w:val="16"/>
                      <w:szCs w:val="16"/>
                      <w:highlight w:val="none"/>
                      <w:u w:val="none"/>
                      <w:lang w:val="en-US" w:eastAsia="zh-CN" w:bidi="ar"/>
                    </w:rPr>
                    <w:t>90</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90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多联机室外机</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02F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F79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7D541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21A2">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cs="宋体"/>
                      <w:i w:val="0"/>
                      <w:iCs w:val="0"/>
                      <w:color w:val="auto"/>
                      <w:kern w:val="0"/>
                      <w:sz w:val="16"/>
                      <w:szCs w:val="16"/>
                      <w:highlight w:val="none"/>
                      <w:u w:val="none"/>
                      <w:lang w:val="en-US" w:eastAsia="zh-CN" w:bidi="ar"/>
                    </w:rPr>
                    <w:t>91</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FD3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多联机室内机</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9D4E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7916">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r>
            <w:tr w14:paraId="3AA4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E590">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cs="宋体"/>
                      <w:i w:val="0"/>
                      <w:iCs w:val="0"/>
                      <w:color w:val="auto"/>
                      <w:kern w:val="0"/>
                      <w:sz w:val="16"/>
                      <w:szCs w:val="16"/>
                      <w:highlight w:val="none"/>
                      <w:u w:val="none"/>
                      <w:lang w:val="en-US" w:eastAsia="zh-CN" w:bidi="ar"/>
                    </w:rPr>
                    <w:t>92</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D1C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材料费</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CA5F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2CA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45EE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E359">
                  <w:pPr>
                    <w:keepNext w:val="0"/>
                    <w:keepLines w:val="0"/>
                    <w:widowControl/>
                    <w:suppressLineNumbers w:val="0"/>
                    <w:jc w:val="center"/>
                    <w:textAlignment w:val="center"/>
                    <w:rPr>
                      <w:rFonts w:hint="default" w:ascii="宋体" w:hAnsi="宋体" w:eastAsia="宋体" w:cs="宋体"/>
                      <w:i w:val="0"/>
                      <w:iCs w:val="0"/>
                      <w:color w:val="auto"/>
                      <w:sz w:val="16"/>
                      <w:szCs w:val="16"/>
                      <w:highlight w:val="none"/>
                      <w:u w:val="none"/>
                      <w:lang w:val="en-US"/>
                    </w:rPr>
                  </w:pPr>
                  <w:r>
                    <w:rPr>
                      <w:rFonts w:hint="eastAsia" w:ascii="宋体" w:hAnsi="宋体" w:cs="宋体"/>
                      <w:i w:val="0"/>
                      <w:iCs w:val="0"/>
                      <w:color w:val="auto"/>
                      <w:kern w:val="0"/>
                      <w:sz w:val="16"/>
                      <w:szCs w:val="16"/>
                      <w:highlight w:val="none"/>
                      <w:u w:val="none"/>
                      <w:lang w:val="en-US" w:eastAsia="zh-CN" w:bidi="ar"/>
                    </w:rPr>
                    <w:t>93</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CD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温湿度记录仪</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DA0B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BF5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6B41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AC66">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94</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FCB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安装费</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C1E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2D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r w14:paraId="26AB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33E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148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FC4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E52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r>
          </w:tbl>
          <w:p w14:paraId="0D941A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auto"/>
                <w:sz w:val="21"/>
                <w:szCs w:val="21"/>
                <w:highlight w:val="none"/>
                <w:lang w:val="en-US" w:eastAsia="zh-CN"/>
              </w:rPr>
            </w:pPr>
          </w:p>
        </w:tc>
        <w:tc>
          <w:tcPr>
            <w:tcW w:w="427" w:type="dxa"/>
            <w:vAlign w:val="center"/>
          </w:tcPr>
          <w:p w14:paraId="7F50BB4C">
            <w:pPr>
              <w:rPr>
                <w:rFonts w:hint="default" w:eastAsia="宋体"/>
                <w:color w:val="auto"/>
                <w:szCs w:val="21"/>
                <w:highlight w:val="none"/>
                <w:lang w:val="en-US" w:eastAsia="zh-CN"/>
              </w:rPr>
            </w:pPr>
            <w:r>
              <w:rPr>
                <w:rFonts w:hint="eastAsia"/>
                <w:color w:val="auto"/>
                <w:szCs w:val="21"/>
                <w:highlight w:val="none"/>
                <w:lang w:val="en-US" w:eastAsia="zh-CN"/>
              </w:rPr>
              <w:t>1</w:t>
            </w:r>
          </w:p>
        </w:tc>
        <w:tc>
          <w:tcPr>
            <w:tcW w:w="689" w:type="dxa"/>
            <w:vAlign w:val="center"/>
          </w:tcPr>
          <w:p w14:paraId="635488D3">
            <w:pPr>
              <w:rPr>
                <w:rFonts w:hint="default" w:eastAsia="宋体"/>
                <w:color w:val="auto"/>
                <w:szCs w:val="21"/>
                <w:highlight w:val="none"/>
                <w:lang w:val="en-US" w:eastAsia="zh-CN"/>
              </w:rPr>
            </w:pPr>
          </w:p>
        </w:tc>
        <w:tc>
          <w:tcPr>
            <w:tcW w:w="689" w:type="dxa"/>
            <w:vAlign w:val="center"/>
          </w:tcPr>
          <w:p w14:paraId="1B5C2E4E">
            <w:pPr>
              <w:rPr>
                <w:rFonts w:hint="default" w:eastAsia="宋体"/>
                <w:color w:val="auto"/>
                <w:szCs w:val="21"/>
                <w:highlight w:val="none"/>
                <w:lang w:val="en-US" w:eastAsia="zh-CN"/>
              </w:rPr>
            </w:pPr>
          </w:p>
        </w:tc>
      </w:tr>
      <w:tr w14:paraId="3EC9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27" w:type="dxa"/>
            <w:vAlign w:val="center"/>
          </w:tcPr>
          <w:p w14:paraId="1BACD37F">
            <w:pPr>
              <w:rPr>
                <w:color w:val="auto"/>
                <w:szCs w:val="21"/>
                <w:highlight w:val="none"/>
              </w:rPr>
            </w:pPr>
          </w:p>
        </w:tc>
        <w:tc>
          <w:tcPr>
            <w:tcW w:w="7145" w:type="dxa"/>
            <w:gridSpan w:val="3"/>
            <w:vAlign w:val="center"/>
          </w:tcPr>
          <w:p w14:paraId="06382A0F">
            <w:pPr>
              <w:spacing w:line="480" w:lineRule="exact"/>
              <w:ind w:firstLine="422"/>
              <w:jc w:val="center"/>
              <w:rPr>
                <w:color w:val="auto"/>
                <w:szCs w:val="21"/>
                <w:highlight w:val="none"/>
              </w:rPr>
            </w:pPr>
            <w:r>
              <w:rPr>
                <w:rFonts w:hint="eastAsia"/>
                <w:b/>
                <w:bCs/>
                <w:color w:val="auto"/>
                <w:szCs w:val="21"/>
                <w:highlight w:val="none"/>
              </w:rPr>
              <w:t>合           计</w:t>
            </w:r>
          </w:p>
        </w:tc>
        <w:tc>
          <w:tcPr>
            <w:tcW w:w="427" w:type="dxa"/>
            <w:vAlign w:val="center"/>
          </w:tcPr>
          <w:p w14:paraId="1A049962">
            <w:pPr>
              <w:rPr>
                <w:rFonts w:hint="eastAsia" w:eastAsia="宋体"/>
                <w:color w:val="auto"/>
                <w:szCs w:val="21"/>
                <w:highlight w:val="none"/>
                <w:lang w:val="en-US" w:eastAsia="zh-CN"/>
              </w:rPr>
            </w:pPr>
            <w:r>
              <w:rPr>
                <w:rFonts w:hint="eastAsia"/>
                <w:color w:val="auto"/>
                <w:szCs w:val="21"/>
                <w:highlight w:val="none"/>
                <w:lang w:val="en-US" w:eastAsia="zh-CN"/>
              </w:rPr>
              <w:t>1</w:t>
            </w:r>
          </w:p>
        </w:tc>
        <w:tc>
          <w:tcPr>
            <w:tcW w:w="689" w:type="dxa"/>
            <w:vAlign w:val="center"/>
          </w:tcPr>
          <w:p w14:paraId="1AE4C278">
            <w:pPr>
              <w:jc w:val="center"/>
              <w:rPr>
                <w:rFonts w:hint="default" w:eastAsia="宋体"/>
                <w:color w:val="auto"/>
                <w:szCs w:val="21"/>
                <w:highlight w:val="none"/>
                <w:lang w:val="en-US" w:eastAsia="zh-CN"/>
              </w:rPr>
            </w:pPr>
          </w:p>
        </w:tc>
        <w:tc>
          <w:tcPr>
            <w:tcW w:w="689" w:type="dxa"/>
            <w:vAlign w:val="center"/>
          </w:tcPr>
          <w:p w14:paraId="5AF0EC00">
            <w:pPr>
              <w:jc w:val="center"/>
              <w:rPr>
                <w:rFonts w:hint="default" w:eastAsia="宋体"/>
                <w:color w:val="auto"/>
                <w:szCs w:val="21"/>
                <w:highlight w:val="none"/>
                <w:lang w:val="en-US" w:eastAsia="zh-CN"/>
              </w:rPr>
            </w:pPr>
          </w:p>
        </w:tc>
      </w:tr>
    </w:tbl>
    <w:p w14:paraId="6484E1D6">
      <w:pPr>
        <w:pStyle w:val="4"/>
        <w:numPr>
          <w:ilvl w:val="0"/>
          <w:numId w:val="0"/>
        </w:numPr>
        <w:spacing w:before="129" w:line="187" w:lineRule="auto"/>
        <w:outlineLvl w:val="0"/>
        <w:rPr>
          <w:rFonts w:hint="eastAsia"/>
          <w:b/>
          <w:bCs/>
          <w:color w:val="auto"/>
          <w:highlight w:val="none"/>
        </w:rPr>
      </w:pPr>
    </w:p>
    <w:p w14:paraId="5C2C5539">
      <w:pPr>
        <w:pStyle w:val="4"/>
        <w:numPr>
          <w:ilvl w:val="0"/>
          <w:numId w:val="0"/>
        </w:numPr>
        <w:spacing w:before="129" w:line="187" w:lineRule="auto"/>
        <w:ind w:firstLine="480" w:firstLineChars="200"/>
        <w:outlineLvl w:val="0"/>
        <w:rPr>
          <w:rFonts w:hint="eastAsia"/>
          <w:b w:val="0"/>
          <w:bCs w:val="0"/>
          <w:color w:val="auto"/>
          <w:sz w:val="24"/>
          <w:szCs w:val="24"/>
          <w:highlight w:val="none"/>
        </w:rPr>
      </w:pPr>
      <w:r>
        <w:rPr>
          <w:rFonts w:hint="eastAsia"/>
          <w:b w:val="0"/>
          <w:bCs w:val="0"/>
          <w:color w:val="auto"/>
          <w:sz w:val="24"/>
          <w:szCs w:val="24"/>
          <w:highlight w:val="none"/>
        </w:rPr>
        <w:t>所投产品参数不得低于上述要求。为保证投标人提供的产品技术参数真实性，投标人需提供投标产品图册、说明书性能参数页复印件，复印件必须与验货时的说明书完全相符；及所投产品的技术白皮书和完整检测报告等第三方部门出具的能够反应参数真实性的文件（加盖生产企业公章原件），并在其中标注出技术参数符合条款。上述资料均无法证实其真实性的，以评标委员会集体认定意见为准。</w:t>
      </w:r>
    </w:p>
    <w:p w14:paraId="60997D6E">
      <w:pPr>
        <w:pStyle w:val="4"/>
        <w:numPr>
          <w:ilvl w:val="0"/>
          <w:numId w:val="0"/>
        </w:numPr>
        <w:spacing w:before="129" w:line="187" w:lineRule="auto"/>
        <w:ind w:firstLine="480" w:firstLineChars="200"/>
        <w:outlineLvl w:val="0"/>
        <w:rPr>
          <w:rFonts w:hint="eastAsia"/>
          <w:b w:val="0"/>
          <w:bCs w:val="0"/>
          <w:color w:val="auto"/>
          <w:sz w:val="24"/>
          <w:szCs w:val="24"/>
          <w:highlight w:val="none"/>
        </w:rPr>
      </w:pPr>
      <w:r>
        <w:rPr>
          <w:rFonts w:hint="eastAsia"/>
          <w:b w:val="0"/>
          <w:bCs w:val="0"/>
          <w:color w:val="auto"/>
          <w:sz w:val="24"/>
          <w:szCs w:val="24"/>
          <w:highlight w:val="none"/>
        </w:rPr>
        <w:t>如果投标人按照合同提供的主要货物不是投标人自己制造的，投标人应提供制造厂家的项目授权原件，或者提供合法获得该货物及售后服务支持的有效证明原件。</w:t>
      </w:r>
    </w:p>
    <w:p w14:paraId="52F8FD17">
      <w:pPr>
        <w:spacing w:line="387" w:lineRule="auto"/>
        <w:rPr>
          <w:rFonts w:ascii="Arial"/>
          <w:color w:val="auto"/>
          <w:sz w:val="21"/>
          <w:highlight w:val="none"/>
        </w:rPr>
      </w:pPr>
    </w:p>
    <w:p w14:paraId="121D55D0">
      <w:pPr>
        <w:pStyle w:val="4"/>
        <w:spacing w:before="90" w:line="188" w:lineRule="auto"/>
        <w:ind w:left="2"/>
        <w:rPr>
          <w:rFonts w:hint="eastAsia" w:eastAsia="微软雅黑"/>
          <w:color w:val="auto"/>
          <w:sz w:val="21"/>
          <w:szCs w:val="21"/>
          <w:highlight w:val="none"/>
          <w:lang w:eastAsia="zh-CN"/>
        </w:rPr>
      </w:pPr>
      <w:r>
        <w:rPr>
          <w:b/>
          <w:bCs/>
          <w:color w:val="auto"/>
          <w:spacing w:val="-3"/>
          <w:sz w:val="21"/>
          <w:szCs w:val="21"/>
          <w:highlight w:val="none"/>
        </w:rPr>
        <w:t>注：1、技术参数中标注“*”为本次采购货物的核心参数；</w:t>
      </w:r>
      <w:r>
        <w:rPr>
          <w:b/>
          <w:bCs/>
          <w:color w:val="auto"/>
          <w:spacing w:val="-1"/>
          <w:sz w:val="21"/>
          <w:szCs w:val="21"/>
          <w:highlight w:val="none"/>
        </w:rPr>
        <w:t>核心参数不得负偏离，存在负偏离视为无效</w:t>
      </w:r>
      <w:r>
        <w:rPr>
          <w:rFonts w:hint="eastAsia"/>
          <w:b/>
          <w:bCs/>
          <w:color w:val="auto"/>
          <w:spacing w:val="-1"/>
          <w:sz w:val="21"/>
          <w:szCs w:val="21"/>
          <w:highlight w:val="none"/>
          <w:lang w:eastAsia="zh-CN"/>
        </w:rPr>
        <w:t>。</w:t>
      </w:r>
    </w:p>
    <w:p w14:paraId="7CAB8815">
      <w:pPr>
        <w:pStyle w:val="4"/>
        <w:numPr>
          <w:numId w:val="0"/>
        </w:numPr>
        <w:spacing w:before="74" w:line="188" w:lineRule="auto"/>
        <w:ind w:leftChars="0"/>
        <w:rPr>
          <w:b/>
          <w:bCs/>
          <w:color w:val="auto"/>
          <w:spacing w:val="-2"/>
          <w:sz w:val="21"/>
          <w:szCs w:val="21"/>
          <w:highlight w:val="none"/>
        </w:rPr>
      </w:pPr>
      <w:r>
        <w:rPr>
          <w:rFonts w:hint="eastAsia"/>
          <w:b/>
          <w:bCs/>
          <w:color w:val="auto"/>
          <w:spacing w:val="-1"/>
          <w:sz w:val="21"/>
          <w:szCs w:val="21"/>
          <w:highlight w:val="none"/>
          <w:lang w:val="en-US" w:eastAsia="zh-CN"/>
        </w:rPr>
        <w:t>2、</w:t>
      </w:r>
      <w:r>
        <w:rPr>
          <w:b/>
          <w:bCs/>
          <w:color w:val="auto"/>
          <w:spacing w:val="-1"/>
          <w:sz w:val="21"/>
          <w:szCs w:val="21"/>
          <w:highlight w:val="none"/>
        </w:rPr>
        <w:t>采购清单中的设备及货物报价均需包含人工、供货、运输</w:t>
      </w:r>
      <w:r>
        <w:rPr>
          <w:b/>
          <w:bCs/>
          <w:color w:val="auto"/>
          <w:spacing w:val="-2"/>
          <w:sz w:val="21"/>
          <w:szCs w:val="21"/>
          <w:highlight w:val="none"/>
        </w:rPr>
        <w:t>费、装卸费、售后服务费、验收费用、安装调试费、运费及税金等相关伴随服务以及售后服务等一切费用。</w:t>
      </w:r>
    </w:p>
    <w:p w14:paraId="61616ED7">
      <w:pPr>
        <w:spacing w:line="236" w:lineRule="auto"/>
        <w:rPr>
          <w:color w:val="auto"/>
          <w:sz w:val="21"/>
          <w:szCs w:val="21"/>
          <w:highlight w:val="none"/>
        </w:rPr>
        <w:sectPr>
          <w:footerReference r:id="rId13" w:type="default"/>
          <w:pgSz w:w="11905" w:h="16839"/>
          <w:pgMar w:top="1440" w:right="1800" w:bottom="1440" w:left="1800" w:header="0" w:footer="1090" w:gutter="0"/>
          <w:pgNumType w:fmt="numberInDash"/>
          <w:cols w:space="720" w:num="1"/>
        </w:sectPr>
      </w:pPr>
    </w:p>
    <w:p w14:paraId="0EFBC284">
      <w:pPr>
        <w:spacing w:line="317" w:lineRule="auto"/>
        <w:rPr>
          <w:rFonts w:ascii="Arial"/>
          <w:color w:val="auto"/>
          <w:sz w:val="21"/>
          <w:highlight w:val="none"/>
        </w:rPr>
      </w:pPr>
    </w:p>
    <w:p w14:paraId="573CF5A3">
      <w:pPr>
        <w:spacing w:line="318" w:lineRule="auto"/>
        <w:rPr>
          <w:rFonts w:ascii="Arial"/>
          <w:color w:val="auto"/>
          <w:sz w:val="21"/>
          <w:highlight w:val="none"/>
        </w:rPr>
      </w:pPr>
    </w:p>
    <w:p w14:paraId="10A67ABF">
      <w:pPr>
        <w:spacing w:line="318" w:lineRule="auto"/>
        <w:rPr>
          <w:rFonts w:ascii="Arial"/>
          <w:color w:val="auto"/>
          <w:sz w:val="21"/>
          <w:highlight w:val="none"/>
        </w:rPr>
      </w:pPr>
    </w:p>
    <w:p w14:paraId="7F6E5399">
      <w:pPr>
        <w:pStyle w:val="4"/>
        <w:spacing w:before="128" w:line="188" w:lineRule="auto"/>
        <w:ind w:left="2999"/>
        <w:outlineLvl w:val="0"/>
        <w:rPr>
          <w:color w:val="auto"/>
          <w:sz w:val="30"/>
          <w:szCs w:val="30"/>
          <w:highlight w:val="none"/>
        </w:rPr>
      </w:pPr>
      <w:bookmarkStart w:id="13" w:name="bookmark7"/>
      <w:bookmarkEnd w:id="13"/>
      <w:r>
        <w:rPr>
          <w:b/>
          <w:bCs/>
          <w:color w:val="auto"/>
          <w:spacing w:val="-8"/>
          <w:sz w:val="30"/>
          <w:szCs w:val="30"/>
          <w:highlight w:val="none"/>
        </w:rPr>
        <w:t>第五章</w:t>
      </w:r>
      <w:r>
        <w:rPr>
          <w:b/>
          <w:bCs/>
          <w:color w:val="auto"/>
          <w:spacing w:val="20"/>
          <w:sz w:val="30"/>
          <w:szCs w:val="30"/>
          <w:highlight w:val="none"/>
        </w:rPr>
        <w:t xml:space="preserve">   </w:t>
      </w:r>
      <w:r>
        <w:rPr>
          <w:b/>
          <w:bCs/>
          <w:color w:val="auto"/>
          <w:spacing w:val="-8"/>
          <w:sz w:val="30"/>
          <w:szCs w:val="30"/>
          <w:highlight w:val="none"/>
        </w:rPr>
        <w:t>合同格式</w:t>
      </w:r>
    </w:p>
    <w:p w14:paraId="2A0894C3">
      <w:pPr>
        <w:spacing w:before="170" w:line="221" w:lineRule="auto"/>
        <w:ind w:left="1157"/>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(此合同样本仅供参考,合同具体细则以成交双方协定为准)</w:t>
      </w:r>
    </w:p>
    <w:p w14:paraId="77091A03">
      <w:pPr>
        <w:spacing w:line="221" w:lineRule="auto"/>
        <w:rPr>
          <w:rFonts w:ascii="新宋体" w:hAnsi="新宋体" w:eastAsia="新宋体" w:cs="新宋体"/>
          <w:color w:val="auto"/>
          <w:sz w:val="24"/>
          <w:szCs w:val="24"/>
          <w:highlight w:val="none"/>
        </w:rPr>
        <w:sectPr>
          <w:footerReference r:id="rId14" w:type="default"/>
          <w:pgSz w:w="11905" w:h="16839"/>
          <w:pgMar w:top="1440" w:right="1800" w:bottom="1440" w:left="1800" w:header="0" w:footer="1090" w:gutter="0"/>
          <w:pgNumType w:fmt="numberInDash"/>
          <w:cols w:space="720" w:num="1"/>
        </w:sectPr>
      </w:pPr>
    </w:p>
    <w:p w14:paraId="4FD30C33">
      <w:pPr>
        <w:spacing w:line="319" w:lineRule="auto"/>
        <w:rPr>
          <w:rFonts w:ascii="Arial"/>
          <w:color w:val="auto"/>
          <w:sz w:val="21"/>
          <w:highlight w:val="none"/>
        </w:rPr>
      </w:pPr>
    </w:p>
    <w:p w14:paraId="2F64A5B5">
      <w:pPr>
        <w:spacing w:line="319" w:lineRule="auto"/>
        <w:rPr>
          <w:rFonts w:ascii="Arial"/>
          <w:color w:val="auto"/>
          <w:sz w:val="21"/>
          <w:highlight w:val="none"/>
        </w:rPr>
      </w:pPr>
    </w:p>
    <w:p w14:paraId="256B2CB5">
      <w:pPr>
        <w:spacing w:line="319" w:lineRule="auto"/>
        <w:rPr>
          <w:rFonts w:ascii="Arial"/>
          <w:color w:val="auto"/>
          <w:sz w:val="21"/>
          <w:highlight w:val="none"/>
        </w:rPr>
      </w:pPr>
    </w:p>
    <w:p w14:paraId="757E77EF">
      <w:pPr>
        <w:pStyle w:val="4"/>
        <w:spacing w:before="120" w:line="184" w:lineRule="auto"/>
        <w:ind w:left="2307"/>
        <w:rPr>
          <w:b/>
          <w:bCs/>
          <w:color w:val="auto"/>
          <w:spacing w:val="-5"/>
          <w:sz w:val="28"/>
          <w:szCs w:val="28"/>
          <w:highlight w:val="none"/>
        </w:rPr>
      </w:pPr>
    </w:p>
    <w:p w14:paraId="0076FFD1">
      <w:pPr>
        <w:pStyle w:val="4"/>
        <w:spacing w:before="120" w:line="184" w:lineRule="auto"/>
        <w:ind w:left="2307"/>
        <w:rPr>
          <w:color w:val="auto"/>
          <w:sz w:val="28"/>
          <w:szCs w:val="28"/>
          <w:highlight w:val="none"/>
        </w:rPr>
      </w:pPr>
      <w:r>
        <w:rPr>
          <w:b/>
          <w:bCs/>
          <w:color w:val="auto"/>
          <w:spacing w:val="-5"/>
          <w:sz w:val="28"/>
          <w:szCs w:val="28"/>
          <w:highlight w:val="none"/>
        </w:rPr>
        <w:t>第一部分  合同协议书（参考格式）</w:t>
      </w:r>
    </w:p>
    <w:p w14:paraId="7FE158F1">
      <w:pPr>
        <w:spacing w:line="291" w:lineRule="auto"/>
        <w:rPr>
          <w:rFonts w:ascii="Arial"/>
          <w:color w:val="auto"/>
          <w:sz w:val="21"/>
          <w:highlight w:val="none"/>
        </w:rPr>
      </w:pPr>
    </w:p>
    <w:p w14:paraId="0DD28ACE">
      <w:pPr>
        <w:spacing w:line="291" w:lineRule="auto"/>
        <w:rPr>
          <w:rFonts w:ascii="Arial"/>
          <w:color w:val="auto"/>
          <w:sz w:val="21"/>
          <w:highlight w:val="none"/>
        </w:rPr>
      </w:pPr>
    </w:p>
    <w:p w14:paraId="42438162">
      <w:pPr>
        <w:spacing w:line="291" w:lineRule="auto"/>
        <w:rPr>
          <w:rFonts w:ascii="Arial"/>
          <w:color w:val="auto"/>
          <w:sz w:val="21"/>
          <w:highlight w:val="none"/>
        </w:rPr>
      </w:pPr>
    </w:p>
    <w:p w14:paraId="47DF53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4DD184C1">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4"/>
          <w:szCs w:val="24"/>
          <w:highlight w:val="none"/>
          <w:u w:val="single" w:color="auto"/>
        </w:rPr>
      </w:pPr>
      <w:r>
        <w:rPr>
          <w:rFonts w:ascii="新宋体" w:hAnsi="新宋体" w:eastAsia="新宋体" w:cs="新宋体"/>
          <w:color w:val="auto"/>
          <w:spacing w:val="-4"/>
          <w:sz w:val="24"/>
          <w:szCs w:val="24"/>
          <w:highlight w:val="none"/>
        </w:rPr>
        <w:t>项目名称：</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p>
    <w:p w14:paraId="19C13F4B">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合同编号：</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p>
    <w:p w14:paraId="47F82209">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甲方：</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p>
    <w:p w14:paraId="385C3D4D">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pacing w:val="-91"/>
          <w:sz w:val="24"/>
          <w:szCs w:val="24"/>
          <w:highlight w:val="none"/>
        </w:rPr>
      </w:pPr>
      <w:r>
        <w:rPr>
          <w:rFonts w:ascii="新宋体" w:hAnsi="新宋体" w:eastAsia="新宋体" w:cs="新宋体"/>
          <w:color w:val="auto"/>
          <w:spacing w:val="-2"/>
          <w:sz w:val="24"/>
          <w:szCs w:val="24"/>
          <w:highlight w:val="none"/>
        </w:rPr>
        <w:t>联系人：</w:t>
      </w:r>
      <w:r>
        <w:rPr>
          <w:rFonts w:ascii="新宋体" w:hAnsi="新宋体" w:eastAsia="新宋体" w:cs="新宋体"/>
          <w:color w:val="auto"/>
          <w:spacing w:val="-2"/>
          <w:sz w:val="24"/>
          <w:szCs w:val="24"/>
          <w:highlight w:val="none"/>
          <w:u w:val="single" w:color="auto"/>
        </w:rPr>
        <w:t xml:space="preserve">         </w:t>
      </w:r>
      <w:r>
        <w:rPr>
          <w:rFonts w:hint="eastAsia" w:ascii="新宋体" w:hAnsi="新宋体" w:eastAsia="新宋体" w:cs="新宋体"/>
          <w:color w:val="auto"/>
          <w:spacing w:val="-2"/>
          <w:sz w:val="24"/>
          <w:szCs w:val="24"/>
          <w:highlight w:val="none"/>
          <w:u w:val="single" w:color="auto"/>
          <w:lang w:val="en-US" w:eastAsia="zh-CN"/>
        </w:rPr>
        <w:t xml:space="preserve">                            </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1"/>
          <w:sz w:val="24"/>
          <w:szCs w:val="24"/>
          <w:highlight w:val="none"/>
        </w:rPr>
        <w:t xml:space="preserve"> </w:t>
      </w:r>
    </w:p>
    <w:p w14:paraId="3F082752">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 xml:space="preserve">联系电话： </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p>
    <w:p w14:paraId="41DF523B">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乙方：</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p>
    <w:p w14:paraId="6FFADE94">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pacing w:val="-93"/>
          <w:sz w:val="24"/>
          <w:szCs w:val="24"/>
          <w:highlight w:val="none"/>
        </w:rPr>
      </w:pPr>
      <w:r>
        <w:rPr>
          <w:rFonts w:ascii="新宋体" w:hAnsi="新宋体" w:eastAsia="新宋体" w:cs="新宋体"/>
          <w:color w:val="auto"/>
          <w:spacing w:val="-2"/>
          <w:sz w:val="24"/>
          <w:szCs w:val="24"/>
          <w:highlight w:val="none"/>
        </w:rPr>
        <w:t>联系人：</w:t>
      </w:r>
      <w:r>
        <w:rPr>
          <w:rFonts w:ascii="新宋体" w:hAnsi="新宋体" w:eastAsia="新宋体" w:cs="新宋体"/>
          <w:color w:val="auto"/>
          <w:spacing w:val="-2"/>
          <w:sz w:val="24"/>
          <w:szCs w:val="24"/>
          <w:highlight w:val="none"/>
          <w:u w:val="single" w:color="auto"/>
        </w:rPr>
        <w:t xml:space="preserve">         </w:t>
      </w:r>
      <w:r>
        <w:rPr>
          <w:rFonts w:hint="eastAsia" w:ascii="新宋体" w:hAnsi="新宋体" w:eastAsia="新宋体" w:cs="新宋体"/>
          <w:color w:val="auto"/>
          <w:spacing w:val="-2"/>
          <w:sz w:val="24"/>
          <w:szCs w:val="24"/>
          <w:highlight w:val="none"/>
          <w:u w:val="single" w:color="auto"/>
          <w:lang w:val="en-US" w:eastAsia="zh-CN"/>
        </w:rPr>
        <w:t xml:space="preserve">                            </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p>
    <w:p w14:paraId="3D61FF18">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联系电话：</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p>
    <w:p w14:paraId="3CF83062">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签订地：</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p>
    <w:p w14:paraId="24831888">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签订日期：</w:t>
      </w:r>
      <w:r>
        <w:rPr>
          <w:rFonts w:ascii="新宋体" w:hAnsi="新宋体" w:eastAsia="新宋体" w:cs="新宋体"/>
          <w:color w:val="auto"/>
          <w:spacing w:val="-11"/>
          <w:sz w:val="24"/>
          <w:szCs w:val="24"/>
          <w:highlight w:val="none"/>
          <w:u w:val="single" w:color="auto"/>
        </w:rPr>
        <w:t xml:space="preserve">                </w:t>
      </w:r>
      <w:r>
        <w:rPr>
          <w:rFonts w:ascii="新宋体" w:hAnsi="新宋体" w:eastAsia="新宋体" w:cs="新宋体"/>
          <w:color w:val="auto"/>
          <w:spacing w:val="-84"/>
          <w:sz w:val="24"/>
          <w:szCs w:val="24"/>
          <w:highlight w:val="none"/>
        </w:rPr>
        <w:t xml:space="preserve"> </w:t>
      </w:r>
      <w:r>
        <w:rPr>
          <w:rFonts w:ascii="新宋体" w:hAnsi="新宋体" w:eastAsia="新宋体" w:cs="新宋体"/>
          <w:color w:val="auto"/>
          <w:spacing w:val="-11"/>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11"/>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11"/>
          <w:sz w:val="24"/>
          <w:szCs w:val="24"/>
          <w:highlight w:val="none"/>
        </w:rPr>
        <w:t>日</w:t>
      </w:r>
    </w:p>
    <w:p w14:paraId="2C478AF9">
      <w:pPr>
        <w:spacing w:line="240" w:lineRule="auto"/>
        <w:ind w:left="0" w:right="0" w:firstLine="0"/>
        <w:rPr>
          <w:rFonts w:ascii="新宋体" w:hAnsi="新宋体" w:eastAsia="新宋体" w:cs="新宋体"/>
          <w:color w:val="auto"/>
          <w:sz w:val="24"/>
          <w:szCs w:val="24"/>
          <w:highlight w:val="none"/>
        </w:rPr>
        <w:sectPr>
          <w:footerReference r:id="rId15" w:type="default"/>
          <w:pgSz w:w="11905" w:h="16839"/>
          <w:pgMar w:top="1440" w:right="1800" w:bottom="1440" w:left="1800" w:header="0" w:footer="1090" w:gutter="0"/>
          <w:pgNumType w:fmt="numberInDash"/>
          <w:cols w:space="720" w:num="1"/>
        </w:sectPr>
      </w:pPr>
    </w:p>
    <w:p w14:paraId="1318B049">
      <w:pPr>
        <w:spacing w:line="247" w:lineRule="auto"/>
        <w:rPr>
          <w:rFonts w:ascii="Arial"/>
          <w:color w:val="auto"/>
          <w:sz w:val="21"/>
          <w:highlight w:val="none"/>
        </w:rPr>
      </w:pPr>
    </w:p>
    <w:p w14:paraId="482180F3">
      <w:pPr>
        <w:spacing w:line="248" w:lineRule="auto"/>
        <w:rPr>
          <w:rFonts w:ascii="Arial"/>
          <w:color w:val="auto"/>
          <w:sz w:val="21"/>
          <w:highlight w:val="none"/>
        </w:rPr>
      </w:pPr>
    </w:p>
    <w:p w14:paraId="0116AE95">
      <w:pPr>
        <w:spacing w:before="78" w:line="354" w:lineRule="auto"/>
        <w:ind w:left="4"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根据《中华人民共和国</w:t>
      </w:r>
      <w:r>
        <w:rPr>
          <w:rFonts w:hint="eastAsia" w:ascii="新宋体" w:hAnsi="新宋体" w:eastAsia="新宋体" w:cs="新宋体"/>
          <w:color w:val="auto"/>
          <w:spacing w:val="-7"/>
          <w:sz w:val="24"/>
          <w:szCs w:val="24"/>
          <w:highlight w:val="none"/>
          <w:lang w:val="en-US" w:eastAsia="zh-CN"/>
        </w:rPr>
        <w:t>民法典</w:t>
      </w:r>
      <w:r>
        <w:rPr>
          <w:rFonts w:ascii="新宋体" w:hAnsi="新宋体" w:eastAsia="新宋体" w:cs="新宋体"/>
          <w:color w:val="auto"/>
          <w:spacing w:val="-7"/>
          <w:sz w:val="24"/>
          <w:szCs w:val="24"/>
          <w:highlight w:val="none"/>
        </w:rPr>
        <w:t>》、《中华人民共和国政府采购法》等相</w:t>
      </w:r>
      <w:r>
        <w:rPr>
          <w:rFonts w:ascii="新宋体" w:hAnsi="新宋体" w:eastAsia="新宋体" w:cs="新宋体"/>
          <w:color w:val="auto"/>
          <w:spacing w:val="-8"/>
          <w:sz w:val="24"/>
          <w:szCs w:val="24"/>
          <w:highlight w:val="none"/>
        </w:rPr>
        <w:t>关法律法规之规定，</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以及</w:t>
      </w:r>
      <w:r>
        <w:rPr>
          <w:rFonts w:ascii="新宋体" w:hAnsi="新宋体" w:eastAsia="新宋体" w:cs="新宋体"/>
          <w:color w:val="auto"/>
          <w:spacing w:val="-4"/>
          <w:sz w:val="24"/>
          <w:szCs w:val="24"/>
          <w:highlight w:val="none"/>
          <w:u w:val="single" w:color="auto"/>
        </w:rPr>
        <w:t xml:space="preserve">     （项目名称</w:t>
      </w:r>
      <w:r>
        <w:rPr>
          <w:rFonts w:ascii="新宋体" w:hAnsi="新宋体" w:eastAsia="新宋体" w:cs="新宋体"/>
          <w:color w:val="auto"/>
          <w:spacing w:val="-10"/>
          <w:sz w:val="24"/>
          <w:szCs w:val="24"/>
          <w:highlight w:val="none"/>
          <w:u w:val="single" w:color="auto"/>
        </w:rPr>
        <w:t>）（</w:t>
      </w:r>
      <w:r>
        <w:rPr>
          <w:rFonts w:ascii="新宋体" w:hAnsi="新宋体" w:eastAsia="新宋体" w:cs="新宋体"/>
          <w:color w:val="auto"/>
          <w:spacing w:val="-4"/>
          <w:sz w:val="24"/>
          <w:szCs w:val="24"/>
          <w:highlight w:val="none"/>
          <w:u w:val="single" w:color="auto"/>
        </w:rPr>
        <w:t>项目编码</w:t>
      </w:r>
      <w:r>
        <w:rPr>
          <w:rFonts w:ascii="新宋体" w:hAnsi="新宋体" w:eastAsia="新宋体" w:cs="新宋体"/>
          <w:color w:val="auto"/>
          <w:spacing w:val="-10"/>
          <w:sz w:val="24"/>
          <w:szCs w:val="24"/>
          <w:highlight w:val="none"/>
          <w:u w:val="single" w:color="auto"/>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80"/>
          <w:sz w:val="24"/>
          <w:szCs w:val="24"/>
          <w:highlight w:val="none"/>
        </w:rPr>
        <w:t xml:space="preserve"> </w:t>
      </w:r>
      <w:r>
        <w:rPr>
          <w:rFonts w:ascii="新宋体" w:hAnsi="新宋体" w:eastAsia="新宋体" w:cs="新宋体"/>
          <w:color w:val="auto"/>
          <w:spacing w:val="-10"/>
          <w:sz w:val="24"/>
          <w:szCs w:val="24"/>
          <w:highlight w:val="none"/>
        </w:rPr>
        <w:t>）</w:t>
      </w:r>
      <w:r>
        <w:rPr>
          <w:rFonts w:ascii="新宋体" w:hAnsi="新宋体" w:eastAsia="新宋体" w:cs="新宋体"/>
          <w:color w:val="auto"/>
          <w:spacing w:val="-4"/>
          <w:sz w:val="24"/>
          <w:szCs w:val="24"/>
          <w:highlight w:val="none"/>
        </w:rPr>
        <w:t>的《招</w:t>
      </w:r>
      <w:r>
        <w:rPr>
          <w:rFonts w:ascii="新宋体" w:hAnsi="新宋体" w:eastAsia="新宋体" w:cs="新宋体"/>
          <w:color w:val="auto"/>
          <w:spacing w:val="-5"/>
          <w:sz w:val="24"/>
          <w:szCs w:val="24"/>
          <w:highlight w:val="none"/>
        </w:rPr>
        <w:t>标文件》，</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5"/>
          <w:sz w:val="24"/>
          <w:szCs w:val="24"/>
          <w:highlight w:val="none"/>
        </w:rPr>
        <w:t>乙方的《投标文件》及《中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标通知书》， 按照平等、自愿、公平和诚实</w:t>
      </w:r>
      <w:r>
        <w:rPr>
          <w:rFonts w:ascii="新宋体" w:hAnsi="新宋体" w:eastAsia="新宋体" w:cs="新宋体"/>
          <w:color w:val="auto"/>
          <w:spacing w:val="-4"/>
          <w:sz w:val="24"/>
          <w:szCs w:val="24"/>
          <w:highlight w:val="none"/>
        </w:rPr>
        <w:t>信用的原则，经</w:t>
      </w:r>
      <w:r>
        <w:rPr>
          <w:rFonts w:ascii="新宋体" w:hAnsi="新宋体" w:eastAsia="新宋体" w:cs="新宋体"/>
          <w:color w:val="auto"/>
          <w:spacing w:val="-4"/>
          <w:sz w:val="24"/>
          <w:szCs w:val="24"/>
          <w:highlight w:val="none"/>
          <w:u w:val="single" w:color="auto"/>
        </w:rPr>
        <w:t xml:space="preserve">       （采购人名称）   </w:t>
      </w:r>
      <w:r>
        <w:rPr>
          <w:rFonts w:ascii="新宋体" w:hAnsi="新宋体" w:eastAsia="新宋体" w:cs="新宋体"/>
          <w:color w:val="auto"/>
          <w:spacing w:val="-70"/>
          <w:sz w:val="24"/>
          <w:szCs w:val="24"/>
          <w:highlight w:val="none"/>
        </w:rPr>
        <w:t xml:space="preserve"> </w:t>
      </w:r>
      <w:r>
        <w:rPr>
          <w:rFonts w:ascii="新宋体" w:hAnsi="新宋体" w:eastAsia="新宋体" w:cs="新宋体"/>
          <w:color w:val="auto"/>
          <w:spacing w:val="-4"/>
          <w:sz w:val="24"/>
          <w:szCs w:val="24"/>
          <w:highlight w:val="none"/>
        </w:rPr>
        <w:t>(以下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简称：甲方)和</w:t>
      </w:r>
      <w:r>
        <w:rPr>
          <w:rFonts w:ascii="新宋体" w:hAnsi="新宋体" w:eastAsia="新宋体" w:cs="新宋体"/>
          <w:color w:val="auto"/>
          <w:spacing w:val="-2"/>
          <w:sz w:val="24"/>
          <w:szCs w:val="24"/>
          <w:highlight w:val="none"/>
          <w:u w:val="single" w:color="auto"/>
        </w:rPr>
        <w:t xml:space="preserve">      （中标供应商名称）  </w:t>
      </w:r>
      <w:r>
        <w:rPr>
          <w:rFonts w:ascii="新宋体" w:hAnsi="新宋体" w:eastAsia="新宋体" w:cs="新宋体"/>
          <w:color w:val="auto"/>
          <w:spacing w:val="-69"/>
          <w:sz w:val="24"/>
          <w:szCs w:val="24"/>
          <w:highlight w:val="none"/>
        </w:rPr>
        <w:t xml:space="preserve"> </w:t>
      </w:r>
      <w:r>
        <w:rPr>
          <w:rFonts w:ascii="新宋体" w:hAnsi="新宋体" w:eastAsia="新宋体" w:cs="新宋体"/>
          <w:color w:val="auto"/>
          <w:spacing w:val="-3"/>
          <w:sz w:val="24"/>
          <w:szCs w:val="24"/>
          <w:highlight w:val="none"/>
        </w:rPr>
        <w:t>(以下简称：乙方)协商一致，约定以下合同条款，</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以兹共同遵守、全面履行。</w:t>
      </w:r>
    </w:p>
    <w:p w14:paraId="2E351785">
      <w:pPr>
        <w:spacing w:before="35" w:line="345" w:lineRule="auto"/>
        <w:ind w:right="171" w:firstLine="48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详细技术说明及其他有关合同项目的特定信息由合同附件予以说明，合同附件及本项</w:t>
      </w:r>
      <w:r>
        <w:rPr>
          <w:rFonts w:ascii="新宋体" w:hAnsi="新宋体" w:eastAsia="新宋体" w:cs="新宋体"/>
          <w:color w:val="auto"/>
          <w:spacing w:val="-4"/>
          <w:sz w:val="24"/>
          <w:szCs w:val="24"/>
          <w:highlight w:val="none"/>
        </w:rPr>
        <w:t>目的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《招标文件》、《投标文件》、《中标通知书》等均为</w:t>
      </w:r>
      <w:r>
        <w:rPr>
          <w:rFonts w:ascii="新宋体" w:hAnsi="新宋体" w:eastAsia="新宋体" w:cs="新宋体"/>
          <w:color w:val="auto"/>
          <w:spacing w:val="-2"/>
          <w:sz w:val="24"/>
          <w:szCs w:val="24"/>
          <w:highlight w:val="none"/>
        </w:rPr>
        <w:t>本合同的组成部分。</w:t>
      </w:r>
    </w:p>
    <w:p w14:paraId="1F7E7A7E">
      <w:pPr>
        <w:pStyle w:val="4"/>
        <w:spacing w:before="37" w:line="188" w:lineRule="auto"/>
        <w:ind w:left="495"/>
        <w:rPr>
          <w:color w:val="auto"/>
          <w:sz w:val="24"/>
          <w:szCs w:val="24"/>
          <w:highlight w:val="none"/>
        </w:rPr>
      </w:pPr>
      <w:r>
        <w:rPr>
          <w:b/>
          <w:bCs/>
          <w:color w:val="auto"/>
          <w:spacing w:val="-5"/>
          <w:sz w:val="24"/>
          <w:szCs w:val="24"/>
          <w:highlight w:val="none"/>
        </w:rPr>
        <w:t>1.1  合同组成部分</w:t>
      </w:r>
    </w:p>
    <w:p w14:paraId="0BE0139E">
      <w:pPr>
        <w:spacing w:before="142" w:line="350" w:lineRule="auto"/>
        <w:ind w:left="5" w:right="171" w:firstLine="484"/>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下列文件为本合同的组成部分，并构成一个整体，需综合解释、相互补充。</w:t>
      </w:r>
      <w:r>
        <w:rPr>
          <w:rFonts w:ascii="新宋体" w:hAnsi="新宋体" w:eastAsia="新宋体" w:cs="新宋体"/>
          <w:color w:val="auto"/>
          <w:spacing w:val="-4"/>
          <w:sz w:val="24"/>
          <w:szCs w:val="24"/>
          <w:highlight w:val="none"/>
        </w:rPr>
        <w:t>如果下列文件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内容出现不一致的情形，那么在保证按照采购文件确定的事项的前提下，组成本合同的多个文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6"/>
          <w:sz w:val="24"/>
          <w:szCs w:val="24"/>
          <w:highlight w:val="none"/>
        </w:rPr>
        <w:t>件的优先适用顺序如下：</w:t>
      </w:r>
    </w:p>
    <w:p w14:paraId="5AD4D1B6">
      <w:pPr>
        <w:spacing w:before="3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1.1.1 本合同及其补充合同、变更协议；</w:t>
      </w:r>
    </w:p>
    <w:p w14:paraId="65939FBB">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10"/>
          <w:sz w:val="24"/>
          <w:szCs w:val="24"/>
          <w:highlight w:val="none"/>
        </w:rPr>
        <w:t>1.1.2</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10"/>
          <w:sz w:val="24"/>
          <w:szCs w:val="24"/>
          <w:highlight w:val="none"/>
        </w:rPr>
        <w:t>中标通知书；</w:t>
      </w:r>
    </w:p>
    <w:p w14:paraId="7A8D90AE">
      <w:pPr>
        <w:spacing w:before="176" w:line="224"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1.1.3 投标文件（含澄清或者说明文件</w:t>
      </w:r>
      <w:r>
        <w:rPr>
          <w:rFonts w:ascii="新宋体" w:hAnsi="新宋体" w:eastAsia="新宋体" w:cs="新宋体"/>
          <w:color w:val="auto"/>
          <w:spacing w:val="2"/>
          <w:sz w:val="24"/>
          <w:szCs w:val="24"/>
          <w:highlight w:val="none"/>
        </w:rPr>
        <w:t>）；</w:t>
      </w:r>
    </w:p>
    <w:p w14:paraId="1E8392A7">
      <w:pPr>
        <w:spacing w:before="176" w:line="224"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1.1.4 招标文件（含澄清或者修改文件</w:t>
      </w:r>
      <w:r>
        <w:rPr>
          <w:rFonts w:ascii="新宋体" w:hAnsi="新宋体" w:eastAsia="新宋体" w:cs="新宋体"/>
          <w:color w:val="auto"/>
          <w:spacing w:val="2"/>
          <w:sz w:val="24"/>
          <w:szCs w:val="24"/>
          <w:highlight w:val="none"/>
        </w:rPr>
        <w:t>）；</w:t>
      </w:r>
    </w:p>
    <w:p w14:paraId="39DB18E0">
      <w:pPr>
        <w:spacing w:before="176"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1.1.5 其他相关采购文件。</w:t>
      </w:r>
    </w:p>
    <w:p w14:paraId="07CECA1F">
      <w:pPr>
        <w:pStyle w:val="4"/>
        <w:spacing w:before="178" w:line="188" w:lineRule="auto"/>
        <w:ind w:left="495"/>
        <w:rPr>
          <w:color w:val="auto"/>
          <w:sz w:val="24"/>
          <w:szCs w:val="24"/>
          <w:highlight w:val="none"/>
        </w:rPr>
      </w:pPr>
      <w:r>
        <w:rPr>
          <w:b/>
          <w:bCs/>
          <w:color w:val="auto"/>
          <w:spacing w:val="-7"/>
          <w:sz w:val="24"/>
          <w:szCs w:val="24"/>
          <w:highlight w:val="none"/>
        </w:rPr>
        <w:t>1.2  货物</w:t>
      </w:r>
    </w:p>
    <w:p w14:paraId="79B9ED64">
      <w:pPr>
        <w:spacing w:before="143"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1.2.1</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货物名称</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79CB5048">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1.2.2</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货物数量</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64F905BE">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1.2.3</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3"/>
          <w:sz w:val="24"/>
          <w:szCs w:val="24"/>
          <w:highlight w:val="none"/>
        </w:rPr>
        <w:t>货物质量：</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3"/>
          <w:sz w:val="24"/>
          <w:szCs w:val="24"/>
          <w:highlight w:val="none"/>
        </w:rPr>
        <w:t>。</w:t>
      </w:r>
    </w:p>
    <w:p w14:paraId="60D837DE">
      <w:pPr>
        <w:pStyle w:val="4"/>
        <w:spacing w:before="177" w:line="188" w:lineRule="auto"/>
        <w:ind w:left="495"/>
        <w:rPr>
          <w:color w:val="auto"/>
          <w:sz w:val="24"/>
          <w:szCs w:val="24"/>
          <w:highlight w:val="none"/>
        </w:rPr>
      </w:pPr>
      <w:r>
        <w:rPr>
          <w:b/>
          <w:bCs/>
          <w:color w:val="auto"/>
          <w:spacing w:val="-7"/>
          <w:sz w:val="24"/>
          <w:szCs w:val="24"/>
          <w:highlight w:val="none"/>
        </w:rPr>
        <w:t>1.3  价款</w:t>
      </w:r>
    </w:p>
    <w:p w14:paraId="7C33342F">
      <w:pPr>
        <w:spacing w:before="146" w:line="344" w:lineRule="auto"/>
        <w:ind w:left="487" w:right="1542" w:hanging="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本合同总价为：￥</w:t>
      </w:r>
      <w:r>
        <w:rPr>
          <w:rFonts w:ascii="新宋体" w:hAnsi="新宋体" w:eastAsia="新宋体" w:cs="新宋体"/>
          <w:color w:val="auto"/>
          <w:spacing w:val="-89"/>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3"/>
          <w:sz w:val="24"/>
          <w:szCs w:val="24"/>
          <w:highlight w:val="none"/>
        </w:rPr>
        <w:t>元（大写：</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4"/>
          <w:sz w:val="24"/>
          <w:szCs w:val="24"/>
          <w:highlight w:val="none"/>
        </w:rPr>
        <w:t>元人民币）。</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2"/>
          <w:sz w:val="24"/>
          <w:szCs w:val="24"/>
          <w:highlight w:val="none"/>
        </w:rPr>
        <w:t>分项价格：</w:t>
      </w:r>
    </w:p>
    <w:tbl>
      <w:tblPr>
        <w:tblStyle w:val="15"/>
        <w:tblW w:w="8598" w:type="dxa"/>
        <w:tblInd w:w="5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4084"/>
        <w:gridCol w:w="3068"/>
      </w:tblGrid>
      <w:tr w14:paraId="262F3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46" w:type="dxa"/>
            <w:vAlign w:val="top"/>
          </w:tcPr>
          <w:p w14:paraId="3F29544A">
            <w:pPr>
              <w:pStyle w:val="16"/>
              <w:spacing w:before="37" w:line="225" w:lineRule="auto"/>
              <w:ind w:left="492"/>
              <w:rPr>
                <w:color w:val="auto"/>
                <w:highlight w:val="none"/>
              </w:rPr>
            </w:pPr>
            <w:r>
              <w:rPr>
                <w:color w:val="auto"/>
                <w:spacing w:val="-4"/>
                <w:highlight w:val="none"/>
              </w:rPr>
              <w:t>序号</w:t>
            </w:r>
          </w:p>
        </w:tc>
        <w:tc>
          <w:tcPr>
            <w:tcW w:w="4084" w:type="dxa"/>
            <w:vAlign w:val="top"/>
          </w:tcPr>
          <w:p w14:paraId="6E4A0241">
            <w:pPr>
              <w:pStyle w:val="16"/>
              <w:spacing w:before="38" w:line="224" w:lineRule="auto"/>
              <w:ind w:left="1675"/>
              <w:rPr>
                <w:color w:val="auto"/>
                <w:highlight w:val="none"/>
              </w:rPr>
            </w:pPr>
            <w:r>
              <w:rPr>
                <w:color w:val="auto"/>
                <w:spacing w:val="-4"/>
                <w:highlight w:val="none"/>
              </w:rPr>
              <w:t>分项名称</w:t>
            </w:r>
          </w:p>
        </w:tc>
        <w:tc>
          <w:tcPr>
            <w:tcW w:w="3068" w:type="dxa"/>
            <w:vAlign w:val="top"/>
          </w:tcPr>
          <w:p w14:paraId="71CE5FCB">
            <w:pPr>
              <w:pStyle w:val="16"/>
              <w:spacing w:before="37" w:line="222" w:lineRule="auto"/>
              <w:ind w:left="1069"/>
              <w:rPr>
                <w:color w:val="auto"/>
                <w:highlight w:val="none"/>
              </w:rPr>
            </w:pPr>
            <w:r>
              <w:rPr>
                <w:color w:val="auto"/>
                <w:spacing w:val="-4"/>
                <w:highlight w:val="none"/>
              </w:rPr>
              <w:t>分项价格</w:t>
            </w:r>
          </w:p>
        </w:tc>
      </w:tr>
      <w:tr w14:paraId="6A7F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5A2BA462">
            <w:pPr>
              <w:rPr>
                <w:rFonts w:ascii="Arial"/>
                <w:color w:val="auto"/>
                <w:sz w:val="21"/>
                <w:highlight w:val="none"/>
              </w:rPr>
            </w:pPr>
          </w:p>
        </w:tc>
        <w:tc>
          <w:tcPr>
            <w:tcW w:w="4084" w:type="dxa"/>
            <w:vAlign w:val="top"/>
          </w:tcPr>
          <w:p w14:paraId="6EC274C8">
            <w:pPr>
              <w:rPr>
                <w:rFonts w:ascii="Arial"/>
                <w:color w:val="auto"/>
                <w:sz w:val="21"/>
                <w:highlight w:val="none"/>
              </w:rPr>
            </w:pPr>
          </w:p>
        </w:tc>
        <w:tc>
          <w:tcPr>
            <w:tcW w:w="3068" w:type="dxa"/>
            <w:vAlign w:val="top"/>
          </w:tcPr>
          <w:p w14:paraId="66769664">
            <w:pPr>
              <w:rPr>
                <w:rFonts w:ascii="Arial"/>
                <w:color w:val="auto"/>
                <w:sz w:val="21"/>
                <w:highlight w:val="none"/>
              </w:rPr>
            </w:pPr>
          </w:p>
        </w:tc>
      </w:tr>
      <w:tr w14:paraId="1E266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0F18981B">
            <w:pPr>
              <w:rPr>
                <w:rFonts w:ascii="Arial"/>
                <w:color w:val="auto"/>
                <w:sz w:val="21"/>
                <w:highlight w:val="none"/>
              </w:rPr>
            </w:pPr>
          </w:p>
        </w:tc>
        <w:tc>
          <w:tcPr>
            <w:tcW w:w="4084" w:type="dxa"/>
            <w:vAlign w:val="top"/>
          </w:tcPr>
          <w:p w14:paraId="21451AF1">
            <w:pPr>
              <w:rPr>
                <w:rFonts w:ascii="Arial"/>
                <w:color w:val="auto"/>
                <w:sz w:val="21"/>
                <w:highlight w:val="none"/>
              </w:rPr>
            </w:pPr>
          </w:p>
        </w:tc>
        <w:tc>
          <w:tcPr>
            <w:tcW w:w="3068" w:type="dxa"/>
            <w:vAlign w:val="top"/>
          </w:tcPr>
          <w:p w14:paraId="4A1320A4">
            <w:pPr>
              <w:rPr>
                <w:rFonts w:ascii="Arial"/>
                <w:color w:val="auto"/>
                <w:sz w:val="21"/>
                <w:highlight w:val="none"/>
              </w:rPr>
            </w:pPr>
          </w:p>
        </w:tc>
      </w:tr>
      <w:tr w14:paraId="7627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35A69CB2">
            <w:pPr>
              <w:rPr>
                <w:rFonts w:ascii="Arial"/>
                <w:color w:val="auto"/>
                <w:sz w:val="21"/>
                <w:highlight w:val="none"/>
              </w:rPr>
            </w:pPr>
          </w:p>
        </w:tc>
        <w:tc>
          <w:tcPr>
            <w:tcW w:w="4084" w:type="dxa"/>
            <w:vAlign w:val="top"/>
          </w:tcPr>
          <w:p w14:paraId="36BFD789">
            <w:pPr>
              <w:rPr>
                <w:rFonts w:ascii="Arial"/>
                <w:color w:val="auto"/>
                <w:sz w:val="21"/>
                <w:highlight w:val="none"/>
              </w:rPr>
            </w:pPr>
          </w:p>
        </w:tc>
        <w:tc>
          <w:tcPr>
            <w:tcW w:w="3068" w:type="dxa"/>
            <w:vAlign w:val="top"/>
          </w:tcPr>
          <w:p w14:paraId="2ED2A908">
            <w:pPr>
              <w:rPr>
                <w:rFonts w:ascii="Arial"/>
                <w:color w:val="auto"/>
                <w:sz w:val="21"/>
                <w:highlight w:val="none"/>
              </w:rPr>
            </w:pPr>
          </w:p>
        </w:tc>
      </w:tr>
      <w:tr w14:paraId="0FFF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446" w:type="dxa"/>
            <w:vAlign w:val="top"/>
          </w:tcPr>
          <w:p w14:paraId="0F85CC5D">
            <w:pPr>
              <w:rPr>
                <w:rFonts w:ascii="Arial"/>
                <w:color w:val="auto"/>
                <w:sz w:val="21"/>
                <w:highlight w:val="none"/>
              </w:rPr>
            </w:pPr>
          </w:p>
        </w:tc>
        <w:tc>
          <w:tcPr>
            <w:tcW w:w="4084" w:type="dxa"/>
            <w:vAlign w:val="top"/>
          </w:tcPr>
          <w:p w14:paraId="5104C1FA">
            <w:pPr>
              <w:rPr>
                <w:rFonts w:ascii="Arial"/>
                <w:color w:val="auto"/>
                <w:sz w:val="21"/>
                <w:highlight w:val="none"/>
              </w:rPr>
            </w:pPr>
          </w:p>
        </w:tc>
        <w:tc>
          <w:tcPr>
            <w:tcW w:w="3068" w:type="dxa"/>
            <w:vAlign w:val="top"/>
          </w:tcPr>
          <w:p w14:paraId="69746DDE">
            <w:pPr>
              <w:rPr>
                <w:rFonts w:ascii="Arial"/>
                <w:color w:val="auto"/>
                <w:sz w:val="21"/>
                <w:highlight w:val="none"/>
              </w:rPr>
            </w:pPr>
          </w:p>
        </w:tc>
      </w:tr>
      <w:tr w14:paraId="31CD8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530" w:type="dxa"/>
            <w:gridSpan w:val="2"/>
            <w:vAlign w:val="top"/>
          </w:tcPr>
          <w:p w14:paraId="5D7FB8BC">
            <w:pPr>
              <w:pStyle w:val="16"/>
              <w:spacing w:before="41" w:line="222" w:lineRule="auto"/>
              <w:ind w:left="2647"/>
              <w:rPr>
                <w:color w:val="auto"/>
                <w:highlight w:val="none"/>
              </w:rPr>
            </w:pPr>
            <w:r>
              <w:rPr>
                <w:color w:val="auto"/>
                <w:spacing w:val="-7"/>
                <w:highlight w:val="none"/>
              </w:rPr>
              <w:t>总价</w:t>
            </w:r>
          </w:p>
        </w:tc>
        <w:tc>
          <w:tcPr>
            <w:tcW w:w="3068" w:type="dxa"/>
            <w:vAlign w:val="top"/>
          </w:tcPr>
          <w:p w14:paraId="63B6935A">
            <w:pPr>
              <w:rPr>
                <w:rFonts w:ascii="Arial"/>
                <w:color w:val="auto"/>
                <w:sz w:val="21"/>
                <w:highlight w:val="none"/>
              </w:rPr>
            </w:pPr>
          </w:p>
        </w:tc>
      </w:tr>
    </w:tbl>
    <w:p w14:paraId="0D809CAB">
      <w:pPr>
        <w:rPr>
          <w:rFonts w:ascii="Arial"/>
          <w:color w:val="auto"/>
          <w:sz w:val="21"/>
          <w:highlight w:val="none"/>
        </w:rPr>
      </w:pPr>
    </w:p>
    <w:p w14:paraId="7B44595F">
      <w:pPr>
        <w:pStyle w:val="4"/>
        <w:spacing w:before="103" w:line="188" w:lineRule="auto"/>
        <w:ind w:left="490"/>
        <w:rPr>
          <w:color w:val="auto"/>
          <w:sz w:val="24"/>
          <w:szCs w:val="24"/>
          <w:highlight w:val="none"/>
        </w:rPr>
      </w:pPr>
      <w:r>
        <w:rPr>
          <w:b/>
          <w:bCs/>
          <w:color w:val="auto"/>
          <w:spacing w:val="-4"/>
          <w:sz w:val="24"/>
          <w:szCs w:val="24"/>
          <w:highlight w:val="none"/>
        </w:rPr>
        <w:t>1.4</w:t>
      </w:r>
      <w:r>
        <w:rPr>
          <w:b/>
          <w:bCs/>
          <w:color w:val="auto"/>
          <w:spacing w:val="74"/>
          <w:sz w:val="24"/>
          <w:szCs w:val="24"/>
          <w:highlight w:val="none"/>
        </w:rPr>
        <w:t xml:space="preserve"> </w:t>
      </w:r>
      <w:r>
        <w:rPr>
          <w:b/>
          <w:bCs/>
          <w:color w:val="auto"/>
          <w:spacing w:val="-4"/>
          <w:sz w:val="24"/>
          <w:szCs w:val="24"/>
          <w:highlight w:val="none"/>
        </w:rPr>
        <w:t>付款方式和发票开具方式</w:t>
      </w:r>
    </w:p>
    <w:p w14:paraId="70790F75">
      <w:pPr>
        <w:spacing w:before="144"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1.4.1</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5"/>
          <w:sz w:val="24"/>
          <w:szCs w:val="24"/>
          <w:highlight w:val="none"/>
        </w:rPr>
        <w:t>付款方式</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u w:val="single" w:color="auto"/>
        </w:rPr>
        <w:t xml:space="preserve">                                              </w:t>
      </w:r>
    </w:p>
    <w:p w14:paraId="2FD93130">
      <w:pPr>
        <w:spacing w:before="175"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1.4.2</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4"/>
          <w:sz w:val="24"/>
          <w:szCs w:val="24"/>
          <w:highlight w:val="none"/>
        </w:rPr>
        <w:t>发票开具方式：</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4"/>
          <w:sz w:val="24"/>
          <w:szCs w:val="24"/>
          <w:highlight w:val="none"/>
        </w:rPr>
        <w:t>。</w:t>
      </w:r>
    </w:p>
    <w:p w14:paraId="536FBFB7">
      <w:pPr>
        <w:pStyle w:val="4"/>
        <w:spacing w:before="175" w:line="188" w:lineRule="auto"/>
        <w:ind w:left="490"/>
        <w:rPr>
          <w:color w:val="auto"/>
          <w:sz w:val="24"/>
          <w:szCs w:val="24"/>
          <w:highlight w:val="none"/>
        </w:rPr>
      </w:pPr>
      <w:r>
        <w:rPr>
          <w:b/>
          <w:bCs/>
          <w:color w:val="auto"/>
          <w:spacing w:val="-4"/>
          <w:sz w:val="24"/>
          <w:szCs w:val="24"/>
          <w:highlight w:val="none"/>
        </w:rPr>
        <w:t>1.5</w:t>
      </w:r>
      <w:r>
        <w:rPr>
          <w:b/>
          <w:bCs/>
          <w:color w:val="auto"/>
          <w:spacing w:val="78"/>
          <w:sz w:val="24"/>
          <w:szCs w:val="24"/>
          <w:highlight w:val="none"/>
        </w:rPr>
        <w:t xml:space="preserve"> </w:t>
      </w:r>
      <w:r>
        <w:rPr>
          <w:b/>
          <w:bCs/>
          <w:color w:val="auto"/>
          <w:spacing w:val="-4"/>
          <w:sz w:val="24"/>
          <w:szCs w:val="24"/>
          <w:highlight w:val="none"/>
        </w:rPr>
        <w:t>货物交付期限、地点和方式</w:t>
      </w:r>
    </w:p>
    <w:p w14:paraId="35D6FF4A">
      <w:pPr>
        <w:spacing w:before="144"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1.5.1</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交付期限</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p>
    <w:p w14:paraId="1CD1FDF9">
      <w:pPr>
        <w:spacing w:before="175"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1.5.2</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交付地点</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p>
    <w:p w14:paraId="27FC3C44">
      <w:pPr>
        <w:spacing w:before="176"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1.5.3</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3"/>
          <w:sz w:val="24"/>
          <w:szCs w:val="24"/>
          <w:highlight w:val="none"/>
        </w:rPr>
        <w:t>交付方式：</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3"/>
          <w:sz w:val="24"/>
          <w:szCs w:val="24"/>
          <w:highlight w:val="none"/>
        </w:rPr>
        <w:t>。</w:t>
      </w:r>
    </w:p>
    <w:p w14:paraId="0C89531B">
      <w:pPr>
        <w:pStyle w:val="4"/>
        <w:spacing w:before="177" w:line="188" w:lineRule="auto"/>
        <w:ind w:left="490"/>
        <w:rPr>
          <w:color w:val="auto"/>
          <w:sz w:val="24"/>
          <w:szCs w:val="24"/>
          <w:highlight w:val="none"/>
        </w:rPr>
      </w:pPr>
      <w:r>
        <w:rPr>
          <w:b/>
          <w:bCs/>
          <w:color w:val="auto"/>
          <w:spacing w:val="-7"/>
          <w:sz w:val="24"/>
          <w:szCs w:val="24"/>
          <w:highlight w:val="none"/>
        </w:rPr>
        <w:t>1.6</w:t>
      </w:r>
      <w:r>
        <w:rPr>
          <w:b/>
          <w:bCs/>
          <w:color w:val="auto"/>
          <w:spacing w:val="70"/>
          <w:sz w:val="24"/>
          <w:szCs w:val="24"/>
          <w:highlight w:val="none"/>
        </w:rPr>
        <w:t xml:space="preserve"> </w:t>
      </w:r>
      <w:r>
        <w:rPr>
          <w:b/>
          <w:bCs/>
          <w:color w:val="auto"/>
          <w:spacing w:val="-7"/>
          <w:sz w:val="24"/>
          <w:szCs w:val="24"/>
          <w:highlight w:val="none"/>
        </w:rPr>
        <w:t>违约责任</w:t>
      </w:r>
    </w:p>
    <w:p w14:paraId="362CE765">
      <w:pPr>
        <w:spacing w:before="144" w:line="325" w:lineRule="auto"/>
        <w:ind w:firstLine="490"/>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1.6.1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7"/>
          <w:sz w:val="24"/>
          <w:szCs w:val="24"/>
          <w:highlight w:val="none"/>
        </w:rPr>
        <w:t>除不可抗力外，如果乙方没有按照本合同约定的期限、地点和方式交付货物，那么</w:t>
      </w:r>
      <w:r>
        <w:rPr>
          <w:rFonts w:ascii="新宋体" w:hAnsi="新宋体" w:eastAsia="新宋体" w:cs="新宋体"/>
          <w:color w:val="auto"/>
          <w:spacing w:val="-2"/>
          <w:sz w:val="24"/>
          <w:szCs w:val="24"/>
          <w:highlight w:val="none"/>
        </w:rPr>
        <w:t>甲方可要求乙方支付违约金，违约金按每迟延交付货物一日的应交付而未交付货物价格的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rPr>
        <w:t xml:space="preserve"> 计算，最高限额为本合同总价的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z w:val="24"/>
          <w:szCs w:val="24"/>
          <w:highlight w:val="none"/>
        </w:rPr>
        <w:t>%；迟延交付货物</w:t>
      </w:r>
      <w:r>
        <w:rPr>
          <w:rFonts w:ascii="新宋体" w:hAnsi="新宋体" w:eastAsia="新宋体" w:cs="新宋体"/>
          <w:color w:val="auto"/>
          <w:spacing w:val="-1"/>
          <w:sz w:val="24"/>
          <w:szCs w:val="24"/>
          <w:highlight w:val="none"/>
        </w:rPr>
        <w:t>的违约金计算数额达到前述最高限额之</w:t>
      </w:r>
      <w:r>
        <w:rPr>
          <w:rFonts w:ascii="新宋体" w:hAnsi="新宋体" w:eastAsia="新宋体" w:cs="新宋体"/>
          <w:color w:val="auto"/>
          <w:spacing w:val="-2"/>
          <w:sz w:val="24"/>
          <w:szCs w:val="24"/>
          <w:highlight w:val="none"/>
        </w:rPr>
        <w:t>日起，甲方有权在要求乙方支付违约金的同时，书面通知乙方解除本合</w:t>
      </w:r>
      <w:r>
        <w:rPr>
          <w:rFonts w:ascii="新宋体" w:hAnsi="新宋体" w:eastAsia="新宋体" w:cs="新宋体"/>
          <w:color w:val="auto"/>
          <w:spacing w:val="-3"/>
          <w:sz w:val="24"/>
          <w:szCs w:val="24"/>
          <w:highlight w:val="none"/>
        </w:rPr>
        <w:t>同；</w:t>
      </w:r>
    </w:p>
    <w:p w14:paraId="143012C6">
      <w:pPr>
        <w:spacing w:before="177" w:line="325" w:lineRule="auto"/>
        <w:ind w:right="120" w:firstLine="48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1.6.2 除不可抗力外，如果甲方没有按照本合同约定的付款方式付款，那么乙方可要求甲</w:t>
      </w:r>
      <w:r>
        <w:rPr>
          <w:rFonts w:ascii="新宋体" w:hAnsi="新宋体" w:eastAsia="新宋体" w:cs="新宋体"/>
          <w:color w:val="auto"/>
          <w:spacing w:val="-1"/>
          <w:sz w:val="24"/>
          <w:szCs w:val="24"/>
          <w:highlight w:val="none"/>
        </w:rPr>
        <w:t>方支付违约金，违约金按每迟延付款一日的</w:t>
      </w:r>
      <w:r>
        <w:rPr>
          <w:rFonts w:ascii="新宋体" w:hAnsi="新宋体" w:eastAsia="新宋体" w:cs="新宋体"/>
          <w:color w:val="auto"/>
          <w:spacing w:val="-2"/>
          <w:sz w:val="24"/>
          <w:szCs w:val="24"/>
          <w:highlight w:val="none"/>
        </w:rPr>
        <w:t>应付而未付款的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%计算，最高限额为本合同总</w:t>
      </w:r>
      <w:r>
        <w:rPr>
          <w:rFonts w:ascii="新宋体" w:hAnsi="新宋体" w:eastAsia="新宋体" w:cs="新宋体"/>
          <w:color w:val="auto"/>
          <w:sz w:val="24"/>
          <w:szCs w:val="24"/>
          <w:highlight w:val="none"/>
        </w:rPr>
        <w:t>价的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z w:val="24"/>
          <w:szCs w:val="24"/>
          <w:highlight w:val="none"/>
        </w:rPr>
        <w:t>%；迟延付款的违约金计算数额达到前述最</w:t>
      </w:r>
      <w:r>
        <w:rPr>
          <w:rFonts w:ascii="新宋体" w:hAnsi="新宋体" w:eastAsia="新宋体" w:cs="新宋体"/>
          <w:color w:val="auto"/>
          <w:spacing w:val="-1"/>
          <w:sz w:val="24"/>
          <w:szCs w:val="24"/>
          <w:highlight w:val="none"/>
        </w:rPr>
        <w:t>高限额之日起，乙方有权在要求甲方支付</w:t>
      </w:r>
      <w:r>
        <w:rPr>
          <w:rFonts w:ascii="新宋体" w:hAnsi="新宋体" w:eastAsia="新宋体" w:cs="新宋体"/>
          <w:color w:val="auto"/>
          <w:spacing w:val="-4"/>
          <w:sz w:val="24"/>
          <w:szCs w:val="24"/>
          <w:highlight w:val="none"/>
        </w:rPr>
        <w:t>违约金的同时，书面通知甲方解除本合同；</w:t>
      </w:r>
    </w:p>
    <w:p w14:paraId="295474B7">
      <w:pPr>
        <w:spacing w:before="181" w:line="336" w:lineRule="auto"/>
        <w:ind w:right="161" w:firstLine="48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1.6.3 除不可抗力外，任何一方未能履行本合同约定的其他主要义务，经催告后在合理期</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3"/>
          <w:sz w:val="24"/>
          <w:szCs w:val="24"/>
          <w:highlight w:val="none"/>
        </w:rPr>
        <w:t>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6"/>
          <w:sz w:val="24"/>
          <w:szCs w:val="24"/>
          <w:highlight w:val="none"/>
        </w:rPr>
        <w:t>来影响对方当事人在合同签订、履行过程中的行为） 的，对方当事人可以书面通知违约方解除</w:t>
      </w:r>
      <w:r>
        <w:rPr>
          <w:rFonts w:ascii="新宋体" w:hAnsi="新宋体" w:eastAsia="新宋体" w:cs="新宋体"/>
          <w:color w:val="auto"/>
          <w:spacing w:val="-14"/>
          <w:sz w:val="24"/>
          <w:szCs w:val="24"/>
          <w:highlight w:val="none"/>
        </w:rPr>
        <w:t>本合同；</w:t>
      </w:r>
    </w:p>
    <w:p w14:paraId="2C1491BA">
      <w:pPr>
        <w:spacing w:before="178" w:line="332" w:lineRule="auto"/>
        <w:ind w:left="1" w:right="161" w:firstLine="48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1.6.4 任何一方按照前述约定要求违约方支付违约金的同时，仍有权要求违约方继续履行</w:t>
      </w:r>
      <w:r>
        <w:rPr>
          <w:rFonts w:ascii="新宋体" w:hAnsi="新宋体" w:eastAsia="新宋体" w:cs="新宋体"/>
          <w:color w:val="auto"/>
          <w:spacing w:val="-3"/>
          <w:sz w:val="24"/>
          <w:szCs w:val="24"/>
          <w:highlight w:val="none"/>
        </w:rPr>
        <w:t>合同、采取补救措施，并有权按照己方实际损失情况要求违约方赔偿损失；任何一方按照前述</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约定要求解除本合同的同时，仍有权要求违约方支付违约金和按照己方实际损失情况要求违约方赔偿损失；且守约方行使的任何权利救济方式均不视为其放弃了其他法定或者约定的权利救</w:t>
      </w:r>
      <w:r>
        <w:rPr>
          <w:rFonts w:ascii="新宋体" w:hAnsi="新宋体" w:eastAsia="新宋体" w:cs="新宋体"/>
          <w:color w:val="auto"/>
          <w:spacing w:val="-14"/>
          <w:sz w:val="24"/>
          <w:szCs w:val="24"/>
          <w:highlight w:val="none"/>
        </w:rPr>
        <w:t>济方式；</w:t>
      </w:r>
    </w:p>
    <w:p w14:paraId="4A6B7CC3">
      <w:pPr>
        <w:spacing w:before="175" w:line="314" w:lineRule="auto"/>
        <w:ind w:right="161" w:firstLine="490"/>
        <w:rPr>
          <w:rFonts w:ascii="Arial"/>
          <w:color w:val="auto"/>
          <w:sz w:val="21"/>
          <w:highlight w:val="none"/>
        </w:rPr>
      </w:pPr>
      <w:r>
        <w:rPr>
          <w:rFonts w:ascii="新宋体" w:hAnsi="新宋体" w:eastAsia="新宋体" w:cs="新宋体"/>
          <w:color w:val="auto"/>
          <w:spacing w:val="-2"/>
          <w:sz w:val="24"/>
          <w:szCs w:val="24"/>
          <w:highlight w:val="none"/>
        </w:rPr>
        <w:t>1.6.5 除前述约定外，除不可抗力外，任何一方未能履行本合同约定的义务，对方当事人</w:t>
      </w:r>
      <w:r>
        <w:rPr>
          <w:rFonts w:ascii="新宋体" w:hAnsi="新宋体" w:eastAsia="新宋体" w:cs="新宋体"/>
          <w:color w:val="auto"/>
          <w:spacing w:val="-5"/>
          <w:sz w:val="24"/>
          <w:szCs w:val="24"/>
          <w:highlight w:val="none"/>
        </w:rPr>
        <w:t>均有权要求继续履行、采取补救措施或者赔偿损失等，且对方当事人行使的任何权利救济方式</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均不视为其放弃了其他法定或者约定的权利救济方式；</w:t>
      </w:r>
    </w:p>
    <w:p w14:paraId="5181D39F">
      <w:pPr>
        <w:spacing w:before="78" w:line="350" w:lineRule="auto"/>
        <w:ind w:left="14" w:right="2" w:firstLine="476"/>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1.6.6 如果出现政府采购监督管理部门在处理投诉事项期间，书面通知甲方暂停采购活动</w:t>
      </w:r>
      <w:r>
        <w:rPr>
          <w:rFonts w:ascii="新宋体" w:hAnsi="新宋体" w:eastAsia="新宋体" w:cs="新宋体"/>
          <w:color w:val="auto"/>
          <w:spacing w:val="-3"/>
          <w:sz w:val="24"/>
          <w:szCs w:val="24"/>
          <w:highlight w:val="none"/>
        </w:rPr>
        <w:t>的情形，或者询问或质疑事项可能影响中标结果的，导致甲方中止履行</w:t>
      </w:r>
      <w:r>
        <w:rPr>
          <w:rFonts w:ascii="新宋体" w:hAnsi="新宋体" w:eastAsia="新宋体" w:cs="新宋体"/>
          <w:color w:val="auto"/>
          <w:spacing w:val="-4"/>
          <w:sz w:val="24"/>
          <w:szCs w:val="24"/>
          <w:highlight w:val="none"/>
        </w:rPr>
        <w:t>合同的情形，均不视为</w:t>
      </w:r>
      <w:r>
        <w:rPr>
          <w:rFonts w:ascii="新宋体" w:hAnsi="新宋体" w:eastAsia="新宋体" w:cs="新宋体"/>
          <w:color w:val="auto"/>
          <w:spacing w:val="-10"/>
          <w:sz w:val="24"/>
          <w:szCs w:val="24"/>
          <w:highlight w:val="none"/>
        </w:rPr>
        <w:t>甲方违约。</w:t>
      </w:r>
    </w:p>
    <w:p w14:paraId="18B9AE1D">
      <w:pPr>
        <w:pStyle w:val="4"/>
        <w:spacing w:before="34" w:line="188" w:lineRule="auto"/>
        <w:ind w:left="490"/>
        <w:rPr>
          <w:color w:val="auto"/>
          <w:sz w:val="24"/>
          <w:szCs w:val="24"/>
          <w:highlight w:val="none"/>
        </w:rPr>
      </w:pPr>
      <w:r>
        <w:rPr>
          <w:b/>
          <w:bCs/>
          <w:color w:val="auto"/>
          <w:spacing w:val="-5"/>
          <w:sz w:val="24"/>
          <w:szCs w:val="24"/>
          <w:highlight w:val="none"/>
        </w:rPr>
        <w:t>1.7  合同争议的解决</w:t>
      </w:r>
    </w:p>
    <w:p w14:paraId="3D565601">
      <w:pPr>
        <w:spacing w:before="144" w:line="345" w:lineRule="auto"/>
        <w:ind w:firstLine="480"/>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本合同履行过程中发生的任何争议，双方当事人</w:t>
      </w:r>
      <w:r>
        <w:rPr>
          <w:rFonts w:ascii="新宋体" w:hAnsi="新宋体" w:eastAsia="新宋体" w:cs="新宋体"/>
          <w:color w:val="auto"/>
          <w:spacing w:val="-2"/>
          <w:sz w:val="24"/>
          <w:szCs w:val="24"/>
          <w:highlight w:val="none"/>
        </w:rPr>
        <w:t>均可通过和解或者调解解决</w:t>
      </w:r>
      <w:r>
        <w:rPr>
          <w:rFonts w:hint="eastAsia" w:ascii="新宋体" w:hAnsi="新宋体" w:eastAsia="新宋体" w:cs="新宋体"/>
          <w:color w:val="auto"/>
          <w:spacing w:val="-2"/>
          <w:sz w:val="24"/>
          <w:szCs w:val="24"/>
          <w:highlight w:val="none"/>
          <w:lang w:eastAsia="zh-CN"/>
        </w:rPr>
        <w:t>；</w:t>
      </w:r>
      <w:r>
        <w:rPr>
          <w:rFonts w:ascii="新宋体" w:hAnsi="新宋体" w:eastAsia="新宋体" w:cs="新宋体"/>
          <w:color w:val="auto"/>
          <w:spacing w:val="-2"/>
          <w:sz w:val="24"/>
          <w:szCs w:val="24"/>
          <w:highlight w:val="none"/>
        </w:rPr>
        <w:t>不愿和解、</w:t>
      </w:r>
      <w:r>
        <w:rPr>
          <w:rFonts w:ascii="新宋体" w:hAnsi="新宋体" w:eastAsia="新宋体" w:cs="新宋体"/>
          <w:color w:val="auto"/>
          <w:spacing w:val="-3"/>
          <w:sz w:val="24"/>
          <w:szCs w:val="24"/>
          <w:highlight w:val="none"/>
        </w:rPr>
        <w:t>调解或者和解、调解不成的，可以选择下列第</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89"/>
          <w:sz w:val="24"/>
          <w:szCs w:val="24"/>
          <w:highlight w:val="none"/>
        </w:rPr>
        <w:t xml:space="preserve"> </w:t>
      </w:r>
      <w:r>
        <w:rPr>
          <w:rFonts w:ascii="新宋体" w:hAnsi="新宋体" w:eastAsia="新宋体" w:cs="新宋体"/>
          <w:color w:val="auto"/>
          <w:spacing w:val="-3"/>
          <w:sz w:val="24"/>
          <w:szCs w:val="24"/>
          <w:highlight w:val="none"/>
        </w:rPr>
        <w:t>种方式解决：</w:t>
      </w:r>
    </w:p>
    <w:p w14:paraId="38BBFFF4">
      <w:pPr>
        <w:spacing w:before="36" w:line="223" w:lineRule="auto"/>
        <w:ind w:right="11"/>
        <w:jc w:val="right"/>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1.7.1 将争议提交</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
          <w:sz w:val="24"/>
          <w:szCs w:val="24"/>
          <w:highlight w:val="none"/>
        </w:rPr>
        <w:t>仲裁委员会依申请仲裁时其现行有效的仲裁</w:t>
      </w:r>
    </w:p>
    <w:p w14:paraId="4AF62065">
      <w:pPr>
        <w:spacing w:before="36" w:line="223" w:lineRule="auto"/>
        <w:ind w:right="11"/>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规则裁决；</w:t>
      </w:r>
    </w:p>
    <w:p w14:paraId="7B0B986D">
      <w:pPr>
        <w:spacing w:before="178" w:line="291" w:lineRule="auto"/>
        <w:ind w:left="1" w:right="92" w:firstLine="48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1.7.2</w:t>
      </w:r>
      <w:r>
        <w:rPr>
          <w:rFonts w:ascii="新宋体" w:hAnsi="新宋体" w:eastAsia="新宋体" w:cs="新宋体"/>
          <w:color w:val="auto"/>
          <w:spacing w:val="48"/>
          <w:sz w:val="24"/>
          <w:szCs w:val="24"/>
          <w:highlight w:val="none"/>
        </w:rPr>
        <w:t xml:space="preserve"> </w:t>
      </w:r>
      <w:r>
        <w:rPr>
          <w:rFonts w:ascii="新宋体" w:hAnsi="新宋体" w:eastAsia="新宋体" w:cs="新宋体"/>
          <w:color w:val="auto"/>
          <w:spacing w:val="-2"/>
          <w:sz w:val="24"/>
          <w:szCs w:val="24"/>
          <w:highlight w:val="none"/>
        </w:rPr>
        <w:t>向</w:t>
      </w:r>
      <w:r>
        <w:rPr>
          <w:rFonts w:ascii="新宋体" w:hAnsi="新宋体" w:eastAsia="新宋体" w:cs="新宋体"/>
          <w:color w:val="auto"/>
          <w:spacing w:val="-2"/>
          <w:sz w:val="24"/>
          <w:szCs w:val="24"/>
          <w:highlight w:val="none"/>
          <w:u w:val="single" w:color="auto"/>
        </w:rPr>
        <w:t xml:space="preserve"> （被告住所地、合同履行地、合同签订地、原告住所地、标的物所在地</w:t>
      </w:r>
      <w:r>
        <w:rPr>
          <w:rFonts w:ascii="新宋体" w:hAnsi="新宋体" w:eastAsia="新宋体" w:cs="新宋体"/>
          <w:color w:val="auto"/>
          <w:spacing w:val="-3"/>
          <w:sz w:val="24"/>
          <w:szCs w:val="24"/>
          <w:highlight w:val="none"/>
          <w:u w:val="single" w:color="auto"/>
        </w:rPr>
        <w:t>等与</w:t>
      </w:r>
      <w:r>
        <w:rPr>
          <w:rFonts w:ascii="新宋体" w:hAnsi="新宋体" w:eastAsia="新宋体" w:cs="新宋体"/>
          <w:color w:val="auto"/>
          <w:spacing w:val="-2"/>
          <w:sz w:val="24"/>
          <w:szCs w:val="24"/>
          <w:highlight w:val="none"/>
          <w:u w:val="single" w:color="auto"/>
        </w:rPr>
        <w:t>争议有实际联系的地点中选出的人民法院名称）</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2"/>
          <w:sz w:val="24"/>
          <w:szCs w:val="24"/>
          <w:highlight w:val="none"/>
        </w:rPr>
        <w:t>人民法院起诉。</w:t>
      </w:r>
    </w:p>
    <w:p w14:paraId="77247934">
      <w:pPr>
        <w:pStyle w:val="4"/>
        <w:spacing w:before="176" w:line="188" w:lineRule="auto"/>
        <w:ind w:left="490"/>
        <w:rPr>
          <w:color w:val="auto"/>
          <w:sz w:val="24"/>
          <w:szCs w:val="24"/>
          <w:highlight w:val="none"/>
        </w:rPr>
      </w:pPr>
      <w:r>
        <w:rPr>
          <w:b/>
          <w:bCs/>
          <w:color w:val="auto"/>
          <w:spacing w:val="-6"/>
          <w:sz w:val="24"/>
          <w:szCs w:val="24"/>
          <w:highlight w:val="none"/>
        </w:rPr>
        <w:t>1.8  合同生效</w:t>
      </w:r>
    </w:p>
    <w:p w14:paraId="04B2B912">
      <w:pPr>
        <w:spacing w:before="144" w:line="223"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本合同自双方当事人盖章或者签字时生效。</w:t>
      </w:r>
    </w:p>
    <w:p w14:paraId="027A2CF7">
      <w:pPr>
        <w:spacing w:line="269" w:lineRule="auto"/>
        <w:rPr>
          <w:rFonts w:ascii="Arial"/>
          <w:color w:val="auto"/>
          <w:sz w:val="21"/>
          <w:highlight w:val="none"/>
        </w:rPr>
      </w:pPr>
    </w:p>
    <w:p w14:paraId="18EC7723">
      <w:pPr>
        <w:pStyle w:val="4"/>
        <w:spacing w:before="104" w:line="188" w:lineRule="auto"/>
        <w:ind w:left="511"/>
        <w:rPr>
          <w:rFonts w:ascii="新宋体" w:hAnsi="新宋体" w:eastAsia="新宋体" w:cs="新宋体"/>
          <w:color w:val="auto"/>
          <w:sz w:val="24"/>
          <w:szCs w:val="24"/>
          <w:highlight w:val="none"/>
        </w:rPr>
      </w:pPr>
      <w:r>
        <w:rPr>
          <w:b/>
          <w:bCs/>
          <w:color w:val="auto"/>
          <w:spacing w:val="-10"/>
          <w:sz w:val="24"/>
          <w:szCs w:val="24"/>
          <w:highlight w:val="none"/>
        </w:rPr>
        <w:t>甲方</w:t>
      </w:r>
      <w:r>
        <w:rPr>
          <w:b/>
          <w:bCs/>
          <w:color w:val="auto"/>
          <w:spacing w:val="-38"/>
          <w:sz w:val="24"/>
          <w:szCs w:val="24"/>
          <w:highlight w:val="none"/>
        </w:rPr>
        <w:t xml:space="preserve"> </w:t>
      </w:r>
      <w:r>
        <w:rPr>
          <w:rFonts w:ascii="新宋体" w:hAnsi="新宋体" w:eastAsia="新宋体" w:cs="新宋体"/>
          <w:color w:val="auto"/>
          <w:spacing w:val="-10"/>
          <w:sz w:val="24"/>
          <w:szCs w:val="24"/>
          <w:highlight w:val="none"/>
        </w:rPr>
        <w:t xml:space="preserve">：                                      </w:t>
      </w:r>
      <w:r>
        <w:rPr>
          <w:b/>
          <w:bCs/>
          <w:color w:val="auto"/>
          <w:spacing w:val="-11"/>
          <w:sz w:val="24"/>
          <w:szCs w:val="24"/>
          <w:highlight w:val="none"/>
        </w:rPr>
        <w:t>乙方</w:t>
      </w:r>
      <w:r>
        <w:rPr>
          <w:rFonts w:ascii="新宋体" w:hAnsi="新宋体" w:eastAsia="新宋体" w:cs="新宋体"/>
          <w:color w:val="auto"/>
          <w:spacing w:val="-11"/>
          <w:sz w:val="24"/>
          <w:szCs w:val="24"/>
          <w:highlight w:val="none"/>
        </w:rPr>
        <w:t>：</w:t>
      </w:r>
    </w:p>
    <w:p w14:paraId="2ED2C561">
      <w:pPr>
        <w:spacing w:before="144" w:line="223" w:lineRule="auto"/>
        <w:ind w:left="48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 xml:space="preserve">统一社会信用代码：             </w:t>
      </w:r>
      <w:r>
        <w:rPr>
          <w:rFonts w:ascii="新宋体" w:hAnsi="新宋体" w:eastAsia="新宋体" w:cs="新宋体"/>
          <w:color w:val="auto"/>
          <w:spacing w:val="-2"/>
          <w:sz w:val="24"/>
          <w:szCs w:val="24"/>
          <w:highlight w:val="none"/>
        </w:rPr>
        <w:t xml:space="preserve">          统一社会信用代码或身份证号码：</w:t>
      </w:r>
    </w:p>
    <w:p w14:paraId="4253743D">
      <w:pPr>
        <w:spacing w:before="177"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住所：</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住所：</w:t>
      </w:r>
    </w:p>
    <w:p w14:paraId="1CD0BE48">
      <w:pPr>
        <w:spacing w:before="175" w:line="224" w:lineRule="auto"/>
        <w:ind w:left="48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法定代表人或</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法定代表人</w:t>
      </w:r>
    </w:p>
    <w:p w14:paraId="5EB17E8C">
      <w:pPr>
        <w:spacing w:before="176" w:line="224"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或授权代表（签字</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或授权代表（签字）:</w:t>
      </w:r>
    </w:p>
    <w:p w14:paraId="7D152481">
      <w:pPr>
        <w:spacing w:before="176" w:line="226" w:lineRule="auto"/>
        <w:ind w:left="47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联系人：                                  </w:t>
      </w:r>
      <w:r>
        <w:rPr>
          <w:rFonts w:ascii="新宋体" w:hAnsi="新宋体" w:eastAsia="新宋体" w:cs="新宋体"/>
          <w:color w:val="auto"/>
          <w:spacing w:val="-5"/>
          <w:sz w:val="24"/>
          <w:szCs w:val="24"/>
          <w:highlight w:val="none"/>
        </w:rPr>
        <w:t>联系人：</w:t>
      </w:r>
    </w:p>
    <w:p w14:paraId="4DC67361">
      <w:pPr>
        <w:spacing w:before="173" w:line="224"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约定送达地址：</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约定送达地址：</w:t>
      </w:r>
    </w:p>
    <w:p w14:paraId="19CD1014">
      <w:pPr>
        <w:spacing w:before="175" w:line="224" w:lineRule="auto"/>
        <w:ind w:left="498"/>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邮政编码：</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1"/>
          <w:sz w:val="24"/>
          <w:szCs w:val="24"/>
          <w:highlight w:val="none"/>
        </w:rPr>
        <w:t>邮政编码：</w:t>
      </w:r>
    </w:p>
    <w:p w14:paraId="0C96F262">
      <w:pPr>
        <w:spacing w:before="176" w:line="226" w:lineRule="auto"/>
        <w:ind w:left="506"/>
        <w:rPr>
          <w:rFonts w:ascii="新宋体" w:hAnsi="新宋体" w:eastAsia="新宋体" w:cs="新宋体"/>
          <w:color w:val="auto"/>
          <w:sz w:val="24"/>
          <w:szCs w:val="24"/>
          <w:highlight w:val="none"/>
        </w:rPr>
      </w:pPr>
      <w:r>
        <w:rPr>
          <w:rFonts w:ascii="新宋体" w:hAnsi="新宋体" w:eastAsia="新宋体" w:cs="新宋体"/>
          <w:color w:val="auto"/>
          <w:spacing w:val="-13"/>
          <w:sz w:val="24"/>
          <w:szCs w:val="24"/>
          <w:highlight w:val="none"/>
        </w:rPr>
        <w:t>电话:</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3"/>
          <w:sz w:val="24"/>
          <w:szCs w:val="24"/>
          <w:highlight w:val="none"/>
        </w:rPr>
        <w:t>电话:</w:t>
      </w:r>
    </w:p>
    <w:p w14:paraId="5DEDA25E">
      <w:pPr>
        <w:spacing w:before="173" w:line="223" w:lineRule="auto"/>
        <w:ind w:left="482"/>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 xml:space="preserve">传真:                                 </w:t>
      </w:r>
      <w:r>
        <w:rPr>
          <w:rFonts w:ascii="新宋体" w:hAnsi="新宋体" w:eastAsia="新宋体" w:cs="新宋体"/>
          <w:color w:val="auto"/>
          <w:spacing w:val="-4"/>
          <w:sz w:val="24"/>
          <w:szCs w:val="24"/>
          <w:highlight w:val="none"/>
        </w:rPr>
        <w:t xml:space="preserve">    传真:</w:t>
      </w:r>
    </w:p>
    <w:p w14:paraId="5CA56645">
      <w:pPr>
        <w:spacing w:before="178" w:line="224" w:lineRule="auto"/>
        <w:ind w:left="506"/>
        <w:rPr>
          <w:rFonts w:ascii="新宋体" w:hAnsi="新宋体" w:eastAsia="新宋体" w:cs="新宋体"/>
          <w:color w:val="auto"/>
          <w:sz w:val="24"/>
          <w:szCs w:val="24"/>
          <w:highlight w:val="none"/>
        </w:rPr>
      </w:pPr>
      <w:r>
        <w:rPr>
          <w:rFonts w:ascii="新宋体" w:hAnsi="新宋体" w:eastAsia="新宋体" w:cs="新宋体"/>
          <w:color w:val="auto"/>
          <w:spacing w:val="-12"/>
          <w:sz w:val="24"/>
          <w:szCs w:val="24"/>
          <w:highlight w:val="none"/>
        </w:rPr>
        <w:t>电子邮箱：</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2"/>
          <w:sz w:val="24"/>
          <w:szCs w:val="24"/>
          <w:highlight w:val="none"/>
        </w:rPr>
        <w:t>电子邮箱：</w:t>
      </w:r>
    </w:p>
    <w:p w14:paraId="311E5D09">
      <w:pPr>
        <w:spacing w:before="175"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开户银行：                            </w:t>
      </w:r>
      <w:r>
        <w:rPr>
          <w:rFonts w:ascii="新宋体" w:hAnsi="新宋体" w:eastAsia="新宋体" w:cs="新宋体"/>
          <w:color w:val="auto"/>
          <w:spacing w:val="-5"/>
          <w:sz w:val="24"/>
          <w:szCs w:val="24"/>
          <w:highlight w:val="none"/>
        </w:rPr>
        <w:t xml:space="preserve">    开户银行：</w:t>
      </w:r>
    </w:p>
    <w:p w14:paraId="71D2FA7E">
      <w:pPr>
        <w:spacing w:before="176"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开户名称：                            </w:t>
      </w:r>
      <w:r>
        <w:rPr>
          <w:rFonts w:ascii="新宋体" w:hAnsi="新宋体" w:eastAsia="新宋体" w:cs="新宋体"/>
          <w:color w:val="auto"/>
          <w:spacing w:val="-5"/>
          <w:sz w:val="24"/>
          <w:szCs w:val="24"/>
          <w:highlight w:val="none"/>
        </w:rPr>
        <w:t xml:space="preserve">    开户名称：</w:t>
      </w:r>
    </w:p>
    <w:p w14:paraId="34C1514F">
      <w:pPr>
        <w:spacing w:before="176" w:line="224" w:lineRule="auto"/>
        <w:ind w:left="480"/>
        <w:rPr>
          <w:rFonts w:ascii="新宋体" w:hAnsi="新宋体" w:eastAsia="新宋体" w:cs="新宋体"/>
          <w:color w:val="auto"/>
          <w:sz w:val="24"/>
          <w:szCs w:val="24"/>
          <w:highlight w:val="none"/>
        </w:rPr>
        <w:sectPr>
          <w:footerReference r:id="rId16" w:type="default"/>
          <w:pgSz w:w="11905" w:h="16839"/>
          <w:pgMar w:top="1440" w:right="1800" w:bottom="1440" w:left="1800" w:header="0" w:footer="1090" w:gutter="0"/>
          <w:pgNumType w:fmt="numberInDash"/>
          <w:cols w:space="720" w:num="1"/>
        </w:sectPr>
      </w:pPr>
      <w:r>
        <w:rPr>
          <w:rFonts w:ascii="新宋体" w:hAnsi="新宋体" w:eastAsia="新宋体" w:cs="新宋体"/>
          <w:color w:val="auto"/>
          <w:spacing w:val="-4"/>
          <w:sz w:val="24"/>
          <w:szCs w:val="24"/>
          <w:highlight w:val="none"/>
        </w:rPr>
        <w:t xml:space="preserve">开户账号：                            </w:t>
      </w:r>
      <w:r>
        <w:rPr>
          <w:rFonts w:ascii="新宋体" w:hAnsi="新宋体" w:eastAsia="新宋体" w:cs="新宋体"/>
          <w:color w:val="auto"/>
          <w:spacing w:val="-5"/>
          <w:sz w:val="24"/>
          <w:szCs w:val="24"/>
          <w:highlight w:val="none"/>
        </w:rPr>
        <w:t xml:space="preserve">    开户账号：</w:t>
      </w:r>
    </w:p>
    <w:p w14:paraId="7D925F07">
      <w:pPr>
        <w:pStyle w:val="4"/>
        <w:spacing w:before="120" w:line="188" w:lineRule="auto"/>
        <w:jc w:val="center"/>
        <w:rPr>
          <w:color w:val="auto"/>
          <w:sz w:val="28"/>
          <w:szCs w:val="28"/>
          <w:highlight w:val="none"/>
        </w:rPr>
      </w:pPr>
      <w:r>
        <w:rPr>
          <w:b/>
          <w:bCs/>
          <w:color w:val="auto"/>
          <w:spacing w:val="-5"/>
          <w:sz w:val="28"/>
          <w:szCs w:val="28"/>
          <w:highlight w:val="none"/>
        </w:rPr>
        <w:t>第二部分  合同一般条款</w:t>
      </w:r>
    </w:p>
    <w:p w14:paraId="4D1227C2">
      <w:pPr>
        <w:pStyle w:val="4"/>
        <w:spacing w:before="161" w:line="189" w:lineRule="auto"/>
        <w:ind w:left="478"/>
        <w:rPr>
          <w:color w:val="auto"/>
          <w:sz w:val="24"/>
          <w:szCs w:val="24"/>
          <w:highlight w:val="none"/>
        </w:rPr>
      </w:pPr>
      <w:r>
        <w:rPr>
          <w:b/>
          <w:bCs/>
          <w:color w:val="auto"/>
          <w:spacing w:val="-5"/>
          <w:sz w:val="24"/>
          <w:szCs w:val="24"/>
          <w:highlight w:val="none"/>
        </w:rPr>
        <w:t>2.1  定义</w:t>
      </w:r>
    </w:p>
    <w:p w14:paraId="37CC4BBE">
      <w:pPr>
        <w:spacing w:before="143" w:line="223"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本合同中的下列词语应按以下内容进行解释：</w:t>
      </w:r>
    </w:p>
    <w:p w14:paraId="3A29C9B7">
      <w:pPr>
        <w:spacing w:before="177" w:line="291" w:lineRule="auto"/>
        <w:ind w:right="10" w:firstLine="47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2.1.1 “合同”系指采购人和中标供应商签订的载明双方当事</w:t>
      </w:r>
      <w:r>
        <w:rPr>
          <w:rFonts w:ascii="新宋体" w:hAnsi="新宋体" w:eastAsia="新宋体" w:cs="新宋体"/>
          <w:color w:val="auto"/>
          <w:spacing w:val="-2"/>
          <w:sz w:val="24"/>
          <w:szCs w:val="24"/>
          <w:highlight w:val="none"/>
        </w:rPr>
        <w:t>人所达成的协议，并包括所</w:t>
      </w:r>
      <w:r>
        <w:rPr>
          <w:rFonts w:ascii="新宋体" w:hAnsi="新宋体" w:eastAsia="新宋体" w:cs="新宋体"/>
          <w:color w:val="auto"/>
          <w:spacing w:val="-3"/>
          <w:sz w:val="24"/>
          <w:szCs w:val="24"/>
          <w:highlight w:val="none"/>
        </w:rPr>
        <w:t>有的附件、附录和构成合同的其他文件。</w:t>
      </w:r>
    </w:p>
    <w:p w14:paraId="5992FBC9">
      <w:pPr>
        <w:spacing w:before="176" w:line="291" w:lineRule="auto"/>
        <w:ind w:left="4" w:right="10" w:firstLine="473"/>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2.1.2 “合同价”系指根据合同约定，中标供应商在完全履行</w:t>
      </w:r>
      <w:r>
        <w:rPr>
          <w:rFonts w:ascii="新宋体" w:hAnsi="新宋体" w:eastAsia="新宋体" w:cs="新宋体"/>
          <w:color w:val="auto"/>
          <w:spacing w:val="-2"/>
          <w:sz w:val="24"/>
          <w:szCs w:val="24"/>
          <w:highlight w:val="none"/>
        </w:rPr>
        <w:t>合同义务后，采购人应支付</w:t>
      </w:r>
      <w:r>
        <w:rPr>
          <w:rFonts w:ascii="新宋体" w:hAnsi="新宋体" w:eastAsia="新宋体" w:cs="新宋体"/>
          <w:color w:val="auto"/>
          <w:spacing w:val="-5"/>
          <w:sz w:val="24"/>
          <w:szCs w:val="24"/>
          <w:highlight w:val="none"/>
        </w:rPr>
        <w:t>给中标供应商的价格。</w:t>
      </w:r>
    </w:p>
    <w:p w14:paraId="5E3C95EE">
      <w:pPr>
        <w:spacing w:before="177" w:line="314" w:lineRule="auto"/>
        <w:ind w:left="11" w:right="10" w:firstLine="46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 “货物”系指中标供应商根据合同约定应向采购人交付</w:t>
      </w:r>
      <w:r>
        <w:rPr>
          <w:rFonts w:ascii="新宋体" w:hAnsi="新宋体" w:eastAsia="新宋体" w:cs="新宋体"/>
          <w:color w:val="auto"/>
          <w:spacing w:val="-2"/>
          <w:sz w:val="24"/>
          <w:szCs w:val="24"/>
          <w:highlight w:val="none"/>
        </w:rPr>
        <w:t>的一切各种形态和种类的物</w:t>
      </w:r>
      <w:r>
        <w:rPr>
          <w:rFonts w:ascii="新宋体" w:hAnsi="新宋体" w:eastAsia="新宋体" w:cs="新宋体"/>
          <w:color w:val="auto"/>
          <w:spacing w:val="-7"/>
          <w:sz w:val="24"/>
          <w:szCs w:val="24"/>
          <w:highlight w:val="none"/>
        </w:rPr>
        <w:t>品，包括原材料、燃料、设备、机械、仪表、备件、</w:t>
      </w:r>
      <w:r>
        <w:rPr>
          <w:rFonts w:ascii="新宋体" w:hAnsi="新宋体" w:eastAsia="新宋体" w:cs="新宋体"/>
          <w:color w:val="auto"/>
          <w:spacing w:val="-8"/>
          <w:sz w:val="24"/>
          <w:szCs w:val="24"/>
          <w:highlight w:val="none"/>
        </w:rPr>
        <w:t>计算机软件、产品等，并包括工具、手册</w:t>
      </w:r>
      <w:r>
        <w:rPr>
          <w:rFonts w:ascii="新宋体" w:hAnsi="新宋体" w:eastAsia="新宋体" w:cs="新宋体"/>
          <w:color w:val="auto"/>
          <w:spacing w:val="-7"/>
          <w:sz w:val="24"/>
          <w:szCs w:val="24"/>
          <w:highlight w:val="none"/>
        </w:rPr>
        <w:t>等其他相关资料。</w:t>
      </w:r>
    </w:p>
    <w:p w14:paraId="6AAA7FCD">
      <w:pPr>
        <w:spacing w:before="177" w:line="291" w:lineRule="auto"/>
        <w:ind w:left="19" w:right="10" w:firstLine="45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2.1.4 “甲方”系指与中标供应商签署合同的采购人；采购人</w:t>
      </w:r>
      <w:r>
        <w:rPr>
          <w:rFonts w:ascii="新宋体" w:hAnsi="新宋体" w:eastAsia="新宋体" w:cs="新宋体"/>
          <w:color w:val="auto"/>
          <w:spacing w:val="-2"/>
          <w:sz w:val="24"/>
          <w:szCs w:val="24"/>
          <w:highlight w:val="none"/>
        </w:rPr>
        <w:t>委托采购代理机构代表其与</w:t>
      </w:r>
      <w:r>
        <w:rPr>
          <w:rFonts w:ascii="新宋体" w:hAnsi="新宋体" w:eastAsia="新宋体" w:cs="新宋体"/>
          <w:color w:val="auto"/>
          <w:spacing w:val="-3"/>
          <w:sz w:val="24"/>
          <w:szCs w:val="24"/>
          <w:highlight w:val="none"/>
        </w:rPr>
        <w:t>乙方签订合同的，采购人的授权委托书作为合同附件。</w:t>
      </w:r>
    </w:p>
    <w:p w14:paraId="792FD00A">
      <w:pPr>
        <w:spacing w:before="176" w:line="314" w:lineRule="auto"/>
        <w:ind w:left="4" w:right="10" w:firstLine="473"/>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2.1.5 “乙方”系指根据合同约定交付货物的中标供应商；两</w:t>
      </w:r>
      <w:r>
        <w:rPr>
          <w:rFonts w:ascii="新宋体" w:hAnsi="新宋体" w:eastAsia="新宋体" w:cs="新宋体"/>
          <w:color w:val="auto"/>
          <w:spacing w:val="-2"/>
          <w:sz w:val="24"/>
          <w:szCs w:val="24"/>
          <w:highlight w:val="none"/>
        </w:rPr>
        <w:t>个以上的自然人、法人或者</w:t>
      </w:r>
      <w:r>
        <w:rPr>
          <w:rFonts w:ascii="新宋体" w:hAnsi="新宋体" w:eastAsia="新宋体" w:cs="新宋体"/>
          <w:color w:val="auto"/>
          <w:spacing w:val="-3"/>
          <w:sz w:val="24"/>
          <w:szCs w:val="24"/>
          <w:highlight w:val="none"/>
        </w:rPr>
        <w:t>其他组织组成一个联合体，以一个供应商的身份共同参加政府采购的，联合体各方均应为乙方</w:t>
      </w:r>
      <w:r>
        <w:rPr>
          <w:rFonts w:ascii="新宋体" w:hAnsi="新宋体" w:eastAsia="新宋体" w:cs="新宋体"/>
          <w:color w:val="auto"/>
          <w:spacing w:val="-1"/>
          <w:sz w:val="24"/>
          <w:szCs w:val="24"/>
          <w:highlight w:val="none"/>
        </w:rPr>
        <w:t>或者与乙方相同地位的合同当事人，并就合同</w:t>
      </w:r>
      <w:r>
        <w:rPr>
          <w:rFonts w:ascii="新宋体" w:hAnsi="新宋体" w:eastAsia="新宋体" w:cs="新宋体"/>
          <w:color w:val="auto"/>
          <w:spacing w:val="-2"/>
          <w:sz w:val="24"/>
          <w:szCs w:val="24"/>
          <w:highlight w:val="none"/>
        </w:rPr>
        <w:t>约定的事项对甲方承担连带责任。</w:t>
      </w:r>
    </w:p>
    <w:p w14:paraId="25DF3D76">
      <w:pPr>
        <w:spacing w:before="176" w:line="223" w:lineRule="auto"/>
        <w:ind w:left="47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2.1.6 “现场”系指合同约定货物将要运至或者安装的地点。</w:t>
      </w:r>
    </w:p>
    <w:p w14:paraId="057CB27E">
      <w:pPr>
        <w:pStyle w:val="4"/>
        <w:spacing w:before="177" w:line="188" w:lineRule="auto"/>
        <w:ind w:left="478"/>
        <w:rPr>
          <w:color w:val="auto"/>
          <w:sz w:val="24"/>
          <w:szCs w:val="24"/>
          <w:highlight w:val="none"/>
        </w:rPr>
      </w:pPr>
      <w:r>
        <w:rPr>
          <w:b/>
          <w:bCs/>
          <w:color w:val="auto"/>
          <w:spacing w:val="-5"/>
          <w:sz w:val="24"/>
          <w:szCs w:val="24"/>
          <w:highlight w:val="none"/>
        </w:rPr>
        <w:t>2.2</w:t>
      </w:r>
      <w:r>
        <w:rPr>
          <w:b/>
          <w:bCs/>
          <w:color w:val="auto"/>
          <w:spacing w:val="70"/>
          <w:w w:val="101"/>
          <w:sz w:val="24"/>
          <w:szCs w:val="24"/>
          <w:highlight w:val="none"/>
        </w:rPr>
        <w:t xml:space="preserve"> </w:t>
      </w:r>
      <w:r>
        <w:rPr>
          <w:b/>
          <w:bCs/>
          <w:color w:val="auto"/>
          <w:spacing w:val="-5"/>
          <w:sz w:val="24"/>
          <w:szCs w:val="24"/>
          <w:highlight w:val="none"/>
        </w:rPr>
        <w:t>技术规范</w:t>
      </w:r>
    </w:p>
    <w:p w14:paraId="13017729">
      <w:pPr>
        <w:spacing w:before="143" w:line="350" w:lineRule="auto"/>
        <w:ind w:left="4" w:right="18" w:firstLine="482"/>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货物所应遵守的技术规范应与采购文件规定的技术规范和技术规范附件(如果有的话)及</w:t>
      </w:r>
      <w:r>
        <w:rPr>
          <w:rFonts w:ascii="新宋体" w:hAnsi="新宋体" w:eastAsia="新宋体" w:cs="新宋体"/>
          <w:color w:val="auto"/>
          <w:spacing w:val="-2"/>
          <w:sz w:val="24"/>
          <w:szCs w:val="24"/>
          <w:highlight w:val="none"/>
        </w:rPr>
        <w:t>其技术规范偏差表(如果被甲方接受的话)相一致；如果采购文件中没有技术规范的相应说明，那么应以国家有关部门最新颁布的相应标准和规范为准。</w:t>
      </w:r>
    </w:p>
    <w:p w14:paraId="5C032171">
      <w:pPr>
        <w:pStyle w:val="4"/>
        <w:spacing w:before="37" w:line="188" w:lineRule="auto"/>
        <w:ind w:left="478"/>
        <w:rPr>
          <w:color w:val="auto"/>
          <w:sz w:val="24"/>
          <w:szCs w:val="24"/>
          <w:highlight w:val="none"/>
        </w:rPr>
      </w:pPr>
      <w:r>
        <w:rPr>
          <w:b/>
          <w:bCs/>
          <w:color w:val="auto"/>
          <w:spacing w:val="-5"/>
          <w:sz w:val="24"/>
          <w:szCs w:val="24"/>
          <w:highlight w:val="none"/>
        </w:rPr>
        <w:t>2.3</w:t>
      </w:r>
      <w:r>
        <w:rPr>
          <w:b/>
          <w:bCs/>
          <w:color w:val="auto"/>
          <w:spacing w:val="71"/>
          <w:sz w:val="24"/>
          <w:szCs w:val="24"/>
          <w:highlight w:val="none"/>
        </w:rPr>
        <w:t xml:space="preserve"> </w:t>
      </w:r>
      <w:r>
        <w:rPr>
          <w:b/>
          <w:bCs/>
          <w:color w:val="auto"/>
          <w:spacing w:val="-5"/>
          <w:sz w:val="24"/>
          <w:szCs w:val="24"/>
          <w:highlight w:val="none"/>
        </w:rPr>
        <w:t>知识产权</w:t>
      </w:r>
    </w:p>
    <w:p w14:paraId="5205CB7E">
      <w:pPr>
        <w:spacing w:before="145" w:line="314" w:lineRule="auto"/>
        <w:ind w:left="2" w:right="70" w:firstLine="475"/>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2.3.1</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2"/>
          <w:sz w:val="24"/>
          <w:szCs w:val="24"/>
          <w:highlight w:val="none"/>
        </w:rPr>
        <w:t>乙方应保证甲方在使用该货物或其任何一部分时不受任何第三方提出的侵犯其著</w:t>
      </w:r>
      <w:r>
        <w:rPr>
          <w:rFonts w:ascii="新宋体" w:hAnsi="新宋体" w:eastAsia="新宋体" w:cs="新宋体"/>
          <w:color w:val="auto"/>
          <w:spacing w:val="-3"/>
          <w:sz w:val="24"/>
          <w:szCs w:val="24"/>
          <w:highlight w:val="none"/>
        </w:rPr>
        <w:t>作权、商标权、专利权等知识产权方面的起诉；如果任何第三方提出侵权指控，那么乙方须与该第三方交涉并承担由此发生的一切责任、费用和赔偿；</w:t>
      </w:r>
    </w:p>
    <w:p w14:paraId="16BD9FBB">
      <w:pPr>
        <w:pStyle w:val="4"/>
        <w:spacing w:before="175" w:line="187" w:lineRule="auto"/>
        <w:ind w:left="478"/>
        <w:rPr>
          <w:b/>
          <w:bCs/>
          <w:color w:val="auto"/>
          <w:spacing w:val="-1"/>
          <w:sz w:val="24"/>
          <w:szCs w:val="24"/>
          <w:highlight w:val="none"/>
          <w:u w:val="single" w:color="auto"/>
        </w:rPr>
      </w:pPr>
      <w:r>
        <w:rPr>
          <w:rFonts w:ascii="新宋体" w:hAnsi="新宋体" w:eastAsia="新宋体" w:cs="新宋体"/>
          <w:color w:val="auto"/>
          <w:spacing w:val="-1"/>
          <w:sz w:val="24"/>
          <w:szCs w:val="24"/>
          <w:highlight w:val="none"/>
        </w:rPr>
        <w:t>2.3.2</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1"/>
          <w:sz w:val="24"/>
          <w:szCs w:val="24"/>
          <w:highlight w:val="none"/>
        </w:rPr>
        <w:t>具有知识产权的计算机软件等货物的知识产权归属，详见</w:t>
      </w:r>
      <w:r>
        <w:rPr>
          <w:b/>
          <w:bCs/>
          <w:color w:val="auto"/>
          <w:spacing w:val="-1"/>
          <w:sz w:val="24"/>
          <w:szCs w:val="24"/>
          <w:highlight w:val="none"/>
          <w:u w:val="single" w:color="auto"/>
        </w:rPr>
        <w:t>合同专用</w:t>
      </w:r>
    </w:p>
    <w:p w14:paraId="589200CB">
      <w:pPr>
        <w:pStyle w:val="4"/>
        <w:spacing w:before="175" w:line="187" w:lineRule="auto"/>
        <w:rPr>
          <w:rFonts w:ascii="新宋体" w:hAnsi="新宋体" w:eastAsia="新宋体" w:cs="新宋体"/>
          <w:color w:val="auto"/>
          <w:sz w:val="24"/>
          <w:szCs w:val="24"/>
          <w:highlight w:val="none"/>
        </w:rPr>
      </w:pPr>
      <w:r>
        <w:rPr>
          <w:b/>
          <w:bCs/>
          <w:color w:val="auto"/>
          <w:spacing w:val="-1"/>
          <w:sz w:val="24"/>
          <w:szCs w:val="24"/>
          <w:highlight w:val="none"/>
          <w:u w:val="single" w:color="auto"/>
        </w:rPr>
        <w:t>条款</w:t>
      </w:r>
      <w:r>
        <w:rPr>
          <w:rFonts w:ascii="新宋体" w:hAnsi="新宋体" w:eastAsia="新宋体" w:cs="新宋体"/>
          <w:color w:val="auto"/>
          <w:spacing w:val="-1"/>
          <w:sz w:val="24"/>
          <w:szCs w:val="24"/>
          <w:highlight w:val="none"/>
        </w:rPr>
        <w:t>。</w:t>
      </w:r>
    </w:p>
    <w:p w14:paraId="1B5F5819">
      <w:pPr>
        <w:pStyle w:val="4"/>
        <w:spacing w:before="146" w:line="189" w:lineRule="auto"/>
        <w:ind w:left="478"/>
        <w:rPr>
          <w:color w:val="auto"/>
          <w:sz w:val="24"/>
          <w:szCs w:val="24"/>
          <w:highlight w:val="none"/>
        </w:rPr>
      </w:pPr>
      <w:r>
        <w:rPr>
          <w:b/>
          <w:bCs/>
          <w:color w:val="auto"/>
          <w:spacing w:val="-4"/>
          <w:sz w:val="24"/>
          <w:szCs w:val="24"/>
          <w:highlight w:val="none"/>
        </w:rPr>
        <w:t>2.4  包装和装运</w:t>
      </w:r>
    </w:p>
    <w:p w14:paraId="7536F349">
      <w:pPr>
        <w:pStyle w:val="4"/>
        <w:spacing w:before="142" w:line="316" w:lineRule="auto"/>
        <w:ind w:left="4" w:firstLine="473"/>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2.4.1</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4"/>
          <w:sz w:val="24"/>
          <w:szCs w:val="24"/>
          <w:highlight w:val="none"/>
        </w:rPr>
        <w:t>除</w:t>
      </w:r>
      <w:r>
        <w:rPr>
          <w:b/>
          <w:bCs/>
          <w:color w:val="auto"/>
          <w:spacing w:val="4"/>
          <w:sz w:val="24"/>
          <w:szCs w:val="24"/>
          <w:highlight w:val="none"/>
          <w:u w:val="single" w:color="auto"/>
        </w:rPr>
        <w:t>合同专用条款</w:t>
      </w:r>
      <w:r>
        <w:rPr>
          <w:rFonts w:ascii="新宋体" w:hAnsi="新宋体" w:eastAsia="新宋体" w:cs="新宋体"/>
          <w:color w:val="auto"/>
          <w:spacing w:val="4"/>
          <w:sz w:val="24"/>
          <w:szCs w:val="24"/>
          <w:highlight w:val="none"/>
        </w:rPr>
        <w:t>另有约定外,乙方交付的全部货物,均应</w:t>
      </w:r>
      <w:r>
        <w:rPr>
          <w:rFonts w:ascii="新宋体" w:hAnsi="新宋体" w:eastAsia="新宋体" w:cs="新宋体"/>
          <w:color w:val="auto"/>
          <w:spacing w:val="3"/>
          <w:sz w:val="24"/>
          <w:szCs w:val="24"/>
          <w:highlight w:val="none"/>
        </w:rPr>
        <w:t>采用本行业通用的方式进</w:t>
      </w:r>
      <w:r>
        <w:rPr>
          <w:rFonts w:ascii="新宋体" w:hAnsi="新宋体" w:eastAsia="新宋体" w:cs="新宋体"/>
          <w:color w:val="auto"/>
          <w:spacing w:val="-3"/>
          <w:sz w:val="24"/>
          <w:szCs w:val="24"/>
          <w:highlight w:val="none"/>
        </w:rPr>
        <w:t>行包装，没有通用方式的，应当采取足以保护货物的包装方式，且该包装应符合国家有关包装</w:t>
      </w:r>
      <w:r>
        <w:rPr>
          <w:rFonts w:ascii="新宋体" w:hAnsi="新宋体" w:eastAsia="新宋体" w:cs="新宋体"/>
          <w:color w:val="auto"/>
          <w:spacing w:val="-9"/>
          <w:sz w:val="24"/>
          <w:szCs w:val="24"/>
          <w:highlight w:val="none"/>
        </w:rPr>
        <w:t>的法律、法规的规定。如有必要， 包装应适</w:t>
      </w:r>
      <w:r>
        <w:rPr>
          <w:rFonts w:ascii="新宋体" w:hAnsi="新宋体" w:eastAsia="新宋体" w:cs="新宋体"/>
          <w:color w:val="auto"/>
          <w:spacing w:val="-10"/>
          <w:sz w:val="24"/>
          <w:szCs w:val="24"/>
          <w:highlight w:val="none"/>
        </w:rPr>
        <w:t>用于远距离运输、防潮、防震、防锈和防粗暴装卸，</w:t>
      </w:r>
      <w:r>
        <w:rPr>
          <w:rFonts w:ascii="新宋体" w:hAnsi="新宋体" w:eastAsia="新宋体" w:cs="新宋体"/>
          <w:color w:val="auto"/>
          <w:spacing w:val="-3"/>
          <w:sz w:val="24"/>
          <w:szCs w:val="24"/>
          <w:highlight w:val="none"/>
        </w:rPr>
        <w:t>确保货物安全无损地运抵现场。由于包装不善所引起的货物锈蚀、损坏和损失等一切风险均由</w:t>
      </w:r>
      <w:r>
        <w:rPr>
          <w:rFonts w:ascii="新宋体" w:hAnsi="新宋体" w:eastAsia="新宋体" w:cs="新宋体"/>
          <w:color w:val="auto"/>
          <w:spacing w:val="-11"/>
          <w:sz w:val="24"/>
          <w:szCs w:val="24"/>
          <w:highlight w:val="none"/>
        </w:rPr>
        <w:t>乙方承担。</w:t>
      </w:r>
    </w:p>
    <w:p w14:paraId="065CC73D">
      <w:pPr>
        <w:pStyle w:val="4"/>
        <w:spacing w:before="36" w:line="187"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2.4.2 装运货物的要求和通知，详见</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w:t>
      </w:r>
    </w:p>
    <w:p w14:paraId="2DFFB8AA">
      <w:pPr>
        <w:pStyle w:val="4"/>
        <w:spacing w:before="146" w:line="187" w:lineRule="auto"/>
        <w:ind w:left="476"/>
        <w:rPr>
          <w:color w:val="auto"/>
          <w:sz w:val="24"/>
          <w:szCs w:val="24"/>
          <w:highlight w:val="none"/>
        </w:rPr>
      </w:pPr>
      <w:r>
        <w:rPr>
          <w:b/>
          <w:bCs/>
          <w:color w:val="auto"/>
          <w:spacing w:val="-3"/>
          <w:sz w:val="24"/>
          <w:szCs w:val="24"/>
          <w:highlight w:val="none"/>
        </w:rPr>
        <w:t>2.5</w:t>
      </w:r>
      <w:r>
        <w:rPr>
          <w:b/>
          <w:bCs/>
          <w:color w:val="auto"/>
          <w:spacing w:val="69"/>
          <w:w w:val="101"/>
          <w:sz w:val="24"/>
          <w:szCs w:val="24"/>
          <w:highlight w:val="none"/>
        </w:rPr>
        <w:t xml:space="preserve"> </w:t>
      </w:r>
      <w:r>
        <w:rPr>
          <w:b/>
          <w:bCs/>
          <w:color w:val="auto"/>
          <w:spacing w:val="-3"/>
          <w:sz w:val="24"/>
          <w:szCs w:val="24"/>
          <w:highlight w:val="none"/>
        </w:rPr>
        <w:t>履约检查和问题反馈</w:t>
      </w:r>
    </w:p>
    <w:p w14:paraId="64FBDE94">
      <w:pPr>
        <w:spacing w:before="146" w:line="314" w:lineRule="auto"/>
        <w:ind w:left="4" w:right="171" w:firstLine="47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2.5.1 甲方有权在其认为必要时，对乙方是否能够按照合同约定交付货物进行履约检查，以确保乙方所交付的货物能够依约满足甲方之项目需求，但不得因履约检查妨碍乙方的正常工</w:t>
      </w:r>
      <w:r>
        <w:rPr>
          <w:rFonts w:ascii="新宋体" w:hAnsi="新宋体" w:eastAsia="新宋体" w:cs="新宋体"/>
          <w:color w:val="auto"/>
          <w:spacing w:val="-6"/>
          <w:sz w:val="24"/>
          <w:szCs w:val="24"/>
          <w:highlight w:val="none"/>
        </w:rPr>
        <w:t>作，乙方应予积极配合；</w:t>
      </w:r>
    </w:p>
    <w:p w14:paraId="4BD1F3D2">
      <w:pPr>
        <w:spacing w:before="176" w:line="291" w:lineRule="auto"/>
        <w:ind w:left="5" w:right="111" w:firstLine="470"/>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2.5.2 合同履行期间，甲方有权将履行过程中出现的问题反馈</w:t>
      </w:r>
      <w:r>
        <w:rPr>
          <w:rFonts w:ascii="新宋体" w:hAnsi="新宋体" w:eastAsia="新宋体" w:cs="新宋体"/>
          <w:color w:val="auto"/>
          <w:spacing w:val="-2"/>
          <w:sz w:val="24"/>
          <w:szCs w:val="24"/>
          <w:highlight w:val="none"/>
        </w:rPr>
        <w:t>给乙方，双方当事人应以书</w:t>
      </w:r>
      <w:r>
        <w:rPr>
          <w:rFonts w:ascii="新宋体" w:hAnsi="新宋体" w:eastAsia="新宋体" w:cs="新宋体"/>
          <w:color w:val="auto"/>
          <w:spacing w:val="-4"/>
          <w:sz w:val="24"/>
          <w:szCs w:val="24"/>
          <w:highlight w:val="none"/>
        </w:rPr>
        <w:t>面形式约定需要完善和改进的内容。</w:t>
      </w:r>
    </w:p>
    <w:p w14:paraId="5124F59A">
      <w:pPr>
        <w:pStyle w:val="4"/>
        <w:spacing w:line="240" w:lineRule="auto"/>
        <w:ind w:left="0" w:right="0" w:firstLine="464" w:firstLineChars="200"/>
        <w:rPr>
          <w:rFonts w:ascii="新宋体" w:hAnsi="新宋体" w:eastAsia="新宋体" w:cs="新宋体"/>
          <w:color w:val="auto"/>
          <w:sz w:val="24"/>
          <w:szCs w:val="24"/>
          <w:highlight w:val="none"/>
        </w:rPr>
      </w:pPr>
      <w:r>
        <w:rPr>
          <w:b/>
          <w:bCs/>
          <w:color w:val="auto"/>
          <w:spacing w:val="-4"/>
          <w:sz w:val="24"/>
          <w:szCs w:val="24"/>
          <w:highlight w:val="none"/>
        </w:rPr>
        <w:t>2.6</w:t>
      </w:r>
      <w:r>
        <w:rPr>
          <w:b/>
          <w:bCs/>
          <w:color w:val="auto"/>
          <w:spacing w:val="79"/>
          <w:sz w:val="24"/>
          <w:szCs w:val="24"/>
          <w:highlight w:val="none"/>
        </w:rPr>
        <w:t xml:space="preserve"> </w:t>
      </w:r>
      <w:r>
        <w:rPr>
          <w:b/>
          <w:bCs/>
          <w:color w:val="auto"/>
          <w:spacing w:val="-4"/>
          <w:sz w:val="24"/>
          <w:szCs w:val="24"/>
          <w:highlight w:val="none"/>
        </w:rPr>
        <w:t>结算方式和付款条件</w:t>
      </w:r>
      <w:r>
        <w:rPr>
          <w:b/>
          <w:bCs/>
          <w:color w:val="auto"/>
          <w:sz w:val="24"/>
          <w:szCs w:val="24"/>
          <w:highlight w:val="none"/>
        </w:rPr>
        <w:t xml:space="preserve"> </w:t>
      </w:r>
      <w:r>
        <w:rPr>
          <w:rFonts w:ascii="新宋体" w:hAnsi="新宋体" w:eastAsia="新宋体" w:cs="新宋体"/>
          <w:color w:val="auto"/>
          <w:spacing w:val="-2"/>
          <w:sz w:val="24"/>
          <w:szCs w:val="24"/>
          <w:highlight w:val="none"/>
        </w:rPr>
        <w:t>详见</w:t>
      </w:r>
      <w:r>
        <w:rPr>
          <w:b/>
          <w:bCs/>
          <w:color w:val="auto"/>
          <w:spacing w:val="-2"/>
          <w:sz w:val="24"/>
          <w:szCs w:val="24"/>
          <w:highlight w:val="none"/>
          <w:u w:val="single" w:color="auto"/>
        </w:rPr>
        <w:t>合同专用条款</w:t>
      </w:r>
      <w:r>
        <w:rPr>
          <w:rFonts w:ascii="新宋体" w:hAnsi="新宋体" w:eastAsia="新宋体" w:cs="新宋体"/>
          <w:color w:val="auto"/>
          <w:spacing w:val="-2"/>
          <w:sz w:val="24"/>
          <w:szCs w:val="24"/>
          <w:highlight w:val="none"/>
        </w:rPr>
        <w:t>。</w:t>
      </w:r>
    </w:p>
    <w:p w14:paraId="2DE57756">
      <w:pPr>
        <w:pStyle w:val="4"/>
        <w:spacing w:before="147" w:line="188" w:lineRule="auto"/>
        <w:ind w:left="476"/>
        <w:rPr>
          <w:color w:val="auto"/>
          <w:sz w:val="24"/>
          <w:szCs w:val="24"/>
          <w:highlight w:val="none"/>
        </w:rPr>
      </w:pPr>
      <w:r>
        <w:rPr>
          <w:b/>
          <w:bCs/>
          <w:color w:val="auto"/>
          <w:spacing w:val="-3"/>
          <w:sz w:val="24"/>
          <w:szCs w:val="24"/>
          <w:highlight w:val="none"/>
        </w:rPr>
        <w:t>2.7</w:t>
      </w:r>
      <w:r>
        <w:rPr>
          <w:b/>
          <w:bCs/>
          <w:color w:val="auto"/>
          <w:spacing w:val="69"/>
          <w:sz w:val="24"/>
          <w:szCs w:val="24"/>
          <w:highlight w:val="none"/>
        </w:rPr>
        <w:t xml:space="preserve"> </w:t>
      </w:r>
      <w:r>
        <w:rPr>
          <w:b/>
          <w:bCs/>
          <w:color w:val="auto"/>
          <w:spacing w:val="-3"/>
          <w:sz w:val="24"/>
          <w:szCs w:val="24"/>
          <w:highlight w:val="none"/>
        </w:rPr>
        <w:t>技术资料和保密义务</w:t>
      </w:r>
    </w:p>
    <w:p w14:paraId="7EFB9E6E">
      <w:pPr>
        <w:spacing w:before="143" w:line="292" w:lineRule="auto"/>
        <w:ind w:right="111" w:firstLine="475"/>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乙方有权依据合同约定和项目需要，向甲方了解有关情况，调阅有关资</w:t>
      </w:r>
      <w:r>
        <w:rPr>
          <w:rFonts w:ascii="新宋体" w:hAnsi="新宋体" w:eastAsia="新宋体" w:cs="新宋体"/>
          <w:color w:val="auto"/>
          <w:spacing w:val="-3"/>
          <w:sz w:val="24"/>
          <w:szCs w:val="24"/>
          <w:highlight w:val="none"/>
        </w:rPr>
        <w:t>料等，甲方</w:t>
      </w:r>
      <w:r>
        <w:rPr>
          <w:rFonts w:ascii="新宋体" w:hAnsi="新宋体" w:eastAsia="新宋体" w:cs="新宋体"/>
          <w:color w:val="auto"/>
          <w:spacing w:val="-9"/>
          <w:sz w:val="24"/>
          <w:szCs w:val="24"/>
          <w:highlight w:val="none"/>
        </w:rPr>
        <w:t>应予积极配合；</w:t>
      </w:r>
    </w:p>
    <w:p w14:paraId="091E73C0">
      <w:pPr>
        <w:spacing w:before="175" w:line="223"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2.7.2</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3"/>
          <w:sz w:val="24"/>
          <w:szCs w:val="24"/>
          <w:highlight w:val="none"/>
        </w:rPr>
        <w:t>乙方有义务妥善保管和保护由甲方提供的前款信息和资料等；</w:t>
      </w:r>
    </w:p>
    <w:p w14:paraId="00896F14">
      <w:pPr>
        <w:spacing w:before="179" w:line="325" w:lineRule="auto"/>
        <w:ind w:right="111" w:firstLine="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2.7.3 除非依照法律规定或者对方当事人的书面同意，任何一</w:t>
      </w:r>
      <w:r>
        <w:rPr>
          <w:rFonts w:ascii="新宋体" w:hAnsi="新宋体" w:eastAsia="新宋体" w:cs="新宋体"/>
          <w:color w:val="auto"/>
          <w:spacing w:val="-2"/>
          <w:sz w:val="24"/>
          <w:szCs w:val="24"/>
          <w:highlight w:val="none"/>
        </w:rPr>
        <w:t>方均应保证不向任何第三方</w:t>
      </w:r>
      <w:r>
        <w:rPr>
          <w:rFonts w:ascii="新宋体" w:hAnsi="新宋体" w:eastAsia="新宋体" w:cs="新宋体"/>
          <w:color w:val="auto"/>
          <w:spacing w:val="-3"/>
          <w:sz w:val="24"/>
          <w:szCs w:val="24"/>
          <w:highlight w:val="none"/>
        </w:rPr>
        <w:t>提供或披露有关合同的或者履行合同过程中知悉的对方当事人任何未公开的信息和资料，包括</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但不限于技术情报、技术资料、商业秘密和商业信息等，并采取一切合理和必要措施和方式防</w:t>
      </w:r>
      <w:r>
        <w:rPr>
          <w:rFonts w:ascii="新宋体" w:hAnsi="新宋体" w:eastAsia="新宋体" w:cs="新宋体"/>
          <w:color w:val="auto"/>
          <w:spacing w:val="-2"/>
          <w:sz w:val="24"/>
          <w:szCs w:val="24"/>
          <w:highlight w:val="none"/>
        </w:rPr>
        <w:t>止任何第三方接触到对方当事人的上述保密信息和资料。</w:t>
      </w:r>
    </w:p>
    <w:p w14:paraId="3598B653">
      <w:pPr>
        <w:pStyle w:val="4"/>
        <w:spacing w:before="175" w:line="189" w:lineRule="auto"/>
        <w:ind w:left="476"/>
        <w:rPr>
          <w:color w:val="auto"/>
          <w:sz w:val="24"/>
          <w:szCs w:val="24"/>
          <w:highlight w:val="none"/>
        </w:rPr>
      </w:pPr>
      <w:r>
        <w:rPr>
          <w:b/>
          <w:bCs/>
          <w:color w:val="auto"/>
          <w:spacing w:val="-4"/>
          <w:sz w:val="24"/>
          <w:szCs w:val="24"/>
          <w:highlight w:val="none"/>
        </w:rPr>
        <w:t>2.8  质量保证</w:t>
      </w:r>
    </w:p>
    <w:p w14:paraId="11D072FA">
      <w:pPr>
        <w:spacing w:before="144" w:line="291" w:lineRule="auto"/>
        <w:ind w:left="25" w:firstLine="45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2.8.1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乙方应建立和完善履行合同的内部质量保证体系，并提供相关内部规章制</w:t>
      </w:r>
      <w:r>
        <w:rPr>
          <w:rFonts w:ascii="新宋体" w:hAnsi="新宋体" w:eastAsia="新宋体" w:cs="新宋体"/>
          <w:color w:val="auto"/>
          <w:spacing w:val="-6"/>
          <w:sz w:val="24"/>
          <w:szCs w:val="24"/>
          <w:highlight w:val="none"/>
        </w:rPr>
        <w:t>度给甲方，</w:t>
      </w:r>
      <w:r>
        <w:rPr>
          <w:rFonts w:ascii="新宋体" w:hAnsi="新宋体" w:eastAsia="新宋体" w:cs="新宋体"/>
          <w:color w:val="auto"/>
          <w:spacing w:val="-8"/>
          <w:sz w:val="24"/>
          <w:szCs w:val="24"/>
          <w:highlight w:val="none"/>
        </w:rPr>
        <w:t>以便甲方进行监督检查；</w:t>
      </w:r>
    </w:p>
    <w:p w14:paraId="322E8A7D">
      <w:pPr>
        <w:spacing w:before="177" w:line="291" w:lineRule="auto"/>
        <w:ind w:right="111" w:firstLine="47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2.8.2</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乙方应保证履行合同的人员数量和素质、软件和硬件设备的配置、场地</w:t>
      </w:r>
      <w:r>
        <w:rPr>
          <w:rFonts w:ascii="新宋体" w:hAnsi="新宋体" w:eastAsia="新宋体" w:cs="新宋体"/>
          <w:color w:val="auto"/>
          <w:spacing w:val="-3"/>
          <w:sz w:val="24"/>
          <w:szCs w:val="24"/>
          <w:highlight w:val="none"/>
        </w:rPr>
        <w:t>、环境和设</w:t>
      </w:r>
      <w:r>
        <w:rPr>
          <w:rFonts w:ascii="新宋体" w:hAnsi="新宋体" w:eastAsia="新宋体" w:cs="新宋体"/>
          <w:color w:val="auto"/>
          <w:spacing w:val="-2"/>
          <w:sz w:val="24"/>
          <w:szCs w:val="24"/>
          <w:highlight w:val="none"/>
        </w:rPr>
        <w:t>施等满足全面履行合同的要求，并应接受甲方的监督检查。</w:t>
      </w:r>
    </w:p>
    <w:p w14:paraId="1520E923">
      <w:pPr>
        <w:pStyle w:val="4"/>
        <w:spacing w:before="176" w:line="187" w:lineRule="auto"/>
        <w:ind w:left="476"/>
        <w:rPr>
          <w:color w:val="auto"/>
          <w:sz w:val="24"/>
          <w:szCs w:val="24"/>
          <w:highlight w:val="none"/>
        </w:rPr>
      </w:pPr>
      <w:r>
        <w:rPr>
          <w:b/>
          <w:bCs/>
          <w:color w:val="auto"/>
          <w:spacing w:val="-3"/>
          <w:sz w:val="24"/>
          <w:szCs w:val="24"/>
          <w:highlight w:val="none"/>
        </w:rPr>
        <w:t>2.9  货物的风险负担</w:t>
      </w:r>
    </w:p>
    <w:p w14:paraId="27FA46A3">
      <w:pPr>
        <w:pStyle w:val="4"/>
        <w:spacing w:before="145" w:line="271" w:lineRule="auto"/>
        <w:ind w:right="171" w:firstLine="48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货物或者在途货物或者交付给第一承运人后的货物毁损、灭失的风险负担详</w:t>
      </w:r>
      <w:r>
        <w:rPr>
          <w:rFonts w:ascii="新宋体" w:hAnsi="新宋体" w:eastAsia="新宋体" w:cs="新宋体"/>
          <w:color w:val="auto"/>
          <w:spacing w:val="-4"/>
          <w:sz w:val="24"/>
          <w:szCs w:val="24"/>
          <w:highlight w:val="none"/>
        </w:rPr>
        <w:t>见</w:t>
      </w:r>
      <w:r>
        <w:rPr>
          <w:b/>
          <w:bCs/>
          <w:color w:val="auto"/>
          <w:spacing w:val="-4"/>
          <w:sz w:val="24"/>
          <w:szCs w:val="24"/>
          <w:highlight w:val="none"/>
          <w:u w:val="single" w:color="auto"/>
        </w:rPr>
        <w:t>合同专用条</w:t>
      </w:r>
      <w:r>
        <w:rPr>
          <w:b/>
          <w:bCs/>
          <w:color w:val="auto"/>
          <w:spacing w:val="-8"/>
          <w:sz w:val="24"/>
          <w:szCs w:val="24"/>
          <w:highlight w:val="none"/>
          <w:u w:val="single" w:color="auto"/>
        </w:rPr>
        <w:t>款</w:t>
      </w:r>
      <w:r>
        <w:rPr>
          <w:rFonts w:ascii="新宋体" w:hAnsi="新宋体" w:eastAsia="新宋体" w:cs="新宋体"/>
          <w:color w:val="auto"/>
          <w:spacing w:val="-8"/>
          <w:sz w:val="24"/>
          <w:szCs w:val="24"/>
          <w:highlight w:val="none"/>
        </w:rPr>
        <w:t>。</w:t>
      </w:r>
    </w:p>
    <w:p w14:paraId="7AA5C233">
      <w:pPr>
        <w:pStyle w:val="4"/>
        <w:spacing w:before="6" w:line="188" w:lineRule="auto"/>
        <w:ind w:left="476"/>
        <w:rPr>
          <w:color w:val="auto"/>
          <w:sz w:val="24"/>
          <w:szCs w:val="24"/>
          <w:highlight w:val="none"/>
        </w:rPr>
      </w:pPr>
      <w:r>
        <w:rPr>
          <w:b/>
          <w:bCs/>
          <w:color w:val="auto"/>
          <w:spacing w:val="-7"/>
          <w:sz w:val="24"/>
          <w:szCs w:val="24"/>
          <w:highlight w:val="none"/>
        </w:rPr>
        <w:t>2.10</w:t>
      </w:r>
      <w:r>
        <w:rPr>
          <w:b/>
          <w:bCs/>
          <w:color w:val="auto"/>
          <w:spacing w:val="64"/>
          <w:sz w:val="24"/>
          <w:szCs w:val="24"/>
          <w:highlight w:val="none"/>
        </w:rPr>
        <w:t xml:space="preserve"> </w:t>
      </w:r>
      <w:r>
        <w:rPr>
          <w:b/>
          <w:bCs/>
          <w:color w:val="auto"/>
          <w:spacing w:val="-7"/>
          <w:sz w:val="24"/>
          <w:szCs w:val="24"/>
          <w:highlight w:val="none"/>
        </w:rPr>
        <w:t>延迟交货</w:t>
      </w:r>
    </w:p>
    <w:p w14:paraId="54A9ACD2">
      <w:pPr>
        <w:spacing w:line="188" w:lineRule="auto"/>
        <w:rPr>
          <w:color w:val="auto"/>
          <w:sz w:val="24"/>
          <w:szCs w:val="24"/>
          <w:highlight w:val="none"/>
        </w:rPr>
        <w:sectPr>
          <w:footerReference r:id="rId17" w:type="default"/>
          <w:pgSz w:w="11905" w:h="16839"/>
          <w:pgMar w:top="1440" w:right="1800" w:bottom="1440" w:left="1800" w:header="0" w:footer="1090" w:gutter="0"/>
          <w:pgNumType w:fmt="numberInDash"/>
          <w:cols w:space="720" w:num="1"/>
        </w:sectPr>
      </w:pPr>
    </w:p>
    <w:p w14:paraId="25D85079">
      <w:pPr>
        <w:spacing w:line="247" w:lineRule="auto"/>
        <w:rPr>
          <w:rFonts w:ascii="Arial"/>
          <w:color w:val="auto"/>
          <w:sz w:val="21"/>
          <w:highlight w:val="none"/>
        </w:rPr>
      </w:pPr>
    </w:p>
    <w:p w14:paraId="3D15E55F">
      <w:pPr>
        <w:spacing w:line="248" w:lineRule="auto"/>
        <w:rPr>
          <w:rFonts w:ascii="Arial"/>
          <w:color w:val="auto"/>
          <w:sz w:val="21"/>
          <w:highlight w:val="none"/>
        </w:rPr>
      </w:pPr>
    </w:p>
    <w:p w14:paraId="78C7F890">
      <w:pPr>
        <w:spacing w:line="248" w:lineRule="auto"/>
        <w:rPr>
          <w:rFonts w:ascii="Arial"/>
          <w:color w:val="auto"/>
          <w:sz w:val="21"/>
          <w:highlight w:val="none"/>
        </w:rPr>
      </w:pPr>
    </w:p>
    <w:p w14:paraId="79C3E9F0">
      <w:pPr>
        <w:spacing w:line="248" w:lineRule="auto"/>
        <w:rPr>
          <w:rFonts w:ascii="Arial"/>
          <w:color w:val="auto"/>
          <w:sz w:val="21"/>
          <w:highlight w:val="none"/>
        </w:rPr>
      </w:pPr>
    </w:p>
    <w:p w14:paraId="3F691ACE">
      <w:pPr>
        <w:spacing w:before="78" w:line="350" w:lineRule="auto"/>
        <w:ind w:left="11" w:right="66" w:firstLine="470"/>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在合同履行过程中，如果乙方遇到不能按时交付货物的情况，应及时以书面形式将</w:t>
      </w:r>
      <w:r>
        <w:rPr>
          <w:rFonts w:ascii="新宋体" w:hAnsi="新宋体" w:eastAsia="新宋体" w:cs="新宋体"/>
          <w:color w:val="auto"/>
          <w:spacing w:val="-4"/>
          <w:sz w:val="24"/>
          <w:szCs w:val="24"/>
          <w:highlight w:val="none"/>
        </w:rPr>
        <w:t>不能按</w:t>
      </w:r>
      <w:r>
        <w:rPr>
          <w:rFonts w:ascii="新宋体" w:hAnsi="新宋体" w:eastAsia="新宋体" w:cs="新宋体"/>
          <w:color w:val="auto"/>
          <w:spacing w:val="-3"/>
          <w:sz w:val="24"/>
          <w:szCs w:val="24"/>
          <w:highlight w:val="none"/>
        </w:rPr>
        <w:t>时交付货物的理由、预期延误时间通知甲方；甲方收到乙方通知后，认为其理</w:t>
      </w:r>
      <w:r>
        <w:rPr>
          <w:rFonts w:ascii="新宋体" w:hAnsi="新宋体" w:eastAsia="新宋体" w:cs="新宋体"/>
          <w:color w:val="auto"/>
          <w:spacing w:val="-4"/>
          <w:sz w:val="24"/>
          <w:szCs w:val="24"/>
          <w:highlight w:val="none"/>
        </w:rPr>
        <w:t>由正当的，可以</w:t>
      </w:r>
      <w:r>
        <w:rPr>
          <w:rFonts w:ascii="新宋体" w:hAnsi="新宋体" w:eastAsia="新宋体" w:cs="新宋体"/>
          <w:color w:val="auto"/>
          <w:spacing w:val="-3"/>
          <w:sz w:val="24"/>
          <w:szCs w:val="24"/>
          <w:highlight w:val="none"/>
        </w:rPr>
        <w:t>书面形式酌情同意乙方可以延长交货的具体时间。</w:t>
      </w:r>
    </w:p>
    <w:p w14:paraId="33BD392B">
      <w:pPr>
        <w:pStyle w:val="4"/>
        <w:spacing w:before="37" w:line="188" w:lineRule="auto"/>
        <w:ind w:left="475"/>
        <w:rPr>
          <w:color w:val="auto"/>
          <w:sz w:val="24"/>
          <w:szCs w:val="24"/>
          <w:highlight w:val="none"/>
        </w:rPr>
      </w:pPr>
      <w:r>
        <w:rPr>
          <w:b/>
          <w:bCs/>
          <w:color w:val="auto"/>
          <w:spacing w:val="-7"/>
          <w:sz w:val="24"/>
          <w:szCs w:val="24"/>
          <w:highlight w:val="none"/>
        </w:rPr>
        <w:t>2.11  合同变更</w:t>
      </w:r>
    </w:p>
    <w:p w14:paraId="43104394">
      <w:pPr>
        <w:spacing w:before="142" w:line="314"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2.11.1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双方当事人协商一致，可以签订书面补充合同的形式变更合同，但不得违背采购</w:t>
      </w:r>
      <w:r>
        <w:rPr>
          <w:rFonts w:ascii="新宋体" w:hAnsi="新宋体" w:eastAsia="新宋体" w:cs="新宋体"/>
          <w:color w:val="auto"/>
          <w:spacing w:val="-3"/>
          <w:sz w:val="24"/>
          <w:szCs w:val="24"/>
          <w:highlight w:val="none"/>
        </w:rPr>
        <w:t>文件确定的事项，且如果系追加与合同标的相同的货物的，那么所有补充合同的采购金额不得</w:t>
      </w:r>
      <w:r>
        <w:rPr>
          <w:rFonts w:ascii="新宋体" w:hAnsi="新宋体" w:eastAsia="新宋体" w:cs="新宋体"/>
          <w:color w:val="auto"/>
          <w:spacing w:val="-6"/>
          <w:sz w:val="24"/>
          <w:szCs w:val="24"/>
          <w:highlight w:val="none"/>
        </w:rPr>
        <w:t>超过原合同价的</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6"/>
          <w:sz w:val="24"/>
          <w:szCs w:val="24"/>
          <w:highlight w:val="none"/>
        </w:rPr>
        <w:t>10%；</w:t>
      </w:r>
    </w:p>
    <w:p w14:paraId="4F6DC3FB">
      <w:pPr>
        <w:spacing w:before="178" w:line="291" w:lineRule="auto"/>
        <w:ind w:left="2" w:right="66" w:firstLine="472"/>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2.11.2 合同继续履行将损害国家利益和社会公共利益的，双方当事人应当以书面形式变</w:t>
      </w:r>
      <w:r>
        <w:rPr>
          <w:rFonts w:ascii="新宋体" w:hAnsi="新宋体" w:eastAsia="新宋体" w:cs="新宋体"/>
          <w:color w:val="auto"/>
          <w:spacing w:val="-1"/>
          <w:sz w:val="24"/>
          <w:szCs w:val="24"/>
          <w:highlight w:val="none"/>
        </w:rPr>
        <w:t>更合同。有过错的一方应当承担赔偿责任，双方当事人都有过错的</w:t>
      </w:r>
      <w:r>
        <w:rPr>
          <w:rFonts w:ascii="新宋体" w:hAnsi="新宋体" w:eastAsia="新宋体" w:cs="新宋体"/>
          <w:color w:val="auto"/>
          <w:spacing w:val="-2"/>
          <w:sz w:val="24"/>
          <w:szCs w:val="24"/>
          <w:highlight w:val="none"/>
        </w:rPr>
        <w:t>，各自承担相应的责任。</w:t>
      </w:r>
    </w:p>
    <w:p w14:paraId="6A048018">
      <w:pPr>
        <w:pStyle w:val="4"/>
        <w:spacing w:before="176" w:line="188" w:lineRule="auto"/>
        <w:ind w:left="475"/>
        <w:rPr>
          <w:color w:val="auto"/>
          <w:sz w:val="24"/>
          <w:szCs w:val="24"/>
          <w:highlight w:val="none"/>
        </w:rPr>
      </w:pPr>
      <w:r>
        <w:rPr>
          <w:b/>
          <w:bCs/>
          <w:color w:val="auto"/>
          <w:spacing w:val="-5"/>
          <w:sz w:val="24"/>
          <w:szCs w:val="24"/>
          <w:highlight w:val="none"/>
        </w:rPr>
        <w:t>2.12  合同转让和分包</w:t>
      </w:r>
    </w:p>
    <w:p w14:paraId="522693B6">
      <w:pPr>
        <w:spacing w:before="145" w:line="352" w:lineRule="auto"/>
        <w:ind w:firstLine="486"/>
        <w:jc w:val="both"/>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合同的权利义务依法不得转让，但经甲方同意，</w:t>
      </w:r>
      <w:r>
        <w:rPr>
          <w:rFonts w:ascii="新宋体" w:hAnsi="新宋体" w:eastAsia="新宋体" w:cs="新宋体"/>
          <w:color w:val="auto"/>
          <w:spacing w:val="-8"/>
          <w:sz w:val="24"/>
          <w:szCs w:val="24"/>
          <w:highlight w:val="none"/>
        </w:rPr>
        <w:t>乙方可以依法采取分包方式履行合同，即：</w:t>
      </w:r>
      <w:r>
        <w:rPr>
          <w:rFonts w:ascii="新宋体" w:hAnsi="新宋体" w:eastAsia="新宋体" w:cs="新宋体"/>
          <w:color w:val="auto"/>
          <w:spacing w:val="-5"/>
          <w:sz w:val="24"/>
          <w:szCs w:val="24"/>
          <w:highlight w:val="none"/>
        </w:rPr>
        <w:t>依法可以将合同项下的部分非主体、非关键性工作分包给他人完成，接受分包的人应当具备相</w:t>
      </w:r>
      <w:r>
        <w:rPr>
          <w:rFonts w:ascii="新宋体" w:hAnsi="新宋体" w:eastAsia="新宋体" w:cs="新宋体"/>
          <w:color w:val="auto"/>
          <w:spacing w:val="-3"/>
          <w:sz w:val="24"/>
          <w:szCs w:val="24"/>
          <w:highlight w:val="none"/>
        </w:rPr>
        <w:t>应的资格条件，并不得再次分包，且乙方应就分包项目向甲方负责，并与分包供应商就分包项</w:t>
      </w:r>
      <w:r>
        <w:rPr>
          <w:rFonts w:ascii="新宋体" w:hAnsi="新宋体" w:eastAsia="新宋体" w:cs="新宋体"/>
          <w:color w:val="auto"/>
          <w:spacing w:val="-4"/>
          <w:sz w:val="24"/>
          <w:szCs w:val="24"/>
          <w:highlight w:val="none"/>
        </w:rPr>
        <w:t>目向甲方承担连带责任。</w:t>
      </w:r>
    </w:p>
    <w:p w14:paraId="5B8DD05E">
      <w:pPr>
        <w:pStyle w:val="4"/>
        <w:spacing w:before="36" w:line="188" w:lineRule="auto"/>
        <w:ind w:left="475"/>
        <w:rPr>
          <w:color w:val="auto"/>
          <w:sz w:val="24"/>
          <w:szCs w:val="24"/>
          <w:highlight w:val="none"/>
        </w:rPr>
      </w:pPr>
      <w:r>
        <w:rPr>
          <w:b/>
          <w:bCs/>
          <w:color w:val="auto"/>
          <w:spacing w:val="-7"/>
          <w:sz w:val="24"/>
          <w:szCs w:val="24"/>
          <w:highlight w:val="none"/>
        </w:rPr>
        <w:t>2.13  不可抗力</w:t>
      </w:r>
    </w:p>
    <w:p w14:paraId="757EA306">
      <w:pPr>
        <w:spacing w:before="146" w:line="291"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如果任何一方遭遇法律规定的不可抗力，致使合同履行受阻时，履行合同的期限</w:t>
      </w:r>
      <w:r>
        <w:rPr>
          <w:rFonts w:ascii="新宋体" w:hAnsi="新宋体" w:eastAsia="新宋体" w:cs="新宋体"/>
          <w:color w:val="auto"/>
          <w:spacing w:val="-3"/>
          <w:sz w:val="24"/>
          <w:szCs w:val="24"/>
          <w:highlight w:val="none"/>
        </w:rPr>
        <w:t>应予延长，延长的期限应相当于不可抗力所影响的时间；</w:t>
      </w:r>
    </w:p>
    <w:p w14:paraId="7A5BCF46">
      <w:pPr>
        <w:spacing w:before="175" w:line="224" w:lineRule="auto"/>
        <w:ind w:left="47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2.13.2</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3"/>
          <w:sz w:val="24"/>
          <w:szCs w:val="24"/>
          <w:highlight w:val="none"/>
        </w:rPr>
        <w:t>因不可抗力致使不能实现合同目的的，当事人可以解除</w:t>
      </w:r>
      <w:r>
        <w:rPr>
          <w:rFonts w:ascii="新宋体" w:hAnsi="新宋体" w:eastAsia="新宋体" w:cs="新宋体"/>
          <w:color w:val="auto"/>
          <w:spacing w:val="-4"/>
          <w:sz w:val="24"/>
          <w:szCs w:val="24"/>
          <w:highlight w:val="none"/>
        </w:rPr>
        <w:t>合同；</w:t>
      </w:r>
    </w:p>
    <w:p w14:paraId="0D6AEA66">
      <w:pPr>
        <w:pStyle w:val="4"/>
        <w:spacing w:before="176" w:line="251" w:lineRule="auto"/>
        <w:ind w:left="11" w:right="66" w:firstLine="46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2.13.3</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1"/>
          <w:sz w:val="24"/>
          <w:szCs w:val="24"/>
          <w:highlight w:val="none"/>
        </w:rPr>
        <w:t>因不可抗力致使合同有变更必要的，双方当事人应在</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约定时间内以</w:t>
      </w:r>
      <w:r>
        <w:rPr>
          <w:rFonts w:ascii="新宋体" w:hAnsi="新宋体" w:eastAsia="新宋体" w:cs="新宋体"/>
          <w:color w:val="auto"/>
          <w:spacing w:val="-8"/>
          <w:sz w:val="24"/>
          <w:szCs w:val="24"/>
          <w:highlight w:val="none"/>
        </w:rPr>
        <w:t>书面形式变更合同；</w:t>
      </w:r>
    </w:p>
    <w:p w14:paraId="33F50458">
      <w:pPr>
        <w:pStyle w:val="4"/>
        <w:spacing w:before="177" w:line="259"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2.13.4</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1"/>
          <w:sz w:val="24"/>
          <w:szCs w:val="24"/>
          <w:highlight w:val="none"/>
        </w:rPr>
        <w:t>受不可抗力影响的一方在不可抗力发生后，应在</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约定时</w:t>
      </w:r>
      <w:r>
        <w:rPr>
          <w:rFonts w:ascii="新宋体" w:hAnsi="新宋体" w:eastAsia="新宋体" w:cs="新宋体"/>
          <w:color w:val="auto"/>
          <w:sz w:val="24"/>
          <w:szCs w:val="24"/>
          <w:highlight w:val="none"/>
        </w:rPr>
        <w:t>间内以书面</w:t>
      </w:r>
      <w:r>
        <w:rPr>
          <w:rFonts w:ascii="新宋体" w:hAnsi="新宋体" w:eastAsia="新宋体" w:cs="新宋体"/>
          <w:color w:val="auto"/>
          <w:spacing w:val="-3"/>
          <w:sz w:val="24"/>
          <w:szCs w:val="24"/>
          <w:highlight w:val="none"/>
        </w:rPr>
        <w:t>形式通知对方当事人，并在</w:t>
      </w:r>
      <w:r>
        <w:rPr>
          <w:b/>
          <w:bCs/>
          <w:color w:val="auto"/>
          <w:spacing w:val="-3"/>
          <w:sz w:val="24"/>
          <w:szCs w:val="24"/>
          <w:highlight w:val="none"/>
          <w:u w:val="single" w:color="auto"/>
        </w:rPr>
        <w:t>合同专用条款</w:t>
      </w:r>
      <w:r>
        <w:rPr>
          <w:rFonts w:ascii="新宋体" w:hAnsi="新宋体" w:eastAsia="新宋体" w:cs="新宋体"/>
          <w:color w:val="auto"/>
          <w:spacing w:val="-3"/>
          <w:sz w:val="24"/>
          <w:szCs w:val="24"/>
          <w:highlight w:val="none"/>
        </w:rPr>
        <w:t>约定时间内，将有关部门出具的证明文件送达对方当</w:t>
      </w:r>
      <w:r>
        <w:rPr>
          <w:rFonts w:ascii="新宋体" w:hAnsi="新宋体" w:eastAsia="新宋体" w:cs="新宋体"/>
          <w:color w:val="auto"/>
          <w:spacing w:val="-11"/>
          <w:sz w:val="24"/>
          <w:szCs w:val="24"/>
          <w:highlight w:val="none"/>
        </w:rPr>
        <w:t>事人。</w:t>
      </w:r>
    </w:p>
    <w:p w14:paraId="0B262607">
      <w:pPr>
        <w:pStyle w:val="4"/>
        <w:spacing w:before="176" w:line="187" w:lineRule="auto"/>
        <w:ind w:left="475"/>
        <w:rPr>
          <w:color w:val="auto"/>
          <w:sz w:val="24"/>
          <w:szCs w:val="24"/>
          <w:highlight w:val="none"/>
        </w:rPr>
      </w:pPr>
      <w:r>
        <w:rPr>
          <w:b/>
          <w:bCs/>
          <w:color w:val="auto"/>
          <w:spacing w:val="-8"/>
          <w:sz w:val="24"/>
          <w:szCs w:val="24"/>
          <w:highlight w:val="none"/>
        </w:rPr>
        <w:t>2.14  税费</w:t>
      </w:r>
    </w:p>
    <w:p w14:paraId="1FFED1B3">
      <w:pPr>
        <w:spacing w:before="145" w:line="224" w:lineRule="auto"/>
        <w:ind w:left="48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与合同有关的一切税费，均按照中华人民共和国法律的相关规定。</w:t>
      </w:r>
    </w:p>
    <w:p w14:paraId="329155E5">
      <w:pPr>
        <w:pStyle w:val="4"/>
        <w:spacing w:before="176" w:line="188" w:lineRule="auto"/>
        <w:ind w:left="475"/>
        <w:rPr>
          <w:color w:val="auto"/>
          <w:sz w:val="24"/>
          <w:szCs w:val="24"/>
          <w:highlight w:val="none"/>
        </w:rPr>
      </w:pPr>
      <w:r>
        <w:rPr>
          <w:b/>
          <w:bCs/>
          <w:color w:val="auto"/>
          <w:spacing w:val="-9"/>
          <w:sz w:val="24"/>
          <w:szCs w:val="24"/>
          <w:highlight w:val="none"/>
        </w:rPr>
        <w:t>2.15</w:t>
      </w:r>
      <w:r>
        <w:rPr>
          <w:b/>
          <w:bCs/>
          <w:color w:val="auto"/>
          <w:spacing w:val="6"/>
          <w:sz w:val="24"/>
          <w:szCs w:val="24"/>
          <w:highlight w:val="none"/>
        </w:rPr>
        <w:t xml:space="preserve">  </w:t>
      </w:r>
      <w:r>
        <w:rPr>
          <w:b/>
          <w:bCs/>
          <w:color w:val="auto"/>
          <w:spacing w:val="-9"/>
          <w:sz w:val="24"/>
          <w:szCs w:val="24"/>
          <w:highlight w:val="none"/>
        </w:rPr>
        <w:t>乙方破产</w:t>
      </w:r>
    </w:p>
    <w:p w14:paraId="3756089A">
      <w:pPr>
        <w:spacing w:before="143" w:line="350" w:lineRule="auto"/>
        <w:ind w:right="66"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如果乙方破产导致合同无法履行时，甲方可以书面形式通知乙方终止合同且不给予</w:t>
      </w:r>
      <w:r>
        <w:rPr>
          <w:rFonts w:ascii="新宋体" w:hAnsi="新宋体" w:eastAsia="新宋体" w:cs="新宋体"/>
          <w:color w:val="auto"/>
          <w:spacing w:val="-4"/>
          <w:sz w:val="24"/>
          <w:szCs w:val="24"/>
          <w:highlight w:val="none"/>
        </w:rPr>
        <w:t>乙方任</w:t>
      </w:r>
      <w:r>
        <w:rPr>
          <w:rFonts w:ascii="新宋体" w:hAnsi="新宋体" w:eastAsia="新宋体" w:cs="新宋体"/>
          <w:color w:val="auto"/>
          <w:spacing w:val="-3"/>
          <w:sz w:val="24"/>
          <w:szCs w:val="24"/>
          <w:highlight w:val="none"/>
        </w:rPr>
        <w:t>何补偿和赔偿，但合同的终止不损害或不影响甲方已经采取或将要采取的任何要求乙方支付违约金、赔偿损失等的行动或补救措施的权利。</w:t>
      </w:r>
    </w:p>
    <w:p w14:paraId="7224D7A4">
      <w:pPr>
        <w:pStyle w:val="4"/>
        <w:spacing w:before="37" w:line="188" w:lineRule="auto"/>
        <w:ind w:left="475"/>
        <w:rPr>
          <w:rFonts w:ascii="Arial"/>
          <w:color w:val="auto"/>
          <w:sz w:val="21"/>
          <w:highlight w:val="none"/>
        </w:rPr>
      </w:pPr>
      <w:r>
        <w:rPr>
          <w:b/>
          <w:bCs/>
          <w:color w:val="auto"/>
          <w:spacing w:val="-5"/>
          <w:sz w:val="24"/>
          <w:szCs w:val="24"/>
          <w:highlight w:val="none"/>
        </w:rPr>
        <w:t>2.16  合同中止、终止</w:t>
      </w:r>
    </w:p>
    <w:p w14:paraId="3FF993CA">
      <w:pPr>
        <w:spacing w:line="248" w:lineRule="auto"/>
        <w:rPr>
          <w:rFonts w:ascii="Arial"/>
          <w:color w:val="auto"/>
          <w:sz w:val="21"/>
          <w:highlight w:val="none"/>
        </w:rPr>
      </w:pPr>
    </w:p>
    <w:p w14:paraId="5197F1F6">
      <w:pPr>
        <w:spacing w:before="78"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2.16.1 双方当事人不得擅自中止或者终止合同；</w:t>
      </w:r>
    </w:p>
    <w:p w14:paraId="60CBB718">
      <w:pPr>
        <w:spacing w:before="177" w:line="291" w:lineRule="auto"/>
        <w:ind w:left="7" w:right="183" w:firstLine="46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2.16.2</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合同继续履行将损害国家利益和社会公共利益的，双方当事人应当中止或者终止</w:t>
      </w:r>
      <w:r>
        <w:rPr>
          <w:rFonts w:ascii="新宋体" w:hAnsi="新宋体" w:eastAsia="新宋体" w:cs="新宋体"/>
          <w:color w:val="auto"/>
          <w:spacing w:val="-1"/>
          <w:sz w:val="24"/>
          <w:szCs w:val="24"/>
          <w:highlight w:val="none"/>
        </w:rPr>
        <w:t>合同。有过错的一方应当承担赔偿责任，双方当事人</w:t>
      </w:r>
      <w:r>
        <w:rPr>
          <w:rFonts w:ascii="新宋体" w:hAnsi="新宋体" w:eastAsia="新宋体" w:cs="新宋体"/>
          <w:color w:val="auto"/>
          <w:spacing w:val="-2"/>
          <w:sz w:val="24"/>
          <w:szCs w:val="24"/>
          <w:highlight w:val="none"/>
        </w:rPr>
        <w:t>都有过错的，各自承担相应的责任。</w:t>
      </w:r>
    </w:p>
    <w:p w14:paraId="6D7752D5">
      <w:pPr>
        <w:pStyle w:val="4"/>
        <w:spacing w:before="176" w:line="188" w:lineRule="auto"/>
        <w:ind w:left="476"/>
        <w:rPr>
          <w:color w:val="auto"/>
          <w:sz w:val="24"/>
          <w:szCs w:val="24"/>
          <w:highlight w:val="none"/>
        </w:rPr>
      </w:pPr>
      <w:r>
        <w:rPr>
          <w:b/>
          <w:bCs/>
          <w:color w:val="auto"/>
          <w:spacing w:val="-7"/>
          <w:sz w:val="24"/>
          <w:szCs w:val="24"/>
          <w:highlight w:val="none"/>
        </w:rPr>
        <w:t>2.17</w:t>
      </w:r>
      <w:r>
        <w:rPr>
          <w:b/>
          <w:bCs/>
          <w:color w:val="auto"/>
          <w:spacing w:val="70"/>
          <w:sz w:val="24"/>
          <w:szCs w:val="24"/>
          <w:highlight w:val="none"/>
        </w:rPr>
        <w:t xml:space="preserve"> </w:t>
      </w:r>
      <w:r>
        <w:rPr>
          <w:b/>
          <w:bCs/>
          <w:color w:val="auto"/>
          <w:spacing w:val="-7"/>
          <w:sz w:val="24"/>
          <w:szCs w:val="24"/>
          <w:highlight w:val="none"/>
        </w:rPr>
        <w:t>检验和验收</w:t>
      </w:r>
    </w:p>
    <w:p w14:paraId="2675C471">
      <w:pPr>
        <w:pStyle w:val="4"/>
        <w:spacing w:before="141" w:line="284" w:lineRule="auto"/>
        <w:ind w:left="3" w:right="112" w:firstLine="47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2.17.1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货物交付前，乙方应对货物的质量、数量等方面进行详细、全面的检验，并向甲</w:t>
      </w:r>
      <w:r>
        <w:rPr>
          <w:rFonts w:ascii="新宋体" w:hAnsi="新宋体" w:eastAsia="新宋体" w:cs="新宋体"/>
          <w:color w:val="auto"/>
          <w:spacing w:val="-7"/>
          <w:sz w:val="24"/>
          <w:szCs w:val="24"/>
          <w:highlight w:val="none"/>
        </w:rPr>
        <w:t>方出具证明货物符合合同约定的文件；货物交付时，乙方在</w:t>
      </w:r>
      <w:r>
        <w:rPr>
          <w:b/>
          <w:bCs/>
          <w:color w:val="auto"/>
          <w:spacing w:val="-7"/>
          <w:sz w:val="24"/>
          <w:szCs w:val="24"/>
          <w:highlight w:val="none"/>
          <w:u w:val="single" w:color="auto"/>
        </w:rPr>
        <w:t>合同专用条款</w:t>
      </w:r>
      <w:r>
        <w:rPr>
          <w:rFonts w:ascii="新宋体" w:hAnsi="新宋体" w:eastAsia="新宋体" w:cs="新宋体"/>
          <w:color w:val="auto"/>
          <w:spacing w:val="-7"/>
          <w:sz w:val="24"/>
          <w:szCs w:val="24"/>
          <w:highlight w:val="none"/>
        </w:rPr>
        <w:t>约定时间内组织验收，</w:t>
      </w:r>
      <w:r>
        <w:rPr>
          <w:rFonts w:ascii="新宋体" w:hAnsi="新宋体" w:eastAsia="新宋体" w:cs="新宋体"/>
          <w:color w:val="auto"/>
          <w:spacing w:val="-3"/>
          <w:sz w:val="24"/>
          <w:szCs w:val="24"/>
          <w:highlight w:val="none"/>
        </w:rPr>
        <w:t>并可依法邀请相关方参加，验收应出具验收书。</w:t>
      </w:r>
    </w:p>
    <w:p w14:paraId="021D8D63">
      <w:pPr>
        <w:spacing w:before="175" w:line="314" w:lineRule="auto"/>
        <w:ind w:right="101" w:firstLine="476"/>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2.17.2</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z w:val="24"/>
          <w:szCs w:val="24"/>
          <w:highlight w:val="none"/>
        </w:rPr>
        <w:t>合同期满或者履行完毕后，</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z w:val="24"/>
          <w:szCs w:val="24"/>
          <w:highlight w:val="none"/>
        </w:rPr>
        <w:t>甲方有权组织（包括依法邀</w:t>
      </w:r>
      <w:r>
        <w:rPr>
          <w:rFonts w:ascii="新宋体" w:hAnsi="新宋体" w:eastAsia="新宋体" w:cs="新宋体"/>
          <w:color w:val="auto"/>
          <w:spacing w:val="-1"/>
          <w:sz w:val="24"/>
          <w:szCs w:val="24"/>
          <w:highlight w:val="none"/>
        </w:rPr>
        <w:t>请国家认可的质量检测机</w:t>
      </w:r>
      <w:r>
        <w:rPr>
          <w:rFonts w:ascii="新宋体" w:hAnsi="新宋体" w:eastAsia="新宋体" w:cs="新宋体"/>
          <w:color w:val="auto"/>
          <w:spacing w:val="-11"/>
          <w:sz w:val="24"/>
          <w:szCs w:val="24"/>
          <w:highlight w:val="none"/>
        </w:rPr>
        <w:t>构参加）对乙方履约的验收，即：按照合同约定的技术、服务、安全标准，组织对每一项技术、</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服务、安全标准的履约情况的验收，并出具验收书。</w:t>
      </w:r>
    </w:p>
    <w:p w14:paraId="1D5A830D">
      <w:pPr>
        <w:pStyle w:val="4"/>
        <w:spacing w:before="177" w:line="187" w:lineRule="auto"/>
        <w:ind w:left="476"/>
        <w:rPr>
          <w:b/>
          <w:bCs/>
          <w:color w:val="auto"/>
          <w:spacing w:val="-1"/>
          <w:sz w:val="24"/>
          <w:szCs w:val="24"/>
          <w:highlight w:val="none"/>
          <w:u w:val="single" w:color="auto"/>
        </w:rPr>
      </w:pPr>
      <w:r>
        <w:rPr>
          <w:rFonts w:ascii="新宋体" w:hAnsi="新宋体" w:eastAsia="新宋体" w:cs="新宋体"/>
          <w:color w:val="auto"/>
          <w:sz w:val="24"/>
          <w:szCs w:val="24"/>
          <w:highlight w:val="none"/>
        </w:rPr>
        <w:t>2.17.3 检验和验收标准、程序等具体内容以及前述验收</w:t>
      </w:r>
      <w:r>
        <w:rPr>
          <w:rFonts w:ascii="新宋体" w:hAnsi="新宋体" w:eastAsia="新宋体" w:cs="新宋体"/>
          <w:color w:val="auto"/>
          <w:spacing w:val="-1"/>
          <w:sz w:val="24"/>
          <w:szCs w:val="24"/>
          <w:highlight w:val="none"/>
        </w:rPr>
        <w:t>书的效力详见</w:t>
      </w:r>
      <w:r>
        <w:rPr>
          <w:b/>
          <w:bCs/>
          <w:color w:val="auto"/>
          <w:spacing w:val="-1"/>
          <w:sz w:val="24"/>
          <w:szCs w:val="24"/>
          <w:highlight w:val="none"/>
          <w:u w:val="single" w:color="auto"/>
        </w:rPr>
        <w:t>合同</w:t>
      </w:r>
    </w:p>
    <w:p w14:paraId="2B65350D">
      <w:pPr>
        <w:pStyle w:val="4"/>
        <w:spacing w:before="177" w:line="187" w:lineRule="auto"/>
        <w:rPr>
          <w:rFonts w:ascii="新宋体" w:hAnsi="新宋体" w:eastAsia="新宋体" w:cs="新宋体"/>
          <w:color w:val="auto"/>
          <w:sz w:val="24"/>
          <w:szCs w:val="24"/>
          <w:highlight w:val="none"/>
        </w:rPr>
      </w:pPr>
      <w:r>
        <w:rPr>
          <w:b/>
          <w:bCs/>
          <w:color w:val="auto"/>
          <w:spacing w:val="-1"/>
          <w:sz w:val="24"/>
          <w:szCs w:val="24"/>
          <w:highlight w:val="none"/>
          <w:u w:val="single" w:color="auto"/>
        </w:rPr>
        <w:t>专用条款</w:t>
      </w:r>
      <w:r>
        <w:rPr>
          <w:rFonts w:ascii="新宋体" w:hAnsi="新宋体" w:eastAsia="新宋体" w:cs="新宋体"/>
          <w:color w:val="auto"/>
          <w:spacing w:val="-1"/>
          <w:sz w:val="24"/>
          <w:szCs w:val="24"/>
          <w:highlight w:val="none"/>
        </w:rPr>
        <w:t>。</w:t>
      </w:r>
    </w:p>
    <w:p w14:paraId="5645AC87">
      <w:pPr>
        <w:pStyle w:val="4"/>
        <w:spacing w:before="146" w:line="188" w:lineRule="auto"/>
        <w:ind w:left="476"/>
        <w:rPr>
          <w:color w:val="auto"/>
          <w:sz w:val="24"/>
          <w:szCs w:val="24"/>
          <w:highlight w:val="none"/>
        </w:rPr>
      </w:pPr>
      <w:r>
        <w:rPr>
          <w:b/>
          <w:bCs/>
          <w:color w:val="auto"/>
          <w:spacing w:val="-6"/>
          <w:sz w:val="24"/>
          <w:szCs w:val="24"/>
          <w:highlight w:val="none"/>
        </w:rPr>
        <w:t>2.18  通知和送达</w:t>
      </w:r>
    </w:p>
    <w:p w14:paraId="6EF9EAFB">
      <w:pPr>
        <w:spacing w:before="146" w:line="325" w:lineRule="auto"/>
        <w:ind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2.18.1 任何一方因履行合同而以合同第一</w:t>
      </w:r>
      <w:r>
        <w:rPr>
          <w:rFonts w:ascii="新宋体" w:hAnsi="新宋体" w:eastAsia="新宋体" w:cs="新宋体"/>
          <w:color w:val="auto"/>
          <w:spacing w:val="-2"/>
          <w:sz w:val="24"/>
          <w:szCs w:val="24"/>
          <w:highlight w:val="none"/>
        </w:rPr>
        <w:t>部分尾部所列明的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7"/>
          <w:sz w:val="24"/>
          <w:szCs w:val="24"/>
          <w:highlight w:val="none"/>
        </w:rPr>
        <w:t xml:space="preserve"> </w:t>
      </w:r>
      <w:r>
        <w:rPr>
          <w:rFonts w:ascii="新宋体" w:hAnsi="新宋体" w:eastAsia="新宋体" w:cs="新宋体"/>
          <w:color w:val="auto"/>
          <w:spacing w:val="-2"/>
          <w:sz w:val="24"/>
          <w:szCs w:val="24"/>
          <w:highlight w:val="none"/>
        </w:rPr>
        <w:t>发出的所有通知、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文件、材料，均视为已向对方当事人送达；任何一方变更上述送达方式或者地址的，应于</w:t>
      </w:r>
      <w:r>
        <w:rPr>
          <w:rFonts w:ascii="新宋体" w:hAnsi="新宋体" w:eastAsia="新宋体" w:cs="新宋体"/>
          <w:color w:val="auto"/>
          <w:spacing w:val="-3"/>
          <w:sz w:val="24"/>
          <w:szCs w:val="24"/>
          <w:highlight w:val="none"/>
        </w:rPr>
        <w:t>个工作日内书面通知对方当事人，在对方当事人收到有关变更通知之前，变更前的约定送达方</w:t>
      </w:r>
      <w:r>
        <w:rPr>
          <w:rFonts w:ascii="新宋体" w:hAnsi="新宋体" w:eastAsia="新宋体" w:cs="新宋体"/>
          <w:color w:val="auto"/>
          <w:spacing w:val="-4"/>
          <w:sz w:val="24"/>
          <w:szCs w:val="24"/>
          <w:highlight w:val="none"/>
        </w:rPr>
        <w:t>式或者地址仍视为有效。</w:t>
      </w:r>
    </w:p>
    <w:p w14:paraId="0B6D254F">
      <w:pPr>
        <w:spacing w:before="176" w:line="314" w:lineRule="auto"/>
        <w:ind w:left="6" w:right="182" w:firstLine="469"/>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2.18.2 以当面交付方式送达的，交付之时视为送达；以电子邮件方式送达的，发出电子</w:t>
      </w:r>
      <w:r>
        <w:rPr>
          <w:rFonts w:ascii="新宋体" w:hAnsi="新宋体" w:eastAsia="新宋体" w:cs="新宋体"/>
          <w:color w:val="auto"/>
          <w:spacing w:val="-3"/>
          <w:sz w:val="24"/>
          <w:szCs w:val="24"/>
          <w:highlight w:val="none"/>
        </w:rPr>
        <w:t>邮件之时视为送达；以传真方式送达的，发出传真之时视为送达；以邮寄方式送达的，邮件挂号寄出或者交邮之日之次日视为送达。</w:t>
      </w:r>
    </w:p>
    <w:p w14:paraId="5C208794">
      <w:pPr>
        <w:pStyle w:val="4"/>
        <w:spacing w:before="176" w:line="188" w:lineRule="auto"/>
        <w:ind w:left="476"/>
        <w:rPr>
          <w:color w:val="auto"/>
          <w:sz w:val="24"/>
          <w:szCs w:val="24"/>
          <w:highlight w:val="none"/>
        </w:rPr>
      </w:pPr>
      <w:r>
        <w:rPr>
          <w:b/>
          <w:bCs/>
          <w:color w:val="auto"/>
          <w:spacing w:val="-7"/>
          <w:sz w:val="24"/>
          <w:szCs w:val="24"/>
          <w:highlight w:val="none"/>
        </w:rPr>
        <w:t>2.19</w:t>
      </w:r>
      <w:r>
        <w:rPr>
          <w:b/>
          <w:bCs/>
          <w:color w:val="auto"/>
          <w:spacing w:val="64"/>
          <w:sz w:val="24"/>
          <w:szCs w:val="24"/>
          <w:highlight w:val="none"/>
        </w:rPr>
        <w:t xml:space="preserve"> </w:t>
      </w:r>
      <w:r>
        <w:rPr>
          <w:b/>
          <w:bCs/>
          <w:color w:val="auto"/>
          <w:spacing w:val="-7"/>
          <w:sz w:val="24"/>
          <w:szCs w:val="24"/>
          <w:highlight w:val="none"/>
        </w:rPr>
        <w:t>计量单位</w:t>
      </w:r>
    </w:p>
    <w:p w14:paraId="730C3960">
      <w:pPr>
        <w:spacing w:before="144" w:line="221" w:lineRule="auto"/>
        <w:ind w:left="49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除技术规范中另有规定外,合同的计量单位均使用国家法定计量单位。</w:t>
      </w:r>
    </w:p>
    <w:p w14:paraId="4CBB35A9">
      <w:pPr>
        <w:pStyle w:val="4"/>
        <w:spacing w:before="179" w:line="188" w:lineRule="auto"/>
        <w:ind w:left="476"/>
        <w:rPr>
          <w:color w:val="auto"/>
          <w:sz w:val="24"/>
          <w:szCs w:val="24"/>
          <w:highlight w:val="none"/>
        </w:rPr>
      </w:pPr>
      <w:r>
        <w:rPr>
          <w:b/>
          <w:bCs/>
          <w:color w:val="auto"/>
          <w:spacing w:val="-4"/>
          <w:sz w:val="24"/>
          <w:szCs w:val="24"/>
          <w:highlight w:val="none"/>
        </w:rPr>
        <w:t>2.20  合同使用的文字和适用的法律</w:t>
      </w:r>
    </w:p>
    <w:p w14:paraId="5BD30868">
      <w:pPr>
        <w:spacing w:before="145" w:line="223"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2.20.1 合同使用汉语书就、变更和解释；</w:t>
      </w:r>
    </w:p>
    <w:p w14:paraId="61CF4841">
      <w:pPr>
        <w:spacing w:before="176"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2.20.2 合同适用中华人民共和国法律。</w:t>
      </w:r>
    </w:p>
    <w:p w14:paraId="2000EB39">
      <w:pPr>
        <w:pStyle w:val="4"/>
        <w:spacing w:before="177" w:line="187" w:lineRule="auto"/>
        <w:ind w:left="476"/>
        <w:rPr>
          <w:color w:val="auto"/>
          <w:sz w:val="24"/>
          <w:szCs w:val="24"/>
          <w:highlight w:val="none"/>
        </w:rPr>
      </w:pPr>
      <w:r>
        <w:rPr>
          <w:b/>
          <w:bCs/>
          <w:color w:val="auto"/>
          <w:spacing w:val="-6"/>
          <w:sz w:val="24"/>
          <w:szCs w:val="24"/>
          <w:highlight w:val="none"/>
        </w:rPr>
        <w:t>2.21  履约保证金</w:t>
      </w:r>
    </w:p>
    <w:p w14:paraId="2A0B2572">
      <w:pPr>
        <w:pStyle w:val="4"/>
        <w:spacing w:before="147" w:line="316" w:lineRule="auto"/>
        <w:ind w:left="4" w:right="182" w:firstLine="471"/>
        <w:jc w:val="both"/>
        <w:rPr>
          <w:rFonts w:ascii="Arial"/>
          <w:color w:val="auto"/>
          <w:sz w:val="21"/>
          <w:highlight w:val="none"/>
        </w:rPr>
      </w:pPr>
      <w:r>
        <w:rPr>
          <w:rFonts w:ascii="新宋体" w:hAnsi="新宋体" w:eastAsia="新宋体" w:cs="新宋体"/>
          <w:color w:val="auto"/>
          <w:sz w:val="24"/>
          <w:szCs w:val="24"/>
          <w:highlight w:val="none"/>
        </w:rPr>
        <w:t>2.21.1 采购文件要求乙方提交履约保证金的，乙方应按</w:t>
      </w:r>
      <w:r>
        <w:rPr>
          <w:b/>
          <w:bCs/>
          <w:color w:val="auto"/>
          <w:sz w:val="24"/>
          <w:szCs w:val="24"/>
          <w:highlight w:val="none"/>
          <w:u w:val="single" w:color="auto"/>
        </w:rPr>
        <w:t>合同专用条款</w:t>
      </w:r>
      <w:r>
        <w:rPr>
          <w:rFonts w:ascii="新宋体" w:hAnsi="新宋体" w:eastAsia="新宋体" w:cs="新宋体"/>
          <w:color w:val="auto"/>
          <w:sz w:val="24"/>
          <w:szCs w:val="24"/>
          <w:highlight w:val="none"/>
        </w:rPr>
        <w:t>约定的方式，以支</w:t>
      </w:r>
      <w:r>
        <w:rPr>
          <w:rFonts w:ascii="新宋体" w:hAnsi="新宋体" w:eastAsia="新宋体" w:cs="新宋体"/>
          <w:color w:val="auto"/>
          <w:spacing w:val="-6"/>
          <w:sz w:val="24"/>
          <w:szCs w:val="24"/>
          <w:highlight w:val="none"/>
        </w:rPr>
        <w:t>票、汇票、本票或者金融机构、担保机构出具的保函等非现金形</w:t>
      </w:r>
      <w:r>
        <w:rPr>
          <w:rFonts w:ascii="新宋体" w:hAnsi="新宋体" w:eastAsia="新宋体" w:cs="新宋体"/>
          <w:color w:val="auto"/>
          <w:spacing w:val="-7"/>
          <w:sz w:val="24"/>
          <w:szCs w:val="24"/>
          <w:highlight w:val="none"/>
        </w:rPr>
        <w:t>式，提交不超过合同价10%的</w:t>
      </w:r>
      <w:r>
        <w:rPr>
          <w:rFonts w:ascii="新宋体" w:hAnsi="新宋体" w:eastAsia="新宋体" w:cs="新宋体"/>
          <w:color w:val="auto"/>
          <w:spacing w:val="-11"/>
          <w:sz w:val="24"/>
          <w:szCs w:val="24"/>
          <w:highlight w:val="none"/>
        </w:rPr>
        <w:t>履约保证金；</w:t>
      </w:r>
    </w:p>
    <w:p w14:paraId="4575C97C">
      <w:pPr>
        <w:pStyle w:val="4"/>
        <w:spacing w:before="103" w:line="284" w:lineRule="auto"/>
        <w:ind w:firstLine="475"/>
        <w:rPr>
          <w:rFonts w:ascii="新宋体" w:hAnsi="新宋体" w:eastAsia="新宋体" w:cs="新宋体"/>
          <w:color w:val="auto"/>
          <w:sz w:val="24"/>
          <w:szCs w:val="24"/>
          <w:highlight w:val="none"/>
        </w:rPr>
      </w:pPr>
      <w:bookmarkStart w:id="14" w:name="bookmark13"/>
      <w:bookmarkEnd w:id="14"/>
      <w:r>
        <w:rPr>
          <w:rFonts w:ascii="新宋体" w:hAnsi="新宋体" w:eastAsia="新宋体" w:cs="新宋体"/>
          <w:color w:val="auto"/>
          <w:sz w:val="24"/>
          <w:szCs w:val="24"/>
          <w:highlight w:val="none"/>
        </w:rPr>
        <w:t>2.21.2  履约保证金在</w:t>
      </w:r>
      <w:r>
        <w:rPr>
          <w:b/>
          <w:bCs/>
          <w:color w:val="auto"/>
          <w:sz w:val="24"/>
          <w:szCs w:val="24"/>
          <w:highlight w:val="none"/>
          <w:u w:val="single" w:color="auto"/>
        </w:rPr>
        <w:t>合同专用条款</w:t>
      </w:r>
      <w:r>
        <w:rPr>
          <w:rFonts w:ascii="新宋体" w:hAnsi="新宋体" w:eastAsia="新宋体" w:cs="新宋体"/>
          <w:color w:val="auto"/>
          <w:sz w:val="24"/>
          <w:szCs w:val="24"/>
          <w:highlight w:val="none"/>
        </w:rPr>
        <w:t>约定期间内或者货物质</w:t>
      </w:r>
      <w:r>
        <w:rPr>
          <w:rFonts w:ascii="新宋体" w:hAnsi="新宋体" w:eastAsia="新宋体" w:cs="新宋体"/>
          <w:color w:val="auto"/>
          <w:spacing w:val="-1"/>
          <w:sz w:val="24"/>
          <w:szCs w:val="24"/>
          <w:highlight w:val="none"/>
        </w:rPr>
        <w:t>量保证期内不予退还或者应完全有效，前述约定期间届满或者货物质量保证期届满之日起</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5"/>
          <w:sz w:val="24"/>
          <w:szCs w:val="24"/>
          <w:highlight w:val="none"/>
        </w:rPr>
        <w:t xml:space="preserve"> </w:t>
      </w:r>
      <w:r>
        <w:rPr>
          <w:rFonts w:ascii="新宋体" w:hAnsi="新宋体" w:eastAsia="新宋体" w:cs="新宋体"/>
          <w:color w:val="auto"/>
          <w:spacing w:val="-1"/>
          <w:sz w:val="24"/>
          <w:szCs w:val="24"/>
          <w:highlight w:val="none"/>
        </w:rPr>
        <w:t>个工作日内，甲方应将履约保证</w:t>
      </w:r>
      <w:r>
        <w:rPr>
          <w:rFonts w:ascii="新宋体" w:hAnsi="新宋体" w:eastAsia="新宋体" w:cs="新宋体"/>
          <w:color w:val="auto"/>
          <w:spacing w:val="-10"/>
          <w:sz w:val="24"/>
          <w:szCs w:val="24"/>
          <w:highlight w:val="none"/>
        </w:rPr>
        <w:t>金退还乙方；</w:t>
      </w:r>
    </w:p>
    <w:p w14:paraId="76E5F183">
      <w:pPr>
        <w:spacing w:before="174" w:line="314" w:lineRule="auto"/>
        <w:ind w:right="101" w:firstLine="474"/>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2.21.3 如果乙方不履行合同，履约保证金不予退还；如果乙方未能按合同约定全面履行</w:t>
      </w:r>
      <w:r>
        <w:rPr>
          <w:rFonts w:ascii="新宋体" w:hAnsi="新宋体" w:eastAsia="新宋体" w:cs="新宋体"/>
          <w:color w:val="auto"/>
          <w:spacing w:val="-3"/>
          <w:sz w:val="24"/>
          <w:szCs w:val="24"/>
          <w:highlight w:val="none"/>
        </w:rPr>
        <w:t>义务，那么甲方有权从履约保证金中取得补偿或赔偿，同时不影响甲方要求乙方承担合同约定的超过履约保证金的违约责任的权利。</w:t>
      </w:r>
    </w:p>
    <w:p w14:paraId="5EBFA454">
      <w:pPr>
        <w:pStyle w:val="4"/>
        <w:spacing w:before="176" w:line="188" w:lineRule="auto"/>
        <w:ind w:left="475"/>
        <w:rPr>
          <w:color w:val="auto"/>
          <w:sz w:val="24"/>
          <w:szCs w:val="24"/>
          <w:highlight w:val="none"/>
        </w:rPr>
      </w:pPr>
      <w:r>
        <w:rPr>
          <w:b/>
          <w:bCs/>
          <w:color w:val="auto"/>
          <w:spacing w:val="-7"/>
          <w:sz w:val="24"/>
          <w:szCs w:val="24"/>
          <w:highlight w:val="none"/>
        </w:rPr>
        <w:t>2.22  合同份数</w:t>
      </w:r>
    </w:p>
    <w:p w14:paraId="4FF035DC">
      <w:pPr>
        <w:pStyle w:val="4"/>
        <w:spacing w:before="143" w:line="187" w:lineRule="auto"/>
        <w:ind w:left="48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合同份数按</w:t>
      </w:r>
      <w:r>
        <w:rPr>
          <w:b/>
          <w:bCs/>
          <w:color w:val="auto"/>
          <w:spacing w:val="-2"/>
          <w:sz w:val="24"/>
          <w:szCs w:val="24"/>
          <w:highlight w:val="none"/>
          <w:u w:val="single" w:color="auto"/>
        </w:rPr>
        <w:t>合同专用条款</w:t>
      </w:r>
      <w:r>
        <w:rPr>
          <w:rFonts w:ascii="新宋体" w:hAnsi="新宋体" w:eastAsia="新宋体" w:cs="新宋体"/>
          <w:color w:val="auto"/>
          <w:spacing w:val="-2"/>
          <w:sz w:val="24"/>
          <w:szCs w:val="24"/>
          <w:highlight w:val="none"/>
        </w:rPr>
        <w:t>规定，每份均具有同等法律效力。</w:t>
      </w:r>
    </w:p>
    <w:p w14:paraId="0ED087DD">
      <w:pPr>
        <w:spacing w:line="187" w:lineRule="auto"/>
        <w:rPr>
          <w:rFonts w:ascii="新宋体" w:hAnsi="新宋体" w:eastAsia="新宋体" w:cs="新宋体"/>
          <w:color w:val="auto"/>
          <w:sz w:val="24"/>
          <w:szCs w:val="24"/>
          <w:highlight w:val="none"/>
        </w:rPr>
        <w:sectPr>
          <w:footerReference r:id="rId18" w:type="default"/>
          <w:pgSz w:w="11905" w:h="16839"/>
          <w:pgMar w:top="1440" w:right="1800" w:bottom="1440" w:left="1800" w:header="0" w:footer="1090" w:gutter="0"/>
          <w:pgNumType w:fmt="numberInDash"/>
          <w:cols w:space="720" w:num="1"/>
        </w:sectPr>
      </w:pPr>
    </w:p>
    <w:p w14:paraId="7E76555C">
      <w:pPr>
        <w:pStyle w:val="4"/>
        <w:spacing w:before="120" w:line="187" w:lineRule="auto"/>
        <w:jc w:val="center"/>
        <w:rPr>
          <w:color w:val="auto"/>
          <w:sz w:val="28"/>
          <w:szCs w:val="28"/>
          <w:highlight w:val="none"/>
        </w:rPr>
      </w:pPr>
      <w:bookmarkStart w:id="15" w:name="bookmark9"/>
      <w:bookmarkEnd w:id="15"/>
      <w:r>
        <w:rPr>
          <w:b/>
          <w:bCs/>
          <w:color w:val="auto"/>
          <w:spacing w:val="-6"/>
          <w:sz w:val="28"/>
          <w:szCs w:val="28"/>
          <w:highlight w:val="none"/>
        </w:rPr>
        <w:t>第三部分</w:t>
      </w:r>
      <w:r>
        <w:rPr>
          <w:b/>
          <w:bCs/>
          <w:color w:val="auto"/>
          <w:spacing w:val="20"/>
          <w:w w:val="101"/>
          <w:sz w:val="28"/>
          <w:szCs w:val="28"/>
          <w:highlight w:val="none"/>
        </w:rPr>
        <w:t xml:space="preserve">   </w:t>
      </w:r>
      <w:r>
        <w:rPr>
          <w:b/>
          <w:bCs/>
          <w:color w:val="auto"/>
          <w:spacing w:val="-6"/>
          <w:sz w:val="28"/>
          <w:szCs w:val="28"/>
          <w:highlight w:val="none"/>
        </w:rPr>
        <w:t>合同专用条款</w:t>
      </w:r>
    </w:p>
    <w:p w14:paraId="53A2366B">
      <w:pPr>
        <w:spacing w:before="166" w:line="349" w:lineRule="auto"/>
        <w:ind w:firstLine="479"/>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本部分是对前两部分的补充和修改，如果前两部分和本部分的约定不一致，应以本部</w:t>
      </w:r>
      <w:r>
        <w:rPr>
          <w:rFonts w:ascii="新宋体" w:hAnsi="新宋体" w:eastAsia="新宋体" w:cs="新宋体"/>
          <w:color w:val="auto"/>
          <w:spacing w:val="-4"/>
          <w:sz w:val="24"/>
          <w:szCs w:val="24"/>
          <w:highlight w:val="none"/>
        </w:rPr>
        <w:t>分的</w:t>
      </w:r>
      <w:r>
        <w:rPr>
          <w:rFonts w:ascii="新宋体" w:hAnsi="新宋体" w:eastAsia="新宋体" w:cs="新宋体"/>
          <w:color w:val="auto"/>
          <w:spacing w:val="-3"/>
          <w:sz w:val="24"/>
          <w:szCs w:val="24"/>
          <w:highlight w:val="none"/>
        </w:rPr>
        <w:t>约定为准。本部分的条款号应与前两部分的条款号保持对应；与前两部分无对应关系的内容可</w:t>
      </w:r>
      <w:r>
        <w:rPr>
          <w:rFonts w:ascii="新宋体" w:hAnsi="新宋体" w:eastAsia="新宋体" w:cs="新宋体"/>
          <w:color w:val="auto"/>
          <w:spacing w:val="-6"/>
          <w:sz w:val="24"/>
          <w:szCs w:val="24"/>
          <w:highlight w:val="none"/>
        </w:rPr>
        <w:t>另行编制条款号。</w:t>
      </w:r>
    </w:p>
    <w:tbl>
      <w:tblPr>
        <w:tblStyle w:val="15"/>
        <w:tblW w:w="8433" w:type="dxa"/>
        <w:tblInd w:w="6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7629"/>
      </w:tblGrid>
      <w:tr w14:paraId="6E2A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04" w:type="dxa"/>
            <w:tcBorders>
              <w:left w:val="single" w:color="000000" w:sz="4" w:space="0"/>
            </w:tcBorders>
            <w:vAlign w:val="top"/>
          </w:tcPr>
          <w:p w14:paraId="5E29688B">
            <w:pPr>
              <w:spacing w:before="78" w:line="180" w:lineRule="auto"/>
              <w:ind w:left="5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5"/>
                <w:sz w:val="24"/>
                <w:szCs w:val="24"/>
                <w:highlight w:val="none"/>
              </w:rPr>
              <w:t>条款号</w:t>
            </w:r>
          </w:p>
        </w:tc>
        <w:tc>
          <w:tcPr>
            <w:tcW w:w="7629" w:type="dxa"/>
            <w:vAlign w:val="top"/>
          </w:tcPr>
          <w:p w14:paraId="07B9764A">
            <w:pPr>
              <w:spacing w:before="78" w:line="180" w:lineRule="auto"/>
              <w:ind w:left="334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约定内容</w:t>
            </w:r>
          </w:p>
        </w:tc>
      </w:tr>
      <w:tr w14:paraId="2515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75F8E301">
            <w:pPr>
              <w:rPr>
                <w:rFonts w:ascii="Arial"/>
                <w:color w:val="auto"/>
                <w:sz w:val="21"/>
                <w:highlight w:val="none"/>
              </w:rPr>
            </w:pPr>
          </w:p>
        </w:tc>
        <w:tc>
          <w:tcPr>
            <w:tcW w:w="7629" w:type="dxa"/>
            <w:vAlign w:val="top"/>
          </w:tcPr>
          <w:p w14:paraId="2A59CE53">
            <w:pPr>
              <w:rPr>
                <w:rFonts w:ascii="Arial"/>
                <w:color w:val="auto"/>
                <w:sz w:val="21"/>
                <w:highlight w:val="none"/>
              </w:rPr>
            </w:pPr>
          </w:p>
        </w:tc>
      </w:tr>
      <w:tr w14:paraId="7E86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52AF6536">
            <w:pPr>
              <w:rPr>
                <w:rFonts w:ascii="Arial"/>
                <w:color w:val="auto"/>
                <w:sz w:val="21"/>
                <w:highlight w:val="none"/>
              </w:rPr>
            </w:pPr>
          </w:p>
        </w:tc>
        <w:tc>
          <w:tcPr>
            <w:tcW w:w="7629" w:type="dxa"/>
            <w:vAlign w:val="top"/>
          </w:tcPr>
          <w:p w14:paraId="12A8BC48">
            <w:pPr>
              <w:rPr>
                <w:rFonts w:ascii="Arial"/>
                <w:color w:val="auto"/>
                <w:sz w:val="21"/>
                <w:highlight w:val="none"/>
              </w:rPr>
            </w:pPr>
          </w:p>
        </w:tc>
      </w:tr>
      <w:tr w14:paraId="5AD1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04" w:type="dxa"/>
            <w:tcBorders>
              <w:left w:val="single" w:color="000000" w:sz="4" w:space="0"/>
            </w:tcBorders>
            <w:vAlign w:val="top"/>
          </w:tcPr>
          <w:p w14:paraId="308F24D3">
            <w:pPr>
              <w:rPr>
                <w:rFonts w:ascii="Arial"/>
                <w:color w:val="auto"/>
                <w:sz w:val="21"/>
                <w:highlight w:val="none"/>
              </w:rPr>
            </w:pPr>
          </w:p>
        </w:tc>
        <w:tc>
          <w:tcPr>
            <w:tcW w:w="7629" w:type="dxa"/>
            <w:vAlign w:val="top"/>
          </w:tcPr>
          <w:p w14:paraId="1DA2EDFF">
            <w:pPr>
              <w:rPr>
                <w:rFonts w:ascii="Arial"/>
                <w:color w:val="auto"/>
                <w:sz w:val="21"/>
                <w:highlight w:val="none"/>
              </w:rPr>
            </w:pPr>
          </w:p>
        </w:tc>
      </w:tr>
      <w:tr w14:paraId="40DF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4E3B51BE">
            <w:pPr>
              <w:rPr>
                <w:rFonts w:ascii="Arial"/>
                <w:color w:val="auto"/>
                <w:sz w:val="21"/>
                <w:highlight w:val="none"/>
              </w:rPr>
            </w:pPr>
          </w:p>
        </w:tc>
        <w:tc>
          <w:tcPr>
            <w:tcW w:w="7629" w:type="dxa"/>
            <w:vAlign w:val="top"/>
          </w:tcPr>
          <w:p w14:paraId="10D9C38B">
            <w:pPr>
              <w:rPr>
                <w:rFonts w:ascii="Arial"/>
                <w:color w:val="auto"/>
                <w:sz w:val="21"/>
                <w:highlight w:val="none"/>
              </w:rPr>
            </w:pPr>
          </w:p>
        </w:tc>
      </w:tr>
      <w:tr w14:paraId="0502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05E5FA5C">
            <w:pPr>
              <w:rPr>
                <w:rFonts w:ascii="Arial"/>
                <w:color w:val="auto"/>
                <w:sz w:val="21"/>
                <w:highlight w:val="none"/>
              </w:rPr>
            </w:pPr>
          </w:p>
        </w:tc>
        <w:tc>
          <w:tcPr>
            <w:tcW w:w="7629" w:type="dxa"/>
            <w:vAlign w:val="top"/>
          </w:tcPr>
          <w:p w14:paraId="5E460F9A">
            <w:pPr>
              <w:rPr>
                <w:rFonts w:ascii="Arial"/>
                <w:color w:val="auto"/>
                <w:sz w:val="21"/>
                <w:highlight w:val="none"/>
              </w:rPr>
            </w:pPr>
          </w:p>
        </w:tc>
      </w:tr>
      <w:tr w14:paraId="2F5E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04" w:type="dxa"/>
            <w:tcBorders>
              <w:left w:val="single" w:color="000000" w:sz="4" w:space="0"/>
            </w:tcBorders>
            <w:vAlign w:val="top"/>
          </w:tcPr>
          <w:p w14:paraId="40D5BCAA">
            <w:pPr>
              <w:rPr>
                <w:rFonts w:ascii="Arial"/>
                <w:color w:val="auto"/>
                <w:sz w:val="21"/>
                <w:highlight w:val="none"/>
              </w:rPr>
            </w:pPr>
          </w:p>
        </w:tc>
        <w:tc>
          <w:tcPr>
            <w:tcW w:w="7629" w:type="dxa"/>
            <w:vAlign w:val="top"/>
          </w:tcPr>
          <w:p w14:paraId="2C86478D">
            <w:pPr>
              <w:rPr>
                <w:rFonts w:ascii="Arial"/>
                <w:color w:val="auto"/>
                <w:sz w:val="21"/>
                <w:highlight w:val="none"/>
              </w:rPr>
            </w:pPr>
          </w:p>
        </w:tc>
      </w:tr>
      <w:tr w14:paraId="5727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7DA0FE7F">
            <w:pPr>
              <w:rPr>
                <w:rFonts w:ascii="Arial"/>
                <w:color w:val="auto"/>
                <w:sz w:val="21"/>
                <w:highlight w:val="none"/>
              </w:rPr>
            </w:pPr>
          </w:p>
        </w:tc>
        <w:tc>
          <w:tcPr>
            <w:tcW w:w="7629" w:type="dxa"/>
            <w:vAlign w:val="top"/>
          </w:tcPr>
          <w:p w14:paraId="7D82853C">
            <w:pPr>
              <w:rPr>
                <w:rFonts w:ascii="Arial"/>
                <w:color w:val="auto"/>
                <w:sz w:val="21"/>
                <w:highlight w:val="none"/>
              </w:rPr>
            </w:pPr>
          </w:p>
        </w:tc>
      </w:tr>
      <w:tr w14:paraId="2505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467DB557">
            <w:pPr>
              <w:rPr>
                <w:rFonts w:ascii="Arial"/>
                <w:color w:val="auto"/>
                <w:sz w:val="21"/>
                <w:highlight w:val="none"/>
              </w:rPr>
            </w:pPr>
          </w:p>
        </w:tc>
        <w:tc>
          <w:tcPr>
            <w:tcW w:w="7629" w:type="dxa"/>
            <w:vAlign w:val="top"/>
          </w:tcPr>
          <w:p w14:paraId="2D36D8DB">
            <w:pPr>
              <w:rPr>
                <w:rFonts w:ascii="Arial"/>
                <w:color w:val="auto"/>
                <w:sz w:val="21"/>
                <w:highlight w:val="none"/>
              </w:rPr>
            </w:pPr>
          </w:p>
        </w:tc>
      </w:tr>
      <w:tr w14:paraId="5F77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3B73262C">
            <w:pPr>
              <w:rPr>
                <w:rFonts w:ascii="Arial"/>
                <w:color w:val="auto"/>
                <w:sz w:val="21"/>
                <w:highlight w:val="none"/>
              </w:rPr>
            </w:pPr>
          </w:p>
        </w:tc>
        <w:tc>
          <w:tcPr>
            <w:tcW w:w="7629" w:type="dxa"/>
            <w:vAlign w:val="top"/>
          </w:tcPr>
          <w:p w14:paraId="474905BC">
            <w:pPr>
              <w:rPr>
                <w:rFonts w:ascii="Arial"/>
                <w:color w:val="auto"/>
                <w:sz w:val="21"/>
                <w:highlight w:val="none"/>
              </w:rPr>
            </w:pPr>
          </w:p>
        </w:tc>
      </w:tr>
      <w:tr w14:paraId="4538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19985B1D">
            <w:pPr>
              <w:rPr>
                <w:rFonts w:ascii="Arial"/>
                <w:color w:val="auto"/>
                <w:sz w:val="21"/>
                <w:highlight w:val="none"/>
              </w:rPr>
            </w:pPr>
          </w:p>
        </w:tc>
        <w:tc>
          <w:tcPr>
            <w:tcW w:w="7629" w:type="dxa"/>
            <w:vAlign w:val="top"/>
          </w:tcPr>
          <w:p w14:paraId="39694235">
            <w:pPr>
              <w:rPr>
                <w:rFonts w:ascii="Arial"/>
                <w:color w:val="auto"/>
                <w:sz w:val="21"/>
                <w:highlight w:val="none"/>
              </w:rPr>
            </w:pPr>
          </w:p>
        </w:tc>
      </w:tr>
      <w:tr w14:paraId="013B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04" w:type="dxa"/>
            <w:tcBorders>
              <w:left w:val="single" w:color="000000" w:sz="4" w:space="0"/>
            </w:tcBorders>
            <w:vAlign w:val="top"/>
          </w:tcPr>
          <w:p w14:paraId="7FBC2826">
            <w:pPr>
              <w:rPr>
                <w:rFonts w:ascii="Arial"/>
                <w:color w:val="auto"/>
                <w:sz w:val="21"/>
                <w:highlight w:val="none"/>
              </w:rPr>
            </w:pPr>
          </w:p>
        </w:tc>
        <w:tc>
          <w:tcPr>
            <w:tcW w:w="7629" w:type="dxa"/>
            <w:vAlign w:val="top"/>
          </w:tcPr>
          <w:p w14:paraId="175802D8">
            <w:pPr>
              <w:rPr>
                <w:rFonts w:ascii="Arial"/>
                <w:color w:val="auto"/>
                <w:sz w:val="21"/>
                <w:highlight w:val="none"/>
              </w:rPr>
            </w:pPr>
          </w:p>
        </w:tc>
      </w:tr>
      <w:tr w14:paraId="3934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04" w:type="dxa"/>
            <w:tcBorders>
              <w:left w:val="single" w:color="000000" w:sz="4" w:space="0"/>
            </w:tcBorders>
            <w:vAlign w:val="top"/>
          </w:tcPr>
          <w:p w14:paraId="27E20DB6">
            <w:pPr>
              <w:rPr>
                <w:rFonts w:ascii="Arial"/>
                <w:color w:val="auto"/>
                <w:sz w:val="21"/>
                <w:highlight w:val="none"/>
              </w:rPr>
            </w:pPr>
          </w:p>
        </w:tc>
        <w:tc>
          <w:tcPr>
            <w:tcW w:w="7629" w:type="dxa"/>
            <w:vAlign w:val="top"/>
          </w:tcPr>
          <w:p w14:paraId="0076C218">
            <w:pPr>
              <w:rPr>
                <w:rFonts w:ascii="Arial"/>
                <w:color w:val="auto"/>
                <w:sz w:val="21"/>
                <w:highlight w:val="none"/>
              </w:rPr>
            </w:pPr>
          </w:p>
        </w:tc>
      </w:tr>
    </w:tbl>
    <w:p w14:paraId="6CEA6557">
      <w:pPr>
        <w:rPr>
          <w:rFonts w:ascii="Arial"/>
          <w:color w:val="auto"/>
          <w:sz w:val="21"/>
          <w:highlight w:val="none"/>
        </w:rPr>
      </w:pPr>
    </w:p>
    <w:p w14:paraId="1BF7A9F0">
      <w:pPr>
        <w:rPr>
          <w:rFonts w:ascii="Arial" w:hAnsi="Arial" w:eastAsia="Arial" w:cs="Arial"/>
          <w:color w:val="auto"/>
          <w:sz w:val="21"/>
          <w:szCs w:val="21"/>
          <w:highlight w:val="none"/>
        </w:rPr>
        <w:sectPr>
          <w:footerReference r:id="rId19" w:type="default"/>
          <w:pgSz w:w="11905" w:h="16839"/>
          <w:pgMar w:top="1440" w:right="1800" w:bottom="1440" w:left="1800" w:header="0" w:footer="1090" w:gutter="0"/>
          <w:pgNumType w:fmt="numberInDash"/>
          <w:cols w:space="720" w:num="1"/>
        </w:sectPr>
      </w:pPr>
    </w:p>
    <w:p w14:paraId="44099895">
      <w:pPr>
        <w:spacing w:line="256" w:lineRule="auto"/>
        <w:rPr>
          <w:rFonts w:ascii="Arial"/>
          <w:color w:val="auto"/>
          <w:sz w:val="21"/>
          <w:highlight w:val="none"/>
        </w:rPr>
      </w:pPr>
    </w:p>
    <w:p w14:paraId="66421D0E">
      <w:pPr>
        <w:spacing w:line="256" w:lineRule="auto"/>
        <w:rPr>
          <w:rFonts w:ascii="Arial"/>
          <w:color w:val="auto"/>
          <w:sz w:val="21"/>
          <w:highlight w:val="none"/>
        </w:rPr>
      </w:pPr>
    </w:p>
    <w:p w14:paraId="3AAF6D30">
      <w:pPr>
        <w:spacing w:line="256" w:lineRule="auto"/>
        <w:rPr>
          <w:rFonts w:ascii="Arial"/>
          <w:color w:val="auto"/>
          <w:sz w:val="21"/>
          <w:highlight w:val="none"/>
        </w:rPr>
      </w:pPr>
    </w:p>
    <w:p w14:paraId="29C45427">
      <w:pPr>
        <w:pStyle w:val="4"/>
        <w:spacing w:before="129" w:line="188" w:lineRule="auto"/>
        <w:ind w:left="2824"/>
        <w:outlineLvl w:val="0"/>
        <w:rPr>
          <w:color w:val="auto"/>
          <w:sz w:val="30"/>
          <w:szCs w:val="30"/>
          <w:highlight w:val="none"/>
        </w:rPr>
      </w:pPr>
      <w:bookmarkStart w:id="16" w:name="bookmark8"/>
      <w:bookmarkEnd w:id="16"/>
      <w:r>
        <w:rPr>
          <w:b/>
          <w:bCs/>
          <w:color w:val="auto"/>
          <w:spacing w:val="-6"/>
          <w:sz w:val="30"/>
          <w:szCs w:val="30"/>
          <w:highlight w:val="none"/>
        </w:rPr>
        <w:t>第六章</w:t>
      </w:r>
      <w:r>
        <w:rPr>
          <w:b/>
          <w:bCs/>
          <w:color w:val="auto"/>
          <w:spacing w:val="18"/>
          <w:sz w:val="30"/>
          <w:szCs w:val="30"/>
          <w:highlight w:val="none"/>
        </w:rPr>
        <w:t xml:space="preserve">   </w:t>
      </w:r>
      <w:r>
        <w:rPr>
          <w:b/>
          <w:bCs/>
          <w:color w:val="auto"/>
          <w:spacing w:val="-6"/>
          <w:sz w:val="30"/>
          <w:szCs w:val="30"/>
          <w:highlight w:val="none"/>
        </w:rPr>
        <w:t>投标文件格式</w:t>
      </w:r>
    </w:p>
    <w:p w14:paraId="67BE60E6">
      <w:pPr>
        <w:spacing w:line="312" w:lineRule="auto"/>
        <w:rPr>
          <w:rFonts w:ascii="Arial"/>
          <w:color w:val="auto"/>
          <w:sz w:val="21"/>
          <w:highlight w:val="none"/>
        </w:rPr>
      </w:pPr>
    </w:p>
    <w:p w14:paraId="706C998C">
      <w:pPr>
        <w:spacing w:line="313" w:lineRule="auto"/>
        <w:rPr>
          <w:rFonts w:ascii="Arial"/>
          <w:color w:val="auto"/>
          <w:sz w:val="21"/>
          <w:highlight w:val="none"/>
        </w:rPr>
      </w:pPr>
    </w:p>
    <w:p w14:paraId="3D9F0C3C">
      <w:pPr>
        <w:spacing w:line="313" w:lineRule="auto"/>
        <w:rPr>
          <w:rFonts w:ascii="Arial"/>
          <w:color w:val="auto"/>
          <w:sz w:val="21"/>
          <w:highlight w:val="none"/>
        </w:rPr>
      </w:pPr>
    </w:p>
    <w:p w14:paraId="32DAB3DB">
      <w:pPr>
        <w:pStyle w:val="4"/>
        <w:spacing w:line="240" w:lineRule="auto"/>
        <w:ind w:left="0" w:right="0" w:firstLine="0"/>
        <w:jc w:val="center"/>
        <w:rPr>
          <w:color w:val="auto"/>
          <w:spacing w:val="3"/>
          <w:sz w:val="48"/>
          <w:szCs w:val="48"/>
          <w:highlight w:val="none"/>
        </w:rPr>
      </w:pPr>
      <w:r>
        <w:rPr>
          <w:color w:val="auto"/>
          <w:spacing w:val="9"/>
          <w:sz w:val="48"/>
          <w:szCs w:val="48"/>
          <w:highlight w:val="none"/>
        </w:rPr>
        <w:t>(项目名称)</w:t>
      </w:r>
    </w:p>
    <w:p w14:paraId="58CA3BA7">
      <w:pPr>
        <w:pStyle w:val="4"/>
        <w:spacing w:line="240" w:lineRule="auto"/>
        <w:ind w:left="0" w:right="0" w:firstLine="0"/>
        <w:rPr>
          <w:color w:val="auto"/>
          <w:highlight w:val="none"/>
        </w:rPr>
      </w:pPr>
      <w:r>
        <w:rPr>
          <w:color w:val="auto"/>
          <w:spacing w:val="-16"/>
          <w:highlight w:val="none"/>
        </w:rPr>
        <w:t>项目编码：</w:t>
      </w:r>
    </w:p>
    <w:p w14:paraId="19823EAF">
      <w:pPr>
        <w:spacing w:line="240" w:lineRule="auto"/>
        <w:ind w:left="0" w:right="0" w:firstLine="0"/>
        <w:rPr>
          <w:rFonts w:ascii="Arial"/>
          <w:color w:val="auto"/>
          <w:sz w:val="21"/>
          <w:highlight w:val="none"/>
        </w:rPr>
      </w:pPr>
    </w:p>
    <w:p w14:paraId="32332EC3">
      <w:pPr>
        <w:spacing w:line="242" w:lineRule="auto"/>
        <w:rPr>
          <w:rFonts w:ascii="Arial"/>
          <w:color w:val="auto"/>
          <w:sz w:val="21"/>
          <w:highlight w:val="none"/>
        </w:rPr>
      </w:pPr>
    </w:p>
    <w:p w14:paraId="5DCB7921">
      <w:pPr>
        <w:spacing w:line="242" w:lineRule="auto"/>
        <w:rPr>
          <w:rFonts w:ascii="Arial"/>
          <w:color w:val="auto"/>
          <w:sz w:val="21"/>
          <w:highlight w:val="none"/>
        </w:rPr>
      </w:pPr>
    </w:p>
    <w:p w14:paraId="405B157F">
      <w:pPr>
        <w:spacing w:line="242" w:lineRule="auto"/>
        <w:rPr>
          <w:rFonts w:ascii="Arial"/>
          <w:color w:val="auto"/>
          <w:sz w:val="21"/>
          <w:highlight w:val="none"/>
        </w:rPr>
      </w:pPr>
    </w:p>
    <w:p w14:paraId="6B3E4FE7">
      <w:pPr>
        <w:spacing w:line="243" w:lineRule="auto"/>
        <w:rPr>
          <w:rFonts w:ascii="Arial"/>
          <w:color w:val="auto"/>
          <w:sz w:val="21"/>
          <w:highlight w:val="none"/>
        </w:rPr>
      </w:pPr>
      <w:r>
        <w:rPr>
          <w:color w:val="auto"/>
          <w:highlight w:val="none"/>
        </w:rPr>
        <w:pict>
          <v:shape id="_x0000_s1026" o:spid="_x0000_s1026" o:spt="202" type="#_x0000_t202" style="position:absolute;left:0pt;margin-left:185.55pt;margin-top:1.3pt;height:248.95pt;width:48.05pt;z-index:251659264;mso-width-relative:page;mso-height-relative:page;" filled="f" stroked="f" coordsize="21600,21600">
            <v:path/>
            <v:fill on="f" focussize="0,0"/>
            <v:stroke on="f"/>
            <v:imagedata o:title=""/>
            <o:lock v:ext="edit" aspectratio="f"/>
            <v:textbox inset="0mm,0mm,0mm,0mm" style="layout-flow:vertical-ideographic;">
              <w:txbxContent>
                <w:p w14:paraId="34D4F1F6">
                  <w:pPr>
                    <w:pStyle w:val="4"/>
                    <w:spacing w:before="18" w:line="174" w:lineRule="auto"/>
                    <w:ind w:left="20"/>
                    <w:rPr>
                      <w:sz w:val="72"/>
                      <w:szCs w:val="72"/>
                    </w:rPr>
                  </w:pPr>
                  <w:r>
                    <w:rPr>
                      <w:spacing w:val="10"/>
                      <w:sz w:val="72"/>
                      <w:szCs w:val="72"/>
                    </w:rPr>
                    <w:t>投   标   文   件</w:t>
                  </w:r>
                </w:p>
              </w:txbxContent>
            </v:textbox>
          </v:shape>
        </w:pict>
      </w:r>
    </w:p>
    <w:p w14:paraId="26C7C950">
      <w:pPr>
        <w:spacing w:line="243" w:lineRule="auto"/>
        <w:rPr>
          <w:rFonts w:ascii="Arial"/>
          <w:color w:val="auto"/>
          <w:sz w:val="21"/>
          <w:highlight w:val="none"/>
        </w:rPr>
      </w:pPr>
    </w:p>
    <w:p w14:paraId="233698CA">
      <w:pPr>
        <w:spacing w:line="243" w:lineRule="auto"/>
        <w:rPr>
          <w:rFonts w:ascii="Arial"/>
          <w:color w:val="auto"/>
          <w:sz w:val="21"/>
          <w:highlight w:val="none"/>
        </w:rPr>
      </w:pPr>
    </w:p>
    <w:p w14:paraId="1224AE41">
      <w:pPr>
        <w:spacing w:line="243" w:lineRule="auto"/>
        <w:rPr>
          <w:rFonts w:ascii="Arial"/>
          <w:color w:val="auto"/>
          <w:sz w:val="21"/>
          <w:highlight w:val="none"/>
        </w:rPr>
      </w:pPr>
    </w:p>
    <w:p w14:paraId="35B0AA21">
      <w:pPr>
        <w:spacing w:line="243" w:lineRule="auto"/>
        <w:rPr>
          <w:rFonts w:ascii="Arial"/>
          <w:color w:val="auto"/>
          <w:sz w:val="21"/>
          <w:highlight w:val="none"/>
        </w:rPr>
      </w:pPr>
    </w:p>
    <w:p w14:paraId="42798300">
      <w:pPr>
        <w:spacing w:line="243" w:lineRule="auto"/>
        <w:rPr>
          <w:rFonts w:ascii="Arial"/>
          <w:color w:val="auto"/>
          <w:sz w:val="21"/>
          <w:highlight w:val="none"/>
        </w:rPr>
      </w:pPr>
    </w:p>
    <w:p w14:paraId="7CB18917">
      <w:pPr>
        <w:spacing w:line="243" w:lineRule="auto"/>
        <w:rPr>
          <w:rFonts w:ascii="Arial"/>
          <w:color w:val="auto"/>
          <w:sz w:val="21"/>
          <w:highlight w:val="none"/>
        </w:rPr>
      </w:pPr>
    </w:p>
    <w:p w14:paraId="473F569C">
      <w:pPr>
        <w:spacing w:line="243" w:lineRule="auto"/>
        <w:rPr>
          <w:rFonts w:ascii="Arial"/>
          <w:color w:val="auto"/>
          <w:sz w:val="21"/>
          <w:highlight w:val="none"/>
        </w:rPr>
      </w:pPr>
    </w:p>
    <w:p w14:paraId="1A4B33AF">
      <w:pPr>
        <w:spacing w:line="243" w:lineRule="auto"/>
        <w:rPr>
          <w:rFonts w:ascii="Arial"/>
          <w:color w:val="auto"/>
          <w:sz w:val="21"/>
          <w:highlight w:val="none"/>
        </w:rPr>
      </w:pPr>
    </w:p>
    <w:p w14:paraId="25DBBA34">
      <w:pPr>
        <w:spacing w:line="243" w:lineRule="auto"/>
        <w:rPr>
          <w:rFonts w:ascii="Arial"/>
          <w:color w:val="auto"/>
          <w:sz w:val="21"/>
          <w:highlight w:val="none"/>
        </w:rPr>
      </w:pPr>
    </w:p>
    <w:p w14:paraId="1275A044">
      <w:pPr>
        <w:spacing w:line="243" w:lineRule="auto"/>
        <w:rPr>
          <w:rFonts w:ascii="Arial"/>
          <w:color w:val="auto"/>
          <w:sz w:val="21"/>
          <w:highlight w:val="none"/>
        </w:rPr>
      </w:pPr>
    </w:p>
    <w:p w14:paraId="2D8F5E07">
      <w:pPr>
        <w:spacing w:line="243" w:lineRule="auto"/>
        <w:rPr>
          <w:rFonts w:ascii="Arial"/>
          <w:color w:val="auto"/>
          <w:sz w:val="21"/>
          <w:highlight w:val="none"/>
        </w:rPr>
      </w:pPr>
    </w:p>
    <w:p w14:paraId="711FFF84">
      <w:pPr>
        <w:spacing w:line="243" w:lineRule="auto"/>
        <w:rPr>
          <w:rFonts w:ascii="Arial"/>
          <w:color w:val="auto"/>
          <w:sz w:val="21"/>
          <w:highlight w:val="none"/>
        </w:rPr>
      </w:pPr>
    </w:p>
    <w:p w14:paraId="6B719041">
      <w:pPr>
        <w:spacing w:line="243" w:lineRule="auto"/>
        <w:rPr>
          <w:rFonts w:ascii="Arial"/>
          <w:color w:val="auto"/>
          <w:sz w:val="21"/>
          <w:highlight w:val="none"/>
        </w:rPr>
      </w:pPr>
    </w:p>
    <w:p w14:paraId="2E1E151C">
      <w:pPr>
        <w:spacing w:line="243" w:lineRule="auto"/>
        <w:rPr>
          <w:rFonts w:ascii="Arial"/>
          <w:color w:val="auto"/>
          <w:sz w:val="21"/>
          <w:highlight w:val="none"/>
        </w:rPr>
      </w:pPr>
    </w:p>
    <w:p w14:paraId="5AAC6FE2">
      <w:pPr>
        <w:spacing w:line="243" w:lineRule="auto"/>
        <w:rPr>
          <w:rFonts w:ascii="Arial"/>
          <w:color w:val="auto"/>
          <w:sz w:val="21"/>
          <w:highlight w:val="none"/>
        </w:rPr>
      </w:pPr>
    </w:p>
    <w:p w14:paraId="55295C28">
      <w:pPr>
        <w:spacing w:line="243" w:lineRule="auto"/>
        <w:rPr>
          <w:rFonts w:ascii="Arial"/>
          <w:color w:val="auto"/>
          <w:sz w:val="21"/>
          <w:highlight w:val="none"/>
        </w:rPr>
      </w:pPr>
    </w:p>
    <w:p w14:paraId="2E8107DE">
      <w:pPr>
        <w:spacing w:line="243" w:lineRule="auto"/>
        <w:rPr>
          <w:rFonts w:ascii="Arial"/>
          <w:color w:val="auto"/>
          <w:sz w:val="21"/>
          <w:highlight w:val="none"/>
        </w:rPr>
      </w:pPr>
    </w:p>
    <w:p w14:paraId="49B4BE45">
      <w:pPr>
        <w:spacing w:line="243" w:lineRule="auto"/>
        <w:rPr>
          <w:rFonts w:ascii="Arial"/>
          <w:color w:val="auto"/>
          <w:sz w:val="21"/>
          <w:highlight w:val="none"/>
        </w:rPr>
      </w:pPr>
    </w:p>
    <w:p w14:paraId="5F981609">
      <w:pPr>
        <w:spacing w:line="243" w:lineRule="auto"/>
        <w:rPr>
          <w:rFonts w:ascii="Arial"/>
          <w:color w:val="auto"/>
          <w:sz w:val="21"/>
          <w:highlight w:val="none"/>
        </w:rPr>
      </w:pPr>
    </w:p>
    <w:p w14:paraId="52EFB03B">
      <w:pPr>
        <w:spacing w:line="243" w:lineRule="auto"/>
        <w:rPr>
          <w:rFonts w:ascii="Arial"/>
          <w:color w:val="auto"/>
          <w:sz w:val="21"/>
          <w:highlight w:val="none"/>
        </w:rPr>
      </w:pPr>
    </w:p>
    <w:p w14:paraId="56796889">
      <w:pPr>
        <w:spacing w:line="243" w:lineRule="auto"/>
        <w:rPr>
          <w:rFonts w:ascii="Arial"/>
          <w:color w:val="auto"/>
          <w:sz w:val="21"/>
          <w:highlight w:val="none"/>
        </w:rPr>
      </w:pPr>
    </w:p>
    <w:p w14:paraId="4A8531A8">
      <w:pPr>
        <w:spacing w:line="243" w:lineRule="auto"/>
        <w:rPr>
          <w:rFonts w:ascii="Arial"/>
          <w:color w:val="auto"/>
          <w:sz w:val="21"/>
          <w:highlight w:val="none"/>
        </w:rPr>
      </w:pPr>
    </w:p>
    <w:p w14:paraId="6B33B42F">
      <w:pPr>
        <w:pStyle w:val="4"/>
        <w:spacing w:before="120" w:line="279" w:lineRule="auto"/>
        <w:rPr>
          <w:color w:val="auto"/>
          <w:sz w:val="28"/>
          <w:szCs w:val="28"/>
          <w:highlight w:val="none"/>
        </w:rPr>
      </w:pPr>
      <w:r>
        <w:rPr>
          <w:color w:val="auto"/>
          <w:spacing w:val="-3"/>
          <w:sz w:val="28"/>
          <w:szCs w:val="28"/>
          <w:highlight w:val="none"/>
        </w:rPr>
        <w:t>投标单位名称</w:t>
      </w:r>
      <w:r>
        <w:rPr>
          <w:color w:val="auto"/>
          <w:sz w:val="28"/>
          <w:szCs w:val="28"/>
          <w:highlight w:val="none"/>
        </w:rPr>
        <w:t>：</w:t>
      </w:r>
      <w:r>
        <w:rPr>
          <w:color w:val="auto"/>
          <w:spacing w:val="1"/>
          <w:sz w:val="28"/>
          <w:szCs w:val="28"/>
          <w:highlight w:val="none"/>
          <w:u w:val="single" w:color="auto"/>
        </w:rPr>
        <w:t xml:space="preserve">                                      </w:t>
      </w:r>
      <w:r>
        <w:rPr>
          <w:color w:val="auto"/>
          <w:sz w:val="28"/>
          <w:szCs w:val="28"/>
          <w:highlight w:val="none"/>
          <w:u w:val="single" w:color="auto"/>
        </w:rPr>
        <w:t xml:space="preserve">         </w:t>
      </w:r>
      <w:r>
        <w:rPr>
          <w:color w:val="auto"/>
          <w:sz w:val="28"/>
          <w:szCs w:val="28"/>
          <w:highlight w:val="none"/>
        </w:rPr>
        <w:t>（</w:t>
      </w:r>
      <w:r>
        <w:rPr>
          <w:color w:val="auto"/>
          <w:spacing w:val="-3"/>
          <w:sz w:val="28"/>
          <w:szCs w:val="28"/>
          <w:highlight w:val="none"/>
        </w:rPr>
        <w:t>加盖单位公章）</w:t>
      </w:r>
      <w:r>
        <w:rPr>
          <w:color w:val="auto"/>
          <w:spacing w:val="1"/>
          <w:sz w:val="28"/>
          <w:szCs w:val="28"/>
          <w:highlight w:val="none"/>
        </w:rPr>
        <w:t xml:space="preserve"> </w:t>
      </w:r>
      <w:r>
        <w:rPr>
          <w:color w:val="auto"/>
          <w:spacing w:val="-1"/>
          <w:sz w:val="28"/>
          <w:szCs w:val="28"/>
          <w:highlight w:val="none"/>
        </w:rPr>
        <w:t>投标单位地址：</w:t>
      </w:r>
      <w:r>
        <w:rPr>
          <w:color w:val="auto"/>
          <w:spacing w:val="-1"/>
          <w:sz w:val="28"/>
          <w:szCs w:val="28"/>
          <w:highlight w:val="none"/>
          <w:u w:val="single" w:color="auto"/>
        </w:rPr>
        <w:t xml:space="preserve">                                                          </w:t>
      </w:r>
    </w:p>
    <w:p w14:paraId="5C867D5D">
      <w:pPr>
        <w:pStyle w:val="4"/>
        <w:spacing w:before="3" w:line="279" w:lineRule="auto"/>
        <w:ind w:right="2221" w:firstLine="9"/>
        <w:rPr>
          <w:color w:val="auto"/>
          <w:sz w:val="28"/>
          <w:szCs w:val="28"/>
          <w:highlight w:val="none"/>
        </w:rPr>
      </w:pPr>
      <w:r>
        <w:rPr>
          <w:color w:val="auto"/>
          <w:spacing w:val="-2"/>
          <w:sz w:val="28"/>
          <w:szCs w:val="28"/>
          <w:highlight w:val="none"/>
        </w:rPr>
        <w:t>法人或法人授权代表（签字或盖章</w:t>
      </w:r>
      <w:r>
        <w:rPr>
          <w:color w:val="auto"/>
          <w:sz w:val="28"/>
          <w:szCs w:val="28"/>
          <w:highlight w:val="none"/>
        </w:rPr>
        <w:t>）：</w:t>
      </w:r>
      <w:r>
        <w:rPr>
          <w:color w:val="auto"/>
          <w:spacing w:val="2"/>
          <w:sz w:val="28"/>
          <w:szCs w:val="28"/>
          <w:highlight w:val="none"/>
          <w:u w:val="single" w:color="auto"/>
        </w:rPr>
        <w:t xml:space="preserve">                       </w:t>
      </w:r>
      <w:r>
        <w:rPr>
          <w:color w:val="auto"/>
          <w:spacing w:val="9"/>
          <w:sz w:val="28"/>
          <w:szCs w:val="28"/>
          <w:highlight w:val="none"/>
        </w:rPr>
        <w:t xml:space="preserve"> </w:t>
      </w:r>
      <w:r>
        <w:rPr>
          <w:color w:val="auto"/>
          <w:spacing w:val="-2"/>
          <w:sz w:val="28"/>
          <w:szCs w:val="28"/>
          <w:highlight w:val="none"/>
        </w:rPr>
        <w:t>投标单位联系电话：</w:t>
      </w:r>
      <w:r>
        <w:rPr>
          <w:color w:val="auto"/>
          <w:sz w:val="28"/>
          <w:szCs w:val="28"/>
          <w:highlight w:val="none"/>
          <w:u w:val="single" w:color="auto"/>
        </w:rPr>
        <w:t xml:space="preserve">                                                   </w:t>
      </w:r>
    </w:p>
    <w:p w14:paraId="2A649ED8">
      <w:pPr>
        <w:spacing w:line="441" w:lineRule="auto"/>
        <w:rPr>
          <w:rFonts w:ascii="Arial"/>
          <w:color w:val="auto"/>
          <w:sz w:val="21"/>
          <w:highlight w:val="none"/>
        </w:rPr>
      </w:pPr>
    </w:p>
    <w:p w14:paraId="248408A9">
      <w:pPr>
        <w:pStyle w:val="4"/>
        <w:tabs>
          <w:tab w:val="left" w:pos="4011"/>
        </w:tabs>
        <w:spacing w:before="120" w:line="188" w:lineRule="auto"/>
        <w:ind w:left="3451"/>
        <w:rPr>
          <w:color w:val="auto"/>
          <w:sz w:val="28"/>
          <w:szCs w:val="28"/>
          <w:highlight w:val="none"/>
        </w:rPr>
      </w:pPr>
      <w:r>
        <w:rPr>
          <w:color w:val="auto"/>
          <w:sz w:val="28"/>
          <w:szCs w:val="28"/>
          <w:highlight w:val="none"/>
          <w:u w:val="single" w:color="auto"/>
        </w:rPr>
        <w:tab/>
      </w:r>
      <w:r>
        <w:rPr>
          <w:color w:val="auto"/>
          <w:spacing w:val="-56"/>
          <w:sz w:val="28"/>
          <w:szCs w:val="28"/>
          <w:highlight w:val="none"/>
        </w:rPr>
        <w:t xml:space="preserve"> </w:t>
      </w:r>
      <w:r>
        <w:rPr>
          <w:color w:val="auto"/>
          <w:spacing w:val="-16"/>
          <w:sz w:val="28"/>
          <w:szCs w:val="28"/>
          <w:highlight w:val="none"/>
        </w:rPr>
        <w:t>年</w:t>
      </w:r>
      <w:r>
        <w:rPr>
          <w:color w:val="auto"/>
          <w:spacing w:val="1"/>
          <w:sz w:val="28"/>
          <w:szCs w:val="28"/>
          <w:highlight w:val="none"/>
          <w:u w:val="single" w:color="auto"/>
        </w:rPr>
        <w:t xml:space="preserve">     </w:t>
      </w:r>
      <w:r>
        <w:rPr>
          <w:color w:val="auto"/>
          <w:spacing w:val="-51"/>
          <w:sz w:val="28"/>
          <w:szCs w:val="28"/>
          <w:highlight w:val="none"/>
        </w:rPr>
        <w:t xml:space="preserve"> </w:t>
      </w:r>
      <w:r>
        <w:rPr>
          <w:color w:val="auto"/>
          <w:spacing w:val="-16"/>
          <w:sz w:val="28"/>
          <w:szCs w:val="28"/>
          <w:highlight w:val="none"/>
        </w:rPr>
        <w:t>月</w:t>
      </w:r>
      <w:r>
        <w:rPr>
          <w:color w:val="auto"/>
          <w:spacing w:val="1"/>
          <w:sz w:val="28"/>
          <w:szCs w:val="28"/>
          <w:highlight w:val="none"/>
          <w:u w:val="single" w:color="auto"/>
        </w:rPr>
        <w:t xml:space="preserve">     </w:t>
      </w:r>
      <w:r>
        <w:rPr>
          <w:color w:val="auto"/>
          <w:spacing w:val="-16"/>
          <w:sz w:val="28"/>
          <w:szCs w:val="28"/>
          <w:highlight w:val="none"/>
        </w:rPr>
        <w:t xml:space="preserve"> 日</w:t>
      </w:r>
    </w:p>
    <w:p w14:paraId="45B6A648">
      <w:pPr>
        <w:spacing w:line="188" w:lineRule="auto"/>
        <w:rPr>
          <w:color w:val="auto"/>
          <w:sz w:val="28"/>
          <w:szCs w:val="28"/>
          <w:highlight w:val="none"/>
        </w:rPr>
        <w:sectPr>
          <w:footerReference r:id="rId20" w:type="default"/>
          <w:pgSz w:w="11905" w:h="16839"/>
          <w:pgMar w:top="1440" w:right="1800" w:bottom="1440" w:left="1800" w:header="0" w:footer="1090" w:gutter="0"/>
          <w:pgNumType w:fmt="numberInDash"/>
          <w:cols w:space="720" w:num="1"/>
        </w:sectPr>
      </w:pPr>
    </w:p>
    <w:p w14:paraId="32121882">
      <w:pPr>
        <w:spacing w:line="319" w:lineRule="auto"/>
        <w:rPr>
          <w:rFonts w:ascii="Arial"/>
          <w:color w:val="auto"/>
          <w:sz w:val="21"/>
          <w:highlight w:val="none"/>
        </w:rPr>
      </w:pPr>
    </w:p>
    <w:p w14:paraId="36A22A82">
      <w:pPr>
        <w:spacing w:line="320" w:lineRule="auto"/>
        <w:rPr>
          <w:rFonts w:ascii="Arial"/>
          <w:color w:val="auto"/>
          <w:sz w:val="21"/>
          <w:highlight w:val="none"/>
        </w:rPr>
      </w:pPr>
    </w:p>
    <w:p w14:paraId="7EA2DA22">
      <w:pPr>
        <w:spacing w:line="320" w:lineRule="auto"/>
        <w:rPr>
          <w:rFonts w:ascii="Arial"/>
          <w:color w:val="auto"/>
          <w:sz w:val="21"/>
          <w:highlight w:val="none"/>
        </w:rPr>
      </w:pPr>
    </w:p>
    <w:p w14:paraId="0E97B879">
      <w:pPr>
        <w:spacing w:line="240" w:lineRule="auto"/>
        <w:ind w:left="0" w:right="0"/>
        <w:jc w:val="center"/>
        <w:rPr>
          <w:rFonts w:ascii="新宋体" w:hAnsi="新宋体" w:eastAsia="新宋体" w:cs="新宋体"/>
          <w:color w:val="auto"/>
          <w:sz w:val="44"/>
          <w:szCs w:val="44"/>
          <w:highlight w:val="none"/>
        </w:rPr>
      </w:pPr>
      <w:r>
        <w:rPr>
          <w:rFonts w:ascii="新宋体" w:hAnsi="新宋体" w:eastAsia="新宋体" w:cs="新宋体"/>
          <w:color w:val="auto"/>
          <w:spacing w:val="-6"/>
          <w:sz w:val="44"/>
          <w:szCs w:val="44"/>
          <w:highlight w:val="none"/>
        </w:rPr>
        <w:t>第一部分：商务部分</w:t>
      </w:r>
    </w:p>
    <w:p w14:paraId="1F962B9A">
      <w:pPr>
        <w:pStyle w:val="4"/>
        <w:spacing w:line="240" w:lineRule="auto"/>
        <w:ind w:left="0" w:right="0"/>
        <w:jc w:val="center"/>
        <w:rPr>
          <w:color w:val="auto"/>
          <w:sz w:val="28"/>
          <w:szCs w:val="28"/>
          <w:highlight w:val="none"/>
        </w:rPr>
      </w:pPr>
      <w:r>
        <w:rPr>
          <w:b/>
          <w:bCs/>
          <w:color w:val="auto"/>
          <w:spacing w:val="-4"/>
          <w:sz w:val="28"/>
          <w:szCs w:val="28"/>
          <w:highlight w:val="none"/>
        </w:rPr>
        <w:t>1、法定代表人身份证明或授权委托书</w:t>
      </w:r>
    </w:p>
    <w:p w14:paraId="6D69C4F9">
      <w:pPr>
        <w:pStyle w:val="4"/>
        <w:spacing w:line="240" w:lineRule="auto"/>
        <w:ind w:left="0" w:right="0"/>
        <w:jc w:val="center"/>
        <w:rPr>
          <w:color w:val="auto"/>
          <w:sz w:val="24"/>
          <w:szCs w:val="24"/>
          <w:highlight w:val="none"/>
        </w:rPr>
      </w:pPr>
      <w:r>
        <w:rPr>
          <w:b/>
          <w:bCs/>
          <w:color w:val="auto"/>
          <w:spacing w:val="-5"/>
          <w:sz w:val="28"/>
          <w:szCs w:val="28"/>
          <w:highlight w:val="none"/>
        </w:rPr>
        <w:t>（1）</w:t>
      </w:r>
      <w:r>
        <w:rPr>
          <w:b/>
          <w:bCs/>
          <w:color w:val="auto"/>
          <w:spacing w:val="-5"/>
          <w:sz w:val="24"/>
          <w:szCs w:val="24"/>
          <w:highlight w:val="none"/>
        </w:rPr>
        <w:t>法定代表人身份证明</w:t>
      </w:r>
    </w:p>
    <w:p w14:paraId="13913A46">
      <w:pPr>
        <w:spacing w:line="240" w:lineRule="auto"/>
        <w:ind w:left="0" w:right="0"/>
        <w:rPr>
          <w:rFonts w:ascii="Arial"/>
          <w:color w:val="auto"/>
          <w:sz w:val="21"/>
          <w:highlight w:val="none"/>
        </w:rPr>
      </w:pPr>
    </w:p>
    <w:p w14:paraId="297B510C">
      <w:pPr>
        <w:keepNext w:val="0"/>
        <w:keepLines w:val="0"/>
        <w:pageBreakBefore w:val="0"/>
        <w:widowControl/>
        <w:tabs>
          <w:tab w:val="left" w:pos="8024"/>
        </w:tabs>
        <w:kinsoku w:val="0"/>
        <w:wordWrap/>
        <w:overflowPunct/>
        <w:topLinePunct w:val="0"/>
        <w:autoSpaceDE w:val="0"/>
        <w:autoSpaceDN w:val="0"/>
        <w:bidi w:val="0"/>
        <w:adjustRightInd w:val="0"/>
        <w:snapToGrid w:val="0"/>
        <w:spacing w:line="360" w:lineRule="auto"/>
        <w:ind w:left="0" w:right="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单位名称：</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单位性质：</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成立时间：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9"/>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9"/>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9"/>
          <w:sz w:val="24"/>
          <w:szCs w:val="24"/>
          <w:highlight w:val="none"/>
        </w:rPr>
        <w:t>日</w:t>
      </w:r>
    </w:p>
    <w:p w14:paraId="2D515374">
      <w:pPr>
        <w:keepNext w:val="0"/>
        <w:keepLines w:val="0"/>
        <w:pageBreakBefore w:val="0"/>
        <w:widowControl/>
        <w:tabs>
          <w:tab w:val="left" w:pos="8144"/>
        </w:tabs>
        <w:kinsoku w:val="0"/>
        <w:wordWrap/>
        <w:overflowPunct/>
        <w:topLinePunct w:val="0"/>
        <w:autoSpaceDE w:val="0"/>
        <w:autoSpaceDN w:val="0"/>
        <w:bidi w:val="0"/>
        <w:adjustRightInd w:val="0"/>
        <w:snapToGrid w:val="0"/>
        <w:spacing w:line="360" w:lineRule="auto"/>
        <w:ind w:left="0" w:right="0"/>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经营期限：</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姓名：</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85"/>
          <w:sz w:val="24"/>
          <w:szCs w:val="24"/>
          <w:highlight w:val="none"/>
        </w:rPr>
        <w:t xml:space="preserve"> </w:t>
      </w:r>
      <w:r>
        <w:rPr>
          <w:rFonts w:ascii="新宋体" w:hAnsi="新宋体" w:eastAsia="新宋体" w:cs="新宋体"/>
          <w:color w:val="auto"/>
          <w:spacing w:val="-4"/>
          <w:sz w:val="24"/>
          <w:szCs w:val="24"/>
          <w:highlight w:val="none"/>
        </w:rPr>
        <w:t>性别：</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4"/>
          <w:sz w:val="24"/>
          <w:szCs w:val="24"/>
          <w:highlight w:val="none"/>
        </w:rPr>
        <w:t>年龄：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5"/>
          <w:sz w:val="24"/>
          <w:szCs w:val="24"/>
          <w:highlight w:val="none"/>
        </w:rPr>
        <w:t xml:space="preserve"> </w:t>
      </w:r>
      <w:r>
        <w:rPr>
          <w:rFonts w:ascii="新宋体" w:hAnsi="新宋体" w:eastAsia="新宋体" w:cs="新宋体"/>
          <w:color w:val="auto"/>
          <w:spacing w:val="-4"/>
          <w:sz w:val="24"/>
          <w:szCs w:val="24"/>
          <w:highlight w:val="none"/>
        </w:rPr>
        <w:t>职务：</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系</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88"/>
          <w:sz w:val="24"/>
          <w:szCs w:val="24"/>
          <w:highlight w:val="none"/>
        </w:rPr>
        <w:t xml:space="preserve"> </w:t>
      </w:r>
      <w:r>
        <w:rPr>
          <w:rFonts w:ascii="新宋体" w:hAnsi="新宋体" w:eastAsia="新宋体" w:cs="新宋体"/>
          <w:color w:val="auto"/>
          <w:spacing w:val="-9"/>
          <w:sz w:val="24"/>
          <w:szCs w:val="24"/>
          <w:highlight w:val="none"/>
        </w:rPr>
        <w:t>的法定代表人。</w:t>
      </w:r>
    </w:p>
    <w:p w14:paraId="77DB47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color w:val="auto"/>
          <w:highlight w:val="none"/>
        </w:rPr>
        <w:pict>
          <v:shape id="_x0000_s1027" o:spid="_x0000_s1027" o:spt="202" type="#_x0000_t202" style="position:absolute;left:0pt;margin-left:253.6pt;margin-top:33.3pt;height:141.95pt;width:197.5pt;z-index:251660288;mso-width-relative:page;mso-height-relative:page;" filled="f" stroked="f" coordsize="21600,21600">
            <v:path/>
            <v:fill on="f" focussize="0,0"/>
            <v:stroke on="f"/>
            <v:imagedata o:title=""/>
            <o:lock v:ext="edit" aspectratio="f"/>
            <v:textbox inset="0mm,0mm,0mm,0mm">
              <w:txbxContent>
                <w:p w14:paraId="4FCD8400">
                  <w:pPr>
                    <w:spacing w:line="20" w:lineRule="exact"/>
                  </w:pPr>
                </w:p>
                <w:tbl>
                  <w:tblPr>
                    <w:tblStyle w:val="15"/>
                    <w:tblW w:w="3894" w:type="dxa"/>
                    <w:tblInd w:w="27" w:type="dxa"/>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Layout w:type="fixed"/>
                    <w:tblCellMar>
                      <w:top w:w="0" w:type="dxa"/>
                      <w:left w:w="0" w:type="dxa"/>
                      <w:bottom w:w="0" w:type="dxa"/>
                      <w:right w:w="0" w:type="dxa"/>
                    </w:tblCellMar>
                  </w:tblPr>
                  <w:tblGrid>
                    <w:gridCol w:w="3894"/>
                  </w:tblGrid>
                  <w:tr w14:paraId="527C0BB8">
                    <w:tblPrEx>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CellMar>
                        <w:top w:w="0" w:type="dxa"/>
                        <w:left w:w="0" w:type="dxa"/>
                        <w:bottom w:w="0" w:type="dxa"/>
                        <w:right w:w="0" w:type="dxa"/>
                      </w:tblCellMar>
                    </w:tblPrEx>
                    <w:trPr>
                      <w:trHeight w:val="2768" w:hRule="atLeast"/>
                    </w:trPr>
                    <w:tc>
                      <w:tcPr>
                        <w:tcW w:w="3894" w:type="dxa"/>
                        <w:vAlign w:val="top"/>
                      </w:tcPr>
                      <w:p w14:paraId="02FFF005">
                        <w:pPr>
                          <w:spacing w:before="115" w:line="220" w:lineRule="auto"/>
                          <w:ind w:left="551"/>
                          <w:rPr>
                            <w:rFonts w:ascii="宋体" w:hAnsi="宋体" w:eastAsia="宋体" w:cs="宋体"/>
                            <w:sz w:val="28"/>
                            <w:szCs w:val="28"/>
                          </w:rPr>
                        </w:pPr>
                        <w:r>
                          <w:rPr>
                            <w:rFonts w:ascii="宋体" w:hAnsi="宋体" w:eastAsia="宋体" w:cs="宋体"/>
                            <w:spacing w:val="-2"/>
                            <w:sz w:val="28"/>
                            <w:szCs w:val="28"/>
                          </w:rPr>
                          <w:t>法人身份证复印件背面</w:t>
                        </w:r>
                      </w:p>
                    </w:tc>
                  </w:tr>
                </w:tbl>
                <w:p w14:paraId="079DB15C">
                  <w:pPr>
                    <w:rPr>
                      <w:rFonts w:ascii="Arial"/>
                      <w:sz w:val="21"/>
                    </w:rPr>
                  </w:pPr>
                </w:p>
              </w:txbxContent>
            </v:textbox>
          </v:shape>
        </w:pict>
      </w:r>
      <w:r>
        <w:rPr>
          <w:rFonts w:ascii="新宋体" w:hAnsi="新宋体" w:eastAsia="新宋体" w:cs="新宋体"/>
          <w:color w:val="auto"/>
          <w:spacing w:val="-8"/>
          <w:sz w:val="24"/>
          <w:szCs w:val="24"/>
          <w:highlight w:val="none"/>
        </w:rPr>
        <w:t>特此证明。</w:t>
      </w:r>
    </w:p>
    <w:p w14:paraId="1714230F">
      <w:pPr>
        <w:spacing w:before="135"/>
        <w:rPr>
          <w:color w:val="auto"/>
          <w:highlight w:val="none"/>
        </w:rPr>
      </w:pPr>
    </w:p>
    <w:tbl>
      <w:tblPr>
        <w:tblStyle w:val="15"/>
        <w:tblW w:w="3894" w:type="dxa"/>
        <w:tblInd w:w="929" w:type="dxa"/>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Layout w:type="fixed"/>
        <w:tblCellMar>
          <w:top w:w="0" w:type="dxa"/>
          <w:left w:w="0" w:type="dxa"/>
          <w:bottom w:w="0" w:type="dxa"/>
          <w:right w:w="0" w:type="dxa"/>
        </w:tblCellMar>
      </w:tblPr>
      <w:tblGrid>
        <w:gridCol w:w="3894"/>
      </w:tblGrid>
      <w:tr w14:paraId="3BD03996">
        <w:tblPrEx>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CellMar>
            <w:top w:w="0" w:type="dxa"/>
            <w:left w:w="0" w:type="dxa"/>
            <w:bottom w:w="0" w:type="dxa"/>
            <w:right w:w="0" w:type="dxa"/>
          </w:tblCellMar>
        </w:tblPrEx>
        <w:trPr>
          <w:trHeight w:val="2753" w:hRule="atLeast"/>
        </w:trPr>
        <w:tc>
          <w:tcPr>
            <w:tcW w:w="3894" w:type="dxa"/>
            <w:vAlign w:val="top"/>
          </w:tcPr>
          <w:p w14:paraId="3944CF91">
            <w:pPr>
              <w:spacing w:before="115" w:line="220" w:lineRule="auto"/>
              <w:ind w:left="55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法人身份证复印件正面</w:t>
            </w:r>
          </w:p>
        </w:tc>
      </w:tr>
    </w:tbl>
    <w:p w14:paraId="3C7E7153">
      <w:pPr>
        <w:spacing w:line="246" w:lineRule="auto"/>
        <w:rPr>
          <w:rFonts w:ascii="Arial"/>
          <w:color w:val="auto"/>
          <w:sz w:val="21"/>
          <w:highlight w:val="none"/>
        </w:rPr>
      </w:pPr>
    </w:p>
    <w:p w14:paraId="087293B3">
      <w:pPr>
        <w:spacing w:line="247" w:lineRule="auto"/>
        <w:rPr>
          <w:rFonts w:ascii="Arial"/>
          <w:color w:val="auto"/>
          <w:sz w:val="21"/>
          <w:highlight w:val="none"/>
        </w:rPr>
      </w:pPr>
    </w:p>
    <w:p w14:paraId="206B4762">
      <w:pPr>
        <w:spacing w:line="247" w:lineRule="auto"/>
        <w:rPr>
          <w:rFonts w:ascii="Arial"/>
          <w:color w:val="auto"/>
          <w:sz w:val="21"/>
          <w:highlight w:val="none"/>
        </w:rPr>
      </w:pPr>
    </w:p>
    <w:p w14:paraId="39882D12">
      <w:pPr>
        <w:spacing w:line="247" w:lineRule="auto"/>
        <w:rPr>
          <w:rFonts w:ascii="Arial"/>
          <w:color w:val="auto"/>
          <w:sz w:val="21"/>
          <w:highlight w:val="none"/>
        </w:rPr>
      </w:pPr>
    </w:p>
    <w:p w14:paraId="552C311C">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467EBF9D">
      <w:pPr>
        <w:spacing w:before="177" w:line="345" w:lineRule="auto"/>
        <w:ind w:left="50" w:right="1356" w:hanging="42"/>
        <w:rPr>
          <w:rFonts w:ascii="新宋体" w:hAnsi="新宋体" w:eastAsia="新宋体" w:cs="新宋体"/>
          <w:color w:val="auto"/>
          <w:sz w:val="24"/>
          <w:szCs w:val="24"/>
          <w:highlight w:val="none"/>
        </w:rPr>
        <w:sectPr>
          <w:footerReference r:id="rId21" w:type="default"/>
          <w:pgSz w:w="11905" w:h="16839"/>
          <w:pgMar w:top="1440" w:right="1800" w:bottom="1440" w:left="1800" w:header="0" w:footer="1090" w:gutter="0"/>
          <w:pgNumType w:fmt="numberInDash"/>
          <w:cols w:space="720" w:num="1"/>
        </w:sect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1DE81732">
      <w:pPr>
        <w:spacing w:line="319" w:lineRule="auto"/>
        <w:rPr>
          <w:rFonts w:ascii="Arial"/>
          <w:color w:val="auto"/>
          <w:sz w:val="21"/>
          <w:highlight w:val="none"/>
        </w:rPr>
      </w:pPr>
    </w:p>
    <w:p w14:paraId="4C645E6D">
      <w:pPr>
        <w:spacing w:line="319" w:lineRule="auto"/>
        <w:rPr>
          <w:rFonts w:ascii="Arial"/>
          <w:color w:val="auto"/>
          <w:sz w:val="21"/>
          <w:highlight w:val="none"/>
        </w:rPr>
      </w:pPr>
    </w:p>
    <w:p w14:paraId="2F3618D8">
      <w:pPr>
        <w:pStyle w:val="4"/>
        <w:spacing w:before="120" w:line="184" w:lineRule="auto"/>
        <w:ind w:left="4006"/>
        <w:rPr>
          <w:color w:val="auto"/>
          <w:sz w:val="28"/>
          <w:szCs w:val="28"/>
          <w:highlight w:val="none"/>
        </w:rPr>
      </w:pPr>
      <w:r>
        <w:rPr>
          <w:b/>
          <w:bCs/>
          <w:color w:val="auto"/>
          <w:spacing w:val="-11"/>
          <w:sz w:val="28"/>
          <w:szCs w:val="28"/>
          <w:highlight w:val="none"/>
        </w:rPr>
        <w:t>（2）授权委托书</w:t>
      </w:r>
    </w:p>
    <w:p w14:paraId="0D0378E1">
      <w:pPr>
        <w:spacing w:before="171" w:line="352" w:lineRule="auto"/>
        <w:ind w:left="183" w:firstLine="455"/>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本授权委托书声明：我</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4"/>
          <w:sz w:val="24"/>
          <w:szCs w:val="24"/>
          <w:highlight w:val="none"/>
        </w:rPr>
        <w:t>系</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4"/>
          <w:sz w:val="24"/>
          <w:szCs w:val="24"/>
          <w:highlight w:val="none"/>
        </w:rPr>
        <w:t>的法定代表人，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现授权委托</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1"/>
          <w:sz w:val="24"/>
          <w:szCs w:val="24"/>
          <w:highlight w:val="none"/>
        </w:rPr>
        <w:t>的</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1"/>
          <w:sz w:val="24"/>
          <w:szCs w:val="24"/>
          <w:highlight w:val="none"/>
        </w:rPr>
        <w:t>为我的代理</w:t>
      </w:r>
      <w:r>
        <w:rPr>
          <w:rFonts w:ascii="新宋体" w:hAnsi="新宋体" w:eastAsia="新宋体" w:cs="新宋体"/>
          <w:color w:val="auto"/>
          <w:spacing w:val="-2"/>
          <w:sz w:val="24"/>
          <w:szCs w:val="24"/>
          <w:highlight w:val="none"/>
        </w:rPr>
        <w:t>人，以本单位的名义参</w:t>
      </w:r>
      <w:r>
        <w:rPr>
          <w:rFonts w:ascii="新宋体" w:hAnsi="新宋体" w:eastAsia="新宋体" w:cs="新宋体"/>
          <w:color w:val="auto"/>
          <w:sz w:val="24"/>
          <w:szCs w:val="24"/>
          <w:highlight w:val="none"/>
        </w:rPr>
        <w:t xml:space="preserve"> 加</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05"/>
          <w:sz w:val="24"/>
          <w:szCs w:val="24"/>
          <w:highlight w:val="none"/>
        </w:rPr>
        <w:t xml:space="preserve"> </w:t>
      </w:r>
      <w:r>
        <w:rPr>
          <w:rFonts w:ascii="新宋体" w:hAnsi="新宋体" w:eastAsia="新宋体" w:cs="新宋体"/>
          <w:color w:val="auto"/>
          <w:spacing w:val="-1"/>
          <w:sz w:val="24"/>
          <w:szCs w:val="24"/>
          <w:highlight w:val="none"/>
        </w:rPr>
        <w:t>投标活动。代理人在参加整个招标投标活动、合同签</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订过程中所签署的一切文件和处理与之相关的一切事物，我均予承认。</w:t>
      </w:r>
    </w:p>
    <w:p w14:paraId="24A01AD5">
      <w:pPr>
        <w:spacing w:before="36" w:line="345" w:lineRule="auto"/>
        <w:ind w:left="638" w:right="1243" w:firstLine="30"/>
        <w:rPr>
          <w:rFonts w:ascii="新宋体" w:hAnsi="新宋体" w:eastAsia="新宋体" w:cs="新宋体"/>
          <w:color w:val="auto"/>
          <w:sz w:val="24"/>
          <w:szCs w:val="24"/>
          <w:highlight w:val="none"/>
        </w:rPr>
      </w:pPr>
      <w:r>
        <w:rPr>
          <w:color w:val="auto"/>
          <w:highlight w:val="none"/>
        </w:rPr>
        <w:pict>
          <v:shape id="_x0000_s1028" o:spid="_x0000_s1028" o:spt="202" type="#_x0000_t202" style="position:absolute;left:0pt;margin-left:-0.25pt;margin-top:54.9pt;height:152pt;width:236.75pt;z-index:251662336;mso-width-relative:page;mso-height-relative:page;" filled="f" stroked="f" coordsize="21600,21600">
            <v:path/>
            <v:fill on="f" focussize="0,0"/>
            <v:stroke on="f"/>
            <v:imagedata o:title=""/>
            <o:lock v:ext="edit" aspectratio="f"/>
            <v:textbox inset="0mm,0mm,0mm,0mm">
              <w:txbxContent>
                <w:p w14:paraId="6B3F3A0F">
                  <w:pPr>
                    <w:spacing w:line="20" w:lineRule="exact"/>
                  </w:pPr>
                </w:p>
                <w:tbl>
                  <w:tblPr>
                    <w:tblStyle w:val="15"/>
                    <w:tblW w:w="468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41A515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7C389A46">
                        <w:pPr>
                          <w:spacing w:line="312" w:lineRule="auto"/>
                          <w:rPr>
                            <w:rFonts w:ascii="Arial"/>
                            <w:sz w:val="21"/>
                          </w:rPr>
                        </w:pPr>
                      </w:p>
                      <w:p w14:paraId="287F2940">
                        <w:pPr>
                          <w:spacing w:line="313" w:lineRule="auto"/>
                          <w:rPr>
                            <w:rFonts w:ascii="Arial"/>
                            <w:sz w:val="21"/>
                          </w:rPr>
                        </w:pPr>
                      </w:p>
                      <w:p w14:paraId="0474F1CB">
                        <w:pPr>
                          <w:spacing w:line="313" w:lineRule="auto"/>
                          <w:rPr>
                            <w:rFonts w:ascii="Arial"/>
                            <w:sz w:val="21"/>
                          </w:rPr>
                        </w:pPr>
                      </w:p>
                      <w:p w14:paraId="345B32F8">
                        <w:pPr>
                          <w:pStyle w:val="16"/>
                          <w:spacing w:before="117" w:line="224" w:lineRule="auto"/>
                          <w:ind w:left="927"/>
                          <w:rPr>
                            <w:sz w:val="36"/>
                            <w:szCs w:val="36"/>
                          </w:rPr>
                        </w:pPr>
                        <w:r>
                          <w:rPr>
                            <w:spacing w:val="-4"/>
                            <w:sz w:val="36"/>
                            <w:szCs w:val="36"/>
                          </w:rPr>
                          <w:t>法定代表人身份证</w:t>
                        </w:r>
                      </w:p>
                      <w:p w14:paraId="33CBCE27">
                        <w:pPr>
                          <w:pStyle w:val="16"/>
                          <w:spacing w:before="30" w:line="225" w:lineRule="auto"/>
                          <w:ind w:left="1636"/>
                          <w:rPr>
                            <w:sz w:val="36"/>
                            <w:szCs w:val="36"/>
                          </w:rPr>
                        </w:pPr>
                        <w:r>
                          <w:rPr>
                            <w:spacing w:val="-9"/>
                            <w:sz w:val="36"/>
                            <w:szCs w:val="36"/>
                          </w:rPr>
                          <w:t>（正面）</w:t>
                        </w:r>
                      </w:p>
                    </w:tc>
                  </w:tr>
                </w:tbl>
                <w:p w14:paraId="7D5B8DC6">
                  <w:pPr>
                    <w:rPr>
                      <w:rFonts w:ascii="Arial"/>
                      <w:sz w:val="21"/>
                    </w:rPr>
                  </w:pPr>
                </w:p>
              </w:txbxContent>
            </v:textbox>
          </v:shape>
        </w:pict>
      </w:r>
      <w:r>
        <w:rPr>
          <w:color w:val="auto"/>
          <w:highlight w:val="none"/>
        </w:rPr>
        <w:pict>
          <v:shape id="_x0000_s1029" o:spid="_x0000_s1029" o:spt="202" type="#_x0000_t202" style="position:absolute;left:0pt;margin-left:-1pt;margin-top:213.1pt;height:152pt;width:236.75pt;z-index:251661312;mso-width-relative:page;mso-height-relative:page;" filled="f" stroked="f" coordsize="21600,21600">
            <v:path/>
            <v:fill on="f" focussize="0,0"/>
            <v:stroke on="f"/>
            <v:imagedata o:title=""/>
            <o:lock v:ext="edit" aspectratio="f"/>
            <v:textbox inset="0mm,0mm,0mm,0mm">
              <w:txbxContent>
                <w:p w14:paraId="0904E7E6">
                  <w:pPr>
                    <w:spacing w:line="20" w:lineRule="exact"/>
                  </w:pPr>
                </w:p>
                <w:tbl>
                  <w:tblPr>
                    <w:tblStyle w:val="15"/>
                    <w:tblW w:w="468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4F294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1BFAAD65">
                        <w:pPr>
                          <w:spacing w:line="312" w:lineRule="auto"/>
                          <w:rPr>
                            <w:rFonts w:ascii="Arial"/>
                            <w:sz w:val="21"/>
                          </w:rPr>
                        </w:pPr>
                      </w:p>
                      <w:p w14:paraId="6E06DA01">
                        <w:pPr>
                          <w:spacing w:line="313" w:lineRule="auto"/>
                          <w:rPr>
                            <w:rFonts w:ascii="Arial"/>
                            <w:sz w:val="21"/>
                          </w:rPr>
                        </w:pPr>
                      </w:p>
                      <w:p w14:paraId="282D968C">
                        <w:pPr>
                          <w:spacing w:line="313" w:lineRule="auto"/>
                          <w:rPr>
                            <w:rFonts w:ascii="Arial"/>
                            <w:sz w:val="21"/>
                          </w:rPr>
                        </w:pPr>
                      </w:p>
                      <w:p w14:paraId="552E712F">
                        <w:pPr>
                          <w:pStyle w:val="16"/>
                          <w:spacing w:before="117" w:line="224" w:lineRule="auto"/>
                          <w:ind w:left="927"/>
                          <w:rPr>
                            <w:sz w:val="36"/>
                            <w:szCs w:val="36"/>
                          </w:rPr>
                        </w:pPr>
                        <w:r>
                          <w:rPr>
                            <w:spacing w:val="-4"/>
                            <w:sz w:val="36"/>
                            <w:szCs w:val="36"/>
                          </w:rPr>
                          <w:t>法定代表人身份证</w:t>
                        </w:r>
                      </w:p>
                      <w:p w14:paraId="2073BC3C">
                        <w:pPr>
                          <w:pStyle w:val="16"/>
                          <w:spacing w:before="30" w:line="225" w:lineRule="auto"/>
                          <w:ind w:left="1636"/>
                          <w:rPr>
                            <w:sz w:val="36"/>
                            <w:szCs w:val="36"/>
                          </w:rPr>
                        </w:pPr>
                        <w:r>
                          <w:rPr>
                            <w:spacing w:val="-9"/>
                            <w:sz w:val="36"/>
                            <w:szCs w:val="36"/>
                          </w:rPr>
                          <w:t>（反面）</w:t>
                        </w:r>
                      </w:p>
                    </w:tc>
                  </w:tr>
                </w:tbl>
                <w:p w14:paraId="3B2A231A">
                  <w:pPr>
                    <w:rPr>
                      <w:rFonts w:ascii="Arial"/>
                      <w:sz w:val="21"/>
                    </w:rPr>
                  </w:pPr>
                </w:p>
              </w:txbxContent>
            </v:textbox>
          </v:shape>
        </w:pict>
      </w:r>
      <w:r>
        <w:rPr>
          <w:rFonts w:ascii="新宋体" w:hAnsi="新宋体" w:eastAsia="新宋体" w:cs="新宋体"/>
          <w:color w:val="auto"/>
          <w:spacing w:val="-7"/>
          <w:sz w:val="24"/>
          <w:szCs w:val="24"/>
          <w:highlight w:val="none"/>
        </w:rPr>
        <w:t>代理人：</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7"/>
          <w:sz w:val="24"/>
          <w:szCs w:val="24"/>
          <w:highlight w:val="none"/>
        </w:rPr>
        <w:t>性别：</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7"/>
          <w:sz w:val="24"/>
          <w:szCs w:val="24"/>
          <w:highlight w:val="none"/>
        </w:rPr>
        <w:t>年龄：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6"/>
          <w:sz w:val="24"/>
          <w:szCs w:val="24"/>
          <w:highlight w:val="none"/>
        </w:rPr>
        <w:t>部</w:t>
      </w:r>
      <w:r>
        <w:rPr>
          <w:rFonts w:ascii="新宋体" w:hAnsi="新宋体" w:eastAsia="新宋体" w:cs="新宋体"/>
          <w:color w:val="auto"/>
          <w:spacing w:val="20"/>
          <w:sz w:val="24"/>
          <w:szCs w:val="24"/>
          <w:highlight w:val="none"/>
        </w:rPr>
        <w:t xml:space="preserve">  </w:t>
      </w:r>
      <w:r>
        <w:rPr>
          <w:rFonts w:ascii="新宋体" w:hAnsi="新宋体" w:eastAsia="新宋体" w:cs="新宋体"/>
          <w:color w:val="auto"/>
          <w:spacing w:val="-6"/>
          <w:sz w:val="24"/>
          <w:szCs w:val="24"/>
          <w:highlight w:val="none"/>
        </w:rPr>
        <w:t>门：</w:t>
      </w:r>
      <w:r>
        <w:rPr>
          <w:rFonts w:ascii="新宋体" w:hAnsi="新宋体" w:eastAsia="新宋体" w:cs="新宋体"/>
          <w:color w:val="auto"/>
          <w:spacing w:val="-6"/>
          <w:sz w:val="24"/>
          <w:szCs w:val="24"/>
          <w:highlight w:val="none"/>
          <w:u w:val="single" w:color="auto"/>
        </w:rPr>
        <w:t xml:space="preserve">                    </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7"/>
          <w:sz w:val="24"/>
          <w:szCs w:val="24"/>
          <w:highlight w:val="none"/>
        </w:rPr>
        <w:t xml:space="preserve">  职务：</w:t>
      </w:r>
      <w:r>
        <w:rPr>
          <w:rFonts w:ascii="新宋体" w:hAnsi="新宋体" w:eastAsia="新宋体" w:cs="新宋体"/>
          <w:color w:val="auto"/>
          <w:spacing w:val="-7"/>
          <w:sz w:val="24"/>
          <w:szCs w:val="24"/>
          <w:highlight w:val="none"/>
          <w:u w:val="single" w:color="auto"/>
        </w:rPr>
        <w:t xml:space="preserve">              </w:t>
      </w:r>
    </w:p>
    <w:p w14:paraId="18B5B706">
      <w:pPr>
        <w:spacing w:line="184" w:lineRule="exact"/>
        <w:rPr>
          <w:color w:val="auto"/>
          <w:highlight w:val="none"/>
        </w:rPr>
      </w:pPr>
    </w:p>
    <w:tbl>
      <w:tblPr>
        <w:tblStyle w:val="15"/>
        <w:tblW w:w="4680" w:type="dxa"/>
        <w:tblInd w:w="506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018281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772D7838">
            <w:pPr>
              <w:spacing w:line="312" w:lineRule="auto"/>
              <w:rPr>
                <w:rFonts w:ascii="Arial"/>
                <w:color w:val="auto"/>
                <w:sz w:val="21"/>
                <w:highlight w:val="none"/>
              </w:rPr>
            </w:pPr>
          </w:p>
          <w:p w14:paraId="03AAE205">
            <w:pPr>
              <w:spacing w:line="313" w:lineRule="auto"/>
              <w:rPr>
                <w:rFonts w:ascii="Arial"/>
                <w:color w:val="auto"/>
                <w:sz w:val="21"/>
                <w:highlight w:val="none"/>
              </w:rPr>
            </w:pPr>
          </w:p>
          <w:p w14:paraId="57D96AC0">
            <w:pPr>
              <w:spacing w:line="313" w:lineRule="auto"/>
              <w:rPr>
                <w:rFonts w:ascii="Arial"/>
                <w:color w:val="auto"/>
                <w:sz w:val="21"/>
                <w:highlight w:val="none"/>
              </w:rPr>
            </w:pPr>
          </w:p>
          <w:p w14:paraId="721F771A">
            <w:pPr>
              <w:pStyle w:val="16"/>
              <w:spacing w:before="117" w:line="224" w:lineRule="auto"/>
              <w:ind w:left="1283"/>
              <w:rPr>
                <w:color w:val="auto"/>
                <w:sz w:val="36"/>
                <w:szCs w:val="36"/>
                <w:highlight w:val="none"/>
              </w:rPr>
            </w:pPr>
            <w:r>
              <w:rPr>
                <w:color w:val="auto"/>
                <w:spacing w:val="-5"/>
                <w:sz w:val="36"/>
                <w:szCs w:val="36"/>
                <w:highlight w:val="none"/>
              </w:rPr>
              <w:t>代理人身份证</w:t>
            </w:r>
          </w:p>
          <w:p w14:paraId="51FD0F8D">
            <w:pPr>
              <w:pStyle w:val="16"/>
              <w:spacing w:before="30" w:line="225" w:lineRule="auto"/>
              <w:ind w:left="1636"/>
              <w:rPr>
                <w:color w:val="auto"/>
                <w:sz w:val="36"/>
                <w:szCs w:val="36"/>
                <w:highlight w:val="none"/>
              </w:rPr>
            </w:pPr>
            <w:r>
              <w:rPr>
                <w:color w:val="auto"/>
                <w:spacing w:val="-9"/>
                <w:sz w:val="36"/>
                <w:szCs w:val="36"/>
                <w:highlight w:val="none"/>
              </w:rPr>
              <w:t>（正面）</w:t>
            </w:r>
          </w:p>
        </w:tc>
      </w:tr>
    </w:tbl>
    <w:p w14:paraId="432F9E16">
      <w:pPr>
        <w:spacing w:line="164" w:lineRule="exact"/>
        <w:rPr>
          <w:color w:val="auto"/>
          <w:highlight w:val="none"/>
        </w:rPr>
      </w:pPr>
    </w:p>
    <w:tbl>
      <w:tblPr>
        <w:tblStyle w:val="15"/>
        <w:tblW w:w="4679" w:type="dxa"/>
        <w:tblInd w:w="504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79"/>
      </w:tblGrid>
      <w:tr w14:paraId="6F2170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79" w:type="dxa"/>
            <w:vAlign w:val="top"/>
          </w:tcPr>
          <w:p w14:paraId="7E65E9DE">
            <w:pPr>
              <w:spacing w:line="312" w:lineRule="auto"/>
              <w:rPr>
                <w:rFonts w:ascii="Arial"/>
                <w:color w:val="auto"/>
                <w:sz w:val="21"/>
                <w:highlight w:val="none"/>
              </w:rPr>
            </w:pPr>
          </w:p>
          <w:p w14:paraId="15A76DE2">
            <w:pPr>
              <w:spacing w:line="313" w:lineRule="auto"/>
              <w:rPr>
                <w:rFonts w:ascii="Arial"/>
                <w:color w:val="auto"/>
                <w:sz w:val="21"/>
                <w:highlight w:val="none"/>
              </w:rPr>
            </w:pPr>
          </w:p>
          <w:p w14:paraId="4B312D02">
            <w:pPr>
              <w:spacing w:line="313" w:lineRule="auto"/>
              <w:rPr>
                <w:rFonts w:ascii="Arial"/>
                <w:color w:val="auto"/>
                <w:sz w:val="21"/>
                <w:highlight w:val="none"/>
              </w:rPr>
            </w:pPr>
          </w:p>
          <w:p w14:paraId="2EEF765C">
            <w:pPr>
              <w:pStyle w:val="16"/>
              <w:spacing w:before="117" w:line="224" w:lineRule="auto"/>
              <w:ind w:left="1283"/>
              <w:rPr>
                <w:color w:val="auto"/>
                <w:sz w:val="36"/>
                <w:szCs w:val="36"/>
                <w:highlight w:val="none"/>
              </w:rPr>
            </w:pPr>
            <w:r>
              <w:rPr>
                <w:color w:val="auto"/>
                <w:spacing w:val="-5"/>
                <w:sz w:val="36"/>
                <w:szCs w:val="36"/>
                <w:highlight w:val="none"/>
              </w:rPr>
              <w:t>代理人身份证</w:t>
            </w:r>
          </w:p>
          <w:p w14:paraId="3C9DD1C0">
            <w:pPr>
              <w:pStyle w:val="16"/>
              <w:spacing w:before="30" w:line="225" w:lineRule="auto"/>
              <w:ind w:left="1636"/>
              <w:rPr>
                <w:color w:val="auto"/>
                <w:sz w:val="36"/>
                <w:szCs w:val="36"/>
                <w:highlight w:val="none"/>
              </w:rPr>
            </w:pPr>
            <w:r>
              <w:rPr>
                <w:color w:val="auto"/>
                <w:spacing w:val="-9"/>
                <w:sz w:val="36"/>
                <w:szCs w:val="36"/>
                <w:highlight w:val="none"/>
              </w:rPr>
              <w:t>（反面）</w:t>
            </w:r>
          </w:p>
        </w:tc>
      </w:tr>
    </w:tbl>
    <w:p w14:paraId="241E679A">
      <w:pPr>
        <w:spacing w:line="305" w:lineRule="auto"/>
        <w:rPr>
          <w:rFonts w:ascii="Arial"/>
          <w:color w:val="auto"/>
          <w:sz w:val="21"/>
          <w:highlight w:val="none"/>
        </w:rPr>
      </w:pPr>
    </w:p>
    <w:p w14:paraId="071A99BA">
      <w:pPr>
        <w:spacing w:before="78" w:line="223" w:lineRule="auto"/>
        <w:ind w:left="18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6129E5C0">
      <w:pPr>
        <w:spacing w:before="177" w:line="345" w:lineRule="auto"/>
        <w:ind w:left="234" w:right="2203"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6428CD2">
      <w:pPr>
        <w:spacing w:line="345" w:lineRule="auto"/>
        <w:rPr>
          <w:rFonts w:ascii="新宋体" w:hAnsi="新宋体" w:eastAsia="新宋体" w:cs="新宋体"/>
          <w:color w:val="auto"/>
          <w:sz w:val="24"/>
          <w:szCs w:val="24"/>
          <w:highlight w:val="none"/>
        </w:rPr>
      </w:pPr>
    </w:p>
    <w:p w14:paraId="437D1078">
      <w:pPr>
        <w:pStyle w:val="3"/>
        <w:rPr>
          <w:rFonts w:hint="eastAsia" w:ascii="新宋体" w:hAnsi="新宋体" w:eastAsia="新宋体" w:cs="新宋体"/>
          <w:color w:val="auto"/>
          <w:sz w:val="24"/>
          <w:szCs w:val="24"/>
          <w:highlight w:val="none"/>
          <w:lang w:val="en-US" w:eastAsia="zh-CN"/>
        </w:rPr>
        <w:sectPr>
          <w:footerReference r:id="rId22" w:type="default"/>
          <w:pgSz w:w="11905" w:h="16839"/>
          <w:pgMar w:top="1440" w:right="1800" w:bottom="1440" w:left="1800" w:header="0" w:footer="1090" w:gutter="0"/>
          <w:pgNumType w:fmt="numberInDash"/>
          <w:cols w:space="720" w:num="1"/>
        </w:sectPr>
      </w:pPr>
      <w:r>
        <w:rPr>
          <w:rFonts w:hint="eastAsia" w:ascii="新宋体" w:hAnsi="新宋体" w:eastAsia="新宋体" w:cs="新宋体"/>
          <w:color w:val="auto"/>
          <w:sz w:val="24"/>
          <w:szCs w:val="24"/>
          <w:highlight w:val="none"/>
          <w:lang w:val="en-US" w:eastAsia="zh-CN"/>
        </w:rPr>
        <w:t>注：法定代表人和授权代表均须签字或加盖个人名章，并加盖单位公章，否则按无效标处理。</w:t>
      </w:r>
    </w:p>
    <w:p w14:paraId="638B78A9">
      <w:pPr>
        <w:spacing w:line="319" w:lineRule="auto"/>
        <w:rPr>
          <w:rFonts w:ascii="Arial"/>
          <w:color w:val="auto"/>
          <w:sz w:val="21"/>
          <w:highlight w:val="none"/>
        </w:rPr>
      </w:pPr>
    </w:p>
    <w:p w14:paraId="51A61463">
      <w:pPr>
        <w:spacing w:line="319" w:lineRule="auto"/>
        <w:rPr>
          <w:rFonts w:ascii="Arial"/>
          <w:color w:val="auto"/>
          <w:sz w:val="21"/>
          <w:highlight w:val="none"/>
        </w:rPr>
      </w:pPr>
    </w:p>
    <w:p w14:paraId="0258CB59">
      <w:pPr>
        <w:spacing w:line="320" w:lineRule="auto"/>
        <w:rPr>
          <w:rFonts w:ascii="Arial"/>
          <w:color w:val="auto"/>
          <w:sz w:val="21"/>
          <w:highlight w:val="none"/>
        </w:rPr>
      </w:pPr>
    </w:p>
    <w:p w14:paraId="0192DD17">
      <w:pPr>
        <w:pStyle w:val="4"/>
        <w:spacing w:before="120" w:line="188" w:lineRule="auto"/>
        <w:ind w:left="3529"/>
        <w:rPr>
          <w:color w:val="auto"/>
          <w:sz w:val="28"/>
          <w:szCs w:val="28"/>
          <w:highlight w:val="none"/>
        </w:rPr>
      </w:pPr>
      <w:r>
        <w:rPr>
          <w:b/>
          <w:bCs/>
          <w:color w:val="auto"/>
          <w:spacing w:val="-5"/>
          <w:sz w:val="28"/>
          <w:szCs w:val="28"/>
          <w:highlight w:val="none"/>
        </w:rPr>
        <w:t>2、投标单位基本情况</w:t>
      </w:r>
    </w:p>
    <w:p w14:paraId="15895EEB">
      <w:pPr>
        <w:pStyle w:val="4"/>
        <w:spacing w:before="161" w:line="188" w:lineRule="auto"/>
        <w:ind w:left="4022"/>
        <w:rPr>
          <w:color w:val="auto"/>
          <w:sz w:val="24"/>
          <w:szCs w:val="24"/>
          <w:highlight w:val="none"/>
        </w:rPr>
      </w:pPr>
      <w:r>
        <w:rPr>
          <w:b/>
          <w:bCs/>
          <w:color w:val="auto"/>
          <w:spacing w:val="-3"/>
          <w:sz w:val="24"/>
          <w:szCs w:val="24"/>
          <w:highlight w:val="none"/>
        </w:rPr>
        <w:t>企业信息一览表</w:t>
      </w:r>
    </w:p>
    <w:p w14:paraId="131E11C5">
      <w:pPr>
        <w:spacing w:line="106" w:lineRule="exact"/>
        <w:rPr>
          <w:color w:val="auto"/>
          <w:highlight w:val="none"/>
        </w:rPr>
      </w:pPr>
    </w:p>
    <w:tbl>
      <w:tblPr>
        <w:tblStyle w:val="15"/>
        <w:tblW w:w="96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1216"/>
        <w:gridCol w:w="1216"/>
        <w:gridCol w:w="1216"/>
        <w:gridCol w:w="1216"/>
        <w:gridCol w:w="1216"/>
        <w:gridCol w:w="1862"/>
      </w:tblGrid>
      <w:tr w14:paraId="7D8AD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739" w:type="dxa"/>
            <w:vAlign w:val="top"/>
          </w:tcPr>
          <w:p w14:paraId="21DEAF40">
            <w:pPr>
              <w:spacing w:line="244" w:lineRule="auto"/>
              <w:rPr>
                <w:rFonts w:ascii="Arial"/>
                <w:color w:val="auto"/>
                <w:sz w:val="21"/>
                <w:highlight w:val="none"/>
              </w:rPr>
            </w:pPr>
          </w:p>
          <w:p w14:paraId="5371EE95">
            <w:pPr>
              <w:pStyle w:val="16"/>
              <w:spacing w:before="78" w:line="224" w:lineRule="auto"/>
              <w:ind w:left="158"/>
              <w:rPr>
                <w:color w:val="auto"/>
                <w:highlight w:val="none"/>
              </w:rPr>
            </w:pPr>
            <w:r>
              <w:rPr>
                <w:color w:val="auto"/>
                <w:spacing w:val="-3"/>
                <w:highlight w:val="none"/>
              </w:rPr>
              <w:t>投标单位名称</w:t>
            </w:r>
          </w:p>
        </w:tc>
        <w:tc>
          <w:tcPr>
            <w:tcW w:w="7942" w:type="dxa"/>
            <w:gridSpan w:val="6"/>
            <w:vAlign w:val="top"/>
          </w:tcPr>
          <w:p w14:paraId="1FAF8891">
            <w:pPr>
              <w:rPr>
                <w:rFonts w:ascii="Arial"/>
                <w:color w:val="auto"/>
                <w:sz w:val="21"/>
                <w:highlight w:val="none"/>
              </w:rPr>
            </w:pPr>
          </w:p>
        </w:tc>
      </w:tr>
      <w:tr w14:paraId="099E8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739" w:type="dxa"/>
            <w:vAlign w:val="top"/>
          </w:tcPr>
          <w:p w14:paraId="550523B1">
            <w:pPr>
              <w:spacing w:line="245" w:lineRule="auto"/>
              <w:rPr>
                <w:rFonts w:ascii="Arial"/>
                <w:color w:val="auto"/>
                <w:sz w:val="21"/>
                <w:highlight w:val="none"/>
              </w:rPr>
            </w:pPr>
          </w:p>
          <w:p w14:paraId="3EAB50E1">
            <w:pPr>
              <w:pStyle w:val="16"/>
              <w:spacing w:before="78" w:line="225" w:lineRule="auto"/>
              <w:ind w:left="405"/>
              <w:rPr>
                <w:color w:val="auto"/>
                <w:highlight w:val="none"/>
              </w:rPr>
            </w:pPr>
            <w:r>
              <w:rPr>
                <w:color w:val="auto"/>
                <w:spacing w:val="-5"/>
                <w:highlight w:val="none"/>
              </w:rPr>
              <w:t>注册地址</w:t>
            </w:r>
          </w:p>
        </w:tc>
        <w:tc>
          <w:tcPr>
            <w:tcW w:w="3648" w:type="dxa"/>
            <w:gridSpan w:val="3"/>
            <w:vAlign w:val="top"/>
          </w:tcPr>
          <w:p w14:paraId="5112606A">
            <w:pPr>
              <w:rPr>
                <w:rFonts w:ascii="Arial"/>
                <w:color w:val="auto"/>
                <w:sz w:val="21"/>
                <w:highlight w:val="none"/>
              </w:rPr>
            </w:pPr>
          </w:p>
        </w:tc>
        <w:tc>
          <w:tcPr>
            <w:tcW w:w="1216" w:type="dxa"/>
            <w:vAlign w:val="top"/>
          </w:tcPr>
          <w:p w14:paraId="2125CF92">
            <w:pPr>
              <w:spacing w:line="245" w:lineRule="auto"/>
              <w:rPr>
                <w:rFonts w:ascii="Arial"/>
                <w:color w:val="auto"/>
                <w:sz w:val="21"/>
                <w:highlight w:val="none"/>
              </w:rPr>
            </w:pPr>
          </w:p>
          <w:p w14:paraId="589E4337">
            <w:pPr>
              <w:pStyle w:val="16"/>
              <w:spacing w:before="78" w:line="224" w:lineRule="auto"/>
              <w:ind w:left="157"/>
              <w:rPr>
                <w:color w:val="auto"/>
                <w:highlight w:val="none"/>
              </w:rPr>
            </w:pPr>
            <w:r>
              <w:rPr>
                <w:color w:val="auto"/>
                <w:spacing w:val="-7"/>
                <w:highlight w:val="none"/>
              </w:rPr>
              <w:t>邮政编码</w:t>
            </w:r>
          </w:p>
        </w:tc>
        <w:tc>
          <w:tcPr>
            <w:tcW w:w="3078" w:type="dxa"/>
            <w:gridSpan w:val="2"/>
            <w:vAlign w:val="top"/>
          </w:tcPr>
          <w:p w14:paraId="24B78352">
            <w:pPr>
              <w:rPr>
                <w:rFonts w:ascii="Arial"/>
                <w:color w:val="auto"/>
                <w:sz w:val="21"/>
                <w:highlight w:val="none"/>
              </w:rPr>
            </w:pPr>
          </w:p>
        </w:tc>
      </w:tr>
      <w:tr w14:paraId="49E03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1739" w:type="dxa"/>
            <w:vMerge w:val="restart"/>
            <w:tcBorders>
              <w:bottom w:val="nil"/>
            </w:tcBorders>
            <w:vAlign w:val="top"/>
          </w:tcPr>
          <w:p w14:paraId="3880B62E">
            <w:pPr>
              <w:spacing w:line="431" w:lineRule="auto"/>
              <w:rPr>
                <w:rFonts w:ascii="Arial"/>
                <w:color w:val="auto"/>
                <w:sz w:val="21"/>
                <w:highlight w:val="none"/>
              </w:rPr>
            </w:pPr>
          </w:p>
          <w:p w14:paraId="2D994B96">
            <w:pPr>
              <w:pStyle w:val="16"/>
              <w:spacing w:before="78" w:line="225" w:lineRule="auto"/>
              <w:ind w:left="396"/>
              <w:rPr>
                <w:color w:val="auto"/>
                <w:highlight w:val="none"/>
              </w:rPr>
            </w:pPr>
            <w:r>
              <w:rPr>
                <w:color w:val="auto"/>
                <w:spacing w:val="-3"/>
                <w:highlight w:val="none"/>
              </w:rPr>
              <w:t>联系方式</w:t>
            </w:r>
          </w:p>
        </w:tc>
        <w:tc>
          <w:tcPr>
            <w:tcW w:w="1216" w:type="dxa"/>
            <w:vAlign w:val="top"/>
          </w:tcPr>
          <w:p w14:paraId="53035D76">
            <w:pPr>
              <w:pStyle w:val="16"/>
              <w:spacing w:before="186" w:line="226" w:lineRule="auto"/>
              <w:ind w:left="253"/>
              <w:rPr>
                <w:color w:val="auto"/>
                <w:highlight w:val="none"/>
              </w:rPr>
            </w:pPr>
            <w:r>
              <w:rPr>
                <w:color w:val="auto"/>
                <w:spacing w:val="-3"/>
                <w:highlight w:val="none"/>
              </w:rPr>
              <w:t>联系人</w:t>
            </w:r>
          </w:p>
        </w:tc>
        <w:tc>
          <w:tcPr>
            <w:tcW w:w="2432" w:type="dxa"/>
            <w:gridSpan w:val="2"/>
            <w:vAlign w:val="top"/>
          </w:tcPr>
          <w:p w14:paraId="24EAC4CE">
            <w:pPr>
              <w:rPr>
                <w:rFonts w:ascii="Arial"/>
                <w:color w:val="auto"/>
                <w:sz w:val="21"/>
                <w:highlight w:val="none"/>
              </w:rPr>
            </w:pPr>
          </w:p>
        </w:tc>
        <w:tc>
          <w:tcPr>
            <w:tcW w:w="1216" w:type="dxa"/>
            <w:vAlign w:val="top"/>
          </w:tcPr>
          <w:p w14:paraId="067DE417">
            <w:pPr>
              <w:pStyle w:val="16"/>
              <w:spacing w:before="186" w:line="226" w:lineRule="auto"/>
              <w:ind w:left="137"/>
              <w:rPr>
                <w:color w:val="auto"/>
                <w:highlight w:val="none"/>
              </w:rPr>
            </w:pPr>
            <w:r>
              <w:rPr>
                <w:color w:val="auto"/>
                <w:spacing w:val="-3"/>
                <w:highlight w:val="none"/>
              </w:rPr>
              <w:t>联系电话</w:t>
            </w:r>
          </w:p>
        </w:tc>
        <w:tc>
          <w:tcPr>
            <w:tcW w:w="3078" w:type="dxa"/>
            <w:gridSpan w:val="2"/>
            <w:vAlign w:val="top"/>
          </w:tcPr>
          <w:p w14:paraId="37C7C48A">
            <w:pPr>
              <w:rPr>
                <w:rFonts w:ascii="Arial"/>
                <w:color w:val="auto"/>
                <w:sz w:val="21"/>
                <w:highlight w:val="none"/>
              </w:rPr>
            </w:pPr>
          </w:p>
        </w:tc>
      </w:tr>
      <w:tr w14:paraId="60F19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39" w:type="dxa"/>
            <w:vMerge w:val="continue"/>
            <w:tcBorders>
              <w:top w:val="nil"/>
            </w:tcBorders>
            <w:vAlign w:val="top"/>
          </w:tcPr>
          <w:p w14:paraId="7811F2B0">
            <w:pPr>
              <w:rPr>
                <w:rFonts w:ascii="Arial"/>
                <w:color w:val="auto"/>
                <w:sz w:val="21"/>
                <w:highlight w:val="none"/>
              </w:rPr>
            </w:pPr>
          </w:p>
        </w:tc>
        <w:tc>
          <w:tcPr>
            <w:tcW w:w="1216" w:type="dxa"/>
            <w:vAlign w:val="top"/>
          </w:tcPr>
          <w:p w14:paraId="4BDDAA20">
            <w:pPr>
              <w:pStyle w:val="16"/>
              <w:spacing w:before="199" w:line="223" w:lineRule="auto"/>
              <w:ind w:left="379"/>
              <w:rPr>
                <w:color w:val="auto"/>
                <w:highlight w:val="none"/>
              </w:rPr>
            </w:pPr>
            <w:r>
              <w:rPr>
                <w:color w:val="auto"/>
                <w:spacing w:val="-5"/>
                <w:highlight w:val="none"/>
              </w:rPr>
              <w:t>传真</w:t>
            </w:r>
          </w:p>
        </w:tc>
        <w:tc>
          <w:tcPr>
            <w:tcW w:w="2432" w:type="dxa"/>
            <w:gridSpan w:val="2"/>
            <w:vAlign w:val="top"/>
          </w:tcPr>
          <w:p w14:paraId="279B307A">
            <w:pPr>
              <w:rPr>
                <w:rFonts w:ascii="Arial"/>
                <w:color w:val="auto"/>
                <w:sz w:val="21"/>
                <w:highlight w:val="none"/>
              </w:rPr>
            </w:pPr>
          </w:p>
        </w:tc>
        <w:tc>
          <w:tcPr>
            <w:tcW w:w="1216" w:type="dxa"/>
            <w:vAlign w:val="top"/>
          </w:tcPr>
          <w:p w14:paraId="02AA24B7">
            <w:pPr>
              <w:pStyle w:val="16"/>
              <w:spacing w:before="199" w:line="224" w:lineRule="auto"/>
              <w:ind w:left="397"/>
              <w:rPr>
                <w:color w:val="auto"/>
                <w:highlight w:val="none"/>
              </w:rPr>
            </w:pPr>
            <w:r>
              <w:rPr>
                <w:color w:val="auto"/>
                <w:spacing w:val="-9"/>
                <w:highlight w:val="none"/>
              </w:rPr>
              <w:t>邮箱</w:t>
            </w:r>
          </w:p>
        </w:tc>
        <w:tc>
          <w:tcPr>
            <w:tcW w:w="3078" w:type="dxa"/>
            <w:gridSpan w:val="2"/>
            <w:vAlign w:val="top"/>
          </w:tcPr>
          <w:p w14:paraId="3C3D2326">
            <w:pPr>
              <w:rPr>
                <w:rFonts w:ascii="Arial"/>
                <w:color w:val="auto"/>
                <w:sz w:val="21"/>
                <w:highlight w:val="none"/>
              </w:rPr>
            </w:pPr>
          </w:p>
        </w:tc>
      </w:tr>
      <w:tr w14:paraId="7C037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739" w:type="dxa"/>
            <w:vAlign w:val="top"/>
          </w:tcPr>
          <w:p w14:paraId="1883874B">
            <w:pPr>
              <w:pStyle w:val="16"/>
              <w:spacing w:before="223" w:line="224" w:lineRule="auto"/>
              <w:ind w:left="399"/>
              <w:rPr>
                <w:color w:val="auto"/>
                <w:highlight w:val="none"/>
              </w:rPr>
            </w:pPr>
            <w:r>
              <w:rPr>
                <w:color w:val="auto"/>
                <w:spacing w:val="-4"/>
                <w:highlight w:val="none"/>
              </w:rPr>
              <w:t>企业性质</w:t>
            </w:r>
          </w:p>
        </w:tc>
        <w:tc>
          <w:tcPr>
            <w:tcW w:w="7942" w:type="dxa"/>
            <w:gridSpan w:val="6"/>
            <w:vAlign w:val="top"/>
          </w:tcPr>
          <w:p w14:paraId="556E7191">
            <w:pPr>
              <w:rPr>
                <w:rFonts w:ascii="Arial"/>
                <w:color w:val="auto"/>
                <w:sz w:val="21"/>
                <w:highlight w:val="none"/>
              </w:rPr>
            </w:pPr>
          </w:p>
        </w:tc>
      </w:tr>
      <w:tr w14:paraId="0872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39" w:type="dxa"/>
            <w:vAlign w:val="top"/>
          </w:tcPr>
          <w:p w14:paraId="080E317C">
            <w:pPr>
              <w:pStyle w:val="16"/>
              <w:spacing w:before="160" w:line="224" w:lineRule="auto"/>
              <w:ind w:left="286"/>
              <w:rPr>
                <w:color w:val="auto"/>
                <w:highlight w:val="none"/>
              </w:rPr>
            </w:pPr>
            <w:r>
              <w:rPr>
                <w:color w:val="auto"/>
                <w:spacing w:val="-4"/>
                <w:highlight w:val="none"/>
              </w:rPr>
              <w:t>法定代表人</w:t>
            </w:r>
          </w:p>
        </w:tc>
        <w:tc>
          <w:tcPr>
            <w:tcW w:w="1216" w:type="dxa"/>
            <w:vAlign w:val="top"/>
          </w:tcPr>
          <w:p w14:paraId="142E3B44">
            <w:pPr>
              <w:pStyle w:val="16"/>
              <w:spacing w:before="160" w:line="224" w:lineRule="auto"/>
              <w:ind w:left="376"/>
              <w:rPr>
                <w:color w:val="auto"/>
                <w:highlight w:val="none"/>
              </w:rPr>
            </w:pPr>
            <w:r>
              <w:rPr>
                <w:color w:val="auto"/>
                <w:spacing w:val="-4"/>
                <w:highlight w:val="none"/>
              </w:rPr>
              <w:t>姓名</w:t>
            </w:r>
          </w:p>
        </w:tc>
        <w:tc>
          <w:tcPr>
            <w:tcW w:w="1216" w:type="dxa"/>
            <w:vAlign w:val="top"/>
          </w:tcPr>
          <w:p w14:paraId="4C4C59EE">
            <w:pPr>
              <w:rPr>
                <w:rFonts w:ascii="Arial"/>
                <w:color w:val="auto"/>
                <w:sz w:val="21"/>
                <w:highlight w:val="none"/>
              </w:rPr>
            </w:pPr>
          </w:p>
        </w:tc>
        <w:tc>
          <w:tcPr>
            <w:tcW w:w="1216" w:type="dxa"/>
            <w:vAlign w:val="top"/>
          </w:tcPr>
          <w:p w14:paraId="5B2E02FE">
            <w:pPr>
              <w:pStyle w:val="16"/>
              <w:spacing w:before="160" w:line="224" w:lineRule="auto"/>
              <w:ind w:left="139"/>
              <w:rPr>
                <w:color w:val="auto"/>
                <w:highlight w:val="none"/>
              </w:rPr>
            </w:pPr>
            <w:r>
              <w:rPr>
                <w:color w:val="auto"/>
                <w:spacing w:val="-4"/>
                <w:highlight w:val="none"/>
              </w:rPr>
              <w:t>技术职称</w:t>
            </w:r>
          </w:p>
        </w:tc>
        <w:tc>
          <w:tcPr>
            <w:tcW w:w="1216" w:type="dxa"/>
            <w:vAlign w:val="top"/>
          </w:tcPr>
          <w:p w14:paraId="00C49BCE">
            <w:pPr>
              <w:rPr>
                <w:rFonts w:ascii="Arial"/>
                <w:color w:val="auto"/>
                <w:sz w:val="21"/>
                <w:highlight w:val="none"/>
              </w:rPr>
            </w:pPr>
          </w:p>
        </w:tc>
        <w:tc>
          <w:tcPr>
            <w:tcW w:w="1216" w:type="dxa"/>
            <w:vAlign w:val="top"/>
          </w:tcPr>
          <w:p w14:paraId="771625B1">
            <w:pPr>
              <w:pStyle w:val="16"/>
              <w:spacing w:before="160" w:line="226" w:lineRule="auto"/>
              <w:ind w:left="408"/>
              <w:rPr>
                <w:color w:val="auto"/>
                <w:highlight w:val="none"/>
              </w:rPr>
            </w:pPr>
            <w:r>
              <w:rPr>
                <w:color w:val="auto"/>
                <w:spacing w:val="-11"/>
                <w:highlight w:val="none"/>
              </w:rPr>
              <w:t>电话</w:t>
            </w:r>
          </w:p>
        </w:tc>
        <w:tc>
          <w:tcPr>
            <w:tcW w:w="1862" w:type="dxa"/>
            <w:vAlign w:val="top"/>
          </w:tcPr>
          <w:p w14:paraId="468CCAD1">
            <w:pPr>
              <w:rPr>
                <w:rFonts w:ascii="Arial"/>
                <w:color w:val="auto"/>
                <w:sz w:val="21"/>
                <w:highlight w:val="none"/>
              </w:rPr>
            </w:pPr>
          </w:p>
        </w:tc>
      </w:tr>
      <w:tr w14:paraId="5340D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39" w:type="dxa"/>
            <w:vAlign w:val="top"/>
          </w:tcPr>
          <w:p w14:paraId="5F1263F0">
            <w:pPr>
              <w:pStyle w:val="16"/>
              <w:spacing w:before="183" w:line="224" w:lineRule="auto"/>
              <w:ind w:left="279"/>
              <w:rPr>
                <w:color w:val="auto"/>
                <w:highlight w:val="none"/>
              </w:rPr>
            </w:pPr>
            <w:r>
              <w:rPr>
                <w:color w:val="auto"/>
                <w:spacing w:val="-3"/>
                <w:highlight w:val="none"/>
              </w:rPr>
              <w:t>技术负责人</w:t>
            </w:r>
          </w:p>
        </w:tc>
        <w:tc>
          <w:tcPr>
            <w:tcW w:w="1216" w:type="dxa"/>
            <w:vAlign w:val="top"/>
          </w:tcPr>
          <w:p w14:paraId="6AFB2614">
            <w:pPr>
              <w:pStyle w:val="16"/>
              <w:spacing w:before="183" w:line="224" w:lineRule="auto"/>
              <w:ind w:left="376"/>
              <w:rPr>
                <w:color w:val="auto"/>
                <w:highlight w:val="none"/>
              </w:rPr>
            </w:pPr>
            <w:r>
              <w:rPr>
                <w:color w:val="auto"/>
                <w:spacing w:val="-4"/>
                <w:highlight w:val="none"/>
              </w:rPr>
              <w:t>姓名</w:t>
            </w:r>
          </w:p>
        </w:tc>
        <w:tc>
          <w:tcPr>
            <w:tcW w:w="1216" w:type="dxa"/>
            <w:vAlign w:val="top"/>
          </w:tcPr>
          <w:p w14:paraId="2FBE7809">
            <w:pPr>
              <w:rPr>
                <w:rFonts w:ascii="Arial"/>
                <w:color w:val="auto"/>
                <w:sz w:val="21"/>
                <w:highlight w:val="none"/>
              </w:rPr>
            </w:pPr>
          </w:p>
        </w:tc>
        <w:tc>
          <w:tcPr>
            <w:tcW w:w="1216" w:type="dxa"/>
            <w:vAlign w:val="top"/>
          </w:tcPr>
          <w:p w14:paraId="184ACB81">
            <w:pPr>
              <w:pStyle w:val="16"/>
              <w:spacing w:before="183" w:line="224" w:lineRule="auto"/>
              <w:ind w:left="139"/>
              <w:rPr>
                <w:color w:val="auto"/>
                <w:highlight w:val="none"/>
              </w:rPr>
            </w:pPr>
            <w:r>
              <w:rPr>
                <w:color w:val="auto"/>
                <w:spacing w:val="-4"/>
                <w:highlight w:val="none"/>
              </w:rPr>
              <w:t>技术职称</w:t>
            </w:r>
          </w:p>
        </w:tc>
        <w:tc>
          <w:tcPr>
            <w:tcW w:w="1216" w:type="dxa"/>
            <w:vAlign w:val="top"/>
          </w:tcPr>
          <w:p w14:paraId="6AC0F6CD">
            <w:pPr>
              <w:rPr>
                <w:rFonts w:ascii="Arial"/>
                <w:color w:val="auto"/>
                <w:sz w:val="21"/>
                <w:highlight w:val="none"/>
              </w:rPr>
            </w:pPr>
          </w:p>
        </w:tc>
        <w:tc>
          <w:tcPr>
            <w:tcW w:w="1216" w:type="dxa"/>
            <w:vAlign w:val="top"/>
          </w:tcPr>
          <w:p w14:paraId="72DAB2DF">
            <w:pPr>
              <w:pStyle w:val="16"/>
              <w:spacing w:before="183" w:line="226" w:lineRule="auto"/>
              <w:ind w:left="408"/>
              <w:rPr>
                <w:color w:val="auto"/>
                <w:highlight w:val="none"/>
              </w:rPr>
            </w:pPr>
            <w:r>
              <w:rPr>
                <w:color w:val="auto"/>
                <w:spacing w:val="-11"/>
                <w:highlight w:val="none"/>
              </w:rPr>
              <w:t>电话</w:t>
            </w:r>
          </w:p>
        </w:tc>
        <w:tc>
          <w:tcPr>
            <w:tcW w:w="1862" w:type="dxa"/>
            <w:vAlign w:val="top"/>
          </w:tcPr>
          <w:p w14:paraId="16022152">
            <w:pPr>
              <w:rPr>
                <w:rFonts w:ascii="Arial"/>
                <w:color w:val="auto"/>
                <w:sz w:val="21"/>
                <w:highlight w:val="none"/>
              </w:rPr>
            </w:pPr>
          </w:p>
        </w:tc>
      </w:tr>
      <w:tr w14:paraId="16B6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739" w:type="dxa"/>
            <w:vAlign w:val="top"/>
          </w:tcPr>
          <w:p w14:paraId="5804FE10">
            <w:pPr>
              <w:pStyle w:val="16"/>
              <w:spacing w:before="230" w:line="225" w:lineRule="auto"/>
              <w:ind w:left="402"/>
              <w:rPr>
                <w:color w:val="auto"/>
                <w:highlight w:val="none"/>
              </w:rPr>
            </w:pPr>
            <w:r>
              <w:rPr>
                <w:color w:val="auto"/>
                <w:spacing w:val="-4"/>
                <w:highlight w:val="none"/>
              </w:rPr>
              <w:t>成立时间</w:t>
            </w:r>
          </w:p>
        </w:tc>
        <w:tc>
          <w:tcPr>
            <w:tcW w:w="2432" w:type="dxa"/>
            <w:gridSpan w:val="2"/>
            <w:vAlign w:val="top"/>
          </w:tcPr>
          <w:p w14:paraId="0515B914">
            <w:pPr>
              <w:rPr>
                <w:rFonts w:ascii="Arial"/>
                <w:color w:val="auto"/>
                <w:sz w:val="21"/>
                <w:highlight w:val="none"/>
              </w:rPr>
            </w:pPr>
          </w:p>
        </w:tc>
        <w:tc>
          <w:tcPr>
            <w:tcW w:w="5510" w:type="dxa"/>
            <w:gridSpan w:val="4"/>
            <w:vAlign w:val="top"/>
          </w:tcPr>
          <w:p w14:paraId="2794555E">
            <w:pPr>
              <w:pStyle w:val="16"/>
              <w:spacing w:before="229" w:line="224" w:lineRule="auto"/>
              <w:ind w:left="136"/>
              <w:rPr>
                <w:color w:val="auto"/>
                <w:highlight w:val="none"/>
              </w:rPr>
            </w:pPr>
            <w:r>
              <w:rPr>
                <w:color w:val="auto"/>
                <w:spacing w:val="-13"/>
                <w:highlight w:val="none"/>
              </w:rPr>
              <w:t>员工总人数：</w:t>
            </w:r>
          </w:p>
        </w:tc>
      </w:tr>
      <w:tr w14:paraId="4F83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739" w:type="dxa"/>
            <w:vAlign w:val="top"/>
          </w:tcPr>
          <w:p w14:paraId="7BEEB0E5">
            <w:pPr>
              <w:pStyle w:val="16"/>
              <w:spacing w:before="201" w:line="224" w:lineRule="auto"/>
              <w:ind w:left="285"/>
              <w:rPr>
                <w:color w:val="auto"/>
                <w:highlight w:val="none"/>
              </w:rPr>
            </w:pPr>
            <w:r>
              <w:rPr>
                <w:color w:val="auto"/>
                <w:spacing w:val="-4"/>
                <w:highlight w:val="none"/>
              </w:rPr>
              <w:t>营业执照号</w:t>
            </w:r>
          </w:p>
        </w:tc>
        <w:tc>
          <w:tcPr>
            <w:tcW w:w="7942" w:type="dxa"/>
            <w:gridSpan w:val="6"/>
            <w:vAlign w:val="top"/>
          </w:tcPr>
          <w:p w14:paraId="29087238">
            <w:pPr>
              <w:rPr>
                <w:rFonts w:ascii="Arial"/>
                <w:color w:val="auto"/>
                <w:sz w:val="21"/>
                <w:highlight w:val="none"/>
              </w:rPr>
            </w:pPr>
          </w:p>
        </w:tc>
      </w:tr>
      <w:tr w14:paraId="13D2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39" w:type="dxa"/>
            <w:vAlign w:val="top"/>
          </w:tcPr>
          <w:p w14:paraId="113A9F08">
            <w:pPr>
              <w:pStyle w:val="16"/>
              <w:spacing w:before="232" w:line="225" w:lineRule="auto"/>
              <w:ind w:left="405"/>
              <w:rPr>
                <w:color w:val="auto"/>
                <w:highlight w:val="none"/>
              </w:rPr>
            </w:pPr>
            <w:r>
              <w:rPr>
                <w:color w:val="auto"/>
                <w:spacing w:val="-5"/>
                <w:highlight w:val="none"/>
              </w:rPr>
              <w:t>注册时间</w:t>
            </w:r>
          </w:p>
        </w:tc>
        <w:tc>
          <w:tcPr>
            <w:tcW w:w="7942" w:type="dxa"/>
            <w:gridSpan w:val="6"/>
            <w:vAlign w:val="top"/>
          </w:tcPr>
          <w:p w14:paraId="4D158F08">
            <w:pPr>
              <w:rPr>
                <w:rFonts w:ascii="Arial"/>
                <w:color w:val="auto"/>
                <w:sz w:val="21"/>
                <w:highlight w:val="none"/>
              </w:rPr>
            </w:pPr>
          </w:p>
        </w:tc>
      </w:tr>
      <w:tr w14:paraId="347C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739" w:type="dxa"/>
            <w:vAlign w:val="top"/>
          </w:tcPr>
          <w:p w14:paraId="4E38084D">
            <w:pPr>
              <w:pStyle w:val="16"/>
              <w:spacing w:before="227" w:line="224" w:lineRule="auto"/>
              <w:ind w:left="398"/>
              <w:rPr>
                <w:color w:val="auto"/>
                <w:highlight w:val="none"/>
              </w:rPr>
            </w:pPr>
            <w:r>
              <w:rPr>
                <w:color w:val="auto"/>
                <w:spacing w:val="-3"/>
                <w:highlight w:val="none"/>
              </w:rPr>
              <w:t>开户银行</w:t>
            </w:r>
          </w:p>
        </w:tc>
        <w:tc>
          <w:tcPr>
            <w:tcW w:w="7942" w:type="dxa"/>
            <w:gridSpan w:val="6"/>
            <w:vAlign w:val="top"/>
          </w:tcPr>
          <w:p w14:paraId="246ECC5D">
            <w:pPr>
              <w:rPr>
                <w:rFonts w:ascii="Arial"/>
                <w:color w:val="auto"/>
                <w:sz w:val="21"/>
                <w:highlight w:val="none"/>
              </w:rPr>
            </w:pPr>
          </w:p>
        </w:tc>
      </w:tr>
      <w:tr w14:paraId="79C8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739" w:type="dxa"/>
            <w:vAlign w:val="top"/>
          </w:tcPr>
          <w:p w14:paraId="6C9D01D6">
            <w:pPr>
              <w:pStyle w:val="16"/>
              <w:spacing w:before="257" w:line="224" w:lineRule="auto"/>
              <w:ind w:left="399"/>
              <w:rPr>
                <w:color w:val="auto"/>
                <w:highlight w:val="none"/>
              </w:rPr>
            </w:pPr>
            <w:r>
              <w:rPr>
                <w:color w:val="auto"/>
                <w:spacing w:val="-4"/>
                <w:highlight w:val="none"/>
              </w:rPr>
              <w:t>银行账号</w:t>
            </w:r>
          </w:p>
        </w:tc>
        <w:tc>
          <w:tcPr>
            <w:tcW w:w="7942" w:type="dxa"/>
            <w:gridSpan w:val="6"/>
            <w:vAlign w:val="top"/>
          </w:tcPr>
          <w:p w14:paraId="24C5B4C9">
            <w:pPr>
              <w:rPr>
                <w:rFonts w:ascii="Arial"/>
                <w:color w:val="auto"/>
                <w:sz w:val="21"/>
                <w:highlight w:val="none"/>
              </w:rPr>
            </w:pPr>
          </w:p>
        </w:tc>
      </w:tr>
      <w:tr w14:paraId="1F311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1739" w:type="dxa"/>
            <w:vAlign w:val="top"/>
          </w:tcPr>
          <w:p w14:paraId="3AB6AE0D">
            <w:pPr>
              <w:spacing w:line="251" w:lineRule="auto"/>
              <w:rPr>
                <w:rFonts w:ascii="Arial"/>
                <w:color w:val="auto"/>
                <w:sz w:val="21"/>
                <w:highlight w:val="none"/>
              </w:rPr>
            </w:pPr>
          </w:p>
          <w:p w14:paraId="0E0A1192">
            <w:pPr>
              <w:spacing w:line="252" w:lineRule="auto"/>
              <w:rPr>
                <w:rFonts w:ascii="Arial"/>
                <w:color w:val="auto"/>
                <w:sz w:val="21"/>
                <w:highlight w:val="none"/>
              </w:rPr>
            </w:pPr>
          </w:p>
          <w:p w14:paraId="14C73B07">
            <w:pPr>
              <w:spacing w:line="252" w:lineRule="auto"/>
              <w:rPr>
                <w:rFonts w:ascii="Arial"/>
                <w:color w:val="auto"/>
                <w:sz w:val="21"/>
                <w:highlight w:val="none"/>
              </w:rPr>
            </w:pPr>
          </w:p>
          <w:p w14:paraId="49E19179">
            <w:pPr>
              <w:pStyle w:val="16"/>
              <w:spacing w:before="78" w:line="224" w:lineRule="auto"/>
              <w:ind w:left="158"/>
              <w:rPr>
                <w:color w:val="auto"/>
                <w:highlight w:val="none"/>
              </w:rPr>
            </w:pPr>
            <w:r>
              <w:rPr>
                <w:color w:val="auto"/>
                <w:spacing w:val="-3"/>
                <w:highlight w:val="none"/>
              </w:rPr>
              <w:t>经营范围备注</w:t>
            </w:r>
          </w:p>
        </w:tc>
        <w:tc>
          <w:tcPr>
            <w:tcW w:w="7942" w:type="dxa"/>
            <w:gridSpan w:val="6"/>
            <w:vAlign w:val="top"/>
          </w:tcPr>
          <w:p w14:paraId="02AA30B7">
            <w:pPr>
              <w:rPr>
                <w:rFonts w:ascii="Arial"/>
                <w:color w:val="auto"/>
                <w:sz w:val="21"/>
                <w:highlight w:val="none"/>
              </w:rPr>
            </w:pPr>
          </w:p>
        </w:tc>
      </w:tr>
    </w:tbl>
    <w:p w14:paraId="4A6DDEDD">
      <w:pPr>
        <w:rPr>
          <w:rFonts w:ascii="Arial"/>
          <w:color w:val="auto"/>
          <w:sz w:val="21"/>
          <w:highlight w:val="none"/>
        </w:rPr>
      </w:pPr>
    </w:p>
    <w:p w14:paraId="2166BFF3">
      <w:pPr>
        <w:rPr>
          <w:rFonts w:ascii="Arial" w:hAnsi="Arial" w:eastAsia="Arial" w:cs="Arial"/>
          <w:color w:val="auto"/>
          <w:sz w:val="21"/>
          <w:szCs w:val="21"/>
          <w:highlight w:val="none"/>
        </w:rPr>
        <w:sectPr>
          <w:footerReference r:id="rId23" w:type="default"/>
          <w:pgSz w:w="11905" w:h="16839"/>
          <w:pgMar w:top="1440" w:right="1800" w:bottom="1440" w:left="1800" w:header="0" w:footer="1090" w:gutter="0"/>
          <w:pgNumType w:fmt="numberInDash"/>
          <w:cols w:space="720" w:num="1"/>
        </w:sectPr>
      </w:pPr>
    </w:p>
    <w:p w14:paraId="157BE20E">
      <w:pPr>
        <w:spacing w:line="319" w:lineRule="auto"/>
        <w:rPr>
          <w:rFonts w:ascii="Arial"/>
          <w:color w:val="auto"/>
          <w:sz w:val="21"/>
          <w:highlight w:val="none"/>
        </w:rPr>
      </w:pPr>
    </w:p>
    <w:p w14:paraId="4AF3D4AC">
      <w:pPr>
        <w:spacing w:line="319" w:lineRule="auto"/>
        <w:rPr>
          <w:rFonts w:ascii="Arial"/>
          <w:color w:val="auto"/>
          <w:sz w:val="21"/>
          <w:highlight w:val="none"/>
        </w:rPr>
      </w:pPr>
    </w:p>
    <w:p w14:paraId="36872A1E">
      <w:pPr>
        <w:spacing w:line="319" w:lineRule="auto"/>
        <w:rPr>
          <w:rFonts w:ascii="Arial"/>
          <w:color w:val="auto"/>
          <w:sz w:val="21"/>
          <w:highlight w:val="none"/>
        </w:rPr>
      </w:pPr>
    </w:p>
    <w:p w14:paraId="21434F65">
      <w:pPr>
        <w:pStyle w:val="4"/>
        <w:spacing w:before="120" w:line="188" w:lineRule="auto"/>
        <w:ind w:left="2012"/>
        <w:rPr>
          <w:color w:val="auto"/>
          <w:sz w:val="28"/>
          <w:szCs w:val="28"/>
          <w:highlight w:val="none"/>
        </w:rPr>
      </w:pPr>
      <w:r>
        <w:rPr>
          <w:b/>
          <w:bCs/>
          <w:color w:val="auto"/>
          <w:spacing w:val="-3"/>
          <w:sz w:val="28"/>
          <w:szCs w:val="28"/>
          <w:highlight w:val="none"/>
        </w:rPr>
        <w:t>3、投标保证金打款凭证或投标保函</w:t>
      </w:r>
    </w:p>
    <w:p w14:paraId="71D3077E">
      <w:pPr>
        <w:spacing w:before="157" w:line="224" w:lineRule="auto"/>
        <w:ind w:left="2500"/>
        <w:rPr>
          <w:rFonts w:ascii="新宋体" w:hAnsi="新宋体" w:eastAsia="新宋体" w:cs="新宋体"/>
          <w:color w:val="auto"/>
          <w:sz w:val="21"/>
          <w:szCs w:val="21"/>
          <w:highlight w:val="none"/>
        </w:rPr>
      </w:pPr>
      <w:r>
        <w:rPr>
          <w:rFonts w:ascii="新宋体" w:hAnsi="新宋体" w:eastAsia="新宋体" w:cs="新宋体"/>
          <w:color w:val="auto"/>
          <w:spacing w:val="-2"/>
          <w:sz w:val="21"/>
          <w:szCs w:val="21"/>
          <w:highlight w:val="none"/>
        </w:rPr>
        <w:t>（投标保证金打款凭证或保函凭证）</w:t>
      </w:r>
    </w:p>
    <w:p w14:paraId="7672E886">
      <w:pPr>
        <w:spacing w:line="224" w:lineRule="auto"/>
        <w:rPr>
          <w:rFonts w:ascii="新宋体" w:hAnsi="新宋体" w:eastAsia="新宋体" w:cs="新宋体"/>
          <w:color w:val="auto"/>
          <w:sz w:val="21"/>
          <w:szCs w:val="21"/>
          <w:highlight w:val="none"/>
        </w:rPr>
        <w:sectPr>
          <w:footerReference r:id="rId24" w:type="default"/>
          <w:pgSz w:w="11905" w:h="16839"/>
          <w:pgMar w:top="1440" w:right="1800" w:bottom="1440" w:left="1800" w:header="0" w:footer="1090" w:gutter="0"/>
          <w:pgNumType w:fmt="numberInDash"/>
          <w:cols w:space="720" w:num="1"/>
        </w:sectPr>
      </w:pPr>
    </w:p>
    <w:p w14:paraId="77752E0E">
      <w:pPr>
        <w:spacing w:line="319" w:lineRule="auto"/>
        <w:rPr>
          <w:rFonts w:ascii="Arial"/>
          <w:color w:val="auto"/>
          <w:sz w:val="21"/>
          <w:highlight w:val="none"/>
        </w:rPr>
      </w:pPr>
    </w:p>
    <w:p w14:paraId="1D38CB45">
      <w:pPr>
        <w:spacing w:line="319" w:lineRule="auto"/>
        <w:rPr>
          <w:rFonts w:ascii="Arial"/>
          <w:color w:val="auto"/>
          <w:sz w:val="21"/>
          <w:highlight w:val="none"/>
        </w:rPr>
      </w:pPr>
    </w:p>
    <w:p w14:paraId="6DB0D724">
      <w:pPr>
        <w:spacing w:line="319" w:lineRule="auto"/>
        <w:rPr>
          <w:rFonts w:ascii="Arial"/>
          <w:color w:val="auto"/>
          <w:sz w:val="21"/>
          <w:highlight w:val="none"/>
        </w:rPr>
      </w:pPr>
    </w:p>
    <w:p w14:paraId="2A92AAF8">
      <w:pPr>
        <w:pStyle w:val="4"/>
        <w:spacing w:before="120" w:line="188" w:lineRule="auto"/>
        <w:ind w:left="3323"/>
        <w:rPr>
          <w:color w:val="auto"/>
          <w:sz w:val="28"/>
          <w:szCs w:val="28"/>
          <w:highlight w:val="none"/>
        </w:rPr>
      </w:pPr>
      <w:r>
        <w:rPr>
          <w:b/>
          <w:bCs/>
          <w:color w:val="auto"/>
          <w:spacing w:val="-3"/>
          <w:sz w:val="28"/>
          <w:szCs w:val="28"/>
          <w:highlight w:val="none"/>
        </w:rPr>
        <w:t>4、商务条款响应/偏离表</w:t>
      </w:r>
    </w:p>
    <w:p w14:paraId="78AA4E9C">
      <w:pPr>
        <w:spacing w:before="162"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投标单位名称（公章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3"/>
          <w:sz w:val="24"/>
          <w:szCs w:val="24"/>
          <w:highlight w:val="none"/>
        </w:rPr>
        <w:t>项目编码：</w:t>
      </w:r>
      <w:r>
        <w:rPr>
          <w:rFonts w:ascii="新宋体" w:hAnsi="新宋体" w:eastAsia="新宋体" w:cs="新宋体"/>
          <w:color w:val="auto"/>
          <w:sz w:val="24"/>
          <w:szCs w:val="24"/>
          <w:highlight w:val="none"/>
          <w:u w:val="single" w:color="auto"/>
        </w:rPr>
        <w:t xml:space="preserve">                     </w:t>
      </w:r>
    </w:p>
    <w:p w14:paraId="5C900E09">
      <w:pPr>
        <w:spacing w:before="17"/>
        <w:rPr>
          <w:color w:val="auto"/>
          <w:highlight w:val="none"/>
        </w:rPr>
      </w:pPr>
    </w:p>
    <w:tbl>
      <w:tblPr>
        <w:tblStyle w:val="15"/>
        <w:tblW w:w="969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2157"/>
        <w:gridCol w:w="2124"/>
        <w:gridCol w:w="1678"/>
        <w:gridCol w:w="2028"/>
      </w:tblGrid>
      <w:tr w14:paraId="2E33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07" w:type="dxa"/>
            <w:vAlign w:val="top"/>
          </w:tcPr>
          <w:p w14:paraId="59064B0B">
            <w:pPr>
              <w:pStyle w:val="16"/>
              <w:spacing w:before="222" w:line="225" w:lineRule="auto"/>
              <w:ind w:left="622"/>
              <w:rPr>
                <w:color w:val="auto"/>
                <w:highlight w:val="none"/>
              </w:rPr>
            </w:pPr>
            <w:r>
              <w:rPr>
                <w:color w:val="auto"/>
                <w:spacing w:val="-4"/>
                <w:highlight w:val="none"/>
              </w:rPr>
              <w:t>序号</w:t>
            </w:r>
          </w:p>
        </w:tc>
        <w:tc>
          <w:tcPr>
            <w:tcW w:w="2157" w:type="dxa"/>
            <w:vAlign w:val="top"/>
          </w:tcPr>
          <w:p w14:paraId="6DC95674">
            <w:pPr>
              <w:pStyle w:val="16"/>
              <w:spacing w:before="221" w:line="224" w:lineRule="auto"/>
              <w:ind w:left="367"/>
              <w:rPr>
                <w:color w:val="auto"/>
                <w:highlight w:val="none"/>
              </w:rPr>
            </w:pPr>
            <w:r>
              <w:rPr>
                <w:color w:val="auto"/>
                <w:spacing w:val="-3"/>
                <w:highlight w:val="none"/>
              </w:rPr>
              <w:t>招标文件要求</w:t>
            </w:r>
          </w:p>
        </w:tc>
        <w:tc>
          <w:tcPr>
            <w:tcW w:w="2124" w:type="dxa"/>
            <w:vAlign w:val="top"/>
          </w:tcPr>
          <w:p w14:paraId="15361D01">
            <w:pPr>
              <w:pStyle w:val="16"/>
              <w:spacing w:before="221" w:line="224" w:lineRule="auto"/>
              <w:ind w:left="353"/>
              <w:rPr>
                <w:color w:val="auto"/>
                <w:highlight w:val="none"/>
              </w:rPr>
            </w:pPr>
            <w:r>
              <w:rPr>
                <w:color w:val="auto"/>
                <w:spacing w:val="-3"/>
                <w:highlight w:val="none"/>
              </w:rPr>
              <w:t>投标文件响应</w:t>
            </w:r>
          </w:p>
        </w:tc>
        <w:tc>
          <w:tcPr>
            <w:tcW w:w="1678" w:type="dxa"/>
            <w:vAlign w:val="top"/>
          </w:tcPr>
          <w:p w14:paraId="67BA9BFE">
            <w:pPr>
              <w:pStyle w:val="16"/>
              <w:spacing w:before="221" w:line="224" w:lineRule="auto"/>
              <w:ind w:left="320"/>
              <w:rPr>
                <w:color w:val="auto"/>
                <w:highlight w:val="none"/>
              </w:rPr>
            </w:pPr>
            <w:r>
              <w:rPr>
                <w:color w:val="auto"/>
                <w:spacing w:val="-4"/>
                <w:highlight w:val="none"/>
              </w:rPr>
              <w:t>响应/偏离</w:t>
            </w:r>
          </w:p>
        </w:tc>
        <w:tc>
          <w:tcPr>
            <w:tcW w:w="2028" w:type="dxa"/>
            <w:vAlign w:val="top"/>
          </w:tcPr>
          <w:p w14:paraId="60D1534C">
            <w:pPr>
              <w:pStyle w:val="16"/>
              <w:spacing w:before="221" w:line="224" w:lineRule="auto"/>
              <w:ind w:left="788"/>
              <w:rPr>
                <w:color w:val="auto"/>
                <w:highlight w:val="none"/>
              </w:rPr>
            </w:pPr>
            <w:r>
              <w:rPr>
                <w:color w:val="auto"/>
                <w:spacing w:val="-5"/>
                <w:highlight w:val="none"/>
              </w:rPr>
              <w:t>说明</w:t>
            </w:r>
          </w:p>
        </w:tc>
      </w:tr>
      <w:tr w14:paraId="2E09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07" w:type="dxa"/>
            <w:vAlign w:val="top"/>
          </w:tcPr>
          <w:p w14:paraId="5ED3CE2D">
            <w:pPr>
              <w:pStyle w:val="16"/>
              <w:spacing w:before="262" w:line="182" w:lineRule="auto"/>
              <w:ind w:left="813"/>
              <w:rPr>
                <w:color w:val="auto"/>
                <w:highlight w:val="none"/>
              </w:rPr>
            </w:pPr>
            <w:r>
              <w:rPr>
                <w:color w:val="auto"/>
                <w:highlight w:val="none"/>
              </w:rPr>
              <w:t>1</w:t>
            </w:r>
          </w:p>
        </w:tc>
        <w:tc>
          <w:tcPr>
            <w:tcW w:w="2157" w:type="dxa"/>
            <w:vAlign w:val="top"/>
          </w:tcPr>
          <w:p w14:paraId="449CEE83">
            <w:pPr>
              <w:rPr>
                <w:rFonts w:ascii="Arial"/>
                <w:color w:val="auto"/>
                <w:sz w:val="21"/>
                <w:highlight w:val="none"/>
              </w:rPr>
            </w:pPr>
          </w:p>
        </w:tc>
        <w:tc>
          <w:tcPr>
            <w:tcW w:w="2124" w:type="dxa"/>
            <w:vAlign w:val="top"/>
          </w:tcPr>
          <w:p w14:paraId="422611DB">
            <w:pPr>
              <w:rPr>
                <w:rFonts w:ascii="Arial"/>
                <w:color w:val="auto"/>
                <w:sz w:val="21"/>
                <w:highlight w:val="none"/>
              </w:rPr>
            </w:pPr>
          </w:p>
        </w:tc>
        <w:tc>
          <w:tcPr>
            <w:tcW w:w="1678" w:type="dxa"/>
            <w:vAlign w:val="top"/>
          </w:tcPr>
          <w:p w14:paraId="1B1E689D">
            <w:pPr>
              <w:rPr>
                <w:rFonts w:ascii="Arial"/>
                <w:color w:val="auto"/>
                <w:sz w:val="21"/>
                <w:highlight w:val="none"/>
              </w:rPr>
            </w:pPr>
          </w:p>
        </w:tc>
        <w:tc>
          <w:tcPr>
            <w:tcW w:w="2028" w:type="dxa"/>
            <w:vAlign w:val="top"/>
          </w:tcPr>
          <w:p w14:paraId="203DB19F">
            <w:pPr>
              <w:rPr>
                <w:rFonts w:ascii="Arial"/>
                <w:color w:val="auto"/>
                <w:sz w:val="21"/>
                <w:highlight w:val="none"/>
              </w:rPr>
            </w:pPr>
          </w:p>
        </w:tc>
      </w:tr>
      <w:tr w14:paraId="128D6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6EF830A8">
            <w:pPr>
              <w:pStyle w:val="16"/>
              <w:spacing w:before="265" w:line="181" w:lineRule="auto"/>
              <w:ind w:left="798"/>
              <w:rPr>
                <w:color w:val="auto"/>
                <w:highlight w:val="none"/>
              </w:rPr>
            </w:pPr>
            <w:r>
              <w:rPr>
                <w:color w:val="auto"/>
                <w:highlight w:val="none"/>
              </w:rPr>
              <w:t>2</w:t>
            </w:r>
          </w:p>
        </w:tc>
        <w:tc>
          <w:tcPr>
            <w:tcW w:w="2157" w:type="dxa"/>
            <w:vAlign w:val="top"/>
          </w:tcPr>
          <w:p w14:paraId="77D66B7F">
            <w:pPr>
              <w:rPr>
                <w:rFonts w:ascii="Arial"/>
                <w:color w:val="auto"/>
                <w:sz w:val="21"/>
                <w:highlight w:val="none"/>
              </w:rPr>
            </w:pPr>
          </w:p>
        </w:tc>
        <w:tc>
          <w:tcPr>
            <w:tcW w:w="2124" w:type="dxa"/>
            <w:vAlign w:val="top"/>
          </w:tcPr>
          <w:p w14:paraId="473B1CEA">
            <w:pPr>
              <w:rPr>
                <w:rFonts w:ascii="Arial"/>
                <w:color w:val="auto"/>
                <w:sz w:val="21"/>
                <w:highlight w:val="none"/>
              </w:rPr>
            </w:pPr>
          </w:p>
        </w:tc>
        <w:tc>
          <w:tcPr>
            <w:tcW w:w="1678" w:type="dxa"/>
            <w:vAlign w:val="top"/>
          </w:tcPr>
          <w:p w14:paraId="5BD2CC32">
            <w:pPr>
              <w:rPr>
                <w:rFonts w:ascii="Arial"/>
                <w:color w:val="auto"/>
                <w:sz w:val="21"/>
                <w:highlight w:val="none"/>
              </w:rPr>
            </w:pPr>
          </w:p>
        </w:tc>
        <w:tc>
          <w:tcPr>
            <w:tcW w:w="2028" w:type="dxa"/>
            <w:vAlign w:val="top"/>
          </w:tcPr>
          <w:p w14:paraId="22EADBF0">
            <w:pPr>
              <w:rPr>
                <w:rFonts w:ascii="Arial"/>
                <w:color w:val="auto"/>
                <w:sz w:val="21"/>
                <w:highlight w:val="none"/>
              </w:rPr>
            </w:pPr>
          </w:p>
        </w:tc>
      </w:tr>
      <w:tr w14:paraId="43E0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5FD8125A">
            <w:pPr>
              <w:pStyle w:val="16"/>
              <w:spacing w:before="266" w:line="181" w:lineRule="auto"/>
              <w:ind w:left="800"/>
              <w:rPr>
                <w:color w:val="auto"/>
                <w:highlight w:val="none"/>
              </w:rPr>
            </w:pPr>
            <w:r>
              <w:rPr>
                <w:color w:val="auto"/>
                <w:highlight w:val="none"/>
              </w:rPr>
              <w:t>3</w:t>
            </w:r>
          </w:p>
        </w:tc>
        <w:tc>
          <w:tcPr>
            <w:tcW w:w="2157" w:type="dxa"/>
            <w:vAlign w:val="top"/>
          </w:tcPr>
          <w:p w14:paraId="7518F882">
            <w:pPr>
              <w:rPr>
                <w:rFonts w:ascii="Arial"/>
                <w:color w:val="auto"/>
                <w:sz w:val="21"/>
                <w:highlight w:val="none"/>
              </w:rPr>
            </w:pPr>
          </w:p>
        </w:tc>
        <w:tc>
          <w:tcPr>
            <w:tcW w:w="2124" w:type="dxa"/>
            <w:vAlign w:val="top"/>
          </w:tcPr>
          <w:p w14:paraId="477CC809">
            <w:pPr>
              <w:rPr>
                <w:rFonts w:ascii="Arial"/>
                <w:color w:val="auto"/>
                <w:sz w:val="21"/>
                <w:highlight w:val="none"/>
              </w:rPr>
            </w:pPr>
          </w:p>
        </w:tc>
        <w:tc>
          <w:tcPr>
            <w:tcW w:w="1678" w:type="dxa"/>
            <w:vAlign w:val="top"/>
          </w:tcPr>
          <w:p w14:paraId="087B8D1B">
            <w:pPr>
              <w:rPr>
                <w:rFonts w:ascii="Arial"/>
                <w:color w:val="auto"/>
                <w:sz w:val="21"/>
                <w:highlight w:val="none"/>
              </w:rPr>
            </w:pPr>
          </w:p>
        </w:tc>
        <w:tc>
          <w:tcPr>
            <w:tcW w:w="2028" w:type="dxa"/>
            <w:vAlign w:val="top"/>
          </w:tcPr>
          <w:p w14:paraId="0689DED5">
            <w:pPr>
              <w:rPr>
                <w:rFonts w:ascii="Arial"/>
                <w:color w:val="auto"/>
                <w:sz w:val="21"/>
                <w:highlight w:val="none"/>
              </w:rPr>
            </w:pPr>
          </w:p>
        </w:tc>
      </w:tr>
      <w:tr w14:paraId="150E2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771BE203">
            <w:pPr>
              <w:pStyle w:val="16"/>
              <w:spacing w:before="267" w:line="181" w:lineRule="auto"/>
              <w:ind w:left="794"/>
              <w:rPr>
                <w:color w:val="auto"/>
                <w:highlight w:val="none"/>
              </w:rPr>
            </w:pPr>
            <w:r>
              <w:rPr>
                <w:color w:val="auto"/>
                <w:highlight w:val="none"/>
              </w:rPr>
              <w:t>4</w:t>
            </w:r>
          </w:p>
        </w:tc>
        <w:tc>
          <w:tcPr>
            <w:tcW w:w="2157" w:type="dxa"/>
            <w:vAlign w:val="top"/>
          </w:tcPr>
          <w:p w14:paraId="6827E8EA">
            <w:pPr>
              <w:rPr>
                <w:rFonts w:ascii="Arial"/>
                <w:color w:val="auto"/>
                <w:sz w:val="21"/>
                <w:highlight w:val="none"/>
              </w:rPr>
            </w:pPr>
          </w:p>
        </w:tc>
        <w:tc>
          <w:tcPr>
            <w:tcW w:w="2124" w:type="dxa"/>
            <w:vAlign w:val="top"/>
          </w:tcPr>
          <w:p w14:paraId="3F1C21C0">
            <w:pPr>
              <w:rPr>
                <w:rFonts w:ascii="Arial"/>
                <w:color w:val="auto"/>
                <w:sz w:val="21"/>
                <w:highlight w:val="none"/>
              </w:rPr>
            </w:pPr>
          </w:p>
        </w:tc>
        <w:tc>
          <w:tcPr>
            <w:tcW w:w="1678" w:type="dxa"/>
            <w:vAlign w:val="top"/>
          </w:tcPr>
          <w:p w14:paraId="2274586F">
            <w:pPr>
              <w:rPr>
                <w:rFonts w:ascii="Arial"/>
                <w:color w:val="auto"/>
                <w:sz w:val="21"/>
                <w:highlight w:val="none"/>
              </w:rPr>
            </w:pPr>
          </w:p>
        </w:tc>
        <w:tc>
          <w:tcPr>
            <w:tcW w:w="2028" w:type="dxa"/>
            <w:vAlign w:val="top"/>
          </w:tcPr>
          <w:p w14:paraId="36D77CA3">
            <w:pPr>
              <w:rPr>
                <w:rFonts w:ascii="Arial"/>
                <w:color w:val="auto"/>
                <w:sz w:val="21"/>
                <w:highlight w:val="none"/>
              </w:rPr>
            </w:pPr>
          </w:p>
        </w:tc>
      </w:tr>
      <w:tr w14:paraId="28A14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397D3686">
            <w:pPr>
              <w:pStyle w:val="16"/>
              <w:spacing w:before="223" w:line="384" w:lineRule="exact"/>
              <w:ind w:left="752"/>
              <w:rPr>
                <w:color w:val="auto"/>
                <w:highlight w:val="none"/>
              </w:rPr>
            </w:pPr>
            <w:r>
              <w:rPr>
                <w:color w:val="auto"/>
                <w:position w:val="3"/>
                <w:highlight w:val="none"/>
              </w:rPr>
              <w:t>…</w:t>
            </w:r>
          </w:p>
        </w:tc>
        <w:tc>
          <w:tcPr>
            <w:tcW w:w="2157" w:type="dxa"/>
            <w:vAlign w:val="top"/>
          </w:tcPr>
          <w:p w14:paraId="0BC68C57">
            <w:pPr>
              <w:rPr>
                <w:rFonts w:ascii="Arial"/>
                <w:color w:val="auto"/>
                <w:sz w:val="21"/>
                <w:highlight w:val="none"/>
              </w:rPr>
            </w:pPr>
          </w:p>
        </w:tc>
        <w:tc>
          <w:tcPr>
            <w:tcW w:w="2124" w:type="dxa"/>
            <w:vAlign w:val="top"/>
          </w:tcPr>
          <w:p w14:paraId="13F49946">
            <w:pPr>
              <w:rPr>
                <w:rFonts w:ascii="Arial"/>
                <w:color w:val="auto"/>
                <w:sz w:val="21"/>
                <w:highlight w:val="none"/>
              </w:rPr>
            </w:pPr>
          </w:p>
        </w:tc>
        <w:tc>
          <w:tcPr>
            <w:tcW w:w="1678" w:type="dxa"/>
            <w:vAlign w:val="top"/>
          </w:tcPr>
          <w:p w14:paraId="1FEA05F6">
            <w:pPr>
              <w:rPr>
                <w:rFonts w:ascii="Arial"/>
                <w:color w:val="auto"/>
                <w:sz w:val="21"/>
                <w:highlight w:val="none"/>
              </w:rPr>
            </w:pPr>
          </w:p>
        </w:tc>
        <w:tc>
          <w:tcPr>
            <w:tcW w:w="2028" w:type="dxa"/>
            <w:vAlign w:val="top"/>
          </w:tcPr>
          <w:p w14:paraId="163BE9C3">
            <w:pPr>
              <w:rPr>
                <w:rFonts w:ascii="Arial"/>
                <w:color w:val="auto"/>
                <w:sz w:val="21"/>
                <w:highlight w:val="none"/>
              </w:rPr>
            </w:pPr>
          </w:p>
        </w:tc>
      </w:tr>
      <w:tr w14:paraId="4F1F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07" w:type="dxa"/>
            <w:vAlign w:val="top"/>
          </w:tcPr>
          <w:p w14:paraId="116AF38D">
            <w:pPr>
              <w:rPr>
                <w:rFonts w:ascii="Arial"/>
                <w:color w:val="auto"/>
                <w:sz w:val="21"/>
                <w:highlight w:val="none"/>
              </w:rPr>
            </w:pPr>
          </w:p>
        </w:tc>
        <w:tc>
          <w:tcPr>
            <w:tcW w:w="2157" w:type="dxa"/>
            <w:vAlign w:val="top"/>
          </w:tcPr>
          <w:p w14:paraId="72B6F80D">
            <w:pPr>
              <w:rPr>
                <w:rFonts w:ascii="Arial"/>
                <w:color w:val="auto"/>
                <w:sz w:val="21"/>
                <w:highlight w:val="none"/>
              </w:rPr>
            </w:pPr>
          </w:p>
        </w:tc>
        <w:tc>
          <w:tcPr>
            <w:tcW w:w="2124" w:type="dxa"/>
            <w:vAlign w:val="top"/>
          </w:tcPr>
          <w:p w14:paraId="6F3305B6">
            <w:pPr>
              <w:rPr>
                <w:rFonts w:ascii="Arial"/>
                <w:color w:val="auto"/>
                <w:sz w:val="21"/>
                <w:highlight w:val="none"/>
              </w:rPr>
            </w:pPr>
          </w:p>
        </w:tc>
        <w:tc>
          <w:tcPr>
            <w:tcW w:w="1678" w:type="dxa"/>
            <w:vAlign w:val="top"/>
          </w:tcPr>
          <w:p w14:paraId="19B6047A">
            <w:pPr>
              <w:rPr>
                <w:rFonts w:ascii="Arial"/>
                <w:color w:val="auto"/>
                <w:sz w:val="21"/>
                <w:highlight w:val="none"/>
              </w:rPr>
            </w:pPr>
          </w:p>
        </w:tc>
        <w:tc>
          <w:tcPr>
            <w:tcW w:w="2028" w:type="dxa"/>
            <w:vAlign w:val="top"/>
          </w:tcPr>
          <w:p w14:paraId="7EAEE8BC">
            <w:pPr>
              <w:rPr>
                <w:rFonts w:ascii="Arial"/>
                <w:color w:val="auto"/>
                <w:sz w:val="21"/>
                <w:highlight w:val="none"/>
              </w:rPr>
            </w:pPr>
          </w:p>
        </w:tc>
      </w:tr>
    </w:tbl>
    <w:p w14:paraId="60ECA4FE">
      <w:pPr>
        <w:spacing w:before="37" w:line="345" w:lineRule="auto"/>
        <w:ind w:left="5" w:firstLine="1"/>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注：本项目商务条款至少包括：合同履行期限、采购内容、投标保证金响应、投标文件有效期、</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2"/>
          <w:sz w:val="24"/>
          <w:szCs w:val="24"/>
          <w:highlight w:val="none"/>
        </w:rPr>
        <w:t>履约保证金等，投标人必须与招标文件要求对</w:t>
      </w:r>
      <w:r>
        <w:rPr>
          <w:rFonts w:ascii="新宋体" w:hAnsi="新宋体" w:eastAsia="新宋体" w:cs="新宋体"/>
          <w:color w:val="auto"/>
          <w:spacing w:val="-3"/>
          <w:sz w:val="24"/>
          <w:szCs w:val="24"/>
          <w:highlight w:val="none"/>
        </w:rPr>
        <w:t>应填写。</w:t>
      </w:r>
    </w:p>
    <w:p w14:paraId="563A37CA">
      <w:pPr>
        <w:spacing w:line="295" w:lineRule="auto"/>
        <w:rPr>
          <w:rFonts w:ascii="Arial"/>
          <w:color w:val="auto"/>
          <w:sz w:val="21"/>
          <w:highlight w:val="none"/>
        </w:rPr>
      </w:pPr>
    </w:p>
    <w:p w14:paraId="5D9B9606">
      <w:pPr>
        <w:spacing w:line="295" w:lineRule="auto"/>
        <w:rPr>
          <w:rFonts w:ascii="Arial"/>
          <w:color w:val="auto"/>
          <w:sz w:val="21"/>
          <w:highlight w:val="none"/>
        </w:rPr>
      </w:pPr>
    </w:p>
    <w:p w14:paraId="1BCAC4B6">
      <w:pPr>
        <w:spacing w:line="296" w:lineRule="auto"/>
        <w:rPr>
          <w:rFonts w:ascii="Arial"/>
          <w:color w:val="auto"/>
          <w:sz w:val="21"/>
          <w:highlight w:val="none"/>
        </w:rPr>
      </w:pPr>
    </w:p>
    <w:p w14:paraId="70C0689E">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738EA93B">
      <w:pPr>
        <w:spacing w:before="177" w:line="345" w:lineRule="auto"/>
        <w:ind w:left="50" w:right="214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8C7CC5C">
      <w:pPr>
        <w:spacing w:line="345" w:lineRule="auto"/>
        <w:rPr>
          <w:rFonts w:ascii="新宋体" w:hAnsi="新宋体" w:eastAsia="新宋体" w:cs="新宋体"/>
          <w:color w:val="auto"/>
          <w:sz w:val="24"/>
          <w:szCs w:val="24"/>
          <w:highlight w:val="none"/>
        </w:rPr>
        <w:sectPr>
          <w:footerReference r:id="rId25" w:type="default"/>
          <w:pgSz w:w="11905" w:h="16839"/>
          <w:pgMar w:top="1440" w:right="1800" w:bottom="1440" w:left="1800" w:header="0" w:footer="850" w:gutter="0"/>
          <w:pgNumType w:fmt="numberInDash"/>
          <w:cols w:space="720" w:num="1"/>
        </w:sectPr>
      </w:pPr>
    </w:p>
    <w:p w14:paraId="7E51E5FA">
      <w:pPr>
        <w:spacing w:line="319" w:lineRule="auto"/>
        <w:rPr>
          <w:rFonts w:ascii="Arial"/>
          <w:color w:val="auto"/>
          <w:sz w:val="21"/>
          <w:highlight w:val="none"/>
        </w:rPr>
      </w:pPr>
    </w:p>
    <w:p w14:paraId="18F26220">
      <w:pPr>
        <w:spacing w:line="319" w:lineRule="auto"/>
        <w:rPr>
          <w:rFonts w:ascii="Arial"/>
          <w:color w:val="auto"/>
          <w:sz w:val="21"/>
          <w:highlight w:val="none"/>
        </w:rPr>
      </w:pPr>
    </w:p>
    <w:p w14:paraId="2ACC48E2">
      <w:pPr>
        <w:spacing w:line="320" w:lineRule="auto"/>
        <w:rPr>
          <w:rFonts w:ascii="Arial"/>
          <w:color w:val="auto"/>
          <w:sz w:val="21"/>
          <w:highlight w:val="none"/>
        </w:rPr>
      </w:pPr>
    </w:p>
    <w:p w14:paraId="7723E808">
      <w:pPr>
        <w:pStyle w:val="4"/>
        <w:spacing w:before="120" w:line="187" w:lineRule="auto"/>
        <w:ind w:left="1999"/>
        <w:rPr>
          <w:color w:val="auto"/>
          <w:sz w:val="28"/>
          <w:szCs w:val="28"/>
          <w:highlight w:val="none"/>
        </w:rPr>
      </w:pPr>
      <w:r>
        <w:rPr>
          <w:b/>
          <w:bCs/>
          <w:color w:val="auto"/>
          <w:spacing w:val="-3"/>
          <w:sz w:val="28"/>
          <w:szCs w:val="28"/>
          <w:highlight w:val="none"/>
        </w:rPr>
        <w:t>5、在经营活动中没有重大违法记录的书面声明</w:t>
      </w:r>
    </w:p>
    <w:p w14:paraId="0B1CBAA5">
      <w:pPr>
        <w:spacing w:line="263" w:lineRule="auto"/>
        <w:rPr>
          <w:rFonts w:ascii="Arial"/>
          <w:color w:val="auto"/>
          <w:sz w:val="21"/>
          <w:highlight w:val="none"/>
        </w:rPr>
      </w:pPr>
    </w:p>
    <w:p w14:paraId="2D4AB081">
      <w:pPr>
        <w:spacing w:before="78" w:line="224"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致</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3"/>
          <w:sz w:val="24"/>
          <w:szCs w:val="24"/>
          <w:highlight w:val="none"/>
          <w:u w:val="single" w:color="auto"/>
        </w:rPr>
        <w:t>招标人</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p>
    <w:p w14:paraId="088946C4">
      <w:pPr>
        <w:spacing w:line="251" w:lineRule="auto"/>
        <w:rPr>
          <w:rFonts w:ascii="Arial"/>
          <w:color w:val="auto"/>
          <w:sz w:val="21"/>
          <w:highlight w:val="none"/>
        </w:rPr>
      </w:pPr>
    </w:p>
    <w:p w14:paraId="12D135F4">
      <w:pPr>
        <w:spacing w:before="78" w:line="223" w:lineRule="auto"/>
        <w:jc w:val="right"/>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我方参加</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2"/>
          <w:sz w:val="24"/>
          <w:szCs w:val="24"/>
          <w:highlight w:val="none"/>
        </w:rPr>
        <w:t>项目（项目编码</w:t>
      </w:r>
      <w:r>
        <w:rPr>
          <w:rFonts w:ascii="新宋体" w:hAnsi="新宋体" w:eastAsia="新宋体" w:cs="新宋体"/>
          <w:color w:val="auto"/>
          <w:spacing w:val="-3"/>
          <w:sz w:val="24"/>
          <w:szCs w:val="24"/>
          <w:highlight w:val="none"/>
        </w:rPr>
        <w:t>：</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3"/>
          <w:sz w:val="24"/>
          <w:szCs w:val="24"/>
          <w:highlight w:val="none"/>
        </w:rPr>
        <w:t>）</w:t>
      </w:r>
      <w:r>
        <w:rPr>
          <w:rFonts w:ascii="新宋体" w:hAnsi="新宋体" w:eastAsia="新宋体" w:cs="新宋体"/>
          <w:color w:val="auto"/>
          <w:spacing w:val="-2"/>
          <w:sz w:val="24"/>
          <w:szCs w:val="24"/>
          <w:highlight w:val="none"/>
        </w:rPr>
        <w:t>的政府采购</w:t>
      </w:r>
    </w:p>
    <w:p w14:paraId="601A7408">
      <w:pPr>
        <w:spacing w:line="252" w:lineRule="auto"/>
        <w:rPr>
          <w:rFonts w:ascii="Arial"/>
          <w:color w:val="auto"/>
          <w:sz w:val="21"/>
          <w:highlight w:val="none"/>
        </w:rPr>
      </w:pPr>
    </w:p>
    <w:p w14:paraId="1B56E9D9">
      <w:pPr>
        <w:spacing w:before="78" w:line="224" w:lineRule="auto"/>
        <w:ind w:left="7"/>
        <w:rPr>
          <w:rFonts w:ascii="新宋体" w:hAnsi="新宋体" w:eastAsia="新宋体" w:cs="新宋体"/>
          <w:color w:val="auto"/>
          <w:sz w:val="24"/>
          <w:szCs w:val="24"/>
          <w:highlight w:val="none"/>
        </w:rPr>
      </w:pPr>
      <w:r>
        <w:rPr>
          <w:rFonts w:ascii="新宋体" w:hAnsi="新宋体" w:eastAsia="新宋体" w:cs="新宋体"/>
          <w:color w:val="auto"/>
          <w:spacing w:val="-10"/>
          <w:sz w:val="24"/>
          <w:szCs w:val="24"/>
          <w:highlight w:val="none"/>
        </w:rPr>
        <w:t>活动，并声明：</w:t>
      </w:r>
    </w:p>
    <w:p w14:paraId="000A07B8">
      <w:pPr>
        <w:spacing w:line="253" w:lineRule="auto"/>
        <w:rPr>
          <w:rFonts w:ascii="Arial"/>
          <w:color w:val="auto"/>
          <w:sz w:val="21"/>
          <w:highlight w:val="none"/>
        </w:rPr>
      </w:pPr>
    </w:p>
    <w:p w14:paraId="5EF52CF2">
      <w:pPr>
        <w:spacing w:before="78" w:line="464" w:lineRule="auto"/>
        <w:ind w:left="2" w:right="81" w:firstLine="48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我方参加本采购项目政府采购前</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3</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2"/>
          <w:sz w:val="24"/>
          <w:szCs w:val="24"/>
          <w:highlight w:val="none"/>
        </w:rPr>
        <w:t>年内在经营活动中没有因违法经营受到刑</w:t>
      </w:r>
      <w:r>
        <w:rPr>
          <w:rFonts w:ascii="新宋体" w:hAnsi="新宋体" w:eastAsia="新宋体" w:cs="新宋体"/>
          <w:color w:val="auto"/>
          <w:spacing w:val="1"/>
          <w:sz w:val="24"/>
          <w:szCs w:val="24"/>
          <w:highlight w:val="none"/>
        </w:rPr>
        <w:t>事处罚或者</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责令停产停业、吊销许可证或者执照、较大数额罚款等行政处罚。</w:t>
      </w:r>
    </w:p>
    <w:p w14:paraId="02E5376C">
      <w:pPr>
        <w:spacing w:before="37" w:line="224" w:lineRule="auto"/>
        <w:ind w:left="479"/>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特此声明！</w:t>
      </w:r>
    </w:p>
    <w:p w14:paraId="5B57D889">
      <w:pPr>
        <w:spacing w:line="254" w:lineRule="auto"/>
        <w:rPr>
          <w:rFonts w:ascii="Arial"/>
          <w:color w:val="auto"/>
          <w:sz w:val="21"/>
          <w:highlight w:val="none"/>
        </w:rPr>
      </w:pPr>
    </w:p>
    <w:p w14:paraId="0D9C38E2">
      <w:pPr>
        <w:spacing w:line="254" w:lineRule="auto"/>
        <w:rPr>
          <w:rFonts w:ascii="Arial"/>
          <w:color w:val="auto"/>
          <w:sz w:val="21"/>
          <w:highlight w:val="none"/>
        </w:rPr>
      </w:pPr>
    </w:p>
    <w:p w14:paraId="1C8114C1">
      <w:pPr>
        <w:spacing w:line="254" w:lineRule="auto"/>
        <w:rPr>
          <w:rFonts w:ascii="Arial"/>
          <w:color w:val="auto"/>
          <w:sz w:val="21"/>
          <w:highlight w:val="none"/>
        </w:rPr>
      </w:pPr>
    </w:p>
    <w:p w14:paraId="0EC6299A">
      <w:pPr>
        <w:spacing w:line="255" w:lineRule="auto"/>
        <w:rPr>
          <w:rFonts w:ascii="Arial"/>
          <w:color w:val="auto"/>
          <w:sz w:val="21"/>
          <w:highlight w:val="none"/>
        </w:rPr>
      </w:pPr>
    </w:p>
    <w:p w14:paraId="4CBCB220">
      <w:pPr>
        <w:spacing w:line="255" w:lineRule="auto"/>
        <w:rPr>
          <w:rFonts w:ascii="Arial"/>
          <w:color w:val="auto"/>
          <w:sz w:val="21"/>
          <w:highlight w:val="none"/>
        </w:rPr>
      </w:pPr>
    </w:p>
    <w:p w14:paraId="18EECA15">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6E0836DD">
      <w:pPr>
        <w:spacing w:before="177" w:line="345" w:lineRule="auto"/>
        <w:ind w:left="50" w:right="214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9236F6B">
      <w:pPr>
        <w:spacing w:line="345" w:lineRule="auto"/>
        <w:rPr>
          <w:rFonts w:ascii="新宋体" w:hAnsi="新宋体" w:eastAsia="新宋体" w:cs="新宋体"/>
          <w:color w:val="auto"/>
          <w:sz w:val="24"/>
          <w:szCs w:val="24"/>
          <w:highlight w:val="none"/>
        </w:rPr>
        <w:sectPr>
          <w:footerReference r:id="rId26" w:type="default"/>
          <w:pgSz w:w="11905" w:h="16839"/>
          <w:pgMar w:top="1440" w:right="1800" w:bottom="1440" w:left="1800" w:header="0" w:footer="850" w:gutter="0"/>
          <w:pgNumType w:fmt="numberInDash"/>
          <w:cols w:space="720" w:num="1"/>
        </w:sectPr>
      </w:pPr>
    </w:p>
    <w:p w14:paraId="7437D8D9">
      <w:pPr>
        <w:spacing w:line="319" w:lineRule="auto"/>
        <w:rPr>
          <w:rFonts w:ascii="Arial"/>
          <w:color w:val="auto"/>
          <w:sz w:val="21"/>
          <w:highlight w:val="none"/>
        </w:rPr>
      </w:pPr>
    </w:p>
    <w:p w14:paraId="1690774B">
      <w:pPr>
        <w:spacing w:line="319" w:lineRule="auto"/>
        <w:rPr>
          <w:rFonts w:ascii="Arial"/>
          <w:color w:val="auto"/>
          <w:sz w:val="21"/>
          <w:highlight w:val="none"/>
        </w:rPr>
      </w:pPr>
    </w:p>
    <w:p w14:paraId="067F5295">
      <w:pPr>
        <w:spacing w:line="319" w:lineRule="auto"/>
        <w:rPr>
          <w:rFonts w:ascii="Arial"/>
          <w:color w:val="auto"/>
          <w:sz w:val="21"/>
          <w:highlight w:val="none"/>
        </w:rPr>
      </w:pPr>
    </w:p>
    <w:p w14:paraId="19263BB9">
      <w:pPr>
        <w:pStyle w:val="4"/>
        <w:spacing w:before="120" w:line="187" w:lineRule="auto"/>
        <w:ind w:left="2556"/>
        <w:rPr>
          <w:color w:val="auto"/>
          <w:sz w:val="28"/>
          <w:szCs w:val="28"/>
          <w:highlight w:val="none"/>
        </w:rPr>
      </w:pPr>
      <w:r>
        <w:rPr>
          <w:b/>
          <w:bCs/>
          <w:color w:val="auto"/>
          <w:spacing w:val="-3"/>
          <w:sz w:val="28"/>
          <w:szCs w:val="28"/>
          <w:highlight w:val="none"/>
        </w:rPr>
        <w:t>6、社会法人无失信被执行行为承诺书</w:t>
      </w:r>
    </w:p>
    <w:p w14:paraId="1EAE5DDD">
      <w:pPr>
        <w:spacing w:line="364" w:lineRule="auto"/>
        <w:rPr>
          <w:rFonts w:ascii="Arial"/>
          <w:color w:val="auto"/>
          <w:sz w:val="21"/>
          <w:highlight w:val="none"/>
        </w:rPr>
      </w:pPr>
    </w:p>
    <w:p w14:paraId="46AA43DE">
      <w:pPr>
        <w:spacing w:before="78"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本公司郑重承诺：</w:t>
      </w:r>
    </w:p>
    <w:p w14:paraId="0084E370">
      <w:pPr>
        <w:spacing w:line="376" w:lineRule="auto"/>
        <w:rPr>
          <w:rFonts w:ascii="Arial"/>
          <w:color w:val="auto"/>
          <w:sz w:val="21"/>
          <w:highlight w:val="none"/>
        </w:rPr>
      </w:pPr>
    </w:p>
    <w:p w14:paraId="3D83FC50">
      <w:pPr>
        <w:spacing w:before="78" w:line="352" w:lineRule="auto"/>
        <w:ind w:firstLine="721"/>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本公司遵守法律法规规定，愿意接受社会各界监督，若有违反</w:t>
      </w:r>
      <w:r>
        <w:rPr>
          <w:rFonts w:ascii="新宋体" w:hAnsi="新宋体" w:eastAsia="新宋体" w:cs="新宋体"/>
          <w:color w:val="auto"/>
          <w:spacing w:val="-3"/>
          <w:sz w:val="24"/>
          <w:szCs w:val="24"/>
          <w:highlight w:val="none"/>
        </w:rPr>
        <w:t>《中华人民共和国政府采购法》中对投标人应遵守的规定，自愿依法接受取消投标资</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格、记入信用档案、取消中标资格、没收投标保证金等有关处理，愿意承担法律责任，给招标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人造成损失的，依法承担赔偿责任。</w:t>
      </w:r>
    </w:p>
    <w:p w14:paraId="64C9618B">
      <w:pPr>
        <w:spacing w:line="271" w:lineRule="auto"/>
        <w:rPr>
          <w:rFonts w:ascii="Arial"/>
          <w:color w:val="auto"/>
          <w:sz w:val="21"/>
          <w:highlight w:val="none"/>
        </w:rPr>
      </w:pPr>
    </w:p>
    <w:p w14:paraId="24A69B8A">
      <w:pPr>
        <w:spacing w:line="271" w:lineRule="auto"/>
        <w:rPr>
          <w:rFonts w:ascii="Arial"/>
          <w:color w:val="auto"/>
          <w:sz w:val="21"/>
          <w:highlight w:val="none"/>
        </w:rPr>
      </w:pPr>
    </w:p>
    <w:p w14:paraId="384416BF">
      <w:pPr>
        <w:spacing w:line="271" w:lineRule="auto"/>
        <w:rPr>
          <w:rFonts w:ascii="Arial"/>
          <w:color w:val="auto"/>
          <w:sz w:val="21"/>
          <w:highlight w:val="none"/>
        </w:rPr>
      </w:pPr>
    </w:p>
    <w:p w14:paraId="7332EB24">
      <w:pPr>
        <w:spacing w:line="272" w:lineRule="auto"/>
        <w:rPr>
          <w:rFonts w:ascii="Arial"/>
          <w:color w:val="auto"/>
          <w:sz w:val="21"/>
          <w:highlight w:val="none"/>
        </w:rPr>
      </w:pPr>
    </w:p>
    <w:p w14:paraId="38675EC9">
      <w:pPr>
        <w:spacing w:line="272" w:lineRule="auto"/>
        <w:rPr>
          <w:rFonts w:ascii="Arial"/>
          <w:color w:val="auto"/>
          <w:sz w:val="21"/>
          <w:highlight w:val="none"/>
        </w:rPr>
      </w:pPr>
    </w:p>
    <w:p w14:paraId="26576DEA">
      <w:pPr>
        <w:spacing w:line="272" w:lineRule="auto"/>
        <w:rPr>
          <w:rFonts w:ascii="Arial"/>
          <w:color w:val="auto"/>
          <w:sz w:val="21"/>
          <w:highlight w:val="none"/>
        </w:rPr>
      </w:pPr>
    </w:p>
    <w:p w14:paraId="43C6EFED">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01A7169E">
      <w:pPr>
        <w:spacing w:before="177" w:line="345" w:lineRule="auto"/>
        <w:ind w:left="50" w:right="205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4235ABC1">
      <w:pPr>
        <w:spacing w:line="345" w:lineRule="auto"/>
        <w:rPr>
          <w:rFonts w:ascii="新宋体" w:hAnsi="新宋体" w:eastAsia="新宋体" w:cs="新宋体"/>
          <w:color w:val="auto"/>
          <w:sz w:val="24"/>
          <w:szCs w:val="24"/>
          <w:highlight w:val="none"/>
        </w:rPr>
        <w:sectPr>
          <w:footerReference r:id="rId27" w:type="default"/>
          <w:pgSz w:w="11905" w:h="16839"/>
          <w:pgMar w:top="1440" w:right="1800" w:bottom="1440" w:left="1800" w:header="0" w:footer="850" w:gutter="0"/>
          <w:pgNumType w:fmt="numberInDash"/>
          <w:cols w:space="720" w:num="1"/>
        </w:sectPr>
      </w:pPr>
    </w:p>
    <w:p w14:paraId="71AA92BB">
      <w:pPr>
        <w:spacing w:line="319" w:lineRule="auto"/>
        <w:rPr>
          <w:rFonts w:ascii="Arial"/>
          <w:color w:val="auto"/>
          <w:sz w:val="21"/>
          <w:highlight w:val="none"/>
        </w:rPr>
      </w:pPr>
    </w:p>
    <w:p w14:paraId="025F4541">
      <w:pPr>
        <w:spacing w:line="319" w:lineRule="auto"/>
        <w:rPr>
          <w:rFonts w:ascii="Arial"/>
          <w:color w:val="auto"/>
          <w:sz w:val="21"/>
          <w:highlight w:val="none"/>
        </w:rPr>
      </w:pPr>
    </w:p>
    <w:p w14:paraId="32076619">
      <w:pPr>
        <w:spacing w:line="320" w:lineRule="auto"/>
        <w:rPr>
          <w:rFonts w:ascii="Arial"/>
          <w:color w:val="auto"/>
          <w:sz w:val="21"/>
          <w:highlight w:val="none"/>
        </w:rPr>
      </w:pPr>
    </w:p>
    <w:p w14:paraId="34CA7218">
      <w:pPr>
        <w:pStyle w:val="4"/>
        <w:spacing w:before="120" w:line="187" w:lineRule="auto"/>
        <w:ind w:left="2980"/>
        <w:rPr>
          <w:color w:val="auto"/>
          <w:sz w:val="28"/>
          <w:szCs w:val="28"/>
          <w:highlight w:val="none"/>
        </w:rPr>
      </w:pPr>
      <w:r>
        <w:rPr>
          <w:b/>
          <w:bCs/>
          <w:color w:val="auto"/>
          <w:spacing w:val="-4"/>
          <w:sz w:val="28"/>
          <w:szCs w:val="28"/>
          <w:highlight w:val="none"/>
        </w:rPr>
        <w:t>7、无重大税收违法行为承诺书</w:t>
      </w:r>
    </w:p>
    <w:p w14:paraId="5BAE0B17">
      <w:pPr>
        <w:spacing w:line="363" w:lineRule="auto"/>
        <w:rPr>
          <w:rFonts w:ascii="Arial"/>
          <w:color w:val="auto"/>
          <w:sz w:val="21"/>
          <w:highlight w:val="none"/>
        </w:rPr>
      </w:pPr>
    </w:p>
    <w:p w14:paraId="3E35F93A">
      <w:pPr>
        <w:spacing w:before="78"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本人以企业法定代表人的身份郑重承诺：</w:t>
      </w:r>
    </w:p>
    <w:p w14:paraId="34E10A54">
      <w:pPr>
        <w:spacing w:line="376" w:lineRule="auto"/>
        <w:rPr>
          <w:rFonts w:ascii="Arial"/>
          <w:color w:val="auto"/>
          <w:sz w:val="21"/>
          <w:highlight w:val="none"/>
        </w:rPr>
      </w:pPr>
    </w:p>
    <w:p w14:paraId="1CB88C32">
      <w:pPr>
        <w:spacing w:before="78" w:line="223" w:lineRule="auto"/>
        <w:ind w:left="60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本公司近三年无重大税收违法行为，愿意接受社会各界监督。</w:t>
      </w:r>
    </w:p>
    <w:p w14:paraId="419921CB">
      <w:pPr>
        <w:spacing w:line="374" w:lineRule="auto"/>
        <w:rPr>
          <w:rFonts w:ascii="Arial"/>
          <w:color w:val="auto"/>
          <w:sz w:val="21"/>
          <w:highlight w:val="none"/>
        </w:rPr>
      </w:pPr>
    </w:p>
    <w:p w14:paraId="52044571">
      <w:pPr>
        <w:spacing w:before="78" w:line="350" w:lineRule="auto"/>
        <w:ind w:firstLine="60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本公司及法定代表人若有违反承诺内容的行为， 自愿依法接受取消投标资格、记入</w:t>
      </w:r>
      <w:r>
        <w:rPr>
          <w:rFonts w:ascii="新宋体" w:hAnsi="新宋体" w:eastAsia="新宋体" w:cs="新宋体"/>
          <w:color w:val="auto"/>
          <w:spacing w:val="-4"/>
          <w:sz w:val="24"/>
          <w:szCs w:val="24"/>
          <w:highlight w:val="none"/>
        </w:rPr>
        <w:t>信用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档案、取消中标资格、没收投标保证金等有关处理，</w:t>
      </w:r>
      <w:r>
        <w:rPr>
          <w:rFonts w:ascii="新宋体" w:hAnsi="新宋体" w:eastAsia="新宋体" w:cs="新宋体"/>
          <w:color w:val="auto"/>
          <w:spacing w:val="-52"/>
          <w:sz w:val="24"/>
          <w:szCs w:val="24"/>
          <w:highlight w:val="none"/>
        </w:rPr>
        <w:t xml:space="preserve"> </w:t>
      </w:r>
      <w:r>
        <w:rPr>
          <w:rFonts w:ascii="新宋体" w:hAnsi="新宋体" w:eastAsia="新宋体" w:cs="新宋体"/>
          <w:color w:val="auto"/>
          <w:spacing w:val="-9"/>
          <w:sz w:val="24"/>
          <w:szCs w:val="24"/>
          <w:highlight w:val="none"/>
        </w:rPr>
        <w:t>愿意承担法律责任，给招标人造成损失的，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依法承担赔偿责任。</w:t>
      </w:r>
    </w:p>
    <w:p w14:paraId="363F0390">
      <w:pPr>
        <w:spacing w:line="246" w:lineRule="auto"/>
        <w:rPr>
          <w:rFonts w:ascii="Arial"/>
          <w:color w:val="auto"/>
          <w:sz w:val="21"/>
          <w:highlight w:val="none"/>
        </w:rPr>
      </w:pPr>
    </w:p>
    <w:p w14:paraId="3D22CD48">
      <w:pPr>
        <w:spacing w:line="246" w:lineRule="auto"/>
        <w:rPr>
          <w:rFonts w:ascii="Arial"/>
          <w:color w:val="auto"/>
          <w:sz w:val="21"/>
          <w:highlight w:val="none"/>
        </w:rPr>
      </w:pPr>
    </w:p>
    <w:p w14:paraId="2C750CA3">
      <w:pPr>
        <w:spacing w:line="246" w:lineRule="auto"/>
        <w:rPr>
          <w:rFonts w:ascii="Arial"/>
          <w:color w:val="auto"/>
          <w:sz w:val="21"/>
          <w:highlight w:val="none"/>
        </w:rPr>
      </w:pPr>
    </w:p>
    <w:p w14:paraId="08462777">
      <w:pPr>
        <w:spacing w:line="246" w:lineRule="auto"/>
        <w:rPr>
          <w:rFonts w:ascii="Arial"/>
          <w:color w:val="auto"/>
          <w:sz w:val="21"/>
          <w:highlight w:val="none"/>
        </w:rPr>
      </w:pPr>
    </w:p>
    <w:p w14:paraId="20EAE712">
      <w:pPr>
        <w:spacing w:line="247" w:lineRule="auto"/>
        <w:rPr>
          <w:rFonts w:ascii="Arial"/>
          <w:color w:val="auto"/>
          <w:sz w:val="21"/>
          <w:highlight w:val="none"/>
        </w:rPr>
      </w:pPr>
    </w:p>
    <w:p w14:paraId="50653F43">
      <w:pPr>
        <w:spacing w:line="247" w:lineRule="auto"/>
        <w:rPr>
          <w:rFonts w:ascii="Arial"/>
          <w:color w:val="auto"/>
          <w:sz w:val="21"/>
          <w:highlight w:val="none"/>
        </w:rPr>
      </w:pPr>
    </w:p>
    <w:p w14:paraId="71C25AAE">
      <w:pPr>
        <w:spacing w:line="247" w:lineRule="auto"/>
        <w:rPr>
          <w:rFonts w:ascii="Arial"/>
          <w:color w:val="auto"/>
          <w:sz w:val="21"/>
          <w:highlight w:val="none"/>
        </w:rPr>
      </w:pPr>
    </w:p>
    <w:p w14:paraId="7C3EAEEE">
      <w:pPr>
        <w:spacing w:line="247" w:lineRule="auto"/>
        <w:rPr>
          <w:rFonts w:ascii="Arial"/>
          <w:color w:val="auto"/>
          <w:sz w:val="21"/>
          <w:highlight w:val="none"/>
        </w:rPr>
      </w:pPr>
    </w:p>
    <w:p w14:paraId="4D80946C">
      <w:pPr>
        <w:spacing w:line="247" w:lineRule="auto"/>
        <w:rPr>
          <w:rFonts w:ascii="Arial"/>
          <w:color w:val="auto"/>
          <w:sz w:val="21"/>
          <w:highlight w:val="none"/>
        </w:rPr>
      </w:pPr>
    </w:p>
    <w:p w14:paraId="54364E32">
      <w:pPr>
        <w:spacing w:line="247" w:lineRule="auto"/>
        <w:rPr>
          <w:rFonts w:ascii="Arial"/>
          <w:color w:val="auto"/>
          <w:sz w:val="21"/>
          <w:highlight w:val="none"/>
        </w:rPr>
      </w:pPr>
    </w:p>
    <w:p w14:paraId="734493BB">
      <w:pPr>
        <w:spacing w:line="247" w:lineRule="auto"/>
        <w:rPr>
          <w:rFonts w:ascii="Arial"/>
          <w:color w:val="auto"/>
          <w:sz w:val="21"/>
          <w:highlight w:val="none"/>
        </w:rPr>
      </w:pPr>
    </w:p>
    <w:p w14:paraId="66DA87B1">
      <w:pPr>
        <w:spacing w:line="247" w:lineRule="auto"/>
        <w:rPr>
          <w:rFonts w:ascii="Arial"/>
          <w:color w:val="auto"/>
          <w:sz w:val="21"/>
          <w:highlight w:val="none"/>
        </w:rPr>
      </w:pPr>
    </w:p>
    <w:p w14:paraId="1E87C1F7">
      <w:pPr>
        <w:spacing w:line="247" w:lineRule="auto"/>
        <w:rPr>
          <w:rFonts w:ascii="Arial"/>
          <w:color w:val="auto"/>
          <w:sz w:val="21"/>
          <w:highlight w:val="none"/>
        </w:rPr>
      </w:pPr>
    </w:p>
    <w:p w14:paraId="497CB1FE">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702AB514">
      <w:pPr>
        <w:spacing w:before="177" w:line="345" w:lineRule="auto"/>
        <w:ind w:left="50" w:right="2129"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39BC228">
      <w:pPr>
        <w:spacing w:line="345" w:lineRule="auto"/>
        <w:rPr>
          <w:rFonts w:ascii="新宋体" w:hAnsi="新宋体" w:eastAsia="新宋体" w:cs="新宋体"/>
          <w:color w:val="auto"/>
          <w:sz w:val="24"/>
          <w:szCs w:val="24"/>
          <w:highlight w:val="none"/>
        </w:rPr>
        <w:sectPr>
          <w:footerReference r:id="rId28" w:type="default"/>
          <w:pgSz w:w="11905" w:h="16839"/>
          <w:pgMar w:top="1440" w:right="1800" w:bottom="1440" w:left="1800" w:header="0" w:footer="850" w:gutter="0"/>
          <w:pgNumType w:fmt="numberInDash"/>
          <w:cols w:space="720" w:num="1"/>
        </w:sectPr>
      </w:pPr>
    </w:p>
    <w:p w14:paraId="1E8DD625">
      <w:pPr>
        <w:spacing w:line="319" w:lineRule="auto"/>
        <w:rPr>
          <w:rFonts w:ascii="Arial"/>
          <w:color w:val="auto"/>
          <w:sz w:val="21"/>
          <w:highlight w:val="none"/>
        </w:rPr>
      </w:pPr>
    </w:p>
    <w:p w14:paraId="33C0FD36">
      <w:pPr>
        <w:spacing w:line="319" w:lineRule="auto"/>
        <w:rPr>
          <w:rFonts w:ascii="Arial"/>
          <w:color w:val="auto"/>
          <w:sz w:val="21"/>
          <w:highlight w:val="none"/>
        </w:rPr>
      </w:pPr>
    </w:p>
    <w:p w14:paraId="78F7ECE0">
      <w:pPr>
        <w:spacing w:line="320" w:lineRule="auto"/>
        <w:rPr>
          <w:rFonts w:ascii="Arial"/>
          <w:color w:val="auto"/>
          <w:sz w:val="21"/>
          <w:highlight w:val="none"/>
        </w:rPr>
      </w:pPr>
    </w:p>
    <w:p w14:paraId="11CFE02D">
      <w:pPr>
        <w:pStyle w:val="4"/>
        <w:spacing w:before="120" w:line="188" w:lineRule="auto"/>
        <w:ind w:left="3535"/>
        <w:rPr>
          <w:color w:val="auto"/>
          <w:sz w:val="28"/>
          <w:szCs w:val="28"/>
          <w:highlight w:val="none"/>
        </w:rPr>
      </w:pPr>
      <w:r>
        <w:rPr>
          <w:b/>
          <w:bCs/>
          <w:color w:val="auto"/>
          <w:spacing w:val="-4"/>
          <w:sz w:val="28"/>
          <w:szCs w:val="28"/>
          <w:highlight w:val="none"/>
        </w:rPr>
        <w:t>8、中标服务费承诺书</w:t>
      </w:r>
    </w:p>
    <w:p w14:paraId="7BF10DB3">
      <w:pPr>
        <w:spacing w:line="255" w:lineRule="auto"/>
        <w:rPr>
          <w:rFonts w:ascii="Arial"/>
          <w:color w:val="auto"/>
          <w:sz w:val="21"/>
          <w:highlight w:val="none"/>
        </w:rPr>
      </w:pPr>
    </w:p>
    <w:p w14:paraId="0D4C9F33">
      <w:pPr>
        <w:spacing w:line="256" w:lineRule="auto"/>
        <w:rPr>
          <w:rFonts w:ascii="Arial"/>
          <w:color w:val="auto"/>
          <w:sz w:val="21"/>
          <w:highlight w:val="none"/>
        </w:rPr>
      </w:pPr>
    </w:p>
    <w:p w14:paraId="5D75FF18">
      <w:pPr>
        <w:spacing w:line="256" w:lineRule="auto"/>
        <w:rPr>
          <w:rFonts w:ascii="Arial"/>
          <w:color w:val="auto"/>
          <w:sz w:val="21"/>
          <w:highlight w:val="none"/>
        </w:rPr>
      </w:pPr>
    </w:p>
    <w:p w14:paraId="7E7DF67A">
      <w:pPr>
        <w:spacing w:before="78" w:line="224" w:lineRule="auto"/>
        <w:rPr>
          <w:rFonts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lang w:eastAsia="zh-CN"/>
        </w:rPr>
        <w:t>乌鲁木齐鑫盛开源工程项目管理有限公司</w:t>
      </w:r>
      <w:r>
        <w:rPr>
          <w:rFonts w:ascii="新宋体" w:hAnsi="新宋体" w:eastAsia="新宋体" w:cs="新宋体"/>
          <w:color w:val="auto"/>
          <w:spacing w:val="-4"/>
          <w:sz w:val="24"/>
          <w:szCs w:val="24"/>
          <w:highlight w:val="none"/>
        </w:rPr>
        <w:t>：</w:t>
      </w:r>
    </w:p>
    <w:p w14:paraId="7D345CB5">
      <w:pPr>
        <w:spacing w:line="264" w:lineRule="auto"/>
        <w:rPr>
          <w:rFonts w:ascii="Arial"/>
          <w:color w:val="auto"/>
          <w:sz w:val="21"/>
          <w:highlight w:val="none"/>
        </w:rPr>
      </w:pPr>
    </w:p>
    <w:p w14:paraId="7AE3AB29">
      <w:pPr>
        <w:spacing w:line="265" w:lineRule="auto"/>
        <w:rPr>
          <w:rFonts w:ascii="Arial"/>
          <w:color w:val="auto"/>
          <w:sz w:val="21"/>
          <w:highlight w:val="none"/>
        </w:rPr>
      </w:pPr>
    </w:p>
    <w:p w14:paraId="45D16DEB">
      <w:pPr>
        <w:spacing w:line="265" w:lineRule="auto"/>
        <w:rPr>
          <w:rFonts w:ascii="Arial"/>
          <w:color w:val="auto"/>
          <w:sz w:val="21"/>
          <w:highlight w:val="none"/>
        </w:rPr>
      </w:pPr>
    </w:p>
    <w:p w14:paraId="039A04B4">
      <w:pPr>
        <w:spacing w:line="265" w:lineRule="auto"/>
        <w:rPr>
          <w:rFonts w:ascii="Arial"/>
          <w:color w:val="auto"/>
          <w:sz w:val="21"/>
          <w:highlight w:val="none"/>
        </w:rPr>
      </w:pPr>
    </w:p>
    <w:p w14:paraId="3F6754E0">
      <w:pPr>
        <w:spacing w:before="78" w:line="345" w:lineRule="auto"/>
        <w:ind w:firstLine="48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我公司在贵公司组织的</w:t>
      </w:r>
      <w:r>
        <w:rPr>
          <w:rFonts w:ascii="新宋体" w:hAnsi="新宋体" w:eastAsia="新宋体" w:cs="新宋体"/>
          <w:color w:val="auto"/>
          <w:spacing w:val="-3"/>
          <w:sz w:val="24"/>
          <w:szCs w:val="24"/>
          <w:highlight w:val="none"/>
          <w:u w:val="single" w:color="auto"/>
        </w:rPr>
        <w:t>（项目名称</w:t>
      </w:r>
      <w:r>
        <w:rPr>
          <w:rFonts w:ascii="新宋体" w:hAnsi="新宋体" w:eastAsia="新宋体" w:cs="新宋体"/>
          <w:color w:val="auto"/>
          <w:spacing w:val="-7"/>
          <w:sz w:val="24"/>
          <w:szCs w:val="24"/>
          <w:highlight w:val="none"/>
          <w:u w:val="single" w:color="auto"/>
        </w:rPr>
        <w:t>）（</w:t>
      </w:r>
      <w:r>
        <w:rPr>
          <w:rFonts w:ascii="新宋体" w:hAnsi="新宋体" w:eastAsia="新宋体" w:cs="新宋体"/>
          <w:color w:val="auto"/>
          <w:spacing w:val="-3"/>
          <w:sz w:val="24"/>
          <w:szCs w:val="24"/>
          <w:highlight w:val="none"/>
          <w:u w:val="single" w:color="auto"/>
        </w:rPr>
        <w:t>项目编码）</w:t>
      </w:r>
      <w:r>
        <w:rPr>
          <w:rFonts w:ascii="新宋体" w:hAnsi="新宋体" w:eastAsia="新宋体" w:cs="新宋体"/>
          <w:color w:val="auto"/>
          <w:spacing w:val="-3"/>
          <w:sz w:val="24"/>
          <w:szCs w:val="24"/>
          <w:highlight w:val="none"/>
        </w:rPr>
        <w:t>招标中若获中标，我公司承诺，保</w:t>
      </w:r>
      <w:r>
        <w:rPr>
          <w:rFonts w:ascii="新宋体" w:hAnsi="新宋体" w:eastAsia="新宋体" w:cs="新宋体"/>
          <w:color w:val="auto"/>
          <w:spacing w:val="-4"/>
          <w:sz w:val="24"/>
          <w:szCs w:val="24"/>
          <w:highlight w:val="none"/>
        </w:rPr>
        <w:t>证在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领取中标通知书前按招标书有关规定，电汇或贵公司认可的其他方式向贵公司支付中标服务费。</w:t>
      </w:r>
    </w:p>
    <w:p w14:paraId="28446586">
      <w:pPr>
        <w:spacing w:before="317" w:line="224" w:lineRule="auto"/>
        <w:ind w:left="479"/>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特此承诺。</w:t>
      </w:r>
    </w:p>
    <w:p w14:paraId="316A454F">
      <w:pPr>
        <w:spacing w:line="245" w:lineRule="auto"/>
        <w:rPr>
          <w:rFonts w:ascii="Arial"/>
          <w:color w:val="auto"/>
          <w:sz w:val="21"/>
          <w:highlight w:val="none"/>
        </w:rPr>
      </w:pPr>
    </w:p>
    <w:p w14:paraId="59B92F14">
      <w:pPr>
        <w:spacing w:line="245" w:lineRule="auto"/>
        <w:rPr>
          <w:rFonts w:ascii="Arial"/>
          <w:color w:val="auto"/>
          <w:sz w:val="21"/>
          <w:highlight w:val="none"/>
        </w:rPr>
      </w:pPr>
    </w:p>
    <w:p w14:paraId="4C744550">
      <w:pPr>
        <w:spacing w:line="245" w:lineRule="auto"/>
        <w:rPr>
          <w:rFonts w:ascii="Arial"/>
          <w:color w:val="auto"/>
          <w:sz w:val="21"/>
          <w:highlight w:val="none"/>
        </w:rPr>
      </w:pPr>
    </w:p>
    <w:p w14:paraId="18EC1A14">
      <w:pPr>
        <w:spacing w:line="245" w:lineRule="auto"/>
        <w:rPr>
          <w:rFonts w:ascii="Arial"/>
          <w:color w:val="auto"/>
          <w:sz w:val="21"/>
          <w:highlight w:val="none"/>
        </w:rPr>
      </w:pPr>
    </w:p>
    <w:p w14:paraId="4836E231">
      <w:pPr>
        <w:spacing w:line="245" w:lineRule="auto"/>
        <w:rPr>
          <w:rFonts w:ascii="Arial"/>
          <w:color w:val="auto"/>
          <w:sz w:val="21"/>
          <w:highlight w:val="none"/>
        </w:rPr>
      </w:pPr>
    </w:p>
    <w:p w14:paraId="022FF336">
      <w:pPr>
        <w:spacing w:line="245" w:lineRule="auto"/>
        <w:rPr>
          <w:rFonts w:ascii="Arial"/>
          <w:color w:val="auto"/>
          <w:sz w:val="21"/>
          <w:highlight w:val="none"/>
        </w:rPr>
      </w:pPr>
    </w:p>
    <w:p w14:paraId="062C4797">
      <w:pPr>
        <w:spacing w:line="246" w:lineRule="auto"/>
        <w:rPr>
          <w:rFonts w:ascii="Arial"/>
          <w:color w:val="auto"/>
          <w:sz w:val="21"/>
          <w:highlight w:val="none"/>
        </w:rPr>
      </w:pPr>
    </w:p>
    <w:p w14:paraId="684F70BF">
      <w:pPr>
        <w:spacing w:line="246" w:lineRule="auto"/>
        <w:rPr>
          <w:rFonts w:ascii="Arial"/>
          <w:color w:val="auto"/>
          <w:sz w:val="21"/>
          <w:highlight w:val="none"/>
        </w:rPr>
      </w:pPr>
    </w:p>
    <w:p w14:paraId="2EE1EEAD">
      <w:pPr>
        <w:spacing w:line="246" w:lineRule="auto"/>
        <w:rPr>
          <w:rFonts w:ascii="Arial"/>
          <w:color w:val="auto"/>
          <w:sz w:val="21"/>
          <w:highlight w:val="none"/>
        </w:rPr>
      </w:pPr>
    </w:p>
    <w:p w14:paraId="49944E87">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508E5B78">
      <w:pPr>
        <w:spacing w:before="177" w:line="345" w:lineRule="auto"/>
        <w:ind w:left="50" w:right="224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F90315D">
      <w:pPr>
        <w:spacing w:line="246" w:lineRule="auto"/>
        <w:rPr>
          <w:rFonts w:ascii="Arial"/>
          <w:color w:val="auto"/>
          <w:sz w:val="21"/>
          <w:highlight w:val="none"/>
        </w:rPr>
      </w:pPr>
    </w:p>
    <w:p w14:paraId="4CC04B0B">
      <w:pPr>
        <w:spacing w:line="246" w:lineRule="auto"/>
        <w:rPr>
          <w:rFonts w:ascii="Arial"/>
          <w:color w:val="auto"/>
          <w:sz w:val="21"/>
          <w:highlight w:val="none"/>
        </w:rPr>
      </w:pPr>
    </w:p>
    <w:p w14:paraId="2C893A57">
      <w:pPr>
        <w:spacing w:line="246" w:lineRule="auto"/>
        <w:rPr>
          <w:rFonts w:ascii="Arial"/>
          <w:color w:val="auto"/>
          <w:sz w:val="21"/>
          <w:highlight w:val="none"/>
        </w:rPr>
      </w:pPr>
    </w:p>
    <w:p w14:paraId="0B594C88">
      <w:pPr>
        <w:spacing w:line="247" w:lineRule="auto"/>
        <w:rPr>
          <w:rFonts w:ascii="Arial"/>
          <w:color w:val="auto"/>
          <w:sz w:val="21"/>
          <w:highlight w:val="none"/>
        </w:rPr>
      </w:pPr>
    </w:p>
    <w:p w14:paraId="08EE8855">
      <w:pPr>
        <w:spacing w:line="247" w:lineRule="auto"/>
        <w:rPr>
          <w:rFonts w:ascii="Arial"/>
          <w:color w:val="auto"/>
          <w:sz w:val="21"/>
          <w:highlight w:val="none"/>
        </w:rPr>
      </w:pPr>
    </w:p>
    <w:p w14:paraId="07B04BE0">
      <w:pPr>
        <w:spacing w:line="247" w:lineRule="auto"/>
        <w:rPr>
          <w:rFonts w:ascii="Arial"/>
          <w:color w:val="auto"/>
          <w:sz w:val="21"/>
          <w:highlight w:val="none"/>
        </w:rPr>
      </w:pPr>
    </w:p>
    <w:p w14:paraId="02B3A793">
      <w:pPr>
        <w:spacing w:line="247" w:lineRule="auto"/>
        <w:rPr>
          <w:rFonts w:ascii="Arial"/>
          <w:color w:val="auto"/>
          <w:sz w:val="21"/>
          <w:highlight w:val="none"/>
        </w:rPr>
      </w:pPr>
    </w:p>
    <w:p w14:paraId="6266B42A">
      <w:pPr>
        <w:spacing w:line="247" w:lineRule="auto"/>
        <w:rPr>
          <w:rFonts w:ascii="Arial"/>
          <w:color w:val="auto"/>
          <w:sz w:val="21"/>
          <w:highlight w:val="none"/>
        </w:rPr>
      </w:pPr>
    </w:p>
    <w:p w14:paraId="705024B1">
      <w:pPr>
        <w:spacing w:line="247" w:lineRule="auto"/>
        <w:rPr>
          <w:rFonts w:ascii="Arial"/>
          <w:color w:val="auto"/>
          <w:sz w:val="21"/>
          <w:highlight w:val="none"/>
        </w:rPr>
      </w:pPr>
    </w:p>
    <w:p w14:paraId="3C97D04B">
      <w:pPr>
        <w:spacing w:line="247" w:lineRule="auto"/>
        <w:rPr>
          <w:rFonts w:ascii="Arial"/>
          <w:color w:val="auto"/>
          <w:sz w:val="21"/>
          <w:highlight w:val="none"/>
        </w:rPr>
      </w:pPr>
    </w:p>
    <w:p w14:paraId="38C68F0D">
      <w:pPr>
        <w:spacing w:line="247" w:lineRule="auto"/>
        <w:rPr>
          <w:rFonts w:ascii="Arial"/>
          <w:color w:val="auto"/>
          <w:sz w:val="21"/>
          <w:highlight w:val="none"/>
        </w:rPr>
      </w:pPr>
    </w:p>
    <w:p w14:paraId="2EF9CBDC">
      <w:pPr>
        <w:spacing w:line="247" w:lineRule="auto"/>
        <w:rPr>
          <w:rFonts w:ascii="Arial"/>
          <w:color w:val="auto"/>
          <w:sz w:val="21"/>
          <w:highlight w:val="none"/>
        </w:rPr>
      </w:pPr>
    </w:p>
    <w:p w14:paraId="206067C0">
      <w:pPr>
        <w:spacing w:line="247" w:lineRule="auto"/>
        <w:rPr>
          <w:rFonts w:ascii="Arial"/>
          <w:color w:val="auto"/>
          <w:sz w:val="21"/>
          <w:highlight w:val="none"/>
        </w:rPr>
      </w:pPr>
    </w:p>
    <w:p w14:paraId="41C9248D">
      <w:pPr>
        <w:spacing w:line="247" w:lineRule="auto"/>
        <w:rPr>
          <w:rFonts w:ascii="Arial"/>
          <w:color w:val="auto"/>
          <w:sz w:val="21"/>
          <w:highlight w:val="none"/>
        </w:rPr>
      </w:pPr>
    </w:p>
    <w:p w14:paraId="24A4D75D">
      <w:pPr>
        <w:spacing w:line="247" w:lineRule="auto"/>
        <w:rPr>
          <w:rFonts w:ascii="Arial"/>
          <w:color w:val="auto"/>
          <w:sz w:val="21"/>
          <w:highlight w:val="none"/>
        </w:rPr>
      </w:pPr>
    </w:p>
    <w:p w14:paraId="42EDA5C3">
      <w:pPr>
        <w:spacing w:line="247" w:lineRule="auto"/>
        <w:rPr>
          <w:rFonts w:ascii="Arial"/>
          <w:color w:val="auto"/>
          <w:sz w:val="21"/>
          <w:highlight w:val="none"/>
        </w:rPr>
      </w:pPr>
    </w:p>
    <w:p w14:paraId="17CE2909">
      <w:pPr>
        <w:spacing w:line="247" w:lineRule="auto"/>
        <w:rPr>
          <w:rFonts w:ascii="Arial"/>
          <w:color w:val="auto"/>
          <w:sz w:val="21"/>
          <w:highlight w:val="none"/>
        </w:rPr>
      </w:pPr>
    </w:p>
    <w:p w14:paraId="20AAB253">
      <w:pPr>
        <w:spacing w:line="247" w:lineRule="auto"/>
        <w:rPr>
          <w:rFonts w:ascii="Arial"/>
          <w:color w:val="auto"/>
          <w:sz w:val="21"/>
          <w:highlight w:val="none"/>
        </w:rPr>
      </w:pPr>
    </w:p>
    <w:p w14:paraId="45A93B3E">
      <w:pPr>
        <w:spacing w:line="247" w:lineRule="auto"/>
        <w:rPr>
          <w:rFonts w:ascii="Arial"/>
          <w:color w:val="auto"/>
          <w:sz w:val="21"/>
          <w:highlight w:val="none"/>
        </w:rPr>
      </w:pPr>
    </w:p>
    <w:p w14:paraId="5B11BEFF">
      <w:pPr>
        <w:spacing w:line="247" w:lineRule="auto"/>
        <w:rPr>
          <w:rFonts w:ascii="Arial"/>
          <w:color w:val="auto"/>
          <w:sz w:val="21"/>
          <w:highlight w:val="none"/>
        </w:rPr>
      </w:pPr>
    </w:p>
    <w:p w14:paraId="660A85FE">
      <w:pPr>
        <w:spacing w:line="247" w:lineRule="auto"/>
        <w:rPr>
          <w:rFonts w:ascii="Arial"/>
          <w:color w:val="auto"/>
          <w:sz w:val="21"/>
          <w:highlight w:val="none"/>
        </w:rPr>
      </w:pPr>
    </w:p>
    <w:p w14:paraId="3396C88B">
      <w:pPr>
        <w:spacing w:line="247" w:lineRule="auto"/>
        <w:rPr>
          <w:rFonts w:ascii="Arial"/>
          <w:color w:val="auto"/>
          <w:sz w:val="21"/>
          <w:highlight w:val="none"/>
        </w:rPr>
      </w:pPr>
    </w:p>
    <w:p w14:paraId="1952E688">
      <w:pPr>
        <w:spacing w:line="247" w:lineRule="auto"/>
        <w:rPr>
          <w:rFonts w:ascii="Arial"/>
          <w:color w:val="auto"/>
          <w:sz w:val="21"/>
          <w:highlight w:val="none"/>
        </w:rPr>
      </w:pPr>
    </w:p>
    <w:p w14:paraId="5D0C05B2">
      <w:pPr>
        <w:spacing w:line="247" w:lineRule="auto"/>
        <w:rPr>
          <w:rFonts w:ascii="Arial"/>
          <w:color w:val="auto"/>
          <w:sz w:val="21"/>
          <w:highlight w:val="none"/>
        </w:rPr>
      </w:pPr>
    </w:p>
    <w:p w14:paraId="1EB1D2FF">
      <w:pPr>
        <w:spacing w:line="247" w:lineRule="auto"/>
        <w:rPr>
          <w:rFonts w:ascii="Arial"/>
          <w:color w:val="auto"/>
          <w:sz w:val="21"/>
          <w:highlight w:val="none"/>
        </w:rPr>
      </w:pPr>
    </w:p>
    <w:p w14:paraId="3554BBD3">
      <w:pPr>
        <w:pStyle w:val="4"/>
        <w:spacing w:before="120" w:line="188" w:lineRule="auto"/>
        <w:jc w:val="center"/>
        <w:rPr>
          <w:b/>
          <w:bCs/>
          <w:color w:val="auto"/>
          <w:spacing w:val="-6"/>
          <w:sz w:val="28"/>
          <w:szCs w:val="28"/>
          <w:highlight w:val="none"/>
        </w:rPr>
      </w:pPr>
    </w:p>
    <w:p w14:paraId="0EB9B7B5">
      <w:pPr>
        <w:pStyle w:val="4"/>
        <w:spacing w:before="120" w:line="188" w:lineRule="auto"/>
        <w:jc w:val="center"/>
        <w:rPr>
          <w:color w:val="auto"/>
          <w:sz w:val="28"/>
          <w:szCs w:val="28"/>
          <w:highlight w:val="none"/>
        </w:rPr>
      </w:pPr>
      <w:r>
        <w:rPr>
          <w:b/>
          <w:bCs/>
          <w:color w:val="auto"/>
          <w:spacing w:val="-6"/>
          <w:sz w:val="28"/>
          <w:szCs w:val="28"/>
          <w:highlight w:val="none"/>
        </w:rPr>
        <w:t>9、售后服务</w:t>
      </w:r>
    </w:p>
    <w:p w14:paraId="1381C23A">
      <w:pPr>
        <w:spacing w:line="319" w:lineRule="auto"/>
        <w:rPr>
          <w:rFonts w:ascii="Arial"/>
          <w:color w:val="auto"/>
          <w:sz w:val="21"/>
          <w:highlight w:val="none"/>
        </w:rPr>
      </w:pPr>
    </w:p>
    <w:p w14:paraId="7CDEE03F">
      <w:pPr>
        <w:spacing w:line="319" w:lineRule="auto"/>
        <w:rPr>
          <w:rFonts w:ascii="Arial"/>
          <w:color w:val="auto"/>
          <w:sz w:val="21"/>
          <w:highlight w:val="none"/>
        </w:rPr>
      </w:pPr>
    </w:p>
    <w:p w14:paraId="5D40236F">
      <w:pPr>
        <w:spacing w:line="319" w:lineRule="auto"/>
        <w:rPr>
          <w:rFonts w:ascii="Arial"/>
          <w:color w:val="auto"/>
          <w:sz w:val="21"/>
          <w:highlight w:val="none"/>
        </w:rPr>
      </w:pPr>
    </w:p>
    <w:p w14:paraId="3AA557A0">
      <w:pPr>
        <w:pStyle w:val="4"/>
        <w:spacing w:before="120" w:line="184" w:lineRule="auto"/>
        <w:ind w:left="1385"/>
        <w:rPr>
          <w:color w:val="auto"/>
          <w:sz w:val="28"/>
          <w:szCs w:val="28"/>
          <w:highlight w:val="none"/>
        </w:rPr>
      </w:pPr>
      <w:r>
        <w:rPr>
          <w:b/>
          <w:bCs/>
          <w:color w:val="auto"/>
          <w:spacing w:val="-2"/>
          <w:sz w:val="28"/>
          <w:szCs w:val="28"/>
          <w:highlight w:val="none"/>
        </w:rPr>
        <w:t>（包含售后服务方案、场地、设备、人员等）</w:t>
      </w:r>
    </w:p>
    <w:p w14:paraId="466E7BC1">
      <w:pPr>
        <w:spacing w:line="243" w:lineRule="auto"/>
        <w:rPr>
          <w:rFonts w:ascii="Arial"/>
          <w:color w:val="auto"/>
          <w:sz w:val="21"/>
          <w:highlight w:val="none"/>
        </w:rPr>
      </w:pPr>
    </w:p>
    <w:p w14:paraId="4AC431C9">
      <w:pPr>
        <w:spacing w:line="243" w:lineRule="auto"/>
        <w:rPr>
          <w:rFonts w:ascii="Arial"/>
          <w:color w:val="auto"/>
          <w:sz w:val="21"/>
          <w:highlight w:val="none"/>
        </w:rPr>
      </w:pPr>
    </w:p>
    <w:p w14:paraId="1E71CB97">
      <w:pPr>
        <w:spacing w:line="243" w:lineRule="auto"/>
        <w:rPr>
          <w:rFonts w:ascii="Arial"/>
          <w:color w:val="auto"/>
          <w:sz w:val="21"/>
          <w:highlight w:val="none"/>
        </w:rPr>
      </w:pPr>
    </w:p>
    <w:p w14:paraId="6B0038E2">
      <w:pPr>
        <w:spacing w:line="243" w:lineRule="auto"/>
        <w:rPr>
          <w:rFonts w:ascii="Arial"/>
          <w:color w:val="auto"/>
          <w:sz w:val="21"/>
          <w:highlight w:val="none"/>
        </w:rPr>
      </w:pPr>
    </w:p>
    <w:p w14:paraId="7B1F2B64">
      <w:pPr>
        <w:spacing w:line="243" w:lineRule="auto"/>
        <w:rPr>
          <w:rFonts w:ascii="Arial"/>
          <w:color w:val="auto"/>
          <w:sz w:val="21"/>
          <w:highlight w:val="none"/>
        </w:rPr>
      </w:pPr>
    </w:p>
    <w:p w14:paraId="3F2FC26B">
      <w:pPr>
        <w:spacing w:line="243" w:lineRule="auto"/>
        <w:rPr>
          <w:rFonts w:ascii="Arial"/>
          <w:color w:val="auto"/>
          <w:sz w:val="21"/>
          <w:highlight w:val="none"/>
        </w:rPr>
      </w:pPr>
    </w:p>
    <w:p w14:paraId="34E9DBB4">
      <w:pPr>
        <w:spacing w:line="243" w:lineRule="auto"/>
        <w:rPr>
          <w:rFonts w:ascii="Arial"/>
          <w:color w:val="auto"/>
          <w:sz w:val="21"/>
          <w:highlight w:val="none"/>
        </w:rPr>
      </w:pPr>
    </w:p>
    <w:p w14:paraId="1439FEE0">
      <w:pPr>
        <w:spacing w:line="243" w:lineRule="auto"/>
        <w:rPr>
          <w:rFonts w:ascii="Arial"/>
          <w:color w:val="auto"/>
          <w:sz w:val="21"/>
          <w:highlight w:val="none"/>
        </w:rPr>
      </w:pPr>
    </w:p>
    <w:p w14:paraId="00128F92">
      <w:pPr>
        <w:spacing w:line="243" w:lineRule="auto"/>
        <w:rPr>
          <w:rFonts w:ascii="Arial"/>
          <w:color w:val="auto"/>
          <w:sz w:val="21"/>
          <w:highlight w:val="none"/>
        </w:rPr>
      </w:pPr>
    </w:p>
    <w:p w14:paraId="6949A4AA">
      <w:pPr>
        <w:spacing w:line="243" w:lineRule="auto"/>
        <w:rPr>
          <w:rFonts w:ascii="Arial"/>
          <w:color w:val="auto"/>
          <w:sz w:val="21"/>
          <w:highlight w:val="none"/>
        </w:rPr>
      </w:pPr>
    </w:p>
    <w:p w14:paraId="66ECBF0B">
      <w:pPr>
        <w:spacing w:line="243" w:lineRule="auto"/>
        <w:rPr>
          <w:rFonts w:ascii="Arial"/>
          <w:color w:val="auto"/>
          <w:sz w:val="21"/>
          <w:highlight w:val="none"/>
        </w:rPr>
      </w:pPr>
    </w:p>
    <w:p w14:paraId="5F573E2A">
      <w:pPr>
        <w:spacing w:line="243" w:lineRule="auto"/>
        <w:rPr>
          <w:rFonts w:ascii="Arial"/>
          <w:color w:val="auto"/>
          <w:sz w:val="21"/>
          <w:highlight w:val="none"/>
        </w:rPr>
      </w:pPr>
    </w:p>
    <w:p w14:paraId="1B160733">
      <w:pPr>
        <w:spacing w:line="243" w:lineRule="auto"/>
        <w:rPr>
          <w:rFonts w:ascii="Arial"/>
          <w:color w:val="auto"/>
          <w:sz w:val="21"/>
          <w:highlight w:val="none"/>
        </w:rPr>
      </w:pPr>
    </w:p>
    <w:p w14:paraId="3BD7CAC4">
      <w:pPr>
        <w:spacing w:line="243" w:lineRule="auto"/>
        <w:rPr>
          <w:rFonts w:ascii="Arial"/>
          <w:color w:val="auto"/>
          <w:sz w:val="21"/>
          <w:highlight w:val="none"/>
        </w:rPr>
      </w:pPr>
    </w:p>
    <w:p w14:paraId="6B80B5AA">
      <w:pPr>
        <w:spacing w:line="243" w:lineRule="auto"/>
        <w:rPr>
          <w:rFonts w:ascii="Arial"/>
          <w:color w:val="auto"/>
          <w:sz w:val="21"/>
          <w:highlight w:val="none"/>
        </w:rPr>
      </w:pPr>
    </w:p>
    <w:p w14:paraId="7DACC433">
      <w:pPr>
        <w:spacing w:line="243" w:lineRule="auto"/>
        <w:rPr>
          <w:rFonts w:ascii="Arial"/>
          <w:color w:val="auto"/>
          <w:sz w:val="21"/>
          <w:highlight w:val="none"/>
        </w:rPr>
      </w:pPr>
    </w:p>
    <w:p w14:paraId="315E9846">
      <w:pPr>
        <w:spacing w:line="243" w:lineRule="auto"/>
        <w:rPr>
          <w:rFonts w:ascii="Arial"/>
          <w:color w:val="auto"/>
          <w:sz w:val="21"/>
          <w:highlight w:val="none"/>
        </w:rPr>
      </w:pPr>
    </w:p>
    <w:p w14:paraId="670EE1F4">
      <w:pPr>
        <w:spacing w:line="243" w:lineRule="auto"/>
        <w:rPr>
          <w:rFonts w:ascii="Arial"/>
          <w:color w:val="auto"/>
          <w:sz w:val="21"/>
          <w:highlight w:val="none"/>
        </w:rPr>
      </w:pPr>
    </w:p>
    <w:p w14:paraId="092EC6C7">
      <w:pPr>
        <w:spacing w:line="243" w:lineRule="auto"/>
        <w:rPr>
          <w:rFonts w:ascii="Arial"/>
          <w:color w:val="auto"/>
          <w:sz w:val="21"/>
          <w:highlight w:val="none"/>
        </w:rPr>
      </w:pPr>
    </w:p>
    <w:p w14:paraId="2FC3D79B">
      <w:pPr>
        <w:spacing w:line="243" w:lineRule="auto"/>
        <w:rPr>
          <w:rFonts w:ascii="Arial"/>
          <w:color w:val="auto"/>
          <w:sz w:val="21"/>
          <w:highlight w:val="none"/>
        </w:rPr>
      </w:pPr>
    </w:p>
    <w:p w14:paraId="351F2360">
      <w:pPr>
        <w:spacing w:line="243" w:lineRule="auto"/>
        <w:rPr>
          <w:rFonts w:ascii="Arial"/>
          <w:color w:val="auto"/>
          <w:sz w:val="21"/>
          <w:highlight w:val="none"/>
        </w:rPr>
      </w:pPr>
    </w:p>
    <w:p w14:paraId="68FAB172">
      <w:pPr>
        <w:spacing w:line="243" w:lineRule="auto"/>
        <w:rPr>
          <w:rFonts w:ascii="Arial"/>
          <w:color w:val="auto"/>
          <w:sz w:val="21"/>
          <w:highlight w:val="none"/>
        </w:rPr>
      </w:pPr>
    </w:p>
    <w:p w14:paraId="2623F2E8">
      <w:pPr>
        <w:spacing w:line="243" w:lineRule="auto"/>
        <w:rPr>
          <w:rFonts w:ascii="Arial"/>
          <w:color w:val="auto"/>
          <w:sz w:val="21"/>
          <w:highlight w:val="none"/>
        </w:rPr>
      </w:pPr>
    </w:p>
    <w:p w14:paraId="22450379">
      <w:pPr>
        <w:spacing w:line="243" w:lineRule="auto"/>
        <w:rPr>
          <w:rFonts w:ascii="Arial"/>
          <w:color w:val="auto"/>
          <w:sz w:val="21"/>
          <w:highlight w:val="none"/>
        </w:rPr>
      </w:pPr>
    </w:p>
    <w:p w14:paraId="35DC2BFB">
      <w:pPr>
        <w:spacing w:line="243" w:lineRule="auto"/>
        <w:rPr>
          <w:rFonts w:ascii="Arial"/>
          <w:color w:val="auto"/>
          <w:sz w:val="21"/>
          <w:highlight w:val="none"/>
        </w:rPr>
      </w:pPr>
    </w:p>
    <w:p w14:paraId="73790270">
      <w:pPr>
        <w:spacing w:line="243" w:lineRule="auto"/>
        <w:rPr>
          <w:rFonts w:ascii="Arial"/>
          <w:color w:val="auto"/>
          <w:sz w:val="21"/>
          <w:highlight w:val="none"/>
        </w:rPr>
      </w:pPr>
    </w:p>
    <w:p w14:paraId="27A4ACA5">
      <w:pPr>
        <w:spacing w:line="243" w:lineRule="auto"/>
        <w:rPr>
          <w:rFonts w:ascii="Arial"/>
          <w:color w:val="auto"/>
          <w:sz w:val="21"/>
          <w:highlight w:val="none"/>
        </w:rPr>
      </w:pPr>
    </w:p>
    <w:p w14:paraId="714F2FD8">
      <w:pPr>
        <w:spacing w:line="243" w:lineRule="auto"/>
        <w:rPr>
          <w:rFonts w:ascii="Arial"/>
          <w:color w:val="auto"/>
          <w:sz w:val="21"/>
          <w:highlight w:val="none"/>
        </w:rPr>
      </w:pPr>
    </w:p>
    <w:p w14:paraId="3DB3E83B">
      <w:pPr>
        <w:spacing w:line="243" w:lineRule="auto"/>
        <w:rPr>
          <w:rFonts w:ascii="Arial"/>
          <w:color w:val="auto"/>
          <w:sz w:val="21"/>
          <w:highlight w:val="none"/>
        </w:rPr>
      </w:pPr>
    </w:p>
    <w:p w14:paraId="686B0379">
      <w:pPr>
        <w:spacing w:line="243" w:lineRule="auto"/>
        <w:rPr>
          <w:rFonts w:ascii="Arial"/>
          <w:color w:val="auto"/>
          <w:sz w:val="21"/>
          <w:highlight w:val="none"/>
        </w:rPr>
      </w:pPr>
    </w:p>
    <w:p w14:paraId="2191F75E">
      <w:pPr>
        <w:spacing w:line="243" w:lineRule="auto"/>
        <w:rPr>
          <w:rFonts w:ascii="Arial"/>
          <w:color w:val="auto"/>
          <w:sz w:val="21"/>
          <w:highlight w:val="none"/>
        </w:rPr>
      </w:pPr>
    </w:p>
    <w:p w14:paraId="198FA7D3">
      <w:pPr>
        <w:spacing w:line="243" w:lineRule="auto"/>
        <w:rPr>
          <w:rFonts w:ascii="Arial"/>
          <w:color w:val="auto"/>
          <w:sz w:val="21"/>
          <w:highlight w:val="none"/>
        </w:rPr>
      </w:pPr>
    </w:p>
    <w:p w14:paraId="7B80807E">
      <w:pPr>
        <w:spacing w:line="243" w:lineRule="auto"/>
        <w:rPr>
          <w:rFonts w:ascii="Arial"/>
          <w:color w:val="auto"/>
          <w:sz w:val="21"/>
          <w:highlight w:val="none"/>
        </w:rPr>
      </w:pPr>
    </w:p>
    <w:p w14:paraId="74C169B7">
      <w:pPr>
        <w:spacing w:line="243" w:lineRule="auto"/>
        <w:rPr>
          <w:rFonts w:ascii="Arial"/>
          <w:color w:val="auto"/>
          <w:sz w:val="21"/>
          <w:highlight w:val="none"/>
        </w:rPr>
      </w:pPr>
    </w:p>
    <w:p w14:paraId="47031DA8">
      <w:pPr>
        <w:spacing w:line="243" w:lineRule="auto"/>
        <w:rPr>
          <w:rFonts w:ascii="Arial"/>
          <w:color w:val="auto"/>
          <w:sz w:val="21"/>
          <w:highlight w:val="none"/>
        </w:rPr>
      </w:pPr>
    </w:p>
    <w:p w14:paraId="716D78B3">
      <w:pPr>
        <w:spacing w:line="243" w:lineRule="auto"/>
        <w:rPr>
          <w:rFonts w:ascii="Arial"/>
          <w:color w:val="auto"/>
          <w:sz w:val="21"/>
          <w:highlight w:val="none"/>
        </w:rPr>
      </w:pPr>
    </w:p>
    <w:p w14:paraId="54FBAF68">
      <w:pPr>
        <w:spacing w:line="243" w:lineRule="auto"/>
        <w:rPr>
          <w:rFonts w:ascii="Arial"/>
          <w:color w:val="auto"/>
          <w:sz w:val="21"/>
          <w:highlight w:val="none"/>
        </w:rPr>
      </w:pPr>
    </w:p>
    <w:p w14:paraId="47346E8E">
      <w:pPr>
        <w:spacing w:line="243" w:lineRule="auto"/>
        <w:rPr>
          <w:rFonts w:ascii="Arial"/>
          <w:color w:val="auto"/>
          <w:sz w:val="21"/>
          <w:highlight w:val="none"/>
        </w:rPr>
      </w:pPr>
    </w:p>
    <w:p w14:paraId="7D8EFECA">
      <w:pPr>
        <w:spacing w:line="243" w:lineRule="auto"/>
        <w:rPr>
          <w:rFonts w:ascii="Arial"/>
          <w:color w:val="auto"/>
          <w:sz w:val="21"/>
          <w:highlight w:val="none"/>
        </w:rPr>
      </w:pPr>
    </w:p>
    <w:p w14:paraId="6A575E2E">
      <w:pPr>
        <w:spacing w:line="243" w:lineRule="auto"/>
        <w:rPr>
          <w:rFonts w:ascii="Arial"/>
          <w:color w:val="auto"/>
          <w:sz w:val="21"/>
          <w:highlight w:val="none"/>
        </w:rPr>
      </w:pPr>
    </w:p>
    <w:p w14:paraId="019E4077">
      <w:pPr>
        <w:spacing w:line="243" w:lineRule="auto"/>
        <w:rPr>
          <w:rFonts w:ascii="Arial"/>
          <w:color w:val="auto"/>
          <w:sz w:val="21"/>
          <w:highlight w:val="none"/>
        </w:rPr>
      </w:pPr>
    </w:p>
    <w:p w14:paraId="682DE934">
      <w:pPr>
        <w:spacing w:line="243" w:lineRule="auto"/>
        <w:rPr>
          <w:rFonts w:ascii="Arial"/>
          <w:color w:val="auto"/>
          <w:sz w:val="21"/>
          <w:highlight w:val="none"/>
        </w:rPr>
      </w:pPr>
    </w:p>
    <w:p w14:paraId="0FA53F63">
      <w:pPr>
        <w:spacing w:line="243" w:lineRule="auto"/>
        <w:rPr>
          <w:rFonts w:ascii="Arial"/>
          <w:color w:val="auto"/>
          <w:sz w:val="21"/>
          <w:highlight w:val="none"/>
        </w:rPr>
      </w:pPr>
    </w:p>
    <w:p w14:paraId="27C6823C">
      <w:pPr>
        <w:spacing w:line="243" w:lineRule="auto"/>
        <w:rPr>
          <w:rFonts w:ascii="Arial"/>
          <w:color w:val="auto"/>
          <w:sz w:val="21"/>
          <w:highlight w:val="none"/>
        </w:rPr>
      </w:pPr>
    </w:p>
    <w:p w14:paraId="39115F3B">
      <w:pPr>
        <w:spacing w:line="243" w:lineRule="auto"/>
        <w:rPr>
          <w:rFonts w:ascii="Arial"/>
          <w:color w:val="auto"/>
          <w:sz w:val="21"/>
          <w:highlight w:val="none"/>
        </w:rPr>
      </w:pPr>
    </w:p>
    <w:p w14:paraId="1016BE8A">
      <w:pPr>
        <w:spacing w:line="243" w:lineRule="auto"/>
        <w:rPr>
          <w:rFonts w:ascii="Arial"/>
          <w:color w:val="auto"/>
          <w:sz w:val="21"/>
          <w:highlight w:val="none"/>
        </w:rPr>
      </w:pPr>
    </w:p>
    <w:p w14:paraId="4BCD9E5A">
      <w:pPr>
        <w:spacing w:line="244" w:lineRule="auto"/>
        <w:rPr>
          <w:rFonts w:ascii="Arial"/>
          <w:color w:val="auto"/>
          <w:sz w:val="21"/>
          <w:highlight w:val="none"/>
        </w:rPr>
      </w:pPr>
    </w:p>
    <w:p w14:paraId="274C0493">
      <w:pPr>
        <w:spacing w:line="244" w:lineRule="auto"/>
        <w:rPr>
          <w:rFonts w:ascii="Arial"/>
          <w:color w:val="auto"/>
          <w:sz w:val="21"/>
          <w:highlight w:val="none"/>
        </w:rPr>
      </w:pPr>
    </w:p>
    <w:p w14:paraId="0858780F">
      <w:pPr>
        <w:spacing w:line="244" w:lineRule="auto"/>
        <w:rPr>
          <w:rFonts w:ascii="Arial"/>
          <w:color w:val="auto"/>
          <w:sz w:val="21"/>
          <w:highlight w:val="none"/>
        </w:rPr>
      </w:pPr>
    </w:p>
    <w:p w14:paraId="5BCF3201">
      <w:pPr>
        <w:spacing w:line="244" w:lineRule="auto"/>
        <w:rPr>
          <w:rFonts w:ascii="Arial"/>
          <w:color w:val="auto"/>
          <w:sz w:val="21"/>
          <w:highlight w:val="none"/>
        </w:rPr>
      </w:pPr>
    </w:p>
    <w:p w14:paraId="374F1BC3">
      <w:pPr>
        <w:spacing w:line="244" w:lineRule="auto"/>
        <w:rPr>
          <w:rFonts w:ascii="Arial"/>
          <w:color w:val="auto"/>
          <w:sz w:val="21"/>
          <w:highlight w:val="none"/>
        </w:rPr>
      </w:pPr>
    </w:p>
    <w:p w14:paraId="1311A764">
      <w:pPr>
        <w:pStyle w:val="4"/>
        <w:spacing w:before="120" w:line="188" w:lineRule="auto"/>
        <w:rPr>
          <w:b/>
          <w:bCs/>
          <w:color w:val="auto"/>
          <w:spacing w:val="-9"/>
          <w:sz w:val="28"/>
          <w:szCs w:val="28"/>
          <w:highlight w:val="none"/>
        </w:rPr>
      </w:pPr>
    </w:p>
    <w:p w14:paraId="58DB5A76">
      <w:pPr>
        <w:pStyle w:val="4"/>
        <w:spacing w:before="120" w:line="188" w:lineRule="auto"/>
        <w:ind w:left="1817"/>
        <w:rPr>
          <w:b/>
          <w:bCs/>
          <w:color w:val="auto"/>
          <w:spacing w:val="-9"/>
          <w:sz w:val="28"/>
          <w:szCs w:val="28"/>
          <w:highlight w:val="none"/>
        </w:rPr>
      </w:pPr>
    </w:p>
    <w:p w14:paraId="05FEE5B8">
      <w:pPr>
        <w:pStyle w:val="4"/>
        <w:spacing w:before="120" w:line="188" w:lineRule="auto"/>
        <w:ind w:left="1817"/>
        <w:rPr>
          <w:color w:val="auto"/>
          <w:sz w:val="28"/>
          <w:szCs w:val="28"/>
          <w:highlight w:val="none"/>
        </w:rPr>
      </w:pPr>
      <w:r>
        <w:rPr>
          <w:b/>
          <w:bCs/>
          <w:color w:val="auto"/>
          <w:spacing w:val="-9"/>
          <w:sz w:val="28"/>
          <w:szCs w:val="28"/>
          <w:highlight w:val="none"/>
        </w:rPr>
        <w:t>10、投标人认为需要提供的其他材料；</w:t>
      </w:r>
    </w:p>
    <w:p w14:paraId="3D59AF12">
      <w:pPr>
        <w:rPr>
          <w:rFonts w:ascii="Arial"/>
          <w:color w:val="auto"/>
          <w:sz w:val="21"/>
          <w:highlight w:val="none"/>
        </w:rPr>
      </w:pPr>
    </w:p>
    <w:p w14:paraId="239DAF01">
      <w:pPr>
        <w:rPr>
          <w:rFonts w:ascii="Arial"/>
          <w:color w:val="auto"/>
          <w:sz w:val="21"/>
          <w:highlight w:val="none"/>
        </w:rPr>
      </w:pPr>
    </w:p>
    <w:p w14:paraId="0CE82371">
      <w:pPr>
        <w:spacing w:line="241" w:lineRule="auto"/>
        <w:rPr>
          <w:rFonts w:ascii="Arial"/>
          <w:color w:val="auto"/>
          <w:sz w:val="21"/>
          <w:highlight w:val="none"/>
        </w:rPr>
      </w:pPr>
    </w:p>
    <w:p w14:paraId="1CF70B33">
      <w:pPr>
        <w:spacing w:line="241" w:lineRule="auto"/>
        <w:rPr>
          <w:rFonts w:ascii="Arial"/>
          <w:color w:val="auto"/>
          <w:sz w:val="21"/>
          <w:highlight w:val="none"/>
        </w:rPr>
      </w:pPr>
    </w:p>
    <w:p w14:paraId="7D2D6923">
      <w:pPr>
        <w:spacing w:line="241" w:lineRule="auto"/>
        <w:rPr>
          <w:rFonts w:ascii="Arial"/>
          <w:color w:val="auto"/>
          <w:sz w:val="21"/>
          <w:highlight w:val="none"/>
        </w:rPr>
      </w:pPr>
    </w:p>
    <w:p w14:paraId="6E5C4D08">
      <w:pPr>
        <w:spacing w:line="241" w:lineRule="auto"/>
        <w:rPr>
          <w:rFonts w:ascii="Arial"/>
          <w:color w:val="auto"/>
          <w:sz w:val="21"/>
          <w:highlight w:val="none"/>
        </w:rPr>
      </w:pPr>
    </w:p>
    <w:p w14:paraId="40A648E9">
      <w:pPr>
        <w:spacing w:line="241" w:lineRule="auto"/>
        <w:rPr>
          <w:rFonts w:ascii="Arial"/>
          <w:color w:val="auto"/>
          <w:sz w:val="21"/>
          <w:highlight w:val="none"/>
        </w:rPr>
      </w:pPr>
    </w:p>
    <w:p w14:paraId="10D30770">
      <w:pPr>
        <w:spacing w:line="241" w:lineRule="auto"/>
        <w:rPr>
          <w:rFonts w:ascii="Arial"/>
          <w:color w:val="auto"/>
          <w:sz w:val="21"/>
          <w:highlight w:val="none"/>
        </w:rPr>
      </w:pPr>
    </w:p>
    <w:p w14:paraId="161764FA">
      <w:pPr>
        <w:spacing w:line="241" w:lineRule="auto"/>
        <w:rPr>
          <w:rFonts w:ascii="Arial"/>
          <w:color w:val="auto"/>
          <w:sz w:val="21"/>
          <w:highlight w:val="none"/>
        </w:rPr>
      </w:pPr>
    </w:p>
    <w:p w14:paraId="45924C49">
      <w:pPr>
        <w:spacing w:line="241" w:lineRule="auto"/>
        <w:rPr>
          <w:rFonts w:ascii="Arial"/>
          <w:color w:val="auto"/>
          <w:sz w:val="21"/>
          <w:highlight w:val="none"/>
        </w:rPr>
      </w:pPr>
    </w:p>
    <w:p w14:paraId="0FD104D7">
      <w:pPr>
        <w:pStyle w:val="4"/>
        <w:spacing w:before="120" w:line="187" w:lineRule="auto"/>
        <w:ind w:left="837"/>
        <w:rPr>
          <w:color w:val="auto"/>
          <w:sz w:val="28"/>
          <w:szCs w:val="28"/>
          <w:highlight w:val="none"/>
        </w:rPr>
      </w:pPr>
      <w:r>
        <w:rPr>
          <w:b/>
          <w:bCs/>
          <w:color w:val="auto"/>
          <w:spacing w:val="-6"/>
          <w:sz w:val="28"/>
          <w:szCs w:val="28"/>
          <w:highlight w:val="none"/>
        </w:rPr>
        <w:t>11、商务部分评分细则里需要提供的相关材料及方</w:t>
      </w:r>
      <w:r>
        <w:rPr>
          <w:b/>
          <w:bCs/>
          <w:color w:val="auto"/>
          <w:spacing w:val="-7"/>
          <w:sz w:val="28"/>
          <w:szCs w:val="28"/>
          <w:highlight w:val="none"/>
        </w:rPr>
        <w:t>案；</w:t>
      </w:r>
    </w:p>
    <w:p w14:paraId="06E6C9E2">
      <w:pPr>
        <w:spacing w:line="362" w:lineRule="auto"/>
        <w:rPr>
          <w:rFonts w:ascii="Arial"/>
          <w:color w:val="auto"/>
          <w:sz w:val="21"/>
          <w:highlight w:val="none"/>
        </w:rPr>
      </w:pPr>
    </w:p>
    <w:p w14:paraId="65501E42">
      <w:pPr>
        <w:spacing w:line="242" w:lineRule="auto"/>
        <w:rPr>
          <w:rFonts w:ascii="Arial"/>
          <w:color w:val="auto"/>
          <w:sz w:val="21"/>
          <w:highlight w:val="none"/>
        </w:rPr>
      </w:pPr>
    </w:p>
    <w:p w14:paraId="1C25D570">
      <w:pPr>
        <w:spacing w:line="242" w:lineRule="auto"/>
        <w:rPr>
          <w:rFonts w:ascii="Arial"/>
          <w:color w:val="auto"/>
          <w:sz w:val="21"/>
          <w:highlight w:val="none"/>
        </w:rPr>
      </w:pPr>
    </w:p>
    <w:p w14:paraId="567C7DCB">
      <w:pPr>
        <w:spacing w:line="242" w:lineRule="auto"/>
        <w:rPr>
          <w:rFonts w:ascii="Arial"/>
          <w:color w:val="auto"/>
          <w:sz w:val="21"/>
          <w:highlight w:val="none"/>
        </w:rPr>
      </w:pPr>
    </w:p>
    <w:p w14:paraId="53B84BA3">
      <w:pPr>
        <w:spacing w:line="242" w:lineRule="auto"/>
        <w:rPr>
          <w:rFonts w:ascii="Arial"/>
          <w:color w:val="auto"/>
          <w:sz w:val="21"/>
          <w:highlight w:val="none"/>
        </w:rPr>
      </w:pPr>
    </w:p>
    <w:p w14:paraId="26AAA333">
      <w:pPr>
        <w:spacing w:line="242" w:lineRule="auto"/>
        <w:rPr>
          <w:rFonts w:ascii="Arial"/>
          <w:color w:val="auto"/>
          <w:sz w:val="21"/>
          <w:highlight w:val="none"/>
        </w:rPr>
      </w:pPr>
    </w:p>
    <w:p w14:paraId="00D86E92">
      <w:pPr>
        <w:spacing w:line="242" w:lineRule="auto"/>
        <w:rPr>
          <w:rFonts w:ascii="Arial"/>
          <w:color w:val="auto"/>
          <w:sz w:val="21"/>
          <w:highlight w:val="none"/>
        </w:rPr>
      </w:pPr>
    </w:p>
    <w:p w14:paraId="0B527CE3">
      <w:pPr>
        <w:spacing w:line="242" w:lineRule="auto"/>
        <w:rPr>
          <w:rFonts w:ascii="Arial"/>
          <w:color w:val="auto"/>
          <w:sz w:val="21"/>
          <w:highlight w:val="none"/>
        </w:rPr>
      </w:pPr>
    </w:p>
    <w:p w14:paraId="123E5E35">
      <w:pPr>
        <w:spacing w:line="242" w:lineRule="auto"/>
        <w:rPr>
          <w:rFonts w:ascii="Arial"/>
          <w:color w:val="auto"/>
          <w:sz w:val="21"/>
          <w:highlight w:val="none"/>
        </w:rPr>
      </w:pPr>
    </w:p>
    <w:p w14:paraId="076E00E6">
      <w:pPr>
        <w:spacing w:line="242" w:lineRule="auto"/>
        <w:rPr>
          <w:rFonts w:ascii="Arial"/>
          <w:color w:val="auto"/>
          <w:sz w:val="21"/>
          <w:highlight w:val="none"/>
        </w:rPr>
      </w:pPr>
    </w:p>
    <w:p w14:paraId="6BA28EB5">
      <w:pPr>
        <w:spacing w:line="242" w:lineRule="auto"/>
        <w:rPr>
          <w:rFonts w:ascii="Arial"/>
          <w:color w:val="auto"/>
          <w:sz w:val="21"/>
          <w:highlight w:val="none"/>
        </w:rPr>
      </w:pPr>
    </w:p>
    <w:p w14:paraId="6ECBBA39">
      <w:pPr>
        <w:spacing w:line="242" w:lineRule="auto"/>
        <w:rPr>
          <w:rFonts w:ascii="Arial"/>
          <w:color w:val="auto"/>
          <w:sz w:val="21"/>
          <w:highlight w:val="none"/>
        </w:rPr>
      </w:pPr>
    </w:p>
    <w:p w14:paraId="0F7A601A">
      <w:pPr>
        <w:spacing w:line="242" w:lineRule="auto"/>
        <w:rPr>
          <w:rFonts w:ascii="Arial"/>
          <w:color w:val="auto"/>
          <w:sz w:val="21"/>
          <w:highlight w:val="none"/>
        </w:rPr>
      </w:pPr>
    </w:p>
    <w:p w14:paraId="2E46D80D">
      <w:pPr>
        <w:spacing w:line="242" w:lineRule="auto"/>
        <w:rPr>
          <w:rFonts w:ascii="Arial"/>
          <w:color w:val="auto"/>
          <w:sz w:val="21"/>
          <w:highlight w:val="none"/>
        </w:rPr>
      </w:pPr>
    </w:p>
    <w:p w14:paraId="7FBC3838">
      <w:pPr>
        <w:spacing w:line="242" w:lineRule="auto"/>
        <w:rPr>
          <w:rFonts w:ascii="Arial"/>
          <w:color w:val="auto"/>
          <w:sz w:val="21"/>
          <w:highlight w:val="none"/>
        </w:rPr>
      </w:pPr>
    </w:p>
    <w:p w14:paraId="2768EF21">
      <w:pPr>
        <w:spacing w:line="242" w:lineRule="auto"/>
        <w:rPr>
          <w:rFonts w:ascii="Arial"/>
          <w:color w:val="auto"/>
          <w:sz w:val="21"/>
          <w:highlight w:val="none"/>
        </w:rPr>
      </w:pPr>
    </w:p>
    <w:p w14:paraId="7F673213">
      <w:pPr>
        <w:spacing w:line="242" w:lineRule="auto"/>
        <w:rPr>
          <w:rFonts w:ascii="Arial"/>
          <w:color w:val="auto"/>
          <w:sz w:val="21"/>
          <w:highlight w:val="none"/>
        </w:rPr>
      </w:pPr>
    </w:p>
    <w:p w14:paraId="56E04EC3">
      <w:pPr>
        <w:spacing w:line="242" w:lineRule="auto"/>
        <w:rPr>
          <w:rFonts w:ascii="Arial"/>
          <w:color w:val="auto"/>
          <w:sz w:val="21"/>
          <w:highlight w:val="none"/>
        </w:rPr>
      </w:pPr>
    </w:p>
    <w:p w14:paraId="1524BA1C">
      <w:pPr>
        <w:spacing w:line="242" w:lineRule="auto"/>
        <w:rPr>
          <w:rFonts w:ascii="Arial"/>
          <w:color w:val="auto"/>
          <w:sz w:val="21"/>
          <w:highlight w:val="none"/>
        </w:rPr>
      </w:pPr>
    </w:p>
    <w:p w14:paraId="51B344A1">
      <w:pPr>
        <w:spacing w:line="242" w:lineRule="auto"/>
        <w:rPr>
          <w:rFonts w:ascii="Arial"/>
          <w:color w:val="auto"/>
          <w:sz w:val="21"/>
          <w:highlight w:val="none"/>
        </w:rPr>
      </w:pPr>
    </w:p>
    <w:p w14:paraId="3CF274F7">
      <w:pPr>
        <w:spacing w:line="242" w:lineRule="auto"/>
        <w:rPr>
          <w:rFonts w:ascii="Arial"/>
          <w:color w:val="auto"/>
          <w:sz w:val="21"/>
          <w:highlight w:val="none"/>
        </w:rPr>
      </w:pPr>
    </w:p>
    <w:p w14:paraId="3DC93228">
      <w:pPr>
        <w:spacing w:line="242" w:lineRule="auto"/>
        <w:rPr>
          <w:rFonts w:ascii="Arial"/>
          <w:color w:val="auto"/>
          <w:sz w:val="21"/>
          <w:highlight w:val="none"/>
        </w:rPr>
      </w:pPr>
    </w:p>
    <w:p w14:paraId="5990AD8F">
      <w:pPr>
        <w:spacing w:line="242" w:lineRule="auto"/>
        <w:rPr>
          <w:rFonts w:ascii="Arial"/>
          <w:color w:val="auto"/>
          <w:sz w:val="21"/>
          <w:highlight w:val="none"/>
        </w:rPr>
      </w:pPr>
    </w:p>
    <w:p w14:paraId="08DB3DC8">
      <w:pPr>
        <w:spacing w:line="242" w:lineRule="auto"/>
        <w:rPr>
          <w:rFonts w:ascii="Arial"/>
          <w:color w:val="auto"/>
          <w:sz w:val="21"/>
          <w:highlight w:val="none"/>
        </w:rPr>
      </w:pPr>
    </w:p>
    <w:p w14:paraId="7A89A11B">
      <w:pPr>
        <w:spacing w:line="242" w:lineRule="auto"/>
        <w:rPr>
          <w:rFonts w:ascii="Arial"/>
          <w:color w:val="auto"/>
          <w:sz w:val="21"/>
          <w:highlight w:val="none"/>
        </w:rPr>
      </w:pPr>
    </w:p>
    <w:p w14:paraId="75A7CA04">
      <w:pPr>
        <w:spacing w:line="242" w:lineRule="auto"/>
        <w:rPr>
          <w:rFonts w:ascii="Arial"/>
          <w:color w:val="auto"/>
          <w:sz w:val="21"/>
          <w:highlight w:val="none"/>
        </w:rPr>
      </w:pPr>
    </w:p>
    <w:p w14:paraId="3A58F836">
      <w:pPr>
        <w:pStyle w:val="4"/>
        <w:spacing w:before="189" w:line="188" w:lineRule="auto"/>
        <w:rPr>
          <w:b/>
          <w:bCs/>
          <w:color w:val="auto"/>
          <w:spacing w:val="-5"/>
          <w:sz w:val="44"/>
          <w:szCs w:val="44"/>
          <w:highlight w:val="none"/>
        </w:rPr>
      </w:pPr>
    </w:p>
    <w:p w14:paraId="417CC2EA">
      <w:pPr>
        <w:pStyle w:val="4"/>
        <w:spacing w:before="189" w:line="188" w:lineRule="auto"/>
        <w:jc w:val="center"/>
        <w:rPr>
          <w:color w:val="auto"/>
          <w:sz w:val="44"/>
          <w:szCs w:val="44"/>
          <w:highlight w:val="none"/>
        </w:rPr>
      </w:pPr>
      <w:r>
        <w:rPr>
          <w:b/>
          <w:bCs/>
          <w:color w:val="auto"/>
          <w:spacing w:val="-5"/>
          <w:sz w:val="44"/>
          <w:szCs w:val="44"/>
          <w:highlight w:val="none"/>
        </w:rPr>
        <w:t>第二部分：技术部分</w:t>
      </w:r>
    </w:p>
    <w:p w14:paraId="518A0234">
      <w:pPr>
        <w:spacing w:before="91" w:line="220" w:lineRule="auto"/>
        <w:ind w:left="3714"/>
        <w:outlineLvl w:val="1"/>
        <w:rPr>
          <w:rFonts w:ascii="宋体" w:hAnsi="宋体" w:eastAsia="宋体" w:cs="宋体"/>
          <w:color w:val="auto"/>
          <w:sz w:val="28"/>
          <w:szCs w:val="28"/>
          <w:highlight w:val="none"/>
        </w:rPr>
      </w:pPr>
      <w:r>
        <w:rPr>
          <w:b/>
          <w:bCs/>
          <w:color w:val="auto"/>
          <w:spacing w:val="-5"/>
          <w:sz w:val="28"/>
          <w:szCs w:val="28"/>
          <w:highlight w:val="none"/>
        </w:rPr>
        <w:t>1、</w:t>
      </w:r>
      <w:r>
        <w:rPr>
          <w:rFonts w:ascii="宋体" w:hAnsi="宋体" w:eastAsia="宋体" w:cs="宋体"/>
          <w:b/>
          <w:bCs/>
          <w:color w:val="auto"/>
          <w:spacing w:val="-4"/>
          <w:sz w:val="28"/>
          <w:szCs w:val="28"/>
          <w:highlight w:val="none"/>
        </w:rPr>
        <w:t>技术规格偏离表</w:t>
      </w:r>
    </w:p>
    <w:p w14:paraId="70FB95E3">
      <w:pPr>
        <w:spacing w:before="78" w:line="224" w:lineRule="auto"/>
        <w:rPr>
          <w:rFonts w:hint="eastAsia" w:ascii="新宋体" w:hAnsi="新宋体" w:eastAsia="新宋体" w:cs="新宋体"/>
          <w:color w:val="auto"/>
          <w:spacing w:val="-4"/>
          <w:sz w:val="24"/>
          <w:szCs w:val="24"/>
          <w:highlight w:val="none"/>
          <w:lang w:eastAsia="zh-CN"/>
        </w:rPr>
      </w:pPr>
      <w:r>
        <w:rPr>
          <w:rFonts w:hint="eastAsia" w:ascii="新宋体" w:hAnsi="新宋体" w:eastAsia="新宋体" w:cs="新宋体"/>
          <w:color w:val="auto"/>
          <w:spacing w:val="-4"/>
          <w:sz w:val="24"/>
          <w:szCs w:val="24"/>
          <w:highlight w:val="none"/>
          <w:lang w:eastAsia="zh-CN"/>
        </w:rPr>
        <w:t xml:space="preserve">项目名称 :                        </w:t>
      </w:r>
    </w:p>
    <w:tbl>
      <w:tblPr>
        <w:tblStyle w:val="15"/>
        <w:tblW w:w="101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133"/>
        <w:gridCol w:w="1132"/>
        <w:gridCol w:w="1132"/>
        <w:gridCol w:w="1133"/>
        <w:gridCol w:w="1132"/>
        <w:gridCol w:w="1132"/>
        <w:gridCol w:w="1132"/>
        <w:gridCol w:w="801"/>
        <w:gridCol w:w="799"/>
      </w:tblGrid>
      <w:tr w14:paraId="6DD39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72" w:type="dxa"/>
            <w:vAlign w:val="top"/>
          </w:tcPr>
          <w:p w14:paraId="6A84C619">
            <w:pPr>
              <w:pStyle w:val="16"/>
              <w:spacing w:before="177" w:line="229" w:lineRule="auto"/>
              <w:ind w:left="12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序号</w:t>
            </w:r>
          </w:p>
        </w:tc>
        <w:tc>
          <w:tcPr>
            <w:tcW w:w="1133" w:type="dxa"/>
            <w:vAlign w:val="top"/>
          </w:tcPr>
          <w:p w14:paraId="325589E6">
            <w:pPr>
              <w:pStyle w:val="16"/>
              <w:spacing w:before="176" w:line="228" w:lineRule="auto"/>
              <w:ind w:left="14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产品名称</w:t>
            </w:r>
          </w:p>
        </w:tc>
        <w:tc>
          <w:tcPr>
            <w:tcW w:w="1132" w:type="dxa"/>
            <w:vAlign w:val="top"/>
          </w:tcPr>
          <w:p w14:paraId="5F697B71">
            <w:pPr>
              <w:pStyle w:val="16"/>
              <w:spacing w:before="176" w:line="228" w:lineRule="auto"/>
              <w:ind w:left="14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产品品牌</w:t>
            </w:r>
          </w:p>
        </w:tc>
        <w:tc>
          <w:tcPr>
            <w:tcW w:w="1132" w:type="dxa"/>
            <w:vAlign w:val="top"/>
          </w:tcPr>
          <w:p w14:paraId="575F79CF">
            <w:pPr>
              <w:pStyle w:val="16"/>
              <w:spacing w:before="176" w:line="228" w:lineRule="auto"/>
              <w:ind w:left="149"/>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产品型号</w:t>
            </w:r>
          </w:p>
        </w:tc>
        <w:tc>
          <w:tcPr>
            <w:tcW w:w="1133" w:type="dxa"/>
            <w:vAlign w:val="top"/>
          </w:tcPr>
          <w:p w14:paraId="29BF96D2">
            <w:pPr>
              <w:pStyle w:val="16"/>
              <w:spacing w:before="40" w:line="228" w:lineRule="auto"/>
              <w:ind w:left="363"/>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生产</w:t>
            </w:r>
          </w:p>
          <w:p w14:paraId="751D1E77">
            <w:pPr>
              <w:pStyle w:val="16"/>
              <w:spacing w:before="24" w:line="224" w:lineRule="auto"/>
              <w:ind w:left="364"/>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厂家</w:t>
            </w:r>
          </w:p>
        </w:tc>
        <w:tc>
          <w:tcPr>
            <w:tcW w:w="1132" w:type="dxa"/>
            <w:vAlign w:val="top"/>
          </w:tcPr>
          <w:p w14:paraId="217949AB">
            <w:pPr>
              <w:pStyle w:val="16"/>
              <w:spacing w:before="176" w:line="228" w:lineRule="auto"/>
              <w:ind w:left="150"/>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产品图片</w:t>
            </w:r>
          </w:p>
        </w:tc>
        <w:tc>
          <w:tcPr>
            <w:tcW w:w="1132" w:type="dxa"/>
            <w:vAlign w:val="top"/>
          </w:tcPr>
          <w:p w14:paraId="497186F8">
            <w:pPr>
              <w:pStyle w:val="16"/>
              <w:spacing w:before="176" w:line="228" w:lineRule="auto"/>
              <w:ind w:left="151"/>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招标规格</w:t>
            </w:r>
          </w:p>
        </w:tc>
        <w:tc>
          <w:tcPr>
            <w:tcW w:w="1132" w:type="dxa"/>
            <w:vAlign w:val="top"/>
          </w:tcPr>
          <w:p w14:paraId="5316241C">
            <w:pPr>
              <w:pStyle w:val="16"/>
              <w:spacing w:before="176" w:line="228" w:lineRule="auto"/>
              <w:ind w:left="154"/>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投标规格</w:t>
            </w:r>
          </w:p>
        </w:tc>
        <w:tc>
          <w:tcPr>
            <w:tcW w:w="801" w:type="dxa"/>
            <w:vAlign w:val="top"/>
          </w:tcPr>
          <w:p w14:paraId="441C914D">
            <w:pPr>
              <w:pStyle w:val="16"/>
              <w:spacing w:before="176" w:line="228" w:lineRule="auto"/>
              <w:ind w:left="19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偏离</w:t>
            </w:r>
          </w:p>
        </w:tc>
        <w:tc>
          <w:tcPr>
            <w:tcW w:w="799" w:type="dxa"/>
            <w:vAlign w:val="top"/>
          </w:tcPr>
          <w:p w14:paraId="464DD2AF">
            <w:pPr>
              <w:pStyle w:val="16"/>
              <w:spacing w:before="176" w:line="228" w:lineRule="auto"/>
              <w:ind w:left="196"/>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说明</w:t>
            </w:r>
          </w:p>
        </w:tc>
      </w:tr>
      <w:tr w14:paraId="05E14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672" w:type="dxa"/>
            <w:vAlign w:val="top"/>
          </w:tcPr>
          <w:p w14:paraId="145FACF0">
            <w:pPr>
              <w:rPr>
                <w:rFonts w:ascii="Arial"/>
                <w:color w:val="auto"/>
                <w:sz w:val="21"/>
                <w:highlight w:val="none"/>
              </w:rPr>
            </w:pPr>
          </w:p>
        </w:tc>
        <w:tc>
          <w:tcPr>
            <w:tcW w:w="1133" w:type="dxa"/>
            <w:vAlign w:val="top"/>
          </w:tcPr>
          <w:p w14:paraId="03CA0A53">
            <w:pPr>
              <w:rPr>
                <w:rFonts w:ascii="Arial"/>
                <w:color w:val="auto"/>
                <w:sz w:val="21"/>
                <w:highlight w:val="none"/>
              </w:rPr>
            </w:pPr>
          </w:p>
        </w:tc>
        <w:tc>
          <w:tcPr>
            <w:tcW w:w="1132" w:type="dxa"/>
            <w:vAlign w:val="top"/>
          </w:tcPr>
          <w:p w14:paraId="3B22395E">
            <w:pPr>
              <w:rPr>
                <w:rFonts w:ascii="Arial"/>
                <w:color w:val="auto"/>
                <w:sz w:val="21"/>
                <w:highlight w:val="none"/>
              </w:rPr>
            </w:pPr>
          </w:p>
        </w:tc>
        <w:tc>
          <w:tcPr>
            <w:tcW w:w="1132" w:type="dxa"/>
            <w:vAlign w:val="top"/>
          </w:tcPr>
          <w:p w14:paraId="0EEF85AE">
            <w:pPr>
              <w:rPr>
                <w:rFonts w:ascii="Arial"/>
                <w:color w:val="auto"/>
                <w:sz w:val="21"/>
                <w:highlight w:val="none"/>
              </w:rPr>
            </w:pPr>
          </w:p>
        </w:tc>
        <w:tc>
          <w:tcPr>
            <w:tcW w:w="1133" w:type="dxa"/>
            <w:vAlign w:val="top"/>
          </w:tcPr>
          <w:p w14:paraId="595864BB">
            <w:pPr>
              <w:rPr>
                <w:rFonts w:ascii="Arial"/>
                <w:color w:val="auto"/>
                <w:sz w:val="21"/>
                <w:highlight w:val="none"/>
              </w:rPr>
            </w:pPr>
          </w:p>
        </w:tc>
        <w:tc>
          <w:tcPr>
            <w:tcW w:w="1132" w:type="dxa"/>
            <w:vAlign w:val="top"/>
          </w:tcPr>
          <w:p w14:paraId="4A9B7646">
            <w:pPr>
              <w:rPr>
                <w:rFonts w:ascii="Arial"/>
                <w:color w:val="auto"/>
                <w:sz w:val="21"/>
                <w:highlight w:val="none"/>
              </w:rPr>
            </w:pPr>
          </w:p>
        </w:tc>
        <w:tc>
          <w:tcPr>
            <w:tcW w:w="1132" w:type="dxa"/>
            <w:vAlign w:val="top"/>
          </w:tcPr>
          <w:p w14:paraId="46D909FD">
            <w:pPr>
              <w:rPr>
                <w:rFonts w:ascii="Arial"/>
                <w:color w:val="auto"/>
                <w:sz w:val="21"/>
                <w:highlight w:val="none"/>
              </w:rPr>
            </w:pPr>
          </w:p>
        </w:tc>
        <w:tc>
          <w:tcPr>
            <w:tcW w:w="1132" w:type="dxa"/>
            <w:vAlign w:val="top"/>
          </w:tcPr>
          <w:p w14:paraId="3D0B6372">
            <w:pPr>
              <w:rPr>
                <w:rFonts w:ascii="Arial"/>
                <w:color w:val="auto"/>
                <w:sz w:val="21"/>
                <w:highlight w:val="none"/>
              </w:rPr>
            </w:pPr>
          </w:p>
        </w:tc>
        <w:tc>
          <w:tcPr>
            <w:tcW w:w="801" w:type="dxa"/>
            <w:vAlign w:val="top"/>
          </w:tcPr>
          <w:p w14:paraId="665656B7">
            <w:pPr>
              <w:rPr>
                <w:rFonts w:ascii="Arial"/>
                <w:color w:val="auto"/>
                <w:sz w:val="21"/>
                <w:highlight w:val="none"/>
              </w:rPr>
            </w:pPr>
          </w:p>
        </w:tc>
        <w:tc>
          <w:tcPr>
            <w:tcW w:w="799" w:type="dxa"/>
            <w:vAlign w:val="top"/>
          </w:tcPr>
          <w:p w14:paraId="6A568B95">
            <w:pPr>
              <w:rPr>
                <w:rFonts w:ascii="Arial"/>
                <w:color w:val="auto"/>
                <w:sz w:val="21"/>
                <w:highlight w:val="none"/>
              </w:rPr>
            </w:pPr>
          </w:p>
        </w:tc>
      </w:tr>
      <w:tr w14:paraId="021C6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672" w:type="dxa"/>
            <w:vAlign w:val="top"/>
          </w:tcPr>
          <w:p w14:paraId="586A8692">
            <w:pPr>
              <w:rPr>
                <w:rFonts w:ascii="Arial"/>
                <w:color w:val="auto"/>
                <w:sz w:val="21"/>
                <w:highlight w:val="none"/>
              </w:rPr>
            </w:pPr>
          </w:p>
        </w:tc>
        <w:tc>
          <w:tcPr>
            <w:tcW w:w="1133" w:type="dxa"/>
            <w:vAlign w:val="top"/>
          </w:tcPr>
          <w:p w14:paraId="14DC5FFD">
            <w:pPr>
              <w:rPr>
                <w:rFonts w:ascii="Arial"/>
                <w:color w:val="auto"/>
                <w:sz w:val="21"/>
                <w:highlight w:val="none"/>
              </w:rPr>
            </w:pPr>
          </w:p>
        </w:tc>
        <w:tc>
          <w:tcPr>
            <w:tcW w:w="1132" w:type="dxa"/>
            <w:vAlign w:val="top"/>
          </w:tcPr>
          <w:p w14:paraId="7706236E">
            <w:pPr>
              <w:rPr>
                <w:rFonts w:ascii="Arial"/>
                <w:color w:val="auto"/>
                <w:sz w:val="21"/>
                <w:highlight w:val="none"/>
              </w:rPr>
            </w:pPr>
          </w:p>
        </w:tc>
        <w:tc>
          <w:tcPr>
            <w:tcW w:w="1132" w:type="dxa"/>
            <w:vAlign w:val="top"/>
          </w:tcPr>
          <w:p w14:paraId="27082012">
            <w:pPr>
              <w:rPr>
                <w:rFonts w:ascii="Arial"/>
                <w:color w:val="auto"/>
                <w:sz w:val="21"/>
                <w:highlight w:val="none"/>
              </w:rPr>
            </w:pPr>
          </w:p>
        </w:tc>
        <w:tc>
          <w:tcPr>
            <w:tcW w:w="1133" w:type="dxa"/>
            <w:vAlign w:val="top"/>
          </w:tcPr>
          <w:p w14:paraId="776CEDA7">
            <w:pPr>
              <w:rPr>
                <w:rFonts w:ascii="Arial"/>
                <w:color w:val="auto"/>
                <w:sz w:val="21"/>
                <w:highlight w:val="none"/>
              </w:rPr>
            </w:pPr>
          </w:p>
        </w:tc>
        <w:tc>
          <w:tcPr>
            <w:tcW w:w="1132" w:type="dxa"/>
            <w:vAlign w:val="top"/>
          </w:tcPr>
          <w:p w14:paraId="08DA01F0">
            <w:pPr>
              <w:rPr>
                <w:rFonts w:ascii="Arial"/>
                <w:color w:val="auto"/>
                <w:sz w:val="21"/>
                <w:highlight w:val="none"/>
              </w:rPr>
            </w:pPr>
          </w:p>
        </w:tc>
        <w:tc>
          <w:tcPr>
            <w:tcW w:w="1132" w:type="dxa"/>
            <w:vAlign w:val="top"/>
          </w:tcPr>
          <w:p w14:paraId="2C119048">
            <w:pPr>
              <w:rPr>
                <w:rFonts w:ascii="Arial"/>
                <w:color w:val="auto"/>
                <w:sz w:val="21"/>
                <w:highlight w:val="none"/>
              </w:rPr>
            </w:pPr>
          </w:p>
        </w:tc>
        <w:tc>
          <w:tcPr>
            <w:tcW w:w="1132" w:type="dxa"/>
            <w:vAlign w:val="top"/>
          </w:tcPr>
          <w:p w14:paraId="7EB0D135">
            <w:pPr>
              <w:rPr>
                <w:rFonts w:ascii="Arial"/>
                <w:color w:val="auto"/>
                <w:sz w:val="21"/>
                <w:highlight w:val="none"/>
              </w:rPr>
            </w:pPr>
          </w:p>
        </w:tc>
        <w:tc>
          <w:tcPr>
            <w:tcW w:w="801" w:type="dxa"/>
            <w:vAlign w:val="top"/>
          </w:tcPr>
          <w:p w14:paraId="1DAD7481">
            <w:pPr>
              <w:rPr>
                <w:rFonts w:ascii="Arial"/>
                <w:color w:val="auto"/>
                <w:sz w:val="21"/>
                <w:highlight w:val="none"/>
              </w:rPr>
            </w:pPr>
          </w:p>
        </w:tc>
        <w:tc>
          <w:tcPr>
            <w:tcW w:w="799" w:type="dxa"/>
            <w:vAlign w:val="top"/>
          </w:tcPr>
          <w:p w14:paraId="1206036E">
            <w:pPr>
              <w:rPr>
                <w:rFonts w:ascii="Arial"/>
                <w:color w:val="auto"/>
                <w:sz w:val="21"/>
                <w:highlight w:val="none"/>
              </w:rPr>
            </w:pPr>
          </w:p>
        </w:tc>
      </w:tr>
      <w:tr w14:paraId="749D7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672" w:type="dxa"/>
            <w:vAlign w:val="top"/>
          </w:tcPr>
          <w:p w14:paraId="562D1B67">
            <w:pPr>
              <w:rPr>
                <w:rFonts w:ascii="Arial"/>
                <w:color w:val="auto"/>
                <w:sz w:val="21"/>
                <w:highlight w:val="none"/>
              </w:rPr>
            </w:pPr>
          </w:p>
        </w:tc>
        <w:tc>
          <w:tcPr>
            <w:tcW w:w="1133" w:type="dxa"/>
            <w:vAlign w:val="top"/>
          </w:tcPr>
          <w:p w14:paraId="06376C9B">
            <w:pPr>
              <w:rPr>
                <w:rFonts w:ascii="Arial"/>
                <w:color w:val="auto"/>
                <w:sz w:val="21"/>
                <w:highlight w:val="none"/>
              </w:rPr>
            </w:pPr>
          </w:p>
        </w:tc>
        <w:tc>
          <w:tcPr>
            <w:tcW w:w="1132" w:type="dxa"/>
            <w:vAlign w:val="top"/>
          </w:tcPr>
          <w:p w14:paraId="3528DA96">
            <w:pPr>
              <w:rPr>
                <w:rFonts w:ascii="Arial"/>
                <w:color w:val="auto"/>
                <w:sz w:val="21"/>
                <w:highlight w:val="none"/>
              </w:rPr>
            </w:pPr>
          </w:p>
        </w:tc>
        <w:tc>
          <w:tcPr>
            <w:tcW w:w="1132" w:type="dxa"/>
            <w:vAlign w:val="top"/>
          </w:tcPr>
          <w:p w14:paraId="72C8AD3B">
            <w:pPr>
              <w:rPr>
                <w:rFonts w:ascii="Arial"/>
                <w:color w:val="auto"/>
                <w:sz w:val="21"/>
                <w:highlight w:val="none"/>
              </w:rPr>
            </w:pPr>
          </w:p>
        </w:tc>
        <w:tc>
          <w:tcPr>
            <w:tcW w:w="1133" w:type="dxa"/>
            <w:vAlign w:val="top"/>
          </w:tcPr>
          <w:p w14:paraId="7AC557DB">
            <w:pPr>
              <w:rPr>
                <w:rFonts w:ascii="Arial"/>
                <w:color w:val="auto"/>
                <w:sz w:val="21"/>
                <w:highlight w:val="none"/>
              </w:rPr>
            </w:pPr>
          </w:p>
        </w:tc>
        <w:tc>
          <w:tcPr>
            <w:tcW w:w="1132" w:type="dxa"/>
            <w:vAlign w:val="top"/>
          </w:tcPr>
          <w:p w14:paraId="3FCD2CE8">
            <w:pPr>
              <w:rPr>
                <w:rFonts w:ascii="Arial"/>
                <w:color w:val="auto"/>
                <w:sz w:val="21"/>
                <w:highlight w:val="none"/>
              </w:rPr>
            </w:pPr>
          </w:p>
        </w:tc>
        <w:tc>
          <w:tcPr>
            <w:tcW w:w="1132" w:type="dxa"/>
            <w:vAlign w:val="top"/>
          </w:tcPr>
          <w:p w14:paraId="10128714">
            <w:pPr>
              <w:rPr>
                <w:rFonts w:ascii="Arial"/>
                <w:color w:val="auto"/>
                <w:sz w:val="21"/>
                <w:highlight w:val="none"/>
              </w:rPr>
            </w:pPr>
          </w:p>
        </w:tc>
        <w:tc>
          <w:tcPr>
            <w:tcW w:w="1132" w:type="dxa"/>
            <w:vAlign w:val="top"/>
          </w:tcPr>
          <w:p w14:paraId="14BF380A">
            <w:pPr>
              <w:rPr>
                <w:rFonts w:ascii="Arial"/>
                <w:color w:val="auto"/>
                <w:sz w:val="21"/>
                <w:highlight w:val="none"/>
              </w:rPr>
            </w:pPr>
          </w:p>
        </w:tc>
        <w:tc>
          <w:tcPr>
            <w:tcW w:w="801" w:type="dxa"/>
            <w:vAlign w:val="top"/>
          </w:tcPr>
          <w:p w14:paraId="77B8C051">
            <w:pPr>
              <w:rPr>
                <w:rFonts w:ascii="Arial"/>
                <w:color w:val="auto"/>
                <w:sz w:val="21"/>
                <w:highlight w:val="none"/>
              </w:rPr>
            </w:pPr>
          </w:p>
        </w:tc>
        <w:tc>
          <w:tcPr>
            <w:tcW w:w="799" w:type="dxa"/>
            <w:vAlign w:val="top"/>
          </w:tcPr>
          <w:p w14:paraId="5300F9D5">
            <w:pPr>
              <w:rPr>
                <w:rFonts w:ascii="Arial"/>
                <w:color w:val="auto"/>
                <w:sz w:val="21"/>
                <w:highlight w:val="none"/>
              </w:rPr>
            </w:pPr>
          </w:p>
        </w:tc>
      </w:tr>
      <w:tr w14:paraId="0F1F3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672" w:type="dxa"/>
            <w:vAlign w:val="top"/>
          </w:tcPr>
          <w:p w14:paraId="5B611878">
            <w:pPr>
              <w:rPr>
                <w:rFonts w:ascii="Arial"/>
                <w:color w:val="auto"/>
                <w:sz w:val="21"/>
                <w:highlight w:val="none"/>
              </w:rPr>
            </w:pPr>
          </w:p>
        </w:tc>
        <w:tc>
          <w:tcPr>
            <w:tcW w:w="1133" w:type="dxa"/>
            <w:vAlign w:val="top"/>
          </w:tcPr>
          <w:p w14:paraId="00325E2B">
            <w:pPr>
              <w:rPr>
                <w:rFonts w:ascii="Arial"/>
                <w:color w:val="auto"/>
                <w:sz w:val="21"/>
                <w:highlight w:val="none"/>
              </w:rPr>
            </w:pPr>
          </w:p>
        </w:tc>
        <w:tc>
          <w:tcPr>
            <w:tcW w:w="1132" w:type="dxa"/>
            <w:vAlign w:val="top"/>
          </w:tcPr>
          <w:p w14:paraId="41D02D18">
            <w:pPr>
              <w:rPr>
                <w:rFonts w:ascii="Arial"/>
                <w:color w:val="auto"/>
                <w:sz w:val="21"/>
                <w:highlight w:val="none"/>
              </w:rPr>
            </w:pPr>
          </w:p>
        </w:tc>
        <w:tc>
          <w:tcPr>
            <w:tcW w:w="1132" w:type="dxa"/>
            <w:vAlign w:val="top"/>
          </w:tcPr>
          <w:p w14:paraId="7ED3396C">
            <w:pPr>
              <w:rPr>
                <w:rFonts w:ascii="Arial"/>
                <w:color w:val="auto"/>
                <w:sz w:val="21"/>
                <w:highlight w:val="none"/>
              </w:rPr>
            </w:pPr>
          </w:p>
        </w:tc>
        <w:tc>
          <w:tcPr>
            <w:tcW w:w="1133" w:type="dxa"/>
            <w:vAlign w:val="top"/>
          </w:tcPr>
          <w:p w14:paraId="0DB1E030">
            <w:pPr>
              <w:rPr>
                <w:rFonts w:ascii="Arial"/>
                <w:color w:val="auto"/>
                <w:sz w:val="21"/>
                <w:highlight w:val="none"/>
              </w:rPr>
            </w:pPr>
          </w:p>
        </w:tc>
        <w:tc>
          <w:tcPr>
            <w:tcW w:w="1132" w:type="dxa"/>
            <w:vAlign w:val="top"/>
          </w:tcPr>
          <w:p w14:paraId="3462FBF2">
            <w:pPr>
              <w:rPr>
                <w:rFonts w:ascii="Arial"/>
                <w:color w:val="auto"/>
                <w:sz w:val="21"/>
                <w:highlight w:val="none"/>
              </w:rPr>
            </w:pPr>
          </w:p>
        </w:tc>
        <w:tc>
          <w:tcPr>
            <w:tcW w:w="1132" w:type="dxa"/>
            <w:vAlign w:val="top"/>
          </w:tcPr>
          <w:p w14:paraId="6DA2A554">
            <w:pPr>
              <w:rPr>
                <w:rFonts w:ascii="Arial"/>
                <w:color w:val="auto"/>
                <w:sz w:val="21"/>
                <w:highlight w:val="none"/>
              </w:rPr>
            </w:pPr>
          </w:p>
        </w:tc>
        <w:tc>
          <w:tcPr>
            <w:tcW w:w="1132" w:type="dxa"/>
            <w:vAlign w:val="top"/>
          </w:tcPr>
          <w:p w14:paraId="5B8896C4">
            <w:pPr>
              <w:rPr>
                <w:rFonts w:ascii="Arial"/>
                <w:color w:val="auto"/>
                <w:sz w:val="21"/>
                <w:highlight w:val="none"/>
              </w:rPr>
            </w:pPr>
          </w:p>
        </w:tc>
        <w:tc>
          <w:tcPr>
            <w:tcW w:w="801" w:type="dxa"/>
            <w:vAlign w:val="top"/>
          </w:tcPr>
          <w:p w14:paraId="6E5AAC9C">
            <w:pPr>
              <w:rPr>
                <w:rFonts w:ascii="Arial"/>
                <w:color w:val="auto"/>
                <w:sz w:val="21"/>
                <w:highlight w:val="none"/>
              </w:rPr>
            </w:pPr>
          </w:p>
        </w:tc>
        <w:tc>
          <w:tcPr>
            <w:tcW w:w="799" w:type="dxa"/>
            <w:vAlign w:val="top"/>
          </w:tcPr>
          <w:p w14:paraId="7A9631EE">
            <w:pPr>
              <w:rPr>
                <w:rFonts w:ascii="Arial"/>
                <w:color w:val="auto"/>
                <w:sz w:val="21"/>
                <w:highlight w:val="none"/>
              </w:rPr>
            </w:pPr>
          </w:p>
        </w:tc>
      </w:tr>
      <w:tr w14:paraId="75B21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672" w:type="dxa"/>
            <w:vAlign w:val="top"/>
          </w:tcPr>
          <w:p w14:paraId="3099018C">
            <w:pPr>
              <w:rPr>
                <w:rFonts w:ascii="Arial"/>
                <w:color w:val="auto"/>
                <w:sz w:val="21"/>
                <w:highlight w:val="none"/>
              </w:rPr>
            </w:pPr>
          </w:p>
        </w:tc>
        <w:tc>
          <w:tcPr>
            <w:tcW w:w="1133" w:type="dxa"/>
            <w:vAlign w:val="top"/>
          </w:tcPr>
          <w:p w14:paraId="03D67943">
            <w:pPr>
              <w:rPr>
                <w:rFonts w:ascii="Arial"/>
                <w:color w:val="auto"/>
                <w:sz w:val="21"/>
                <w:highlight w:val="none"/>
              </w:rPr>
            </w:pPr>
          </w:p>
        </w:tc>
        <w:tc>
          <w:tcPr>
            <w:tcW w:w="1132" w:type="dxa"/>
            <w:vAlign w:val="top"/>
          </w:tcPr>
          <w:p w14:paraId="220D74A7">
            <w:pPr>
              <w:rPr>
                <w:rFonts w:ascii="Arial"/>
                <w:color w:val="auto"/>
                <w:sz w:val="21"/>
                <w:highlight w:val="none"/>
              </w:rPr>
            </w:pPr>
          </w:p>
        </w:tc>
        <w:tc>
          <w:tcPr>
            <w:tcW w:w="1132" w:type="dxa"/>
            <w:vAlign w:val="top"/>
          </w:tcPr>
          <w:p w14:paraId="61588E47">
            <w:pPr>
              <w:rPr>
                <w:rFonts w:ascii="Arial"/>
                <w:color w:val="auto"/>
                <w:sz w:val="21"/>
                <w:highlight w:val="none"/>
              </w:rPr>
            </w:pPr>
          </w:p>
        </w:tc>
        <w:tc>
          <w:tcPr>
            <w:tcW w:w="1133" w:type="dxa"/>
            <w:vAlign w:val="top"/>
          </w:tcPr>
          <w:p w14:paraId="1933083F">
            <w:pPr>
              <w:rPr>
                <w:rFonts w:ascii="Arial"/>
                <w:color w:val="auto"/>
                <w:sz w:val="21"/>
                <w:highlight w:val="none"/>
              </w:rPr>
            </w:pPr>
          </w:p>
        </w:tc>
        <w:tc>
          <w:tcPr>
            <w:tcW w:w="1132" w:type="dxa"/>
            <w:vAlign w:val="top"/>
          </w:tcPr>
          <w:p w14:paraId="22B38218">
            <w:pPr>
              <w:rPr>
                <w:rFonts w:ascii="Arial"/>
                <w:color w:val="auto"/>
                <w:sz w:val="21"/>
                <w:highlight w:val="none"/>
              </w:rPr>
            </w:pPr>
          </w:p>
        </w:tc>
        <w:tc>
          <w:tcPr>
            <w:tcW w:w="1132" w:type="dxa"/>
            <w:vAlign w:val="top"/>
          </w:tcPr>
          <w:p w14:paraId="19515FB9">
            <w:pPr>
              <w:rPr>
                <w:rFonts w:ascii="Arial"/>
                <w:color w:val="auto"/>
                <w:sz w:val="21"/>
                <w:highlight w:val="none"/>
              </w:rPr>
            </w:pPr>
          </w:p>
        </w:tc>
        <w:tc>
          <w:tcPr>
            <w:tcW w:w="1132" w:type="dxa"/>
            <w:vAlign w:val="top"/>
          </w:tcPr>
          <w:p w14:paraId="676F73C3">
            <w:pPr>
              <w:rPr>
                <w:rFonts w:ascii="Arial"/>
                <w:color w:val="auto"/>
                <w:sz w:val="21"/>
                <w:highlight w:val="none"/>
              </w:rPr>
            </w:pPr>
          </w:p>
        </w:tc>
        <w:tc>
          <w:tcPr>
            <w:tcW w:w="801" w:type="dxa"/>
            <w:vAlign w:val="top"/>
          </w:tcPr>
          <w:p w14:paraId="7CCB168D">
            <w:pPr>
              <w:rPr>
                <w:rFonts w:ascii="Arial"/>
                <w:color w:val="auto"/>
                <w:sz w:val="21"/>
                <w:highlight w:val="none"/>
              </w:rPr>
            </w:pPr>
          </w:p>
        </w:tc>
        <w:tc>
          <w:tcPr>
            <w:tcW w:w="799" w:type="dxa"/>
            <w:vAlign w:val="top"/>
          </w:tcPr>
          <w:p w14:paraId="5F0233FB">
            <w:pPr>
              <w:rPr>
                <w:rFonts w:ascii="Arial"/>
                <w:color w:val="auto"/>
                <w:sz w:val="21"/>
                <w:highlight w:val="none"/>
              </w:rPr>
            </w:pPr>
          </w:p>
        </w:tc>
      </w:tr>
      <w:tr w14:paraId="504D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672" w:type="dxa"/>
            <w:vAlign w:val="top"/>
          </w:tcPr>
          <w:p w14:paraId="72D5B3F3">
            <w:pPr>
              <w:rPr>
                <w:rFonts w:ascii="Arial"/>
                <w:color w:val="auto"/>
                <w:sz w:val="21"/>
                <w:highlight w:val="none"/>
              </w:rPr>
            </w:pPr>
          </w:p>
        </w:tc>
        <w:tc>
          <w:tcPr>
            <w:tcW w:w="1133" w:type="dxa"/>
            <w:vAlign w:val="top"/>
          </w:tcPr>
          <w:p w14:paraId="6D0AF4E6">
            <w:pPr>
              <w:rPr>
                <w:rFonts w:ascii="Arial"/>
                <w:color w:val="auto"/>
                <w:sz w:val="21"/>
                <w:highlight w:val="none"/>
              </w:rPr>
            </w:pPr>
          </w:p>
        </w:tc>
        <w:tc>
          <w:tcPr>
            <w:tcW w:w="1132" w:type="dxa"/>
            <w:vAlign w:val="top"/>
          </w:tcPr>
          <w:p w14:paraId="1A9DA1B1">
            <w:pPr>
              <w:rPr>
                <w:rFonts w:ascii="Arial"/>
                <w:color w:val="auto"/>
                <w:sz w:val="21"/>
                <w:highlight w:val="none"/>
              </w:rPr>
            </w:pPr>
          </w:p>
        </w:tc>
        <w:tc>
          <w:tcPr>
            <w:tcW w:w="1132" w:type="dxa"/>
            <w:vAlign w:val="top"/>
          </w:tcPr>
          <w:p w14:paraId="0F3B01D7">
            <w:pPr>
              <w:rPr>
                <w:rFonts w:ascii="Arial"/>
                <w:color w:val="auto"/>
                <w:sz w:val="21"/>
                <w:highlight w:val="none"/>
              </w:rPr>
            </w:pPr>
          </w:p>
        </w:tc>
        <w:tc>
          <w:tcPr>
            <w:tcW w:w="1133" w:type="dxa"/>
            <w:vAlign w:val="top"/>
          </w:tcPr>
          <w:p w14:paraId="66B13050">
            <w:pPr>
              <w:rPr>
                <w:rFonts w:ascii="Arial"/>
                <w:color w:val="auto"/>
                <w:sz w:val="21"/>
                <w:highlight w:val="none"/>
              </w:rPr>
            </w:pPr>
          </w:p>
        </w:tc>
        <w:tc>
          <w:tcPr>
            <w:tcW w:w="1132" w:type="dxa"/>
            <w:vAlign w:val="top"/>
          </w:tcPr>
          <w:p w14:paraId="3B9B24F4">
            <w:pPr>
              <w:rPr>
                <w:rFonts w:ascii="Arial"/>
                <w:color w:val="auto"/>
                <w:sz w:val="21"/>
                <w:highlight w:val="none"/>
              </w:rPr>
            </w:pPr>
          </w:p>
        </w:tc>
        <w:tc>
          <w:tcPr>
            <w:tcW w:w="1132" w:type="dxa"/>
            <w:vAlign w:val="top"/>
          </w:tcPr>
          <w:p w14:paraId="2CBF5609">
            <w:pPr>
              <w:rPr>
                <w:rFonts w:ascii="Arial"/>
                <w:color w:val="auto"/>
                <w:sz w:val="21"/>
                <w:highlight w:val="none"/>
              </w:rPr>
            </w:pPr>
          </w:p>
        </w:tc>
        <w:tc>
          <w:tcPr>
            <w:tcW w:w="1132" w:type="dxa"/>
            <w:vAlign w:val="top"/>
          </w:tcPr>
          <w:p w14:paraId="3A3144FA">
            <w:pPr>
              <w:rPr>
                <w:rFonts w:ascii="Arial"/>
                <w:color w:val="auto"/>
                <w:sz w:val="21"/>
                <w:highlight w:val="none"/>
              </w:rPr>
            </w:pPr>
          </w:p>
        </w:tc>
        <w:tc>
          <w:tcPr>
            <w:tcW w:w="801" w:type="dxa"/>
            <w:vAlign w:val="top"/>
          </w:tcPr>
          <w:p w14:paraId="361CC43F">
            <w:pPr>
              <w:rPr>
                <w:rFonts w:ascii="Arial"/>
                <w:color w:val="auto"/>
                <w:sz w:val="21"/>
                <w:highlight w:val="none"/>
              </w:rPr>
            </w:pPr>
          </w:p>
        </w:tc>
        <w:tc>
          <w:tcPr>
            <w:tcW w:w="799" w:type="dxa"/>
            <w:vAlign w:val="top"/>
          </w:tcPr>
          <w:p w14:paraId="3F73EFBE">
            <w:pPr>
              <w:rPr>
                <w:rFonts w:ascii="Arial"/>
                <w:color w:val="auto"/>
                <w:sz w:val="21"/>
                <w:highlight w:val="none"/>
              </w:rPr>
            </w:pPr>
          </w:p>
        </w:tc>
      </w:tr>
      <w:tr w14:paraId="5B357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672" w:type="dxa"/>
            <w:vAlign w:val="top"/>
          </w:tcPr>
          <w:p w14:paraId="6055C578">
            <w:pPr>
              <w:rPr>
                <w:rFonts w:ascii="Arial"/>
                <w:color w:val="auto"/>
                <w:sz w:val="21"/>
                <w:highlight w:val="none"/>
              </w:rPr>
            </w:pPr>
          </w:p>
        </w:tc>
        <w:tc>
          <w:tcPr>
            <w:tcW w:w="1133" w:type="dxa"/>
            <w:vAlign w:val="top"/>
          </w:tcPr>
          <w:p w14:paraId="3710A000">
            <w:pPr>
              <w:rPr>
                <w:rFonts w:ascii="Arial"/>
                <w:color w:val="auto"/>
                <w:sz w:val="21"/>
                <w:highlight w:val="none"/>
              </w:rPr>
            </w:pPr>
          </w:p>
        </w:tc>
        <w:tc>
          <w:tcPr>
            <w:tcW w:w="1132" w:type="dxa"/>
            <w:vAlign w:val="top"/>
          </w:tcPr>
          <w:p w14:paraId="182F3453">
            <w:pPr>
              <w:rPr>
                <w:rFonts w:ascii="Arial"/>
                <w:color w:val="auto"/>
                <w:sz w:val="21"/>
                <w:highlight w:val="none"/>
              </w:rPr>
            </w:pPr>
          </w:p>
        </w:tc>
        <w:tc>
          <w:tcPr>
            <w:tcW w:w="1132" w:type="dxa"/>
            <w:vAlign w:val="top"/>
          </w:tcPr>
          <w:p w14:paraId="645B7403">
            <w:pPr>
              <w:rPr>
                <w:rFonts w:ascii="Arial"/>
                <w:color w:val="auto"/>
                <w:sz w:val="21"/>
                <w:highlight w:val="none"/>
              </w:rPr>
            </w:pPr>
          </w:p>
        </w:tc>
        <w:tc>
          <w:tcPr>
            <w:tcW w:w="1133" w:type="dxa"/>
            <w:vAlign w:val="top"/>
          </w:tcPr>
          <w:p w14:paraId="3BD996D1">
            <w:pPr>
              <w:rPr>
                <w:rFonts w:ascii="Arial"/>
                <w:color w:val="auto"/>
                <w:sz w:val="21"/>
                <w:highlight w:val="none"/>
              </w:rPr>
            </w:pPr>
          </w:p>
        </w:tc>
        <w:tc>
          <w:tcPr>
            <w:tcW w:w="1132" w:type="dxa"/>
            <w:vAlign w:val="top"/>
          </w:tcPr>
          <w:p w14:paraId="3373ABDF">
            <w:pPr>
              <w:rPr>
                <w:rFonts w:ascii="Arial"/>
                <w:color w:val="auto"/>
                <w:sz w:val="21"/>
                <w:highlight w:val="none"/>
              </w:rPr>
            </w:pPr>
          </w:p>
        </w:tc>
        <w:tc>
          <w:tcPr>
            <w:tcW w:w="1132" w:type="dxa"/>
            <w:vAlign w:val="top"/>
          </w:tcPr>
          <w:p w14:paraId="309C7DA2">
            <w:pPr>
              <w:rPr>
                <w:rFonts w:ascii="Arial"/>
                <w:color w:val="auto"/>
                <w:sz w:val="21"/>
                <w:highlight w:val="none"/>
              </w:rPr>
            </w:pPr>
          </w:p>
        </w:tc>
        <w:tc>
          <w:tcPr>
            <w:tcW w:w="1132" w:type="dxa"/>
            <w:vAlign w:val="top"/>
          </w:tcPr>
          <w:p w14:paraId="25E810E7">
            <w:pPr>
              <w:rPr>
                <w:rFonts w:ascii="Arial"/>
                <w:color w:val="auto"/>
                <w:sz w:val="21"/>
                <w:highlight w:val="none"/>
              </w:rPr>
            </w:pPr>
          </w:p>
        </w:tc>
        <w:tc>
          <w:tcPr>
            <w:tcW w:w="801" w:type="dxa"/>
            <w:vAlign w:val="top"/>
          </w:tcPr>
          <w:p w14:paraId="0675D0C7">
            <w:pPr>
              <w:rPr>
                <w:rFonts w:ascii="Arial"/>
                <w:color w:val="auto"/>
                <w:sz w:val="21"/>
                <w:highlight w:val="none"/>
              </w:rPr>
            </w:pPr>
          </w:p>
        </w:tc>
        <w:tc>
          <w:tcPr>
            <w:tcW w:w="799" w:type="dxa"/>
            <w:vAlign w:val="top"/>
          </w:tcPr>
          <w:p w14:paraId="1C6E254E">
            <w:pPr>
              <w:rPr>
                <w:rFonts w:ascii="Arial"/>
                <w:color w:val="auto"/>
                <w:sz w:val="21"/>
                <w:highlight w:val="none"/>
              </w:rPr>
            </w:pPr>
          </w:p>
        </w:tc>
      </w:tr>
      <w:tr w14:paraId="134AD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672" w:type="dxa"/>
            <w:vAlign w:val="top"/>
          </w:tcPr>
          <w:p w14:paraId="52C74D8B">
            <w:pPr>
              <w:rPr>
                <w:rFonts w:ascii="Arial"/>
                <w:color w:val="auto"/>
                <w:sz w:val="21"/>
                <w:highlight w:val="none"/>
              </w:rPr>
            </w:pPr>
          </w:p>
        </w:tc>
        <w:tc>
          <w:tcPr>
            <w:tcW w:w="1133" w:type="dxa"/>
            <w:vAlign w:val="top"/>
          </w:tcPr>
          <w:p w14:paraId="6427E77E">
            <w:pPr>
              <w:rPr>
                <w:rFonts w:ascii="Arial"/>
                <w:color w:val="auto"/>
                <w:sz w:val="21"/>
                <w:highlight w:val="none"/>
              </w:rPr>
            </w:pPr>
          </w:p>
        </w:tc>
        <w:tc>
          <w:tcPr>
            <w:tcW w:w="1132" w:type="dxa"/>
            <w:vAlign w:val="top"/>
          </w:tcPr>
          <w:p w14:paraId="41974033">
            <w:pPr>
              <w:rPr>
                <w:rFonts w:ascii="Arial"/>
                <w:color w:val="auto"/>
                <w:sz w:val="21"/>
                <w:highlight w:val="none"/>
              </w:rPr>
            </w:pPr>
          </w:p>
        </w:tc>
        <w:tc>
          <w:tcPr>
            <w:tcW w:w="1132" w:type="dxa"/>
            <w:vAlign w:val="top"/>
          </w:tcPr>
          <w:p w14:paraId="209A4F91">
            <w:pPr>
              <w:rPr>
                <w:rFonts w:ascii="Arial"/>
                <w:color w:val="auto"/>
                <w:sz w:val="21"/>
                <w:highlight w:val="none"/>
              </w:rPr>
            </w:pPr>
          </w:p>
        </w:tc>
        <w:tc>
          <w:tcPr>
            <w:tcW w:w="1133" w:type="dxa"/>
            <w:vAlign w:val="top"/>
          </w:tcPr>
          <w:p w14:paraId="13C68FE7">
            <w:pPr>
              <w:rPr>
                <w:rFonts w:ascii="Arial"/>
                <w:color w:val="auto"/>
                <w:sz w:val="21"/>
                <w:highlight w:val="none"/>
              </w:rPr>
            </w:pPr>
          </w:p>
        </w:tc>
        <w:tc>
          <w:tcPr>
            <w:tcW w:w="1132" w:type="dxa"/>
            <w:vAlign w:val="top"/>
          </w:tcPr>
          <w:p w14:paraId="1AC1D2FF">
            <w:pPr>
              <w:rPr>
                <w:rFonts w:ascii="Arial"/>
                <w:color w:val="auto"/>
                <w:sz w:val="21"/>
                <w:highlight w:val="none"/>
              </w:rPr>
            </w:pPr>
          </w:p>
        </w:tc>
        <w:tc>
          <w:tcPr>
            <w:tcW w:w="1132" w:type="dxa"/>
            <w:vAlign w:val="top"/>
          </w:tcPr>
          <w:p w14:paraId="1E96C3E6">
            <w:pPr>
              <w:rPr>
                <w:rFonts w:ascii="Arial"/>
                <w:color w:val="auto"/>
                <w:sz w:val="21"/>
                <w:highlight w:val="none"/>
              </w:rPr>
            </w:pPr>
          </w:p>
        </w:tc>
        <w:tc>
          <w:tcPr>
            <w:tcW w:w="1132" w:type="dxa"/>
            <w:vAlign w:val="top"/>
          </w:tcPr>
          <w:p w14:paraId="3A29180C">
            <w:pPr>
              <w:rPr>
                <w:rFonts w:ascii="Arial"/>
                <w:color w:val="auto"/>
                <w:sz w:val="21"/>
                <w:highlight w:val="none"/>
              </w:rPr>
            </w:pPr>
          </w:p>
        </w:tc>
        <w:tc>
          <w:tcPr>
            <w:tcW w:w="801" w:type="dxa"/>
            <w:vAlign w:val="top"/>
          </w:tcPr>
          <w:p w14:paraId="531D4618">
            <w:pPr>
              <w:rPr>
                <w:rFonts w:ascii="Arial"/>
                <w:color w:val="auto"/>
                <w:sz w:val="21"/>
                <w:highlight w:val="none"/>
              </w:rPr>
            </w:pPr>
          </w:p>
        </w:tc>
        <w:tc>
          <w:tcPr>
            <w:tcW w:w="799" w:type="dxa"/>
            <w:vAlign w:val="top"/>
          </w:tcPr>
          <w:p w14:paraId="5C83B7A3">
            <w:pPr>
              <w:rPr>
                <w:rFonts w:ascii="Arial"/>
                <w:color w:val="auto"/>
                <w:sz w:val="21"/>
                <w:highlight w:val="none"/>
              </w:rPr>
            </w:pPr>
          </w:p>
        </w:tc>
      </w:tr>
      <w:tr w14:paraId="4D679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672" w:type="dxa"/>
            <w:vAlign w:val="top"/>
          </w:tcPr>
          <w:p w14:paraId="15D59A49">
            <w:pPr>
              <w:rPr>
                <w:rFonts w:ascii="Arial"/>
                <w:color w:val="auto"/>
                <w:sz w:val="21"/>
                <w:highlight w:val="none"/>
              </w:rPr>
            </w:pPr>
          </w:p>
        </w:tc>
        <w:tc>
          <w:tcPr>
            <w:tcW w:w="1133" w:type="dxa"/>
            <w:vAlign w:val="top"/>
          </w:tcPr>
          <w:p w14:paraId="26FC7399">
            <w:pPr>
              <w:rPr>
                <w:rFonts w:ascii="Arial"/>
                <w:color w:val="auto"/>
                <w:sz w:val="21"/>
                <w:highlight w:val="none"/>
              </w:rPr>
            </w:pPr>
          </w:p>
        </w:tc>
        <w:tc>
          <w:tcPr>
            <w:tcW w:w="1132" w:type="dxa"/>
            <w:vAlign w:val="top"/>
          </w:tcPr>
          <w:p w14:paraId="56E0B40E">
            <w:pPr>
              <w:rPr>
                <w:rFonts w:ascii="Arial"/>
                <w:color w:val="auto"/>
                <w:sz w:val="21"/>
                <w:highlight w:val="none"/>
              </w:rPr>
            </w:pPr>
          </w:p>
        </w:tc>
        <w:tc>
          <w:tcPr>
            <w:tcW w:w="1132" w:type="dxa"/>
            <w:vAlign w:val="top"/>
          </w:tcPr>
          <w:p w14:paraId="6E7F33F4">
            <w:pPr>
              <w:rPr>
                <w:rFonts w:ascii="Arial"/>
                <w:color w:val="auto"/>
                <w:sz w:val="21"/>
                <w:highlight w:val="none"/>
              </w:rPr>
            </w:pPr>
          </w:p>
        </w:tc>
        <w:tc>
          <w:tcPr>
            <w:tcW w:w="1133" w:type="dxa"/>
            <w:vAlign w:val="top"/>
          </w:tcPr>
          <w:p w14:paraId="33359942">
            <w:pPr>
              <w:rPr>
                <w:rFonts w:ascii="Arial"/>
                <w:color w:val="auto"/>
                <w:sz w:val="21"/>
                <w:highlight w:val="none"/>
              </w:rPr>
            </w:pPr>
          </w:p>
        </w:tc>
        <w:tc>
          <w:tcPr>
            <w:tcW w:w="1132" w:type="dxa"/>
            <w:vAlign w:val="top"/>
          </w:tcPr>
          <w:p w14:paraId="19E1F28A">
            <w:pPr>
              <w:rPr>
                <w:rFonts w:ascii="Arial"/>
                <w:color w:val="auto"/>
                <w:sz w:val="21"/>
                <w:highlight w:val="none"/>
              </w:rPr>
            </w:pPr>
          </w:p>
        </w:tc>
        <w:tc>
          <w:tcPr>
            <w:tcW w:w="1132" w:type="dxa"/>
            <w:vAlign w:val="top"/>
          </w:tcPr>
          <w:p w14:paraId="6144AA9B">
            <w:pPr>
              <w:rPr>
                <w:rFonts w:ascii="Arial"/>
                <w:color w:val="auto"/>
                <w:sz w:val="21"/>
                <w:highlight w:val="none"/>
              </w:rPr>
            </w:pPr>
          </w:p>
        </w:tc>
        <w:tc>
          <w:tcPr>
            <w:tcW w:w="1132" w:type="dxa"/>
            <w:vAlign w:val="top"/>
          </w:tcPr>
          <w:p w14:paraId="362B819A">
            <w:pPr>
              <w:rPr>
                <w:rFonts w:ascii="Arial"/>
                <w:color w:val="auto"/>
                <w:sz w:val="21"/>
                <w:highlight w:val="none"/>
              </w:rPr>
            </w:pPr>
          </w:p>
        </w:tc>
        <w:tc>
          <w:tcPr>
            <w:tcW w:w="801" w:type="dxa"/>
            <w:vAlign w:val="top"/>
          </w:tcPr>
          <w:p w14:paraId="3CAC1D7F">
            <w:pPr>
              <w:rPr>
                <w:rFonts w:ascii="Arial"/>
                <w:color w:val="auto"/>
                <w:sz w:val="21"/>
                <w:highlight w:val="none"/>
              </w:rPr>
            </w:pPr>
          </w:p>
        </w:tc>
        <w:tc>
          <w:tcPr>
            <w:tcW w:w="799" w:type="dxa"/>
            <w:vAlign w:val="top"/>
          </w:tcPr>
          <w:p w14:paraId="410A39E2">
            <w:pPr>
              <w:rPr>
                <w:rFonts w:ascii="Arial"/>
                <w:color w:val="auto"/>
                <w:sz w:val="21"/>
                <w:highlight w:val="none"/>
              </w:rPr>
            </w:pPr>
          </w:p>
        </w:tc>
      </w:tr>
      <w:tr w14:paraId="65614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672" w:type="dxa"/>
            <w:vAlign w:val="top"/>
          </w:tcPr>
          <w:p w14:paraId="2F289216">
            <w:pPr>
              <w:rPr>
                <w:rFonts w:ascii="Arial"/>
                <w:color w:val="auto"/>
                <w:sz w:val="21"/>
                <w:highlight w:val="none"/>
              </w:rPr>
            </w:pPr>
          </w:p>
        </w:tc>
        <w:tc>
          <w:tcPr>
            <w:tcW w:w="1133" w:type="dxa"/>
            <w:vAlign w:val="top"/>
          </w:tcPr>
          <w:p w14:paraId="600A8D65">
            <w:pPr>
              <w:rPr>
                <w:rFonts w:ascii="Arial"/>
                <w:color w:val="auto"/>
                <w:sz w:val="21"/>
                <w:highlight w:val="none"/>
              </w:rPr>
            </w:pPr>
          </w:p>
        </w:tc>
        <w:tc>
          <w:tcPr>
            <w:tcW w:w="1132" w:type="dxa"/>
            <w:vAlign w:val="top"/>
          </w:tcPr>
          <w:p w14:paraId="781D9708">
            <w:pPr>
              <w:rPr>
                <w:rFonts w:ascii="Arial"/>
                <w:color w:val="auto"/>
                <w:sz w:val="21"/>
                <w:highlight w:val="none"/>
              </w:rPr>
            </w:pPr>
          </w:p>
        </w:tc>
        <w:tc>
          <w:tcPr>
            <w:tcW w:w="1132" w:type="dxa"/>
            <w:vAlign w:val="top"/>
          </w:tcPr>
          <w:p w14:paraId="6ABE36CC">
            <w:pPr>
              <w:rPr>
                <w:rFonts w:ascii="Arial"/>
                <w:color w:val="auto"/>
                <w:sz w:val="21"/>
                <w:highlight w:val="none"/>
              </w:rPr>
            </w:pPr>
          </w:p>
        </w:tc>
        <w:tc>
          <w:tcPr>
            <w:tcW w:w="1133" w:type="dxa"/>
            <w:vAlign w:val="top"/>
          </w:tcPr>
          <w:p w14:paraId="01B92908">
            <w:pPr>
              <w:rPr>
                <w:rFonts w:ascii="Arial"/>
                <w:color w:val="auto"/>
                <w:sz w:val="21"/>
                <w:highlight w:val="none"/>
              </w:rPr>
            </w:pPr>
          </w:p>
        </w:tc>
        <w:tc>
          <w:tcPr>
            <w:tcW w:w="1132" w:type="dxa"/>
            <w:vAlign w:val="top"/>
          </w:tcPr>
          <w:p w14:paraId="1D98FB60">
            <w:pPr>
              <w:rPr>
                <w:rFonts w:ascii="Arial"/>
                <w:color w:val="auto"/>
                <w:sz w:val="21"/>
                <w:highlight w:val="none"/>
              </w:rPr>
            </w:pPr>
          </w:p>
        </w:tc>
        <w:tc>
          <w:tcPr>
            <w:tcW w:w="1132" w:type="dxa"/>
            <w:vAlign w:val="top"/>
          </w:tcPr>
          <w:p w14:paraId="16F09EB7">
            <w:pPr>
              <w:rPr>
                <w:rFonts w:ascii="Arial"/>
                <w:color w:val="auto"/>
                <w:sz w:val="21"/>
                <w:highlight w:val="none"/>
              </w:rPr>
            </w:pPr>
          </w:p>
        </w:tc>
        <w:tc>
          <w:tcPr>
            <w:tcW w:w="1132" w:type="dxa"/>
            <w:vAlign w:val="top"/>
          </w:tcPr>
          <w:p w14:paraId="0CE92763">
            <w:pPr>
              <w:rPr>
                <w:rFonts w:ascii="Arial"/>
                <w:color w:val="auto"/>
                <w:sz w:val="21"/>
                <w:highlight w:val="none"/>
              </w:rPr>
            </w:pPr>
          </w:p>
        </w:tc>
        <w:tc>
          <w:tcPr>
            <w:tcW w:w="801" w:type="dxa"/>
            <w:vAlign w:val="top"/>
          </w:tcPr>
          <w:p w14:paraId="67F3F1B6">
            <w:pPr>
              <w:rPr>
                <w:rFonts w:ascii="Arial"/>
                <w:color w:val="auto"/>
                <w:sz w:val="21"/>
                <w:highlight w:val="none"/>
              </w:rPr>
            </w:pPr>
          </w:p>
        </w:tc>
        <w:tc>
          <w:tcPr>
            <w:tcW w:w="799" w:type="dxa"/>
            <w:vAlign w:val="top"/>
          </w:tcPr>
          <w:p w14:paraId="5CBC2234">
            <w:pPr>
              <w:rPr>
                <w:rFonts w:ascii="Arial"/>
                <w:color w:val="auto"/>
                <w:sz w:val="21"/>
                <w:highlight w:val="none"/>
              </w:rPr>
            </w:pPr>
          </w:p>
        </w:tc>
      </w:tr>
      <w:tr w14:paraId="1FA8B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672" w:type="dxa"/>
            <w:vAlign w:val="top"/>
          </w:tcPr>
          <w:p w14:paraId="7EDFE9C4">
            <w:pPr>
              <w:rPr>
                <w:rFonts w:ascii="Arial"/>
                <w:color w:val="auto"/>
                <w:sz w:val="21"/>
                <w:highlight w:val="none"/>
              </w:rPr>
            </w:pPr>
          </w:p>
        </w:tc>
        <w:tc>
          <w:tcPr>
            <w:tcW w:w="1133" w:type="dxa"/>
            <w:vAlign w:val="top"/>
          </w:tcPr>
          <w:p w14:paraId="248B1A16">
            <w:pPr>
              <w:rPr>
                <w:rFonts w:ascii="Arial"/>
                <w:color w:val="auto"/>
                <w:sz w:val="21"/>
                <w:highlight w:val="none"/>
              </w:rPr>
            </w:pPr>
          </w:p>
        </w:tc>
        <w:tc>
          <w:tcPr>
            <w:tcW w:w="1132" w:type="dxa"/>
            <w:vAlign w:val="top"/>
          </w:tcPr>
          <w:p w14:paraId="776038C4">
            <w:pPr>
              <w:rPr>
                <w:rFonts w:ascii="Arial"/>
                <w:color w:val="auto"/>
                <w:sz w:val="21"/>
                <w:highlight w:val="none"/>
              </w:rPr>
            </w:pPr>
          </w:p>
        </w:tc>
        <w:tc>
          <w:tcPr>
            <w:tcW w:w="1132" w:type="dxa"/>
            <w:vAlign w:val="top"/>
          </w:tcPr>
          <w:p w14:paraId="325CC75A">
            <w:pPr>
              <w:rPr>
                <w:rFonts w:ascii="Arial"/>
                <w:color w:val="auto"/>
                <w:sz w:val="21"/>
                <w:highlight w:val="none"/>
              </w:rPr>
            </w:pPr>
          </w:p>
        </w:tc>
        <w:tc>
          <w:tcPr>
            <w:tcW w:w="1133" w:type="dxa"/>
            <w:vAlign w:val="top"/>
          </w:tcPr>
          <w:p w14:paraId="4CB87F3B">
            <w:pPr>
              <w:rPr>
                <w:rFonts w:ascii="Arial"/>
                <w:color w:val="auto"/>
                <w:sz w:val="21"/>
                <w:highlight w:val="none"/>
              </w:rPr>
            </w:pPr>
          </w:p>
        </w:tc>
        <w:tc>
          <w:tcPr>
            <w:tcW w:w="1132" w:type="dxa"/>
            <w:vAlign w:val="top"/>
          </w:tcPr>
          <w:p w14:paraId="1E6169C2">
            <w:pPr>
              <w:rPr>
                <w:rFonts w:ascii="Arial"/>
                <w:color w:val="auto"/>
                <w:sz w:val="21"/>
                <w:highlight w:val="none"/>
              </w:rPr>
            </w:pPr>
          </w:p>
        </w:tc>
        <w:tc>
          <w:tcPr>
            <w:tcW w:w="1132" w:type="dxa"/>
            <w:vAlign w:val="top"/>
          </w:tcPr>
          <w:p w14:paraId="49D4199E">
            <w:pPr>
              <w:rPr>
                <w:rFonts w:ascii="Arial"/>
                <w:color w:val="auto"/>
                <w:sz w:val="21"/>
                <w:highlight w:val="none"/>
              </w:rPr>
            </w:pPr>
          </w:p>
        </w:tc>
        <w:tc>
          <w:tcPr>
            <w:tcW w:w="1132" w:type="dxa"/>
            <w:vAlign w:val="top"/>
          </w:tcPr>
          <w:p w14:paraId="1756A6F0">
            <w:pPr>
              <w:rPr>
                <w:rFonts w:ascii="Arial"/>
                <w:color w:val="auto"/>
                <w:sz w:val="21"/>
                <w:highlight w:val="none"/>
              </w:rPr>
            </w:pPr>
          </w:p>
        </w:tc>
        <w:tc>
          <w:tcPr>
            <w:tcW w:w="801" w:type="dxa"/>
            <w:vAlign w:val="top"/>
          </w:tcPr>
          <w:p w14:paraId="3D695642">
            <w:pPr>
              <w:rPr>
                <w:rFonts w:ascii="Arial"/>
                <w:color w:val="auto"/>
                <w:sz w:val="21"/>
                <w:highlight w:val="none"/>
              </w:rPr>
            </w:pPr>
          </w:p>
        </w:tc>
        <w:tc>
          <w:tcPr>
            <w:tcW w:w="799" w:type="dxa"/>
            <w:vAlign w:val="top"/>
          </w:tcPr>
          <w:p w14:paraId="1CB2D809">
            <w:pPr>
              <w:rPr>
                <w:rFonts w:ascii="Arial"/>
                <w:color w:val="auto"/>
                <w:sz w:val="21"/>
                <w:highlight w:val="none"/>
              </w:rPr>
            </w:pPr>
          </w:p>
        </w:tc>
      </w:tr>
      <w:tr w14:paraId="70444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672" w:type="dxa"/>
            <w:vAlign w:val="top"/>
          </w:tcPr>
          <w:p w14:paraId="2E3F9C62">
            <w:pPr>
              <w:rPr>
                <w:rFonts w:ascii="Arial"/>
                <w:color w:val="auto"/>
                <w:sz w:val="21"/>
                <w:highlight w:val="none"/>
              </w:rPr>
            </w:pPr>
          </w:p>
        </w:tc>
        <w:tc>
          <w:tcPr>
            <w:tcW w:w="1133" w:type="dxa"/>
            <w:vAlign w:val="top"/>
          </w:tcPr>
          <w:p w14:paraId="6DFCA408">
            <w:pPr>
              <w:rPr>
                <w:rFonts w:ascii="Arial"/>
                <w:color w:val="auto"/>
                <w:sz w:val="21"/>
                <w:highlight w:val="none"/>
              </w:rPr>
            </w:pPr>
          </w:p>
        </w:tc>
        <w:tc>
          <w:tcPr>
            <w:tcW w:w="1132" w:type="dxa"/>
            <w:vAlign w:val="top"/>
          </w:tcPr>
          <w:p w14:paraId="5E433E70">
            <w:pPr>
              <w:rPr>
                <w:rFonts w:ascii="Arial"/>
                <w:color w:val="auto"/>
                <w:sz w:val="21"/>
                <w:highlight w:val="none"/>
              </w:rPr>
            </w:pPr>
          </w:p>
        </w:tc>
        <w:tc>
          <w:tcPr>
            <w:tcW w:w="1132" w:type="dxa"/>
            <w:vAlign w:val="top"/>
          </w:tcPr>
          <w:p w14:paraId="7EAF0BCF">
            <w:pPr>
              <w:rPr>
                <w:rFonts w:ascii="Arial"/>
                <w:color w:val="auto"/>
                <w:sz w:val="21"/>
                <w:highlight w:val="none"/>
              </w:rPr>
            </w:pPr>
          </w:p>
        </w:tc>
        <w:tc>
          <w:tcPr>
            <w:tcW w:w="1133" w:type="dxa"/>
            <w:vAlign w:val="top"/>
          </w:tcPr>
          <w:p w14:paraId="7C8A3F6C">
            <w:pPr>
              <w:rPr>
                <w:rFonts w:ascii="Arial"/>
                <w:color w:val="auto"/>
                <w:sz w:val="21"/>
                <w:highlight w:val="none"/>
              </w:rPr>
            </w:pPr>
          </w:p>
        </w:tc>
        <w:tc>
          <w:tcPr>
            <w:tcW w:w="1132" w:type="dxa"/>
            <w:vAlign w:val="top"/>
          </w:tcPr>
          <w:p w14:paraId="1DB7C23D">
            <w:pPr>
              <w:rPr>
                <w:rFonts w:ascii="Arial"/>
                <w:color w:val="auto"/>
                <w:sz w:val="21"/>
                <w:highlight w:val="none"/>
              </w:rPr>
            </w:pPr>
          </w:p>
        </w:tc>
        <w:tc>
          <w:tcPr>
            <w:tcW w:w="1132" w:type="dxa"/>
            <w:vAlign w:val="top"/>
          </w:tcPr>
          <w:p w14:paraId="6E97F3AF">
            <w:pPr>
              <w:rPr>
                <w:rFonts w:ascii="Arial"/>
                <w:color w:val="auto"/>
                <w:sz w:val="21"/>
                <w:highlight w:val="none"/>
              </w:rPr>
            </w:pPr>
          </w:p>
        </w:tc>
        <w:tc>
          <w:tcPr>
            <w:tcW w:w="1132" w:type="dxa"/>
            <w:vAlign w:val="top"/>
          </w:tcPr>
          <w:p w14:paraId="04F8E180">
            <w:pPr>
              <w:rPr>
                <w:rFonts w:ascii="Arial"/>
                <w:color w:val="auto"/>
                <w:sz w:val="21"/>
                <w:highlight w:val="none"/>
              </w:rPr>
            </w:pPr>
          </w:p>
        </w:tc>
        <w:tc>
          <w:tcPr>
            <w:tcW w:w="801" w:type="dxa"/>
            <w:vAlign w:val="top"/>
          </w:tcPr>
          <w:p w14:paraId="4825DA3D">
            <w:pPr>
              <w:rPr>
                <w:rFonts w:ascii="Arial"/>
                <w:color w:val="auto"/>
                <w:sz w:val="21"/>
                <w:highlight w:val="none"/>
              </w:rPr>
            </w:pPr>
          </w:p>
        </w:tc>
        <w:tc>
          <w:tcPr>
            <w:tcW w:w="799" w:type="dxa"/>
            <w:vAlign w:val="top"/>
          </w:tcPr>
          <w:p w14:paraId="2243D80B">
            <w:pPr>
              <w:rPr>
                <w:rFonts w:ascii="Arial"/>
                <w:color w:val="auto"/>
                <w:sz w:val="21"/>
                <w:highlight w:val="none"/>
              </w:rPr>
            </w:pPr>
          </w:p>
        </w:tc>
      </w:tr>
      <w:tr w14:paraId="7B273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jc w:val="center"/>
        </w:trPr>
        <w:tc>
          <w:tcPr>
            <w:tcW w:w="10198" w:type="dxa"/>
            <w:gridSpan w:val="10"/>
            <w:vAlign w:val="top"/>
          </w:tcPr>
          <w:p w14:paraId="4109C2B8">
            <w:pPr>
              <w:pStyle w:val="16"/>
              <w:spacing w:before="35" w:line="232" w:lineRule="auto"/>
              <w:ind w:left="115"/>
              <w:rPr>
                <w:color w:val="auto"/>
                <w:sz w:val="20"/>
                <w:szCs w:val="20"/>
                <w:highlight w:val="none"/>
              </w:rPr>
            </w:pPr>
            <w:r>
              <w:rPr>
                <w:b/>
                <w:bCs/>
                <w:color w:val="auto"/>
                <w:spacing w:val="-2"/>
                <w:sz w:val="20"/>
                <w:szCs w:val="20"/>
                <w:highlight w:val="none"/>
              </w:rPr>
              <w:t>注：</w:t>
            </w:r>
          </w:p>
          <w:p w14:paraId="6914FF82">
            <w:pPr>
              <w:pStyle w:val="16"/>
              <w:spacing w:before="19" w:line="239" w:lineRule="auto"/>
              <w:ind w:left="117" w:right="108" w:firstLine="13"/>
              <w:rPr>
                <w:color w:val="auto"/>
                <w:sz w:val="20"/>
                <w:szCs w:val="20"/>
                <w:highlight w:val="none"/>
              </w:rPr>
            </w:pPr>
            <w:r>
              <w:rPr>
                <w:b/>
                <w:bCs/>
                <w:color w:val="auto"/>
                <w:spacing w:val="12"/>
                <w:sz w:val="20"/>
                <w:szCs w:val="20"/>
                <w:highlight w:val="none"/>
              </w:rPr>
              <w:t>1、在编制投标文件时，投标人须自行填写投标产品参数，并进行详细参数描述</w:t>
            </w:r>
            <w:r>
              <w:rPr>
                <w:rFonts w:hint="eastAsia"/>
                <w:b/>
                <w:bCs/>
                <w:color w:val="auto"/>
                <w:spacing w:val="12"/>
                <w:sz w:val="20"/>
                <w:szCs w:val="20"/>
                <w:highlight w:val="none"/>
                <w:lang w:eastAsia="zh-CN"/>
              </w:rPr>
              <w:t>，</w:t>
            </w:r>
            <w:r>
              <w:rPr>
                <w:rFonts w:hint="eastAsia"/>
                <w:b/>
                <w:bCs/>
                <w:color w:val="auto"/>
                <w:spacing w:val="12"/>
                <w:sz w:val="20"/>
                <w:szCs w:val="20"/>
                <w:highlight w:val="none"/>
                <w:lang w:val="en-US" w:eastAsia="zh-CN"/>
              </w:rPr>
              <w:t>描述不清的参数依据负偏离扣分</w:t>
            </w:r>
            <w:r>
              <w:rPr>
                <w:b/>
                <w:bCs/>
                <w:color w:val="auto"/>
                <w:spacing w:val="12"/>
                <w:sz w:val="20"/>
                <w:szCs w:val="20"/>
                <w:highlight w:val="none"/>
              </w:rPr>
              <w:t>；</w:t>
            </w:r>
            <w:r>
              <w:rPr>
                <w:b/>
                <w:bCs/>
                <w:color w:val="auto"/>
                <w:spacing w:val="11"/>
                <w:sz w:val="20"/>
                <w:szCs w:val="20"/>
                <w:highlight w:val="none"/>
              </w:rPr>
              <w:t>禁止投标人原文复制招标</w:t>
            </w:r>
            <w:r>
              <w:rPr>
                <w:b/>
                <w:bCs/>
                <w:color w:val="auto"/>
                <w:spacing w:val="1"/>
                <w:sz w:val="20"/>
                <w:szCs w:val="20"/>
                <w:highlight w:val="none"/>
              </w:rPr>
              <w:t>参数</w:t>
            </w:r>
            <w:r>
              <w:rPr>
                <w:rFonts w:hint="eastAsia" w:hAnsi="宋体" w:cs="宋体"/>
                <w:color w:val="auto"/>
                <w:sz w:val="24"/>
                <w:highlight w:val="none"/>
              </w:rPr>
              <w:t>，</w:t>
            </w:r>
            <w:r>
              <w:rPr>
                <w:rFonts w:hint="eastAsia"/>
                <w:b/>
                <w:bCs/>
                <w:color w:val="auto"/>
                <w:spacing w:val="8"/>
                <w:sz w:val="20"/>
                <w:szCs w:val="20"/>
                <w:highlight w:val="none"/>
              </w:rPr>
              <w:t>直接复制黏贴参数，视为负偏离。</w:t>
            </w:r>
          </w:p>
          <w:p w14:paraId="4758E852">
            <w:pPr>
              <w:pStyle w:val="16"/>
              <w:spacing w:before="26" w:line="227" w:lineRule="auto"/>
              <w:ind w:left="117"/>
              <w:rPr>
                <w:color w:val="auto"/>
                <w:sz w:val="20"/>
                <w:szCs w:val="20"/>
                <w:highlight w:val="none"/>
              </w:rPr>
            </w:pPr>
            <w:r>
              <w:rPr>
                <w:b/>
                <w:bCs/>
                <w:color w:val="auto"/>
                <w:spacing w:val="8"/>
                <w:sz w:val="20"/>
                <w:szCs w:val="20"/>
                <w:highlight w:val="none"/>
              </w:rPr>
              <w:t>2、投标文件中描述的投标产品参数与投标人提供的产品实物必须完全吻合，严禁以次充好。</w:t>
            </w:r>
          </w:p>
          <w:p w14:paraId="69AEBCFE">
            <w:pPr>
              <w:pStyle w:val="16"/>
              <w:spacing w:before="25" w:line="227" w:lineRule="auto"/>
              <w:ind w:left="119"/>
              <w:rPr>
                <w:color w:val="auto"/>
                <w:sz w:val="20"/>
                <w:szCs w:val="20"/>
                <w:highlight w:val="none"/>
              </w:rPr>
            </w:pPr>
            <w:r>
              <w:rPr>
                <w:b/>
                <w:bCs/>
                <w:color w:val="auto"/>
                <w:spacing w:val="8"/>
                <w:sz w:val="20"/>
                <w:szCs w:val="20"/>
                <w:highlight w:val="none"/>
              </w:rPr>
              <w:t>3、如投标人违反上述规定，评标委员会将否决其投标，并承担由此给采购人造成的一切损失。</w:t>
            </w:r>
          </w:p>
          <w:p w14:paraId="2798C1A9">
            <w:pPr>
              <w:pStyle w:val="16"/>
              <w:spacing w:before="29"/>
              <w:ind w:left="114" w:right="109"/>
              <w:rPr>
                <w:color w:val="auto"/>
                <w:sz w:val="20"/>
                <w:szCs w:val="20"/>
                <w:highlight w:val="none"/>
              </w:rPr>
            </w:pPr>
            <w:r>
              <w:rPr>
                <w:b/>
                <w:bCs/>
                <w:color w:val="auto"/>
                <w:spacing w:val="17"/>
                <w:sz w:val="20"/>
                <w:szCs w:val="20"/>
                <w:highlight w:val="none"/>
              </w:rPr>
              <w:t>4、正偏差的印证资料包括产品说明书或第三方出具的产品检测报告或官网产品</w:t>
            </w:r>
            <w:r>
              <w:rPr>
                <w:b/>
                <w:bCs/>
                <w:color w:val="auto"/>
                <w:spacing w:val="16"/>
                <w:sz w:val="20"/>
                <w:szCs w:val="20"/>
                <w:highlight w:val="none"/>
              </w:rPr>
              <w:t>宣传网页截图及网页链接</w:t>
            </w:r>
            <w:r>
              <w:rPr>
                <w:color w:val="auto"/>
                <w:sz w:val="20"/>
                <w:szCs w:val="20"/>
                <w:highlight w:val="none"/>
              </w:rPr>
              <w:t xml:space="preserve"> </w:t>
            </w:r>
            <w:r>
              <w:rPr>
                <w:b/>
                <w:bCs/>
                <w:color w:val="auto"/>
                <w:spacing w:val="9"/>
                <w:sz w:val="20"/>
                <w:szCs w:val="20"/>
                <w:highlight w:val="none"/>
              </w:rPr>
              <w:t>等；印证资料可以附件形式提供，表格内填写对应附件页码；</w:t>
            </w:r>
            <w:r>
              <w:rPr>
                <w:color w:val="auto"/>
                <w:spacing w:val="-57"/>
                <w:sz w:val="20"/>
                <w:szCs w:val="20"/>
                <w:highlight w:val="none"/>
              </w:rPr>
              <w:t xml:space="preserve"> </w:t>
            </w:r>
            <w:r>
              <w:rPr>
                <w:b/>
                <w:bCs/>
                <w:color w:val="auto"/>
                <w:spacing w:val="9"/>
                <w:sz w:val="20"/>
                <w:szCs w:val="20"/>
                <w:highlight w:val="none"/>
              </w:rPr>
              <w:t>印证资料内容须清晰可辨；正偏离印证资料不</w:t>
            </w:r>
            <w:r>
              <w:rPr>
                <w:color w:val="auto"/>
                <w:sz w:val="20"/>
                <w:szCs w:val="20"/>
                <w:highlight w:val="none"/>
              </w:rPr>
              <w:t xml:space="preserve">  </w:t>
            </w:r>
            <w:r>
              <w:rPr>
                <w:b/>
                <w:bCs/>
                <w:color w:val="auto"/>
                <w:spacing w:val="6"/>
                <w:sz w:val="20"/>
                <w:szCs w:val="20"/>
                <w:highlight w:val="none"/>
              </w:rPr>
              <w:t>满足前述要求的，不得分；</w:t>
            </w:r>
          </w:p>
        </w:tc>
      </w:tr>
    </w:tbl>
    <w:p w14:paraId="4EF81CAA">
      <w:pPr>
        <w:pStyle w:val="4"/>
        <w:spacing w:line="274" w:lineRule="auto"/>
        <w:rPr>
          <w:color w:val="auto"/>
          <w:highlight w:val="none"/>
        </w:rPr>
      </w:pPr>
    </w:p>
    <w:p w14:paraId="45208D8F">
      <w:pPr>
        <w:spacing w:before="65" w:line="228" w:lineRule="auto"/>
        <w:ind w:left="68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法定代表人或其委托代理人签字</w:t>
      </w:r>
      <w:r>
        <w:rPr>
          <w:rFonts w:ascii="宋体" w:hAnsi="宋体" w:eastAsia="宋体" w:cs="宋体"/>
          <w:color w:val="auto"/>
          <w:spacing w:val="-56"/>
          <w:sz w:val="21"/>
          <w:szCs w:val="21"/>
          <w:highlight w:val="none"/>
        </w:rPr>
        <w:t xml:space="preserve"> </w:t>
      </w:r>
      <w:r>
        <w:rPr>
          <w:rFonts w:ascii="宋体" w:hAnsi="宋体" w:eastAsia="宋体" w:cs="宋体"/>
          <w:color w:val="auto"/>
          <w:spacing w:val="6"/>
          <w:sz w:val="21"/>
          <w:szCs w:val="21"/>
          <w:highlight w:val="none"/>
        </w:rPr>
        <w:t>:</w:t>
      </w:r>
      <w:r>
        <w:rPr>
          <w:rFonts w:ascii="宋体" w:hAnsi="宋体" w:eastAsia="宋体" w:cs="宋体"/>
          <w:color w:val="auto"/>
          <w:sz w:val="21"/>
          <w:szCs w:val="21"/>
          <w:highlight w:val="none"/>
          <w:u w:val="single" w:color="auto"/>
        </w:rPr>
        <w:t xml:space="preserve">                         </w:t>
      </w:r>
    </w:p>
    <w:p w14:paraId="7A95E4C9">
      <w:pPr>
        <w:spacing w:before="298" w:line="227" w:lineRule="auto"/>
        <w:ind w:left="69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投标人(盖单位章)</w:t>
      </w:r>
      <w:r>
        <w:rPr>
          <w:rFonts w:ascii="宋体" w:hAnsi="宋体" w:eastAsia="宋体" w:cs="宋体"/>
          <w:color w:val="auto"/>
          <w:spacing w:val="-47"/>
          <w:sz w:val="21"/>
          <w:szCs w:val="21"/>
          <w:highlight w:val="none"/>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u w:val="single" w:color="auto"/>
        </w:rPr>
        <w:t xml:space="preserve">                              </w:t>
      </w:r>
    </w:p>
    <w:p w14:paraId="2DEB26AF">
      <w:pPr>
        <w:spacing w:line="319" w:lineRule="auto"/>
        <w:ind w:firstLine="630" w:firstLineChars="300"/>
        <w:rPr>
          <w:rFonts w:ascii="Arial"/>
          <w:color w:val="auto"/>
          <w:sz w:val="21"/>
          <w:highlight w:val="none"/>
        </w:rPr>
      </w:pPr>
      <w:r>
        <w:rPr>
          <w:rFonts w:ascii="宋体" w:hAnsi="宋体" w:eastAsia="宋体" w:cs="宋体"/>
          <w:color w:val="auto"/>
          <w:sz w:val="21"/>
          <w:szCs w:val="21"/>
          <w:highlight w:val="none"/>
        </w:rPr>
        <w:t>投标人保证：除技术规格偏差表列出的偏差外，投标人响</w:t>
      </w:r>
      <w:r>
        <w:rPr>
          <w:rFonts w:ascii="宋体" w:hAnsi="宋体" w:eastAsia="宋体" w:cs="宋体"/>
          <w:color w:val="auto"/>
          <w:spacing w:val="-1"/>
          <w:sz w:val="21"/>
          <w:szCs w:val="21"/>
          <w:highlight w:val="none"/>
        </w:rPr>
        <w:t>应招标文件的全部要求</w:t>
      </w:r>
      <w:r>
        <w:rPr>
          <w:rFonts w:ascii="宋体" w:hAnsi="宋体" w:eastAsia="宋体" w:cs="宋体"/>
          <w:color w:val="auto"/>
          <w:spacing w:val="-1"/>
          <w:sz w:val="22"/>
          <w:szCs w:val="22"/>
          <w:highlight w:val="none"/>
        </w:rPr>
        <w:t>。</w:t>
      </w:r>
    </w:p>
    <w:p w14:paraId="48428D98">
      <w:pPr>
        <w:spacing w:line="319" w:lineRule="auto"/>
        <w:rPr>
          <w:rFonts w:ascii="Arial"/>
          <w:color w:val="auto"/>
          <w:sz w:val="21"/>
          <w:highlight w:val="none"/>
        </w:rPr>
      </w:pPr>
    </w:p>
    <w:p w14:paraId="0233476D">
      <w:pPr>
        <w:pStyle w:val="10"/>
        <w:rPr>
          <w:rFonts w:ascii="Arial"/>
          <w:color w:val="auto"/>
          <w:sz w:val="21"/>
          <w:highlight w:val="none"/>
        </w:rPr>
      </w:pPr>
    </w:p>
    <w:p w14:paraId="09341753">
      <w:pPr>
        <w:pStyle w:val="11"/>
        <w:rPr>
          <w:rFonts w:ascii="Arial"/>
          <w:color w:val="auto"/>
          <w:sz w:val="21"/>
          <w:highlight w:val="none"/>
        </w:rPr>
      </w:pPr>
    </w:p>
    <w:p w14:paraId="2C554521">
      <w:pPr>
        <w:rPr>
          <w:color w:val="auto"/>
          <w:highlight w:val="none"/>
        </w:rPr>
      </w:pPr>
    </w:p>
    <w:p w14:paraId="5051659F">
      <w:pPr>
        <w:spacing w:line="320" w:lineRule="auto"/>
        <w:rPr>
          <w:rFonts w:ascii="Arial"/>
          <w:color w:val="auto"/>
          <w:sz w:val="21"/>
          <w:highlight w:val="none"/>
        </w:rPr>
      </w:pPr>
    </w:p>
    <w:p w14:paraId="7ABF07DF">
      <w:pPr>
        <w:pStyle w:val="4"/>
        <w:spacing w:before="120" w:line="188" w:lineRule="auto"/>
        <w:ind w:left="3646"/>
        <w:rPr>
          <w:color w:val="auto"/>
          <w:sz w:val="28"/>
          <w:szCs w:val="28"/>
          <w:highlight w:val="none"/>
        </w:rPr>
      </w:pPr>
      <w:r>
        <w:rPr>
          <w:b/>
          <w:bCs/>
          <w:color w:val="auto"/>
          <w:spacing w:val="-4"/>
          <w:sz w:val="28"/>
          <w:szCs w:val="28"/>
          <w:highlight w:val="none"/>
        </w:rPr>
        <w:t>2、货物的详细配置清单</w:t>
      </w:r>
    </w:p>
    <w:p w14:paraId="4F5585FA">
      <w:pPr>
        <w:spacing w:before="6"/>
        <w:rPr>
          <w:color w:val="auto"/>
          <w:highlight w:val="none"/>
        </w:rPr>
      </w:pPr>
    </w:p>
    <w:tbl>
      <w:tblPr>
        <w:tblStyle w:val="15"/>
        <w:tblW w:w="10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1370"/>
        <w:gridCol w:w="1596"/>
        <w:gridCol w:w="1051"/>
        <w:gridCol w:w="1556"/>
        <w:gridCol w:w="1696"/>
        <w:gridCol w:w="2133"/>
      </w:tblGrid>
      <w:tr w14:paraId="3C1A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793" w:type="dxa"/>
            <w:vAlign w:val="top"/>
          </w:tcPr>
          <w:p w14:paraId="2DF16CE0">
            <w:pPr>
              <w:pStyle w:val="16"/>
              <w:spacing w:before="118" w:line="225" w:lineRule="auto"/>
              <w:ind w:left="165"/>
              <w:rPr>
                <w:color w:val="auto"/>
                <w:highlight w:val="none"/>
              </w:rPr>
            </w:pPr>
            <w:r>
              <w:rPr>
                <w:color w:val="auto"/>
                <w:spacing w:val="-4"/>
                <w:highlight w:val="none"/>
              </w:rPr>
              <w:t>序号</w:t>
            </w:r>
          </w:p>
        </w:tc>
        <w:tc>
          <w:tcPr>
            <w:tcW w:w="1370" w:type="dxa"/>
            <w:vAlign w:val="top"/>
          </w:tcPr>
          <w:p w14:paraId="3EB3937F">
            <w:pPr>
              <w:pStyle w:val="16"/>
              <w:spacing w:before="118" w:line="226" w:lineRule="auto"/>
              <w:ind w:left="453"/>
              <w:rPr>
                <w:color w:val="auto"/>
                <w:highlight w:val="none"/>
              </w:rPr>
            </w:pPr>
            <w:r>
              <w:rPr>
                <w:color w:val="auto"/>
                <w:spacing w:val="-5"/>
                <w:highlight w:val="none"/>
              </w:rPr>
              <w:t>名称</w:t>
            </w:r>
          </w:p>
        </w:tc>
        <w:tc>
          <w:tcPr>
            <w:tcW w:w="1596" w:type="dxa"/>
            <w:vAlign w:val="top"/>
          </w:tcPr>
          <w:p w14:paraId="3895FA19">
            <w:pPr>
              <w:pStyle w:val="16"/>
              <w:spacing w:before="118" w:line="224" w:lineRule="auto"/>
              <w:ind w:left="593"/>
              <w:rPr>
                <w:color w:val="auto"/>
                <w:highlight w:val="none"/>
              </w:rPr>
            </w:pPr>
            <w:r>
              <w:rPr>
                <w:color w:val="auto"/>
                <w:spacing w:val="-11"/>
                <w:highlight w:val="none"/>
              </w:rPr>
              <w:t>品牌</w:t>
            </w:r>
          </w:p>
        </w:tc>
        <w:tc>
          <w:tcPr>
            <w:tcW w:w="1051" w:type="dxa"/>
            <w:vAlign w:val="top"/>
          </w:tcPr>
          <w:p w14:paraId="419B723D">
            <w:pPr>
              <w:pStyle w:val="16"/>
              <w:spacing w:before="118" w:line="224" w:lineRule="auto"/>
              <w:ind w:left="297"/>
              <w:rPr>
                <w:color w:val="auto"/>
                <w:highlight w:val="none"/>
              </w:rPr>
            </w:pPr>
            <w:r>
              <w:rPr>
                <w:color w:val="auto"/>
                <w:spacing w:val="-5"/>
                <w:highlight w:val="none"/>
              </w:rPr>
              <w:t>产地</w:t>
            </w:r>
          </w:p>
        </w:tc>
        <w:tc>
          <w:tcPr>
            <w:tcW w:w="1556" w:type="dxa"/>
            <w:vAlign w:val="top"/>
          </w:tcPr>
          <w:p w14:paraId="7851E646">
            <w:pPr>
              <w:pStyle w:val="16"/>
              <w:spacing w:before="118" w:line="224" w:lineRule="auto"/>
              <w:ind w:left="323"/>
              <w:rPr>
                <w:color w:val="auto"/>
                <w:highlight w:val="none"/>
              </w:rPr>
            </w:pPr>
            <w:r>
              <w:rPr>
                <w:color w:val="auto"/>
                <w:spacing w:val="-6"/>
                <w:highlight w:val="none"/>
              </w:rPr>
              <w:t>生产厂家</w:t>
            </w:r>
          </w:p>
        </w:tc>
        <w:tc>
          <w:tcPr>
            <w:tcW w:w="1696" w:type="dxa"/>
            <w:vAlign w:val="top"/>
          </w:tcPr>
          <w:p w14:paraId="3569824B">
            <w:pPr>
              <w:pStyle w:val="16"/>
              <w:spacing w:before="119" w:line="224" w:lineRule="auto"/>
              <w:ind w:left="142"/>
              <w:rPr>
                <w:color w:val="auto"/>
                <w:highlight w:val="none"/>
              </w:rPr>
            </w:pPr>
            <w:r>
              <w:rPr>
                <w:color w:val="auto"/>
                <w:spacing w:val="-3"/>
                <w:highlight w:val="none"/>
              </w:rPr>
              <w:t>详细配置清单</w:t>
            </w:r>
          </w:p>
        </w:tc>
        <w:tc>
          <w:tcPr>
            <w:tcW w:w="2133" w:type="dxa"/>
            <w:vAlign w:val="top"/>
          </w:tcPr>
          <w:p w14:paraId="2F6EB34B">
            <w:pPr>
              <w:pStyle w:val="16"/>
              <w:spacing w:before="118" w:line="224" w:lineRule="auto"/>
              <w:ind w:left="599"/>
              <w:rPr>
                <w:color w:val="auto"/>
                <w:highlight w:val="none"/>
              </w:rPr>
            </w:pPr>
            <w:r>
              <w:rPr>
                <w:color w:val="auto"/>
                <w:spacing w:val="-3"/>
                <w:highlight w:val="none"/>
              </w:rPr>
              <w:t>规格型号</w:t>
            </w:r>
          </w:p>
        </w:tc>
      </w:tr>
      <w:tr w14:paraId="7F93C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793" w:type="dxa"/>
            <w:vAlign w:val="top"/>
          </w:tcPr>
          <w:p w14:paraId="2193B4A7">
            <w:pPr>
              <w:rPr>
                <w:rFonts w:ascii="Arial"/>
                <w:color w:val="auto"/>
                <w:sz w:val="21"/>
                <w:highlight w:val="none"/>
              </w:rPr>
            </w:pPr>
          </w:p>
        </w:tc>
        <w:tc>
          <w:tcPr>
            <w:tcW w:w="1370" w:type="dxa"/>
            <w:vAlign w:val="top"/>
          </w:tcPr>
          <w:p w14:paraId="7B131E4C">
            <w:pPr>
              <w:rPr>
                <w:rFonts w:ascii="Arial"/>
                <w:color w:val="auto"/>
                <w:sz w:val="21"/>
                <w:highlight w:val="none"/>
              </w:rPr>
            </w:pPr>
          </w:p>
        </w:tc>
        <w:tc>
          <w:tcPr>
            <w:tcW w:w="1596" w:type="dxa"/>
            <w:vAlign w:val="top"/>
          </w:tcPr>
          <w:p w14:paraId="0FBD23D1">
            <w:pPr>
              <w:rPr>
                <w:rFonts w:ascii="Arial"/>
                <w:color w:val="auto"/>
                <w:sz w:val="21"/>
                <w:highlight w:val="none"/>
              </w:rPr>
            </w:pPr>
          </w:p>
        </w:tc>
        <w:tc>
          <w:tcPr>
            <w:tcW w:w="1051" w:type="dxa"/>
            <w:vAlign w:val="top"/>
          </w:tcPr>
          <w:p w14:paraId="7087FED1">
            <w:pPr>
              <w:rPr>
                <w:rFonts w:ascii="Arial"/>
                <w:color w:val="auto"/>
                <w:sz w:val="21"/>
                <w:highlight w:val="none"/>
              </w:rPr>
            </w:pPr>
          </w:p>
        </w:tc>
        <w:tc>
          <w:tcPr>
            <w:tcW w:w="1556" w:type="dxa"/>
            <w:vAlign w:val="top"/>
          </w:tcPr>
          <w:p w14:paraId="7A5681F7">
            <w:pPr>
              <w:rPr>
                <w:rFonts w:ascii="Arial"/>
                <w:color w:val="auto"/>
                <w:sz w:val="21"/>
                <w:highlight w:val="none"/>
              </w:rPr>
            </w:pPr>
          </w:p>
        </w:tc>
        <w:tc>
          <w:tcPr>
            <w:tcW w:w="1696" w:type="dxa"/>
            <w:vAlign w:val="top"/>
          </w:tcPr>
          <w:p w14:paraId="0C6C5318">
            <w:pPr>
              <w:rPr>
                <w:rFonts w:ascii="Arial"/>
                <w:color w:val="auto"/>
                <w:sz w:val="21"/>
                <w:highlight w:val="none"/>
              </w:rPr>
            </w:pPr>
          </w:p>
        </w:tc>
        <w:tc>
          <w:tcPr>
            <w:tcW w:w="2133" w:type="dxa"/>
            <w:vAlign w:val="top"/>
          </w:tcPr>
          <w:p w14:paraId="34FB84E7">
            <w:pPr>
              <w:rPr>
                <w:rFonts w:ascii="Arial"/>
                <w:color w:val="auto"/>
                <w:sz w:val="21"/>
                <w:highlight w:val="none"/>
              </w:rPr>
            </w:pPr>
          </w:p>
        </w:tc>
      </w:tr>
      <w:tr w14:paraId="08BC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93" w:type="dxa"/>
            <w:vAlign w:val="top"/>
          </w:tcPr>
          <w:p w14:paraId="1C385BB4">
            <w:pPr>
              <w:rPr>
                <w:rFonts w:ascii="Arial"/>
                <w:color w:val="auto"/>
                <w:sz w:val="21"/>
                <w:highlight w:val="none"/>
              </w:rPr>
            </w:pPr>
          </w:p>
        </w:tc>
        <w:tc>
          <w:tcPr>
            <w:tcW w:w="1370" w:type="dxa"/>
            <w:vAlign w:val="top"/>
          </w:tcPr>
          <w:p w14:paraId="6D1DA0A5">
            <w:pPr>
              <w:rPr>
                <w:rFonts w:ascii="Arial"/>
                <w:color w:val="auto"/>
                <w:sz w:val="21"/>
                <w:highlight w:val="none"/>
              </w:rPr>
            </w:pPr>
          </w:p>
        </w:tc>
        <w:tc>
          <w:tcPr>
            <w:tcW w:w="1596" w:type="dxa"/>
            <w:vAlign w:val="top"/>
          </w:tcPr>
          <w:p w14:paraId="60257D9F">
            <w:pPr>
              <w:rPr>
                <w:rFonts w:ascii="Arial"/>
                <w:color w:val="auto"/>
                <w:sz w:val="21"/>
                <w:highlight w:val="none"/>
              </w:rPr>
            </w:pPr>
          </w:p>
        </w:tc>
        <w:tc>
          <w:tcPr>
            <w:tcW w:w="1051" w:type="dxa"/>
            <w:vAlign w:val="top"/>
          </w:tcPr>
          <w:p w14:paraId="77455CB9">
            <w:pPr>
              <w:rPr>
                <w:rFonts w:ascii="Arial"/>
                <w:color w:val="auto"/>
                <w:sz w:val="21"/>
                <w:highlight w:val="none"/>
              </w:rPr>
            </w:pPr>
          </w:p>
        </w:tc>
        <w:tc>
          <w:tcPr>
            <w:tcW w:w="1556" w:type="dxa"/>
            <w:vAlign w:val="top"/>
          </w:tcPr>
          <w:p w14:paraId="60985D83">
            <w:pPr>
              <w:rPr>
                <w:rFonts w:ascii="Arial"/>
                <w:color w:val="auto"/>
                <w:sz w:val="21"/>
                <w:highlight w:val="none"/>
              </w:rPr>
            </w:pPr>
          </w:p>
        </w:tc>
        <w:tc>
          <w:tcPr>
            <w:tcW w:w="1696" w:type="dxa"/>
            <w:vAlign w:val="top"/>
          </w:tcPr>
          <w:p w14:paraId="10D86325">
            <w:pPr>
              <w:rPr>
                <w:rFonts w:ascii="Arial"/>
                <w:color w:val="auto"/>
                <w:sz w:val="21"/>
                <w:highlight w:val="none"/>
              </w:rPr>
            </w:pPr>
          </w:p>
        </w:tc>
        <w:tc>
          <w:tcPr>
            <w:tcW w:w="2133" w:type="dxa"/>
            <w:vAlign w:val="top"/>
          </w:tcPr>
          <w:p w14:paraId="43F86726">
            <w:pPr>
              <w:rPr>
                <w:rFonts w:ascii="Arial"/>
                <w:color w:val="auto"/>
                <w:sz w:val="21"/>
                <w:highlight w:val="none"/>
              </w:rPr>
            </w:pPr>
          </w:p>
        </w:tc>
      </w:tr>
      <w:tr w14:paraId="433A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93" w:type="dxa"/>
            <w:vAlign w:val="top"/>
          </w:tcPr>
          <w:p w14:paraId="78DA7E20">
            <w:pPr>
              <w:rPr>
                <w:rFonts w:ascii="Arial"/>
                <w:color w:val="auto"/>
                <w:sz w:val="21"/>
                <w:highlight w:val="none"/>
              </w:rPr>
            </w:pPr>
          </w:p>
        </w:tc>
        <w:tc>
          <w:tcPr>
            <w:tcW w:w="1370" w:type="dxa"/>
            <w:vAlign w:val="top"/>
          </w:tcPr>
          <w:p w14:paraId="5987D6CB">
            <w:pPr>
              <w:rPr>
                <w:rFonts w:ascii="Arial"/>
                <w:color w:val="auto"/>
                <w:sz w:val="21"/>
                <w:highlight w:val="none"/>
              </w:rPr>
            </w:pPr>
          </w:p>
        </w:tc>
        <w:tc>
          <w:tcPr>
            <w:tcW w:w="1596" w:type="dxa"/>
            <w:vAlign w:val="top"/>
          </w:tcPr>
          <w:p w14:paraId="73BE40CC">
            <w:pPr>
              <w:rPr>
                <w:rFonts w:ascii="Arial"/>
                <w:color w:val="auto"/>
                <w:sz w:val="21"/>
                <w:highlight w:val="none"/>
              </w:rPr>
            </w:pPr>
          </w:p>
        </w:tc>
        <w:tc>
          <w:tcPr>
            <w:tcW w:w="1051" w:type="dxa"/>
            <w:vAlign w:val="top"/>
          </w:tcPr>
          <w:p w14:paraId="31726953">
            <w:pPr>
              <w:rPr>
                <w:rFonts w:ascii="Arial"/>
                <w:color w:val="auto"/>
                <w:sz w:val="21"/>
                <w:highlight w:val="none"/>
              </w:rPr>
            </w:pPr>
          </w:p>
        </w:tc>
        <w:tc>
          <w:tcPr>
            <w:tcW w:w="1556" w:type="dxa"/>
            <w:vAlign w:val="top"/>
          </w:tcPr>
          <w:p w14:paraId="6EF35E43">
            <w:pPr>
              <w:rPr>
                <w:rFonts w:ascii="Arial"/>
                <w:color w:val="auto"/>
                <w:sz w:val="21"/>
                <w:highlight w:val="none"/>
              </w:rPr>
            </w:pPr>
          </w:p>
        </w:tc>
        <w:tc>
          <w:tcPr>
            <w:tcW w:w="1696" w:type="dxa"/>
            <w:vAlign w:val="top"/>
          </w:tcPr>
          <w:p w14:paraId="2DCB7425">
            <w:pPr>
              <w:rPr>
                <w:rFonts w:ascii="Arial"/>
                <w:color w:val="auto"/>
                <w:sz w:val="21"/>
                <w:highlight w:val="none"/>
              </w:rPr>
            </w:pPr>
          </w:p>
        </w:tc>
        <w:tc>
          <w:tcPr>
            <w:tcW w:w="2133" w:type="dxa"/>
            <w:vAlign w:val="top"/>
          </w:tcPr>
          <w:p w14:paraId="18BB28F1">
            <w:pPr>
              <w:rPr>
                <w:rFonts w:ascii="Arial"/>
                <w:color w:val="auto"/>
                <w:sz w:val="21"/>
                <w:highlight w:val="none"/>
              </w:rPr>
            </w:pPr>
          </w:p>
        </w:tc>
      </w:tr>
      <w:tr w14:paraId="61B8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93" w:type="dxa"/>
            <w:vAlign w:val="top"/>
          </w:tcPr>
          <w:p w14:paraId="3A8876B7">
            <w:pPr>
              <w:rPr>
                <w:rFonts w:ascii="Arial"/>
                <w:color w:val="auto"/>
                <w:sz w:val="21"/>
                <w:highlight w:val="none"/>
              </w:rPr>
            </w:pPr>
          </w:p>
        </w:tc>
        <w:tc>
          <w:tcPr>
            <w:tcW w:w="1370" w:type="dxa"/>
            <w:vAlign w:val="top"/>
          </w:tcPr>
          <w:p w14:paraId="101CCD71">
            <w:pPr>
              <w:rPr>
                <w:rFonts w:ascii="Arial"/>
                <w:color w:val="auto"/>
                <w:sz w:val="21"/>
                <w:highlight w:val="none"/>
              </w:rPr>
            </w:pPr>
          </w:p>
        </w:tc>
        <w:tc>
          <w:tcPr>
            <w:tcW w:w="1596" w:type="dxa"/>
            <w:vAlign w:val="top"/>
          </w:tcPr>
          <w:p w14:paraId="36EA86B7">
            <w:pPr>
              <w:rPr>
                <w:rFonts w:ascii="Arial"/>
                <w:color w:val="auto"/>
                <w:sz w:val="21"/>
                <w:highlight w:val="none"/>
              </w:rPr>
            </w:pPr>
          </w:p>
        </w:tc>
        <w:tc>
          <w:tcPr>
            <w:tcW w:w="1051" w:type="dxa"/>
            <w:vAlign w:val="top"/>
          </w:tcPr>
          <w:p w14:paraId="4CB24B3F">
            <w:pPr>
              <w:rPr>
                <w:rFonts w:ascii="Arial"/>
                <w:color w:val="auto"/>
                <w:sz w:val="21"/>
                <w:highlight w:val="none"/>
              </w:rPr>
            </w:pPr>
          </w:p>
        </w:tc>
        <w:tc>
          <w:tcPr>
            <w:tcW w:w="1556" w:type="dxa"/>
            <w:vAlign w:val="top"/>
          </w:tcPr>
          <w:p w14:paraId="39E3DDD5">
            <w:pPr>
              <w:rPr>
                <w:rFonts w:ascii="Arial"/>
                <w:color w:val="auto"/>
                <w:sz w:val="21"/>
                <w:highlight w:val="none"/>
              </w:rPr>
            </w:pPr>
          </w:p>
        </w:tc>
        <w:tc>
          <w:tcPr>
            <w:tcW w:w="1696" w:type="dxa"/>
            <w:vAlign w:val="top"/>
          </w:tcPr>
          <w:p w14:paraId="252B5553">
            <w:pPr>
              <w:rPr>
                <w:rFonts w:ascii="Arial"/>
                <w:color w:val="auto"/>
                <w:sz w:val="21"/>
                <w:highlight w:val="none"/>
              </w:rPr>
            </w:pPr>
          </w:p>
        </w:tc>
        <w:tc>
          <w:tcPr>
            <w:tcW w:w="2133" w:type="dxa"/>
            <w:vAlign w:val="top"/>
          </w:tcPr>
          <w:p w14:paraId="610A7254">
            <w:pPr>
              <w:rPr>
                <w:rFonts w:ascii="Arial"/>
                <w:color w:val="auto"/>
                <w:sz w:val="21"/>
                <w:highlight w:val="none"/>
              </w:rPr>
            </w:pPr>
          </w:p>
        </w:tc>
      </w:tr>
      <w:tr w14:paraId="65A4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93" w:type="dxa"/>
            <w:vAlign w:val="top"/>
          </w:tcPr>
          <w:p w14:paraId="765440FB">
            <w:pPr>
              <w:rPr>
                <w:rFonts w:ascii="Arial"/>
                <w:color w:val="auto"/>
                <w:sz w:val="21"/>
                <w:highlight w:val="none"/>
              </w:rPr>
            </w:pPr>
          </w:p>
        </w:tc>
        <w:tc>
          <w:tcPr>
            <w:tcW w:w="1370" w:type="dxa"/>
            <w:vAlign w:val="top"/>
          </w:tcPr>
          <w:p w14:paraId="64475786">
            <w:pPr>
              <w:rPr>
                <w:rFonts w:ascii="Arial"/>
                <w:color w:val="auto"/>
                <w:sz w:val="21"/>
                <w:highlight w:val="none"/>
              </w:rPr>
            </w:pPr>
          </w:p>
        </w:tc>
        <w:tc>
          <w:tcPr>
            <w:tcW w:w="1596" w:type="dxa"/>
            <w:vAlign w:val="top"/>
          </w:tcPr>
          <w:p w14:paraId="53EEF173">
            <w:pPr>
              <w:rPr>
                <w:rFonts w:ascii="Arial"/>
                <w:color w:val="auto"/>
                <w:sz w:val="21"/>
                <w:highlight w:val="none"/>
              </w:rPr>
            </w:pPr>
          </w:p>
        </w:tc>
        <w:tc>
          <w:tcPr>
            <w:tcW w:w="1051" w:type="dxa"/>
            <w:vAlign w:val="top"/>
          </w:tcPr>
          <w:p w14:paraId="4817EE79">
            <w:pPr>
              <w:rPr>
                <w:rFonts w:ascii="Arial"/>
                <w:color w:val="auto"/>
                <w:sz w:val="21"/>
                <w:highlight w:val="none"/>
              </w:rPr>
            </w:pPr>
          </w:p>
        </w:tc>
        <w:tc>
          <w:tcPr>
            <w:tcW w:w="1556" w:type="dxa"/>
            <w:vAlign w:val="top"/>
          </w:tcPr>
          <w:p w14:paraId="7E7B159B">
            <w:pPr>
              <w:rPr>
                <w:rFonts w:ascii="Arial"/>
                <w:color w:val="auto"/>
                <w:sz w:val="21"/>
                <w:highlight w:val="none"/>
              </w:rPr>
            </w:pPr>
          </w:p>
        </w:tc>
        <w:tc>
          <w:tcPr>
            <w:tcW w:w="1696" w:type="dxa"/>
            <w:vAlign w:val="top"/>
          </w:tcPr>
          <w:p w14:paraId="314521E2">
            <w:pPr>
              <w:rPr>
                <w:rFonts w:ascii="Arial"/>
                <w:color w:val="auto"/>
                <w:sz w:val="21"/>
                <w:highlight w:val="none"/>
              </w:rPr>
            </w:pPr>
          </w:p>
        </w:tc>
        <w:tc>
          <w:tcPr>
            <w:tcW w:w="2133" w:type="dxa"/>
            <w:vAlign w:val="top"/>
          </w:tcPr>
          <w:p w14:paraId="4386A780">
            <w:pPr>
              <w:rPr>
                <w:rFonts w:ascii="Arial"/>
                <w:color w:val="auto"/>
                <w:sz w:val="21"/>
                <w:highlight w:val="none"/>
              </w:rPr>
            </w:pPr>
          </w:p>
        </w:tc>
      </w:tr>
      <w:tr w14:paraId="6D68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793" w:type="dxa"/>
            <w:vAlign w:val="top"/>
          </w:tcPr>
          <w:p w14:paraId="7AE7E123">
            <w:pPr>
              <w:rPr>
                <w:rFonts w:ascii="Arial"/>
                <w:color w:val="auto"/>
                <w:sz w:val="21"/>
                <w:highlight w:val="none"/>
              </w:rPr>
            </w:pPr>
          </w:p>
        </w:tc>
        <w:tc>
          <w:tcPr>
            <w:tcW w:w="1370" w:type="dxa"/>
            <w:vAlign w:val="top"/>
          </w:tcPr>
          <w:p w14:paraId="4A08E95D">
            <w:pPr>
              <w:rPr>
                <w:rFonts w:ascii="Arial"/>
                <w:color w:val="auto"/>
                <w:sz w:val="21"/>
                <w:highlight w:val="none"/>
              </w:rPr>
            </w:pPr>
          </w:p>
        </w:tc>
        <w:tc>
          <w:tcPr>
            <w:tcW w:w="1596" w:type="dxa"/>
            <w:vAlign w:val="top"/>
          </w:tcPr>
          <w:p w14:paraId="49D9508E">
            <w:pPr>
              <w:rPr>
                <w:rFonts w:ascii="Arial"/>
                <w:color w:val="auto"/>
                <w:sz w:val="21"/>
                <w:highlight w:val="none"/>
              </w:rPr>
            </w:pPr>
          </w:p>
        </w:tc>
        <w:tc>
          <w:tcPr>
            <w:tcW w:w="1051" w:type="dxa"/>
            <w:vAlign w:val="top"/>
          </w:tcPr>
          <w:p w14:paraId="1E2CEB09">
            <w:pPr>
              <w:rPr>
                <w:rFonts w:ascii="Arial"/>
                <w:color w:val="auto"/>
                <w:sz w:val="21"/>
                <w:highlight w:val="none"/>
              </w:rPr>
            </w:pPr>
          </w:p>
        </w:tc>
        <w:tc>
          <w:tcPr>
            <w:tcW w:w="1556" w:type="dxa"/>
            <w:vAlign w:val="top"/>
          </w:tcPr>
          <w:p w14:paraId="5BD452EC">
            <w:pPr>
              <w:rPr>
                <w:rFonts w:ascii="Arial"/>
                <w:color w:val="auto"/>
                <w:sz w:val="21"/>
                <w:highlight w:val="none"/>
              </w:rPr>
            </w:pPr>
          </w:p>
        </w:tc>
        <w:tc>
          <w:tcPr>
            <w:tcW w:w="1696" w:type="dxa"/>
            <w:vAlign w:val="top"/>
          </w:tcPr>
          <w:p w14:paraId="0546AB95">
            <w:pPr>
              <w:rPr>
                <w:rFonts w:ascii="Arial"/>
                <w:color w:val="auto"/>
                <w:sz w:val="21"/>
                <w:highlight w:val="none"/>
              </w:rPr>
            </w:pPr>
          </w:p>
        </w:tc>
        <w:tc>
          <w:tcPr>
            <w:tcW w:w="2133" w:type="dxa"/>
            <w:vAlign w:val="top"/>
          </w:tcPr>
          <w:p w14:paraId="2ABF9965">
            <w:pPr>
              <w:rPr>
                <w:rFonts w:ascii="Arial"/>
                <w:color w:val="auto"/>
                <w:sz w:val="21"/>
                <w:highlight w:val="none"/>
              </w:rPr>
            </w:pPr>
          </w:p>
        </w:tc>
      </w:tr>
    </w:tbl>
    <w:p w14:paraId="42764251">
      <w:pPr>
        <w:spacing w:line="249" w:lineRule="auto"/>
        <w:rPr>
          <w:rFonts w:ascii="Arial"/>
          <w:color w:val="auto"/>
          <w:sz w:val="21"/>
          <w:highlight w:val="none"/>
        </w:rPr>
      </w:pPr>
    </w:p>
    <w:p w14:paraId="2169F657">
      <w:pPr>
        <w:spacing w:line="249" w:lineRule="auto"/>
        <w:rPr>
          <w:rFonts w:ascii="Arial"/>
          <w:color w:val="auto"/>
          <w:sz w:val="21"/>
          <w:highlight w:val="none"/>
        </w:rPr>
      </w:pPr>
    </w:p>
    <w:p w14:paraId="26110B6C">
      <w:pPr>
        <w:spacing w:line="249" w:lineRule="auto"/>
        <w:rPr>
          <w:rFonts w:ascii="Arial"/>
          <w:color w:val="auto"/>
          <w:sz w:val="21"/>
          <w:highlight w:val="none"/>
        </w:rPr>
      </w:pPr>
    </w:p>
    <w:p w14:paraId="1991262E">
      <w:pPr>
        <w:spacing w:line="249" w:lineRule="auto"/>
        <w:rPr>
          <w:rFonts w:ascii="Arial"/>
          <w:color w:val="auto"/>
          <w:sz w:val="21"/>
          <w:highlight w:val="none"/>
        </w:rPr>
      </w:pPr>
    </w:p>
    <w:p w14:paraId="7BCA7BDA">
      <w:pPr>
        <w:spacing w:line="249" w:lineRule="auto"/>
        <w:rPr>
          <w:rFonts w:ascii="Arial"/>
          <w:color w:val="auto"/>
          <w:sz w:val="21"/>
          <w:highlight w:val="none"/>
        </w:rPr>
      </w:pPr>
    </w:p>
    <w:p w14:paraId="737BC7C9">
      <w:pPr>
        <w:spacing w:line="249" w:lineRule="auto"/>
        <w:rPr>
          <w:rFonts w:ascii="Arial"/>
          <w:color w:val="auto"/>
          <w:sz w:val="21"/>
          <w:highlight w:val="none"/>
        </w:rPr>
      </w:pPr>
    </w:p>
    <w:p w14:paraId="0DC62A26">
      <w:pPr>
        <w:spacing w:line="249" w:lineRule="auto"/>
        <w:rPr>
          <w:rFonts w:ascii="Arial"/>
          <w:color w:val="auto"/>
          <w:sz w:val="21"/>
          <w:highlight w:val="none"/>
        </w:rPr>
      </w:pPr>
    </w:p>
    <w:p w14:paraId="30C0AF17">
      <w:pPr>
        <w:spacing w:line="249" w:lineRule="auto"/>
        <w:rPr>
          <w:rFonts w:ascii="Arial"/>
          <w:color w:val="auto"/>
          <w:sz w:val="21"/>
          <w:highlight w:val="none"/>
        </w:rPr>
      </w:pPr>
    </w:p>
    <w:p w14:paraId="2EF8BC6A">
      <w:pPr>
        <w:spacing w:line="249" w:lineRule="auto"/>
        <w:rPr>
          <w:rFonts w:ascii="Arial"/>
          <w:color w:val="auto"/>
          <w:sz w:val="21"/>
          <w:highlight w:val="none"/>
        </w:rPr>
      </w:pPr>
    </w:p>
    <w:p w14:paraId="154CF550">
      <w:pPr>
        <w:spacing w:line="250" w:lineRule="auto"/>
        <w:rPr>
          <w:rFonts w:ascii="Arial"/>
          <w:color w:val="auto"/>
          <w:sz w:val="21"/>
          <w:highlight w:val="none"/>
        </w:rPr>
      </w:pPr>
    </w:p>
    <w:p w14:paraId="59DBBFE9">
      <w:pPr>
        <w:spacing w:line="250" w:lineRule="auto"/>
        <w:rPr>
          <w:rFonts w:ascii="Arial"/>
          <w:color w:val="auto"/>
          <w:sz w:val="21"/>
          <w:highlight w:val="none"/>
        </w:rPr>
      </w:pPr>
    </w:p>
    <w:p w14:paraId="17D78C5C">
      <w:pPr>
        <w:spacing w:line="250" w:lineRule="auto"/>
        <w:rPr>
          <w:rFonts w:ascii="Arial"/>
          <w:color w:val="auto"/>
          <w:sz w:val="21"/>
          <w:highlight w:val="none"/>
        </w:rPr>
      </w:pPr>
    </w:p>
    <w:p w14:paraId="419F4F6C">
      <w:pPr>
        <w:spacing w:line="250" w:lineRule="auto"/>
        <w:rPr>
          <w:rFonts w:ascii="Arial"/>
          <w:color w:val="auto"/>
          <w:sz w:val="21"/>
          <w:highlight w:val="none"/>
        </w:rPr>
      </w:pPr>
    </w:p>
    <w:p w14:paraId="0A10B73D">
      <w:pPr>
        <w:spacing w:line="250" w:lineRule="auto"/>
        <w:rPr>
          <w:rFonts w:ascii="Arial"/>
          <w:color w:val="auto"/>
          <w:sz w:val="21"/>
          <w:highlight w:val="none"/>
        </w:rPr>
      </w:pPr>
    </w:p>
    <w:p w14:paraId="18207F61">
      <w:pPr>
        <w:spacing w:line="250" w:lineRule="auto"/>
        <w:rPr>
          <w:rFonts w:ascii="Arial"/>
          <w:color w:val="auto"/>
          <w:sz w:val="21"/>
          <w:highlight w:val="none"/>
        </w:rPr>
      </w:pPr>
    </w:p>
    <w:p w14:paraId="0981DA83">
      <w:pPr>
        <w:spacing w:line="250" w:lineRule="auto"/>
        <w:rPr>
          <w:rFonts w:ascii="Arial"/>
          <w:color w:val="auto"/>
          <w:sz w:val="21"/>
          <w:highlight w:val="none"/>
        </w:rPr>
      </w:pPr>
    </w:p>
    <w:p w14:paraId="16A05042">
      <w:pPr>
        <w:spacing w:line="250" w:lineRule="auto"/>
        <w:rPr>
          <w:rFonts w:ascii="Arial"/>
          <w:color w:val="auto"/>
          <w:sz w:val="21"/>
          <w:highlight w:val="none"/>
        </w:rPr>
      </w:pPr>
    </w:p>
    <w:p w14:paraId="5B0B3636">
      <w:pPr>
        <w:spacing w:line="250" w:lineRule="auto"/>
        <w:rPr>
          <w:rFonts w:ascii="Arial"/>
          <w:color w:val="auto"/>
          <w:sz w:val="21"/>
          <w:highlight w:val="none"/>
        </w:rPr>
      </w:pPr>
    </w:p>
    <w:p w14:paraId="10D3B018">
      <w:pPr>
        <w:spacing w:before="78" w:line="223" w:lineRule="auto"/>
        <w:ind w:left="24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590746F3">
      <w:pPr>
        <w:spacing w:before="177" w:line="345" w:lineRule="auto"/>
        <w:ind w:left="299" w:right="2292"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0093E571">
      <w:pPr>
        <w:spacing w:line="345" w:lineRule="auto"/>
        <w:rPr>
          <w:rFonts w:ascii="新宋体" w:hAnsi="新宋体" w:eastAsia="新宋体" w:cs="新宋体"/>
          <w:color w:val="auto"/>
          <w:sz w:val="24"/>
          <w:szCs w:val="24"/>
          <w:highlight w:val="none"/>
        </w:rPr>
        <w:sectPr>
          <w:footerReference r:id="rId29" w:type="default"/>
          <w:pgSz w:w="11905" w:h="16839"/>
          <w:pgMar w:top="1440" w:right="1800" w:bottom="1440" w:left="1800" w:header="0" w:footer="850" w:gutter="0"/>
          <w:pgNumType w:fmt="numberInDash"/>
          <w:cols w:space="720" w:num="1"/>
        </w:sectPr>
      </w:pPr>
    </w:p>
    <w:p w14:paraId="2D5E99DC">
      <w:pPr>
        <w:spacing w:line="319" w:lineRule="auto"/>
        <w:rPr>
          <w:rFonts w:ascii="Arial"/>
          <w:color w:val="auto"/>
          <w:sz w:val="21"/>
          <w:highlight w:val="none"/>
        </w:rPr>
      </w:pPr>
    </w:p>
    <w:p w14:paraId="0037F7B8">
      <w:pPr>
        <w:spacing w:line="319" w:lineRule="auto"/>
        <w:rPr>
          <w:rFonts w:ascii="Arial"/>
          <w:color w:val="auto"/>
          <w:sz w:val="21"/>
          <w:highlight w:val="none"/>
        </w:rPr>
      </w:pPr>
    </w:p>
    <w:p w14:paraId="553372D8">
      <w:pPr>
        <w:spacing w:line="320" w:lineRule="auto"/>
        <w:rPr>
          <w:rFonts w:ascii="Arial"/>
          <w:color w:val="auto"/>
          <w:sz w:val="21"/>
          <w:highlight w:val="none"/>
        </w:rPr>
      </w:pPr>
    </w:p>
    <w:p w14:paraId="71288D43">
      <w:pPr>
        <w:pStyle w:val="4"/>
        <w:spacing w:before="120" w:line="187" w:lineRule="auto"/>
        <w:ind w:left="3132"/>
        <w:rPr>
          <w:color w:val="auto"/>
          <w:sz w:val="28"/>
          <w:szCs w:val="28"/>
          <w:highlight w:val="none"/>
        </w:rPr>
      </w:pPr>
      <w:r>
        <w:rPr>
          <w:b/>
          <w:bCs/>
          <w:color w:val="auto"/>
          <w:spacing w:val="-6"/>
          <w:sz w:val="28"/>
          <w:szCs w:val="28"/>
          <w:highlight w:val="none"/>
        </w:rPr>
        <w:t>3、项目实施方案</w:t>
      </w:r>
    </w:p>
    <w:p w14:paraId="0E39BDC8">
      <w:pPr>
        <w:spacing w:line="274" w:lineRule="auto"/>
        <w:rPr>
          <w:rFonts w:ascii="Arial"/>
          <w:color w:val="auto"/>
          <w:sz w:val="21"/>
          <w:highlight w:val="none"/>
        </w:rPr>
      </w:pPr>
    </w:p>
    <w:p w14:paraId="7C4BC4EB">
      <w:pPr>
        <w:spacing w:line="274" w:lineRule="auto"/>
        <w:rPr>
          <w:rFonts w:ascii="Arial"/>
          <w:color w:val="auto"/>
          <w:sz w:val="21"/>
          <w:highlight w:val="none"/>
        </w:rPr>
      </w:pPr>
    </w:p>
    <w:p w14:paraId="23681FAF">
      <w:pPr>
        <w:spacing w:before="78" w:line="223" w:lineRule="auto"/>
        <w:ind w:left="3462"/>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（格式自拟）</w:t>
      </w:r>
    </w:p>
    <w:p w14:paraId="24558DF3">
      <w:pPr>
        <w:spacing w:line="223" w:lineRule="auto"/>
        <w:rPr>
          <w:rFonts w:ascii="新宋体" w:hAnsi="新宋体" w:eastAsia="新宋体" w:cs="新宋体"/>
          <w:color w:val="auto"/>
          <w:sz w:val="24"/>
          <w:szCs w:val="24"/>
          <w:highlight w:val="none"/>
        </w:rPr>
        <w:sectPr>
          <w:footerReference r:id="rId30" w:type="default"/>
          <w:pgSz w:w="11905" w:h="16839"/>
          <w:pgMar w:top="1440" w:right="1800" w:bottom="1440" w:left="1800" w:header="0" w:footer="850" w:gutter="0"/>
          <w:pgNumType w:fmt="numberInDash"/>
          <w:cols w:space="720" w:num="1"/>
        </w:sectPr>
      </w:pPr>
    </w:p>
    <w:p w14:paraId="6E088B43">
      <w:pPr>
        <w:spacing w:line="319" w:lineRule="auto"/>
        <w:rPr>
          <w:rFonts w:ascii="Arial"/>
          <w:color w:val="auto"/>
          <w:sz w:val="21"/>
          <w:highlight w:val="none"/>
        </w:rPr>
      </w:pPr>
    </w:p>
    <w:p w14:paraId="4D71ECB7">
      <w:pPr>
        <w:spacing w:line="319" w:lineRule="auto"/>
        <w:rPr>
          <w:rFonts w:ascii="Arial"/>
          <w:color w:val="auto"/>
          <w:sz w:val="21"/>
          <w:highlight w:val="none"/>
        </w:rPr>
      </w:pPr>
    </w:p>
    <w:p w14:paraId="2E18E76E">
      <w:pPr>
        <w:spacing w:line="320" w:lineRule="auto"/>
        <w:rPr>
          <w:rFonts w:ascii="Arial"/>
          <w:color w:val="auto"/>
          <w:sz w:val="21"/>
          <w:highlight w:val="none"/>
        </w:rPr>
      </w:pPr>
    </w:p>
    <w:p w14:paraId="3E5053F4">
      <w:pPr>
        <w:pStyle w:val="4"/>
        <w:spacing w:before="120" w:line="188" w:lineRule="auto"/>
        <w:ind w:left="3953"/>
        <w:rPr>
          <w:color w:val="auto"/>
          <w:sz w:val="28"/>
          <w:szCs w:val="28"/>
          <w:highlight w:val="none"/>
        </w:rPr>
      </w:pPr>
      <w:r>
        <w:rPr>
          <w:b/>
          <w:bCs/>
          <w:color w:val="auto"/>
          <w:spacing w:val="-6"/>
          <w:sz w:val="28"/>
          <w:szCs w:val="28"/>
          <w:highlight w:val="none"/>
        </w:rPr>
        <w:t>4、服务承诺书</w:t>
      </w:r>
    </w:p>
    <w:p w14:paraId="77DF09FF">
      <w:pPr>
        <w:spacing w:line="267" w:lineRule="auto"/>
        <w:rPr>
          <w:rFonts w:ascii="Arial"/>
          <w:color w:val="auto"/>
          <w:sz w:val="21"/>
          <w:highlight w:val="none"/>
        </w:rPr>
      </w:pPr>
    </w:p>
    <w:p w14:paraId="2AFD9DD7">
      <w:pPr>
        <w:spacing w:line="267" w:lineRule="auto"/>
        <w:rPr>
          <w:rFonts w:ascii="Arial"/>
          <w:color w:val="auto"/>
          <w:sz w:val="21"/>
          <w:highlight w:val="none"/>
        </w:rPr>
      </w:pPr>
    </w:p>
    <w:p w14:paraId="504A9BC9">
      <w:pPr>
        <w:spacing w:line="267" w:lineRule="auto"/>
        <w:rPr>
          <w:rFonts w:ascii="Arial"/>
          <w:color w:val="auto"/>
          <w:sz w:val="21"/>
          <w:highlight w:val="none"/>
        </w:rPr>
      </w:pPr>
    </w:p>
    <w:p w14:paraId="5AB95716">
      <w:pPr>
        <w:spacing w:line="268" w:lineRule="auto"/>
        <w:rPr>
          <w:rFonts w:ascii="Arial"/>
          <w:color w:val="auto"/>
          <w:sz w:val="21"/>
          <w:highlight w:val="none"/>
        </w:rPr>
      </w:pPr>
    </w:p>
    <w:p w14:paraId="2763E72C">
      <w:pPr>
        <w:spacing w:before="78" w:line="224"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致</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3"/>
          <w:sz w:val="24"/>
          <w:szCs w:val="24"/>
          <w:highlight w:val="none"/>
          <w:u w:val="single" w:color="auto"/>
        </w:rPr>
        <w:t>招标人</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p>
    <w:p w14:paraId="0363EF93">
      <w:pPr>
        <w:spacing w:before="175" w:line="345" w:lineRule="auto"/>
        <w:ind w:left="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本承诺声明</w:t>
      </w:r>
      <w:r>
        <w:rPr>
          <w:rFonts w:ascii="新宋体" w:hAnsi="新宋体" w:eastAsia="新宋体" w:cs="新宋体"/>
          <w:color w:val="auto"/>
          <w:spacing w:val="-17"/>
          <w:sz w:val="24"/>
          <w:szCs w:val="24"/>
          <w:highlight w:val="none"/>
        </w:rPr>
        <w:t>：</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7"/>
          <w:sz w:val="24"/>
          <w:szCs w:val="24"/>
          <w:highlight w:val="none"/>
          <w:u w:val="single" w:color="auto"/>
        </w:rPr>
        <w:t>（</w:t>
      </w:r>
      <w:r>
        <w:rPr>
          <w:rFonts w:ascii="新宋体" w:hAnsi="新宋体" w:eastAsia="新宋体" w:cs="新宋体"/>
          <w:color w:val="auto"/>
          <w:spacing w:val="1"/>
          <w:sz w:val="24"/>
          <w:szCs w:val="24"/>
          <w:highlight w:val="none"/>
          <w:u w:val="single" w:color="auto"/>
        </w:rPr>
        <w:t>投标人名称）</w:t>
      </w:r>
      <w:r>
        <w:rPr>
          <w:rFonts w:ascii="新宋体" w:hAnsi="新宋体" w:eastAsia="新宋体" w:cs="新宋体"/>
          <w:color w:val="auto"/>
          <w:spacing w:val="1"/>
          <w:sz w:val="24"/>
          <w:szCs w:val="24"/>
          <w:highlight w:val="none"/>
        </w:rPr>
        <w:t>对本招标文件的相关要求完全响应。若有幸中标将严</w:t>
      </w:r>
      <w:r>
        <w:rPr>
          <w:rFonts w:ascii="新宋体" w:hAnsi="新宋体" w:eastAsia="新宋体" w:cs="新宋体"/>
          <w:color w:val="auto"/>
          <w:sz w:val="24"/>
          <w:szCs w:val="24"/>
          <w:highlight w:val="none"/>
        </w:rPr>
        <w:t xml:space="preserve">格按 </w:t>
      </w:r>
      <w:r>
        <w:rPr>
          <w:rFonts w:ascii="新宋体" w:hAnsi="新宋体" w:eastAsia="新宋体" w:cs="新宋体"/>
          <w:color w:val="auto"/>
          <w:spacing w:val="-5"/>
          <w:sz w:val="24"/>
          <w:szCs w:val="24"/>
          <w:highlight w:val="none"/>
        </w:rPr>
        <w:t>照以上承诺进行服务。</w:t>
      </w:r>
    </w:p>
    <w:p w14:paraId="395263B9">
      <w:pPr>
        <w:spacing w:line="422" w:lineRule="auto"/>
        <w:rPr>
          <w:rFonts w:ascii="Arial"/>
          <w:color w:val="auto"/>
          <w:sz w:val="21"/>
          <w:highlight w:val="none"/>
        </w:rPr>
      </w:pPr>
    </w:p>
    <w:p w14:paraId="1229B2AE">
      <w:pPr>
        <w:spacing w:before="78" w:line="224" w:lineRule="auto"/>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特此声明</w:t>
      </w:r>
    </w:p>
    <w:p w14:paraId="210ADCE7">
      <w:pPr>
        <w:spacing w:line="263" w:lineRule="auto"/>
        <w:rPr>
          <w:rFonts w:ascii="Arial"/>
          <w:color w:val="auto"/>
          <w:sz w:val="21"/>
          <w:highlight w:val="none"/>
        </w:rPr>
      </w:pPr>
    </w:p>
    <w:p w14:paraId="0B5D277E">
      <w:pPr>
        <w:spacing w:line="263" w:lineRule="auto"/>
        <w:rPr>
          <w:rFonts w:ascii="Arial"/>
          <w:color w:val="auto"/>
          <w:sz w:val="21"/>
          <w:highlight w:val="none"/>
        </w:rPr>
      </w:pPr>
    </w:p>
    <w:p w14:paraId="168CB8F7">
      <w:pPr>
        <w:spacing w:line="264" w:lineRule="auto"/>
        <w:rPr>
          <w:rFonts w:ascii="Arial"/>
          <w:color w:val="auto"/>
          <w:sz w:val="21"/>
          <w:highlight w:val="none"/>
        </w:rPr>
      </w:pPr>
    </w:p>
    <w:p w14:paraId="3E4836D8">
      <w:pPr>
        <w:spacing w:line="264" w:lineRule="auto"/>
        <w:rPr>
          <w:rFonts w:ascii="Arial"/>
          <w:color w:val="auto"/>
          <w:sz w:val="21"/>
          <w:highlight w:val="none"/>
        </w:rPr>
      </w:pPr>
    </w:p>
    <w:p w14:paraId="1035C09D">
      <w:pPr>
        <w:spacing w:line="264" w:lineRule="auto"/>
        <w:rPr>
          <w:rFonts w:ascii="Arial"/>
          <w:color w:val="auto"/>
          <w:sz w:val="21"/>
          <w:highlight w:val="none"/>
        </w:rPr>
      </w:pPr>
    </w:p>
    <w:p w14:paraId="0B83C977">
      <w:pPr>
        <w:spacing w:line="264" w:lineRule="auto"/>
        <w:rPr>
          <w:rFonts w:ascii="Arial"/>
          <w:color w:val="auto"/>
          <w:sz w:val="21"/>
          <w:highlight w:val="none"/>
        </w:rPr>
      </w:pPr>
    </w:p>
    <w:p w14:paraId="317F4E04">
      <w:pPr>
        <w:spacing w:line="264" w:lineRule="auto"/>
        <w:rPr>
          <w:rFonts w:ascii="Arial"/>
          <w:color w:val="auto"/>
          <w:sz w:val="21"/>
          <w:highlight w:val="none"/>
        </w:rPr>
      </w:pPr>
    </w:p>
    <w:p w14:paraId="68EB3826">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076E3822">
      <w:pPr>
        <w:spacing w:before="177" w:line="345" w:lineRule="auto"/>
        <w:ind w:left="50" w:right="205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D674E6D">
      <w:pPr>
        <w:spacing w:line="345" w:lineRule="auto"/>
        <w:rPr>
          <w:rFonts w:ascii="新宋体" w:hAnsi="新宋体" w:eastAsia="新宋体" w:cs="新宋体"/>
          <w:color w:val="auto"/>
          <w:sz w:val="24"/>
          <w:szCs w:val="24"/>
          <w:highlight w:val="none"/>
        </w:rPr>
        <w:sectPr>
          <w:footerReference r:id="rId31" w:type="default"/>
          <w:pgSz w:w="11905" w:h="16839"/>
          <w:pgMar w:top="1440" w:right="1800" w:bottom="1440" w:left="1800" w:header="0" w:footer="850" w:gutter="0"/>
          <w:pgNumType w:fmt="numberInDash"/>
          <w:cols w:space="720" w:num="1"/>
        </w:sectPr>
      </w:pPr>
    </w:p>
    <w:p w14:paraId="09CF71E7">
      <w:pPr>
        <w:spacing w:line="319" w:lineRule="auto"/>
        <w:rPr>
          <w:rFonts w:ascii="Arial"/>
          <w:color w:val="auto"/>
          <w:sz w:val="21"/>
          <w:highlight w:val="none"/>
        </w:rPr>
      </w:pPr>
    </w:p>
    <w:p w14:paraId="0D53CC75">
      <w:pPr>
        <w:spacing w:line="319" w:lineRule="auto"/>
        <w:rPr>
          <w:rFonts w:ascii="Arial"/>
          <w:color w:val="auto"/>
          <w:sz w:val="21"/>
          <w:highlight w:val="none"/>
        </w:rPr>
      </w:pPr>
    </w:p>
    <w:p w14:paraId="3C9F2C88">
      <w:pPr>
        <w:spacing w:line="319" w:lineRule="auto"/>
        <w:rPr>
          <w:rFonts w:ascii="Arial"/>
          <w:color w:val="auto"/>
          <w:sz w:val="21"/>
          <w:highlight w:val="none"/>
        </w:rPr>
      </w:pPr>
    </w:p>
    <w:p w14:paraId="7C26AFEE">
      <w:pPr>
        <w:pStyle w:val="4"/>
        <w:spacing w:before="121" w:line="188" w:lineRule="auto"/>
        <w:ind w:left="3123"/>
        <w:rPr>
          <w:color w:val="auto"/>
          <w:sz w:val="28"/>
          <w:szCs w:val="28"/>
          <w:highlight w:val="none"/>
        </w:rPr>
      </w:pPr>
      <w:r>
        <w:rPr>
          <w:b/>
          <w:bCs/>
          <w:color w:val="auto"/>
          <w:spacing w:val="-4"/>
          <w:sz w:val="28"/>
          <w:szCs w:val="28"/>
          <w:highlight w:val="none"/>
        </w:rPr>
        <w:t>5、招标文件规定的其它材料</w:t>
      </w:r>
    </w:p>
    <w:p w14:paraId="4A5774C0">
      <w:pPr>
        <w:spacing w:line="312" w:lineRule="auto"/>
        <w:rPr>
          <w:rFonts w:ascii="Arial"/>
          <w:color w:val="auto"/>
          <w:sz w:val="21"/>
          <w:highlight w:val="none"/>
        </w:rPr>
      </w:pPr>
    </w:p>
    <w:p w14:paraId="63E8271E">
      <w:pPr>
        <w:spacing w:line="312" w:lineRule="auto"/>
        <w:rPr>
          <w:rFonts w:ascii="Arial"/>
          <w:color w:val="auto"/>
          <w:sz w:val="21"/>
          <w:highlight w:val="none"/>
        </w:rPr>
      </w:pPr>
    </w:p>
    <w:p w14:paraId="022DA84F">
      <w:pPr>
        <w:spacing w:before="78" w:line="223" w:lineRule="auto"/>
        <w:ind w:left="1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1、所投产品情况，货物符合招标文件规定的证</w:t>
      </w:r>
      <w:r>
        <w:rPr>
          <w:rFonts w:ascii="新宋体" w:hAnsi="新宋体" w:eastAsia="新宋体" w:cs="新宋体"/>
          <w:color w:val="auto"/>
          <w:spacing w:val="-2"/>
          <w:sz w:val="24"/>
          <w:szCs w:val="24"/>
          <w:highlight w:val="none"/>
        </w:rPr>
        <w:t>明材料</w:t>
      </w:r>
    </w:p>
    <w:p w14:paraId="03261AC9">
      <w:pPr>
        <w:spacing w:before="176"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2、技术部分评分细则里需要提供的相关材料及方案。</w:t>
      </w:r>
    </w:p>
    <w:p w14:paraId="3B1DFAC9">
      <w:pPr>
        <w:spacing w:line="223" w:lineRule="auto"/>
        <w:rPr>
          <w:rFonts w:ascii="新宋体" w:hAnsi="新宋体" w:eastAsia="新宋体" w:cs="新宋体"/>
          <w:color w:val="auto"/>
          <w:sz w:val="24"/>
          <w:szCs w:val="24"/>
          <w:highlight w:val="none"/>
        </w:rPr>
        <w:sectPr>
          <w:footerReference r:id="rId32" w:type="default"/>
          <w:pgSz w:w="11905" w:h="16839"/>
          <w:pgMar w:top="1440" w:right="1800" w:bottom="1440" w:left="1800" w:header="0" w:footer="850" w:gutter="0"/>
          <w:pgNumType w:fmt="numberInDash"/>
          <w:cols w:space="720" w:num="1"/>
        </w:sectPr>
      </w:pPr>
    </w:p>
    <w:p w14:paraId="47D8D432">
      <w:pPr>
        <w:spacing w:line="305" w:lineRule="auto"/>
        <w:rPr>
          <w:rFonts w:ascii="Arial"/>
          <w:color w:val="auto"/>
          <w:sz w:val="21"/>
          <w:highlight w:val="none"/>
        </w:rPr>
      </w:pPr>
    </w:p>
    <w:p w14:paraId="7185F764">
      <w:pPr>
        <w:spacing w:line="305" w:lineRule="auto"/>
        <w:rPr>
          <w:rFonts w:ascii="Arial"/>
          <w:color w:val="auto"/>
          <w:sz w:val="21"/>
          <w:highlight w:val="none"/>
        </w:rPr>
      </w:pPr>
    </w:p>
    <w:p w14:paraId="5D68C148">
      <w:pPr>
        <w:spacing w:line="305" w:lineRule="auto"/>
        <w:rPr>
          <w:rFonts w:ascii="Arial"/>
          <w:color w:val="auto"/>
          <w:sz w:val="21"/>
          <w:highlight w:val="none"/>
        </w:rPr>
      </w:pPr>
    </w:p>
    <w:p w14:paraId="5E4990C6">
      <w:pPr>
        <w:pStyle w:val="4"/>
        <w:spacing w:before="189" w:line="188" w:lineRule="auto"/>
        <w:ind w:left="2922"/>
        <w:rPr>
          <w:color w:val="auto"/>
          <w:sz w:val="44"/>
          <w:szCs w:val="44"/>
          <w:highlight w:val="none"/>
        </w:rPr>
      </w:pPr>
      <w:r>
        <w:rPr>
          <w:b/>
          <w:bCs/>
          <w:color w:val="auto"/>
          <w:spacing w:val="-5"/>
          <w:sz w:val="44"/>
          <w:szCs w:val="44"/>
          <w:highlight w:val="none"/>
        </w:rPr>
        <w:t>第三部分：经济部分</w:t>
      </w:r>
    </w:p>
    <w:p w14:paraId="2B972CA0">
      <w:pPr>
        <w:pStyle w:val="4"/>
        <w:spacing w:before="238" w:line="178" w:lineRule="auto"/>
        <w:ind w:left="3974"/>
        <w:rPr>
          <w:color w:val="auto"/>
          <w:sz w:val="28"/>
          <w:szCs w:val="28"/>
          <w:highlight w:val="none"/>
        </w:rPr>
      </w:pPr>
      <w:r>
        <w:rPr>
          <w:b/>
          <w:bCs/>
          <w:color w:val="auto"/>
          <w:spacing w:val="-8"/>
          <w:sz w:val="28"/>
          <w:szCs w:val="28"/>
          <w:highlight w:val="none"/>
        </w:rPr>
        <w:t>1、投标承诺书</w:t>
      </w:r>
    </w:p>
    <w:p w14:paraId="61F4131A">
      <w:pPr>
        <w:spacing w:line="224"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致（招标人</w:t>
      </w:r>
      <w:r>
        <w:rPr>
          <w:rFonts w:ascii="新宋体" w:hAnsi="新宋体" w:eastAsia="新宋体" w:cs="新宋体"/>
          <w:color w:val="auto"/>
          <w:spacing w:val="-4"/>
          <w:sz w:val="24"/>
          <w:szCs w:val="24"/>
          <w:highlight w:val="none"/>
        </w:rPr>
        <w:t>）：</w:t>
      </w:r>
    </w:p>
    <w:p w14:paraId="755B248D">
      <w:pPr>
        <w:spacing w:before="175" w:line="345" w:lineRule="auto"/>
        <w:ind w:right="101" w:firstLine="480"/>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根据已收到的</w:t>
      </w:r>
      <w:r>
        <w:rPr>
          <w:rFonts w:ascii="新宋体" w:hAnsi="新宋体" w:eastAsia="新宋体" w:cs="新宋体"/>
          <w:color w:val="auto"/>
          <w:sz w:val="24"/>
          <w:szCs w:val="24"/>
          <w:highlight w:val="none"/>
          <w:u w:val="single" w:color="auto"/>
        </w:rPr>
        <w:t xml:space="preserve">                   （项目名称）</w:t>
      </w:r>
      <w:r>
        <w:rPr>
          <w:rFonts w:ascii="新宋体" w:hAnsi="新宋体" w:eastAsia="新宋体" w:cs="新宋体"/>
          <w:color w:val="auto"/>
          <w:sz w:val="24"/>
          <w:szCs w:val="24"/>
          <w:highlight w:val="none"/>
        </w:rPr>
        <w:t xml:space="preserve">招标文件，我单位经研究贵方的招标文 </w:t>
      </w:r>
      <w:r>
        <w:rPr>
          <w:rFonts w:ascii="新宋体" w:hAnsi="新宋体" w:eastAsia="新宋体" w:cs="新宋体"/>
          <w:color w:val="auto"/>
          <w:spacing w:val="-16"/>
          <w:sz w:val="24"/>
          <w:szCs w:val="24"/>
          <w:highlight w:val="none"/>
        </w:rPr>
        <w:t>件后：</w:t>
      </w:r>
    </w:p>
    <w:p w14:paraId="4A5AC94B">
      <w:pPr>
        <w:spacing w:before="36" w:line="291" w:lineRule="auto"/>
        <w:ind w:firstLine="491"/>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1、我方愿以投标报价</w:t>
      </w:r>
      <w:r>
        <w:rPr>
          <w:rFonts w:ascii="新宋体" w:hAnsi="新宋体" w:eastAsia="新宋体" w:cs="新宋体"/>
          <w:color w:val="auto"/>
          <w:spacing w:val="-1"/>
          <w:sz w:val="24"/>
          <w:szCs w:val="24"/>
          <w:highlight w:val="none"/>
          <w:u w:val="single" w:color="auto"/>
        </w:rPr>
        <w:t xml:space="preserve">           元（大写</w:t>
      </w:r>
      <w:r>
        <w:rPr>
          <w:rFonts w:ascii="新宋体" w:hAnsi="新宋体" w:eastAsia="新宋体" w:cs="新宋体"/>
          <w:color w:val="auto"/>
          <w:spacing w:val="-19"/>
          <w:sz w:val="24"/>
          <w:szCs w:val="24"/>
          <w:highlight w:val="none"/>
          <w:u w:val="single" w:color="auto"/>
        </w:rPr>
        <w:t>：</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19"/>
          <w:sz w:val="24"/>
          <w:szCs w:val="24"/>
          <w:highlight w:val="none"/>
          <w:u w:val="single" w:color="auto"/>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2"/>
          <w:sz w:val="24"/>
          <w:szCs w:val="24"/>
          <w:highlight w:val="none"/>
        </w:rPr>
        <w:t>及投标承诺书的承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诺承包本招标文件中所述招标范围内的全部内</w:t>
      </w:r>
      <w:r>
        <w:rPr>
          <w:rFonts w:ascii="新宋体" w:hAnsi="新宋体" w:eastAsia="新宋体" w:cs="新宋体"/>
          <w:color w:val="auto"/>
          <w:spacing w:val="-3"/>
          <w:sz w:val="24"/>
          <w:szCs w:val="24"/>
          <w:highlight w:val="none"/>
        </w:rPr>
        <w:t>容。</w:t>
      </w:r>
    </w:p>
    <w:p w14:paraId="09F28BAD">
      <w:pPr>
        <w:spacing w:before="178"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2、合同履行期限：</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z w:val="24"/>
          <w:szCs w:val="24"/>
          <w:highlight w:val="none"/>
          <w:u w:val="single" w:color="auto"/>
        </w:rPr>
        <w:t xml:space="preserve">                           。</w:t>
      </w:r>
    </w:p>
    <w:p w14:paraId="6FFE265A">
      <w:pPr>
        <w:spacing w:before="175" w:line="223" w:lineRule="auto"/>
        <w:ind w:left="478"/>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3、如果我方中标，非招标人原因，我方保证将按招标</w:t>
      </w:r>
      <w:r>
        <w:rPr>
          <w:rFonts w:ascii="新宋体" w:hAnsi="新宋体" w:eastAsia="新宋体" w:cs="新宋体"/>
          <w:color w:val="auto"/>
          <w:spacing w:val="-1"/>
          <w:sz w:val="24"/>
          <w:szCs w:val="24"/>
          <w:highlight w:val="none"/>
        </w:rPr>
        <w:t>文件要求，完成本项目供货 。</w:t>
      </w:r>
    </w:p>
    <w:p w14:paraId="6E71E5BF">
      <w:pPr>
        <w:spacing w:before="178" w:line="291" w:lineRule="auto"/>
        <w:ind w:left="1" w:right="115" w:firstLine="470"/>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4、如果我方中标，我方将按招标文件规定的时间内签订合同。如果违约，我</w:t>
      </w:r>
      <w:r>
        <w:rPr>
          <w:rFonts w:ascii="新宋体" w:hAnsi="新宋体" w:eastAsia="新宋体" w:cs="新宋体"/>
          <w:color w:val="auto"/>
          <w:spacing w:val="-1"/>
          <w:sz w:val="24"/>
          <w:szCs w:val="24"/>
          <w:highlight w:val="none"/>
        </w:rPr>
        <w:t>方愿以投标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保证金作为赔偿金，同时贵方有权终止我方中标并选择其它投标人。</w:t>
      </w:r>
    </w:p>
    <w:p w14:paraId="459A35AF">
      <w:pPr>
        <w:spacing w:before="177" w:line="291" w:lineRule="auto"/>
        <w:ind w:left="2" w:right="101" w:firstLine="47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5、如果我方中标，完成项目的货物与招标文件要求不一致的，服务达不到要求，我方将</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进行整改直至贵方对服务满意为止。</w:t>
      </w:r>
    </w:p>
    <w:p w14:paraId="3ADF92D9">
      <w:pPr>
        <w:spacing w:before="177" w:line="291" w:lineRule="auto"/>
        <w:ind w:right="119" w:firstLine="474"/>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6、贵方的招标文件、答疑文件、招标文件补充、成交通知书</w:t>
      </w:r>
      <w:r>
        <w:rPr>
          <w:rFonts w:ascii="新宋体" w:hAnsi="新宋体" w:eastAsia="新宋体" w:cs="新宋体"/>
          <w:color w:val="auto"/>
          <w:spacing w:val="-1"/>
          <w:sz w:val="24"/>
          <w:szCs w:val="24"/>
          <w:highlight w:val="none"/>
        </w:rPr>
        <w:t>和本投标文件将做为合同附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件，具有同等法律效力。</w:t>
      </w:r>
    </w:p>
    <w:p w14:paraId="5F58D7EA">
      <w:pPr>
        <w:spacing w:before="177" w:line="291" w:lineRule="auto"/>
        <w:ind w:right="119" w:firstLine="478"/>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7、如果我方未中标，贵方没有必要对我方做出任何解</w:t>
      </w:r>
      <w:r>
        <w:rPr>
          <w:rFonts w:ascii="新宋体" w:hAnsi="新宋体" w:eastAsia="新宋体" w:cs="新宋体"/>
          <w:color w:val="auto"/>
          <w:spacing w:val="-1"/>
          <w:sz w:val="24"/>
          <w:szCs w:val="24"/>
          <w:highlight w:val="none"/>
        </w:rPr>
        <w:t>释和说明，我方将充分尊重和理解</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贵方的选择。</w:t>
      </w:r>
    </w:p>
    <w:p w14:paraId="0C1A346A">
      <w:pPr>
        <w:spacing w:line="241" w:lineRule="auto"/>
        <w:rPr>
          <w:rFonts w:ascii="Arial"/>
          <w:color w:val="auto"/>
          <w:sz w:val="21"/>
          <w:highlight w:val="none"/>
        </w:rPr>
      </w:pPr>
    </w:p>
    <w:p w14:paraId="6814FBA2">
      <w:pPr>
        <w:spacing w:line="241" w:lineRule="auto"/>
        <w:rPr>
          <w:rFonts w:ascii="Arial"/>
          <w:color w:val="auto"/>
          <w:sz w:val="21"/>
          <w:highlight w:val="none"/>
        </w:rPr>
      </w:pPr>
    </w:p>
    <w:p w14:paraId="01F5409D">
      <w:pPr>
        <w:spacing w:line="241" w:lineRule="auto"/>
        <w:rPr>
          <w:rFonts w:ascii="Arial"/>
          <w:color w:val="auto"/>
          <w:sz w:val="21"/>
          <w:highlight w:val="none"/>
        </w:rPr>
      </w:pPr>
    </w:p>
    <w:p w14:paraId="6FEA2386">
      <w:pPr>
        <w:spacing w:line="242" w:lineRule="auto"/>
        <w:rPr>
          <w:rFonts w:ascii="Arial"/>
          <w:color w:val="auto"/>
          <w:sz w:val="21"/>
          <w:highlight w:val="none"/>
        </w:rPr>
      </w:pPr>
    </w:p>
    <w:p w14:paraId="4CFF225D">
      <w:pPr>
        <w:spacing w:line="242" w:lineRule="auto"/>
        <w:rPr>
          <w:rFonts w:ascii="Arial"/>
          <w:color w:val="auto"/>
          <w:sz w:val="21"/>
          <w:highlight w:val="none"/>
        </w:rPr>
      </w:pPr>
    </w:p>
    <w:p w14:paraId="0864D637">
      <w:pPr>
        <w:spacing w:line="242" w:lineRule="auto"/>
        <w:rPr>
          <w:rFonts w:ascii="Arial"/>
          <w:color w:val="auto"/>
          <w:sz w:val="21"/>
          <w:highlight w:val="none"/>
        </w:rPr>
      </w:pPr>
    </w:p>
    <w:p w14:paraId="2C0E5A11">
      <w:pPr>
        <w:spacing w:line="242" w:lineRule="auto"/>
        <w:rPr>
          <w:rFonts w:ascii="Arial"/>
          <w:color w:val="auto"/>
          <w:sz w:val="21"/>
          <w:highlight w:val="none"/>
        </w:rPr>
      </w:pPr>
    </w:p>
    <w:p w14:paraId="1934ED7C">
      <w:pPr>
        <w:spacing w:line="242" w:lineRule="auto"/>
        <w:rPr>
          <w:rFonts w:ascii="Arial"/>
          <w:color w:val="auto"/>
          <w:sz w:val="21"/>
          <w:highlight w:val="none"/>
        </w:rPr>
      </w:pPr>
    </w:p>
    <w:p w14:paraId="42DD3183">
      <w:pPr>
        <w:spacing w:line="242" w:lineRule="auto"/>
        <w:rPr>
          <w:rFonts w:ascii="Arial"/>
          <w:color w:val="auto"/>
          <w:sz w:val="21"/>
          <w:highlight w:val="none"/>
        </w:rPr>
      </w:pPr>
    </w:p>
    <w:p w14:paraId="38273733">
      <w:pPr>
        <w:spacing w:line="242" w:lineRule="auto"/>
        <w:rPr>
          <w:rFonts w:ascii="Arial"/>
          <w:color w:val="auto"/>
          <w:sz w:val="21"/>
          <w:highlight w:val="none"/>
        </w:rPr>
      </w:pPr>
    </w:p>
    <w:p w14:paraId="620E319E">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10D22251">
      <w:pPr>
        <w:spacing w:before="177" w:line="345" w:lineRule="auto"/>
        <w:ind w:left="50" w:right="216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37B694D6">
      <w:pPr>
        <w:spacing w:line="345" w:lineRule="auto"/>
        <w:rPr>
          <w:rFonts w:ascii="新宋体" w:hAnsi="新宋体" w:eastAsia="新宋体" w:cs="新宋体"/>
          <w:color w:val="auto"/>
          <w:sz w:val="24"/>
          <w:szCs w:val="24"/>
          <w:highlight w:val="none"/>
        </w:rPr>
        <w:sectPr>
          <w:footerReference r:id="rId33" w:type="default"/>
          <w:pgSz w:w="11905" w:h="16839"/>
          <w:pgMar w:top="1440" w:right="1800" w:bottom="1440" w:left="1800" w:header="0" w:footer="850" w:gutter="0"/>
          <w:pgNumType w:fmt="numberInDash"/>
          <w:cols w:space="720" w:num="1"/>
        </w:sectPr>
      </w:pPr>
    </w:p>
    <w:p w14:paraId="34A8E74C">
      <w:pPr>
        <w:pStyle w:val="4"/>
        <w:spacing w:before="120" w:line="178" w:lineRule="auto"/>
        <w:ind w:left="3961"/>
        <w:rPr>
          <w:color w:val="auto"/>
          <w:sz w:val="28"/>
          <w:szCs w:val="28"/>
          <w:highlight w:val="none"/>
        </w:rPr>
      </w:pPr>
      <w:r>
        <w:rPr>
          <w:b/>
          <w:bCs/>
          <w:color w:val="auto"/>
          <w:spacing w:val="-7"/>
          <w:sz w:val="28"/>
          <w:szCs w:val="28"/>
          <w:highlight w:val="none"/>
        </w:rPr>
        <w:t>2、开标一览表</w:t>
      </w:r>
    </w:p>
    <w:p w14:paraId="55DE3EF8">
      <w:pPr>
        <w:spacing w:line="360" w:lineRule="auto"/>
        <w:jc w:val="both"/>
        <w:rPr>
          <w:rFonts w:hint="eastAsia" w:ascii="宋体" w:hAnsi="宋体" w:cs="等线"/>
          <w:b/>
          <w:color w:val="auto"/>
          <w:szCs w:val="21"/>
          <w:highlight w:val="none"/>
        </w:rPr>
      </w:pPr>
      <w:r>
        <w:rPr>
          <w:rFonts w:hint="eastAsia" w:ascii="宋体" w:hAnsi="宋体" w:cs="等线"/>
          <w:b/>
          <w:color w:val="auto"/>
          <w:szCs w:val="21"/>
          <w:highlight w:val="none"/>
        </w:rPr>
        <w:t>项目名称：</w:t>
      </w:r>
    </w:p>
    <w:p w14:paraId="20C596D3">
      <w:pPr>
        <w:spacing w:line="360" w:lineRule="auto"/>
        <w:jc w:val="both"/>
        <w:rPr>
          <w:rFonts w:hint="eastAsia" w:ascii="宋体" w:hAnsi="宋体" w:cs="等线"/>
          <w:b/>
          <w:color w:val="auto"/>
          <w:szCs w:val="21"/>
          <w:highlight w:val="none"/>
        </w:rPr>
      </w:pPr>
      <w:r>
        <w:rPr>
          <w:rFonts w:hint="eastAsia" w:ascii="宋体" w:hAnsi="宋体" w:cs="等线"/>
          <w:b/>
          <w:color w:val="auto"/>
          <w:szCs w:val="21"/>
          <w:highlight w:val="none"/>
        </w:rPr>
        <w:t>项目编号：</w:t>
      </w:r>
    </w:p>
    <w:tbl>
      <w:tblPr>
        <w:tblStyle w:val="12"/>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1210"/>
        <w:gridCol w:w="7139"/>
        <w:gridCol w:w="1134"/>
      </w:tblGrid>
      <w:tr w14:paraId="112D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2" w:hRule="atLeast"/>
          <w:jc w:val="center"/>
        </w:trPr>
        <w:tc>
          <w:tcPr>
            <w:tcW w:w="568" w:type="dxa"/>
            <w:noWrap w:val="0"/>
            <w:vAlign w:val="center"/>
          </w:tcPr>
          <w:p w14:paraId="6CEDBBF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序号</w:t>
            </w:r>
          </w:p>
        </w:tc>
        <w:tc>
          <w:tcPr>
            <w:tcW w:w="1210" w:type="dxa"/>
            <w:noWrap w:val="0"/>
            <w:vAlign w:val="center"/>
          </w:tcPr>
          <w:p w14:paraId="4B732B5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内容</w:t>
            </w:r>
          </w:p>
        </w:tc>
        <w:tc>
          <w:tcPr>
            <w:tcW w:w="7139" w:type="dxa"/>
            <w:noWrap w:val="0"/>
            <w:vAlign w:val="center"/>
          </w:tcPr>
          <w:p w14:paraId="61A75C7B">
            <w:pPr>
              <w:tabs>
                <w:tab w:val="left" w:pos="8364"/>
              </w:tabs>
              <w:snapToGrid w:val="0"/>
              <w:spacing w:line="360" w:lineRule="auto"/>
              <w:ind w:right="-58"/>
              <w:jc w:val="center"/>
              <w:rPr>
                <w:rFonts w:hint="default" w:ascii="宋体" w:hAnsi="宋体" w:eastAsia="宋体" w:cs="等线"/>
                <w:b/>
                <w:color w:val="auto"/>
                <w:szCs w:val="21"/>
                <w:highlight w:val="none"/>
                <w:lang w:val="en-US" w:eastAsia="zh-CN"/>
              </w:rPr>
            </w:pPr>
            <w:r>
              <w:rPr>
                <w:rFonts w:hint="eastAsia" w:ascii="宋体" w:hAnsi="宋体" w:eastAsia="宋体" w:cs="等线"/>
                <w:b/>
                <w:color w:val="auto"/>
                <w:szCs w:val="21"/>
                <w:highlight w:val="none"/>
                <w:lang w:val="en-US" w:eastAsia="zh-CN"/>
              </w:rPr>
              <w:t>报价金额</w:t>
            </w:r>
          </w:p>
          <w:p w14:paraId="53E854D3">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（小写和小写）</w:t>
            </w:r>
          </w:p>
        </w:tc>
        <w:tc>
          <w:tcPr>
            <w:tcW w:w="1134" w:type="dxa"/>
            <w:noWrap w:val="0"/>
            <w:vAlign w:val="center"/>
          </w:tcPr>
          <w:p w14:paraId="330264A9">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币种/单位</w:t>
            </w:r>
          </w:p>
        </w:tc>
      </w:tr>
      <w:tr w14:paraId="0B80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3" w:hRule="atLeast"/>
          <w:jc w:val="center"/>
        </w:trPr>
        <w:tc>
          <w:tcPr>
            <w:tcW w:w="568" w:type="dxa"/>
            <w:noWrap w:val="0"/>
            <w:vAlign w:val="center"/>
          </w:tcPr>
          <w:p w14:paraId="53C5EBD0">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1</w:t>
            </w:r>
          </w:p>
        </w:tc>
        <w:tc>
          <w:tcPr>
            <w:tcW w:w="1210" w:type="dxa"/>
            <w:noWrap w:val="0"/>
            <w:vAlign w:val="center"/>
          </w:tcPr>
          <w:p w14:paraId="6B89EEDF">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投标价</w:t>
            </w:r>
          </w:p>
        </w:tc>
        <w:tc>
          <w:tcPr>
            <w:tcW w:w="7139" w:type="dxa"/>
            <w:noWrap w:val="0"/>
            <w:vAlign w:val="center"/>
          </w:tcPr>
          <w:p w14:paraId="3C391541">
            <w:pPr>
              <w:tabs>
                <w:tab w:val="left" w:pos="8364"/>
              </w:tabs>
              <w:snapToGrid w:val="0"/>
              <w:spacing w:line="360" w:lineRule="auto"/>
              <w:ind w:right="-58"/>
              <w:rPr>
                <w:rFonts w:hint="eastAsia" w:ascii="宋体" w:hAnsi="宋体" w:cs="等线"/>
                <w:b/>
                <w:color w:val="auto"/>
                <w:szCs w:val="21"/>
                <w:highlight w:val="none"/>
                <w:u w:val="single"/>
              </w:rPr>
            </w:pPr>
            <w:r>
              <w:rPr>
                <w:rFonts w:hint="eastAsia" w:ascii="宋体" w:hAnsi="宋体" w:cs="等线"/>
                <w:b/>
                <w:color w:val="auto"/>
                <w:szCs w:val="21"/>
                <w:highlight w:val="none"/>
                <w:u w:val="single"/>
              </w:rPr>
              <w:t xml:space="preserve">小写：￥               </w:t>
            </w:r>
          </w:p>
          <w:p w14:paraId="038D05A1">
            <w:pPr>
              <w:tabs>
                <w:tab w:val="left" w:pos="8364"/>
              </w:tabs>
              <w:snapToGrid w:val="0"/>
              <w:spacing w:line="360" w:lineRule="auto"/>
              <w:ind w:right="-58"/>
              <w:rPr>
                <w:rFonts w:hint="eastAsia" w:ascii="宋体" w:hAnsi="宋体" w:cs="等线"/>
                <w:b/>
                <w:color w:val="auto"/>
                <w:szCs w:val="21"/>
                <w:highlight w:val="none"/>
                <w:u w:val="single"/>
              </w:rPr>
            </w:pPr>
            <w:r>
              <w:rPr>
                <w:rFonts w:hint="eastAsia" w:ascii="宋体" w:hAnsi="宋体" w:cs="等线"/>
                <w:b/>
                <w:color w:val="auto"/>
                <w:szCs w:val="21"/>
                <w:highlight w:val="none"/>
                <w:u w:val="single"/>
              </w:rPr>
              <w:t>大写：                 元</w:t>
            </w:r>
          </w:p>
          <w:p w14:paraId="3A6B867D">
            <w:pPr>
              <w:rPr>
                <w:rFonts w:ascii="宋体" w:hAnsi="宋体"/>
                <w:color w:val="auto"/>
                <w:highlight w:val="none"/>
              </w:rPr>
            </w:pPr>
            <w:bookmarkStart w:id="17" w:name="_Toc28837"/>
            <w:bookmarkStart w:id="18" w:name="_Toc20049"/>
            <w:bookmarkStart w:id="19" w:name="_Toc29835"/>
            <w:bookmarkStart w:id="20" w:name="_Toc14346"/>
            <w:r>
              <w:rPr>
                <w:rFonts w:hint="eastAsia" w:ascii="宋体" w:hAnsi="宋体"/>
                <w:b/>
                <w:bCs/>
                <w:color w:val="auto"/>
                <w:highlight w:val="none"/>
              </w:rPr>
              <w:t>（请核对大小写是否一致）</w:t>
            </w:r>
            <w:bookmarkEnd w:id="17"/>
            <w:bookmarkEnd w:id="18"/>
            <w:bookmarkEnd w:id="19"/>
            <w:bookmarkEnd w:id="20"/>
          </w:p>
        </w:tc>
        <w:tc>
          <w:tcPr>
            <w:tcW w:w="1134" w:type="dxa"/>
            <w:noWrap w:val="0"/>
            <w:vAlign w:val="center"/>
          </w:tcPr>
          <w:p w14:paraId="63296122">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人民币/元</w:t>
            </w:r>
          </w:p>
        </w:tc>
      </w:tr>
      <w:tr w14:paraId="0708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6FD6518B">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2</w:t>
            </w:r>
          </w:p>
        </w:tc>
        <w:tc>
          <w:tcPr>
            <w:tcW w:w="1210" w:type="dxa"/>
            <w:noWrap w:val="0"/>
            <w:vAlign w:val="center"/>
          </w:tcPr>
          <w:p w14:paraId="4AD9CC86">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各种税费</w:t>
            </w:r>
          </w:p>
        </w:tc>
        <w:tc>
          <w:tcPr>
            <w:tcW w:w="8273" w:type="dxa"/>
            <w:gridSpan w:val="2"/>
            <w:noWrap w:val="0"/>
            <w:vAlign w:val="center"/>
          </w:tcPr>
          <w:p w14:paraId="2B959237">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4939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78AEAB3D">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3</w:t>
            </w:r>
          </w:p>
        </w:tc>
        <w:tc>
          <w:tcPr>
            <w:tcW w:w="1210" w:type="dxa"/>
            <w:noWrap w:val="0"/>
            <w:vAlign w:val="center"/>
          </w:tcPr>
          <w:p w14:paraId="22C6A7B2">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运输费</w:t>
            </w:r>
          </w:p>
        </w:tc>
        <w:tc>
          <w:tcPr>
            <w:tcW w:w="8273" w:type="dxa"/>
            <w:gridSpan w:val="2"/>
            <w:noWrap w:val="0"/>
            <w:vAlign w:val="center"/>
          </w:tcPr>
          <w:p w14:paraId="61644FF2">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2C5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E7AB0B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4</w:t>
            </w:r>
          </w:p>
        </w:tc>
        <w:tc>
          <w:tcPr>
            <w:tcW w:w="1210" w:type="dxa"/>
            <w:noWrap w:val="0"/>
            <w:vAlign w:val="center"/>
          </w:tcPr>
          <w:p w14:paraId="03347FA4">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其他费用</w:t>
            </w:r>
          </w:p>
        </w:tc>
        <w:tc>
          <w:tcPr>
            <w:tcW w:w="8273" w:type="dxa"/>
            <w:gridSpan w:val="2"/>
            <w:noWrap w:val="0"/>
            <w:vAlign w:val="center"/>
          </w:tcPr>
          <w:p w14:paraId="22D34765">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0A33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4EC350B8">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5</w:t>
            </w:r>
          </w:p>
        </w:tc>
        <w:tc>
          <w:tcPr>
            <w:tcW w:w="1210" w:type="dxa"/>
            <w:noWrap w:val="0"/>
            <w:vAlign w:val="center"/>
          </w:tcPr>
          <w:p w14:paraId="70ABC2F6">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供货期</w:t>
            </w:r>
          </w:p>
        </w:tc>
        <w:tc>
          <w:tcPr>
            <w:tcW w:w="8273" w:type="dxa"/>
            <w:gridSpan w:val="2"/>
            <w:noWrap w:val="0"/>
            <w:vAlign w:val="center"/>
          </w:tcPr>
          <w:p w14:paraId="06444DD7">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479E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1132DAF6">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6</w:t>
            </w:r>
          </w:p>
        </w:tc>
        <w:tc>
          <w:tcPr>
            <w:tcW w:w="1210" w:type="dxa"/>
            <w:noWrap w:val="0"/>
            <w:vAlign w:val="center"/>
          </w:tcPr>
          <w:p w14:paraId="26BE31B2">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交货期</w:t>
            </w:r>
          </w:p>
        </w:tc>
        <w:tc>
          <w:tcPr>
            <w:tcW w:w="8273" w:type="dxa"/>
            <w:gridSpan w:val="2"/>
            <w:noWrap w:val="0"/>
            <w:vAlign w:val="center"/>
          </w:tcPr>
          <w:p w14:paraId="64F0AEA7">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3B06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6E63E77">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7</w:t>
            </w:r>
          </w:p>
        </w:tc>
        <w:tc>
          <w:tcPr>
            <w:tcW w:w="1210" w:type="dxa"/>
            <w:noWrap w:val="0"/>
            <w:vAlign w:val="center"/>
          </w:tcPr>
          <w:p w14:paraId="237EC273">
            <w:pPr>
              <w:tabs>
                <w:tab w:val="left" w:pos="8364"/>
              </w:tabs>
              <w:snapToGrid w:val="0"/>
              <w:spacing w:line="360" w:lineRule="auto"/>
              <w:ind w:right="-58"/>
              <w:jc w:val="center"/>
              <w:rPr>
                <w:rFonts w:hint="eastAsia" w:ascii="宋体" w:hAnsi="宋体" w:eastAsia="宋体" w:cs="等线"/>
                <w:b/>
                <w:color w:val="auto"/>
                <w:szCs w:val="21"/>
                <w:highlight w:val="none"/>
                <w:lang w:eastAsia="zh-CN"/>
              </w:rPr>
            </w:pPr>
            <w:r>
              <w:rPr>
                <w:rFonts w:hint="eastAsia" w:ascii="宋体" w:hAnsi="宋体" w:eastAsia="宋体" w:cs="等线"/>
                <w:b/>
                <w:color w:val="auto"/>
                <w:szCs w:val="21"/>
                <w:highlight w:val="none"/>
                <w:lang w:val="en-US" w:eastAsia="zh-CN"/>
              </w:rPr>
              <w:t>保修期</w:t>
            </w:r>
          </w:p>
        </w:tc>
        <w:tc>
          <w:tcPr>
            <w:tcW w:w="8273" w:type="dxa"/>
            <w:gridSpan w:val="2"/>
            <w:noWrap w:val="0"/>
            <w:vAlign w:val="center"/>
          </w:tcPr>
          <w:p w14:paraId="0F0911FC">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29EF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2" w:hRule="atLeast"/>
          <w:jc w:val="center"/>
        </w:trPr>
        <w:tc>
          <w:tcPr>
            <w:tcW w:w="568" w:type="dxa"/>
            <w:noWrap w:val="0"/>
            <w:vAlign w:val="center"/>
          </w:tcPr>
          <w:p w14:paraId="4BFBF1B5">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8</w:t>
            </w:r>
          </w:p>
        </w:tc>
        <w:tc>
          <w:tcPr>
            <w:tcW w:w="1210" w:type="dxa"/>
            <w:noWrap w:val="0"/>
            <w:vAlign w:val="center"/>
          </w:tcPr>
          <w:p w14:paraId="41082CB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投标保证金</w:t>
            </w:r>
          </w:p>
        </w:tc>
        <w:tc>
          <w:tcPr>
            <w:tcW w:w="8273" w:type="dxa"/>
            <w:gridSpan w:val="2"/>
            <w:noWrap w:val="0"/>
            <w:vAlign w:val="center"/>
          </w:tcPr>
          <w:p w14:paraId="0D56B2C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color w:val="auto"/>
                <w:szCs w:val="21"/>
                <w:highlight w:val="none"/>
              </w:rPr>
              <w:t>详见《保证金缴纳凭证》</w:t>
            </w:r>
          </w:p>
        </w:tc>
      </w:tr>
      <w:tr w14:paraId="7DA6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4F4C72D7">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9</w:t>
            </w:r>
          </w:p>
        </w:tc>
        <w:tc>
          <w:tcPr>
            <w:tcW w:w="1210" w:type="dxa"/>
            <w:noWrap w:val="0"/>
            <w:vAlign w:val="center"/>
          </w:tcPr>
          <w:p w14:paraId="7E8FB36B">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投标有效期</w:t>
            </w:r>
          </w:p>
        </w:tc>
        <w:tc>
          <w:tcPr>
            <w:tcW w:w="8273" w:type="dxa"/>
            <w:gridSpan w:val="2"/>
            <w:noWrap w:val="0"/>
            <w:vAlign w:val="center"/>
          </w:tcPr>
          <w:p w14:paraId="3CEE7B6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color w:val="auto"/>
                <w:szCs w:val="21"/>
                <w:highlight w:val="none"/>
              </w:rPr>
              <w:t>自提交投标文件截止之日起90日</w:t>
            </w:r>
          </w:p>
        </w:tc>
      </w:tr>
      <w:tr w14:paraId="16E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0BB1ADD5">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10</w:t>
            </w:r>
          </w:p>
        </w:tc>
        <w:tc>
          <w:tcPr>
            <w:tcW w:w="1210" w:type="dxa"/>
            <w:noWrap w:val="0"/>
            <w:vAlign w:val="center"/>
          </w:tcPr>
          <w:p w14:paraId="255B76C7">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备注</w:t>
            </w:r>
          </w:p>
        </w:tc>
        <w:tc>
          <w:tcPr>
            <w:tcW w:w="8273" w:type="dxa"/>
            <w:gridSpan w:val="2"/>
            <w:noWrap w:val="0"/>
            <w:vAlign w:val="center"/>
          </w:tcPr>
          <w:p w14:paraId="4E2C1CC2">
            <w:pPr>
              <w:tabs>
                <w:tab w:val="left" w:pos="8364"/>
              </w:tabs>
              <w:snapToGrid w:val="0"/>
              <w:spacing w:line="360" w:lineRule="auto"/>
              <w:ind w:right="-58"/>
              <w:jc w:val="center"/>
              <w:rPr>
                <w:rFonts w:ascii="宋体" w:hAnsi="宋体" w:cs="等线"/>
                <w:color w:val="auto"/>
                <w:szCs w:val="21"/>
                <w:highlight w:val="none"/>
              </w:rPr>
            </w:pPr>
          </w:p>
        </w:tc>
      </w:tr>
    </w:tbl>
    <w:p w14:paraId="443C648E">
      <w:pPr>
        <w:widowControl w:val="0"/>
        <w:spacing w:line="360" w:lineRule="auto"/>
        <w:jc w:val="both"/>
        <w:rPr>
          <w:rFonts w:ascii="宋体" w:hAnsi="宋体" w:cs="等线"/>
          <w:color w:val="auto"/>
          <w:szCs w:val="21"/>
          <w:highlight w:val="none"/>
        </w:rPr>
      </w:pPr>
    </w:p>
    <w:p w14:paraId="32256C91">
      <w:pPr>
        <w:widowControl w:val="0"/>
        <w:jc w:val="both"/>
        <w:rPr>
          <w:rFonts w:ascii="宋体" w:hAnsi="宋体" w:cs="等线"/>
          <w:color w:val="auto"/>
          <w:szCs w:val="21"/>
          <w:highlight w:val="none"/>
        </w:rPr>
      </w:pPr>
      <w:r>
        <w:rPr>
          <w:rFonts w:hint="eastAsia" w:ascii="宋体" w:hAnsi="宋体" w:cs="等线"/>
          <w:color w:val="auto"/>
          <w:szCs w:val="21"/>
          <w:highlight w:val="none"/>
        </w:rPr>
        <w:t>注：1.投标人须按要求填写所有信息，不得随意更改本表格式。</w:t>
      </w:r>
    </w:p>
    <w:p w14:paraId="1F733B67">
      <w:pPr>
        <w:widowControl w:val="0"/>
        <w:ind w:firstLine="420" w:firstLineChars="200"/>
        <w:jc w:val="both"/>
        <w:rPr>
          <w:rFonts w:ascii="宋体" w:hAnsi="宋体" w:cs="等线"/>
          <w:color w:val="auto"/>
          <w:szCs w:val="21"/>
          <w:highlight w:val="none"/>
        </w:rPr>
      </w:pPr>
      <w:r>
        <w:rPr>
          <w:rFonts w:hint="eastAsia" w:ascii="宋体" w:hAnsi="宋体" w:cs="等线"/>
          <w:color w:val="auto"/>
          <w:szCs w:val="21"/>
          <w:highlight w:val="none"/>
        </w:rPr>
        <w:t>2、</w:t>
      </w:r>
      <w:r>
        <w:rPr>
          <w:rFonts w:hint="eastAsia" w:ascii="宋体" w:hAnsi="宋体"/>
          <w:color w:val="auto"/>
          <w:highlight w:val="none"/>
        </w:rPr>
        <w:t>投标人报价应为货到采购人用户指定地点含税全包价，金额包含但不限于</w:t>
      </w:r>
      <w:r>
        <w:rPr>
          <w:rFonts w:hint="eastAsia" w:ascii="宋体" w:hAnsi="宋体"/>
          <w:color w:val="auto"/>
          <w:highlight w:val="none"/>
          <w:lang w:val="zh-TW"/>
        </w:rPr>
        <w:t>税费、运输费、各种线材辅材配件、保险费及所配套的土建、吊装就位，培训、安装、调试等所有相关费用，最终达到甲方使用要求</w:t>
      </w:r>
      <w:r>
        <w:rPr>
          <w:rFonts w:hint="eastAsia" w:ascii="宋体" w:hAnsi="宋体"/>
          <w:color w:val="auto"/>
          <w:highlight w:val="none"/>
        </w:rPr>
        <w:t>。</w:t>
      </w:r>
    </w:p>
    <w:p w14:paraId="550366A5">
      <w:pPr>
        <w:widowControl w:val="0"/>
        <w:ind w:firstLine="420" w:firstLineChars="200"/>
        <w:jc w:val="both"/>
        <w:rPr>
          <w:rFonts w:ascii="宋体" w:hAnsi="宋体" w:cs="等线"/>
          <w:color w:val="auto"/>
          <w:szCs w:val="21"/>
          <w:highlight w:val="none"/>
        </w:rPr>
      </w:pPr>
      <w:r>
        <w:rPr>
          <w:rFonts w:ascii="宋体" w:hAnsi="宋体" w:cs="等线"/>
          <w:color w:val="auto"/>
          <w:szCs w:val="21"/>
          <w:highlight w:val="none"/>
        </w:rPr>
        <w:t>3</w:t>
      </w:r>
      <w:r>
        <w:rPr>
          <w:rFonts w:hint="eastAsia" w:ascii="宋体" w:hAnsi="宋体" w:cs="等线"/>
          <w:color w:val="auto"/>
          <w:szCs w:val="21"/>
          <w:highlight w:val="none"/>
        </w:rPr>
        <w:t>.报价四舍五入，精确到小数点后两位。</w:t>
      </w:r>
    </w:p>
    <w:p w14:paraId="1F60E4D1">
      <w:pPr>
        <w:widowControl w:val="0"/>
        <w:ind w:firstLine="420" w:firstLineChars="200"/>
        <w:jc w:val="both"/>
        <w:rPr>
          <w:rFonts w:ascii="宋体" w:hAnsi="宋体" w:cs="等线"/>
          <w:color w:val="auto"/>
          <w:szCs w:val="21"/>
          <w:highlight w:val="none"/>
        </w:rPr>
      </w:pPr>
    </w:p>
    <w:p w14:paraId="4671A565">
      <w:pPr>
        <w:widowControl w:val="0"/>
        <w:adjustRightInd w:val="0"/>
        <w:snapToGrid w:val="0"/>
        <w:jc w:val="both"/>
        <w:rPr>
          <w:rFonts w:ascii="宋体" w:hAnsi="宋体" w:cs="等线"/>
          <w:color w:val="auto"/>
          <w:szCs w:val="21"/>
          <w:highlight w:val="none"/>
        </w:rPr>
      </w:pPr>
      <w:r>
        <w:rPr>
          <w:rFonts w:hint="eastAsia" w:ascii="宋体" w:hAnsi="宋体" w:cs="等线"/>
          <w:color w:val="auto"/>
          <w:szCs w:val="21"/>
          <w:highlight w:val="none"/>
        </w:rPr>
        <w:t>投标人法定代表人（或法定代表人授权代表）签字（或签章）：</w:t>
      </w:r>
    </w:p>
    <w:p w14:paraId="2CA437AE">
      <w:pPr>
        <w:widowControl w:val="0"/>
        <w:adjustRightInd w:val="0"/>
        <w:snapToGrid w:val="0"/>
        <w:jc w:val="both"/>
        <w:rPr>
          <w:rFonts w:ascii="宋体" w:hAnsi="宋体" w:cs="等线"/>
          <w:color w:val="auto"/>
          <w:szCs w:val="21"/>
          <w:highlight w:val="none"/>
          <w:u w:val="single"/>
        </w:rPr>
      </w:pPr>
      <w:r>
        <w:rPr>
          <w:rFonts w:hint="eastAsia" w:ascii="宋体" w:hAnsi="宋体" w:cs="等线"/>
          <w:color w:val="auto"/>
          <w:szCs w:val="21"/>
          <w:highlight w:val="none"/>
        </w:rPr>
        <w:t>投标人名称（加盖公章）：</w:t>
      </w:r>
    </w:p>
    <w:p w14:paraId="347F03FB">
      <w:pPr>
        <w:widowControl w:val="0"/>
        <w:adjustRightInd w:val="0"/>
        <w:snapToGrid w:val="0"/>
        <w:jc w:val="both"/>
        <w:rPr>
          <w:rFonts w:ascii="宋体" w:hAnsi="宋体" w:cs="等线"/>
          <w:color w:val="auto"/>
          <w:szCs w:val="21"/>
          <w:highlight w:val="none"/>
        </w:rPr>
      </w:pPr>
      <w:r>
        <w:rPr>
          <w:rFonts w:hint="eastAsia" w:ascii="宋体" w:hAnsi="宋体" w:cs="等线"/>
          <w:color w:val="auto"/>
          <w:szCs w:val="21"/>
          <w:highlight w:val="none"/>
        </w:rPr>
        <w:t xml:space="preserve">日期： </w:t>
      </w:r>
      <w:r>
        <w:rPr>
          <w:rFonts w:ascii="宋体" w:hAnsi="宋体" w:cs="等线"/>
          <w:color w:val="auto"/>
          <w:szCs w:val="21"/>
          <w:highlight w:val="none"/>
        </w:rPr>
        <w:t xml:space="preserve">  </w:t>
      </w:r>
      <w:r>
        <w:rPr>
          <w:rFonts w:hint="eastAsia" w:ascii="宋体" w:hAnsi="宋体" w:cs="等线"/>
          <w:color w:val="auto"/>
          <w:szCs w:val="21"/>
          <w:highlight w:val="none"/>
        </w:rPr>
        <w:t xml:space="preserve">年 </w:t>
      </w:r>
      <w:r>
        <w:rPr>
          <w:rFonts w:ascii="宋体" w:hAnsi="宋体" w:cs="等线"/>
          <w:color w:val="auto"/>
          <w:szCs w:val="21"/>
          <w:highlight w:val="none"/>
        </w:rPr>
        <w:t xml:space="preserve">  </w:t>
      </w:r>
      <w:r>
        <w:rPr>
          <w:rFonts w:hint="eastAsia" w:ascii="宋体" w:hAnsi="宋体" w:cs="等线"/>
          <w:color w:val="auto"/>
          <w:szCs w:val="21"/>
          <w:highlight w:val="none"/>
        </w:rPr>
        <w:t xml:space="preserve">月 </w:t>
      </w:r>
      <w:r>
        <w:rPr>
          <w:rFonts w:ascii="宋体" w:hAnsi="宋体" w:cs="等线"/>
          <w:color w:val="auto"/>
          <w:szCs w:val="21"/>
          <w:highlight w:val="none"/>
        </w:rPr>
        <w:t xml:space="preserve">  </w:t>
      </w:r>
      <w:r>
        <w:rPr>
          <w:rFonts w:hint="eastAsia" w:ascii="宋体" w:hAnsi="宋体" w:cs="等线"/>
          <w:color w:val="auto"/>
          <w:szCs w:val="21"/>
          <w:highlight w:val="none"/>
        </w:rPr>
        <w:t>日</w:t>
      </w:r>
    </w:p>
    <w:p w14:paraId="6E138989">
      <w:pPr>
        <w:jc w:val="center"/>
        <w:rPr>
          <w:rFonts w:ascii="宋体" w:hAnsi="宋体" w:cs="等线"/>
          <w:color w:val="auto"/>
          <w:highlight w:val="none"/>
        </w:rPr>
        <w:sectPr>
          <w:footerReference r:id="rId34" w:type="default"/>
          <w:pgSz w:w="11906" w:h="16838"/>
          <w:pgMar w:top="1440" w:right="1800" w:bottom="1440" w:left="1800" w:header="426" w:footer="992" w:gutter="0"/>
          <w:pgNumType w:fmt="numberInDash"/>
          <w:cols w:space="720" w:num="1"/>
          <w:docGrid w:type="linesAndChars" w:linePitch="312" w:charSpace="0"/>
        </w:sectPr>
      </w:pPr>
    </w:p>
    <w:p w14:paraId="50004D6A">
      <w:pPr>
        <w:pStyle w:val="4"/>
        <w:spacing w:before="120" w:line="187" w:lineRule="auto"/>
        <w:jc w:val="center"/>
        <w:rPr>
          <w:b/>
          <w:bCs/>
          <w:color w:val="auto"/>
          <w:spacing w:val="-6"/>
          <w:sz w:val="28"/>
          <w:szCs w:val="28"/>
          <w:highlight w:val="none"/>
        </w:rPr>
      </w:pPr>
    </w:p>
    <w:p w14:paraId="58969AD7">
      <w:pPr>
        <w:pStyle w:val="4"/>
        <w:spacing w:before="120" w:line="187" w:lineRule="auto"/>
        <w:jc w:val="center"/>
        <w:rPr>
          <w:color w:val="auto"/>
          <w:sz w:val="28"/>
          <w:szCs w:val="28"/>
          <w:highlight w:val="none"/>
        </w:rPr>
      </w:pPr>
      <w:r>
        <w:rPr>
          <w:b/>
          <w:bCs/>
          <w:color w:val="auto"/>
          <w:spacing w:val="-6"/>
          <w:sz w:val="28"/>
          <w:szCs w:val="28"/>
          <w:highlight w:val="none"/>
        </w:rPr>
        <w:t>3、</w:t>
      </w:r>
      <w:r>
        <w:rPr>
          <w:rFonts w:ascii="Times New Roman" w:hAnsi="Times New Roman" w:eastAsia="宋体" w:cs="Times New Roman"/>
          <w:b/>
          <w:color w:val="auto"/>
          <w:kern w:val="2"/>
          <w:sz w:val="28"/>
          <w:szCs w:val="20"/>
          <w:highlight w:val="none"/>
          <w:lang w:val="en-US" w:eastAsia="zh-CN" w:bidi="ar-SA"/>
        </w:rPr>
        <w:t>投标明细报价表</w:t>
      </w:r>
    </w:p>
    <w:p w14:paraId="43D470A1">
      <w:pPr>
        <w:kinsoku/>
        <w:autoSpaceDE/>
        <w:autoSpaceDN/>
        <w:adjustRightInd/>
        <w:snapToGrid/>
        <w:spacing w:line="240" w:lineRule="auto"/>
        <w:jc w:val="both"/>
        <w:textAlignment w:val="auto"/>
        <w:rPr>
          <w:rFonts w:hint="eastAsia" w:ascii="宋体" w:hAnsi="宋体" w:eastAsia="宋体" w:cs="等线"/>
          <w:b/>
          <w:snapToGrid/>
          <w:color w:val="auto"/>
          <w:kern w:val="2"/>
          <w:szCs w:val="21"/>
          <w:highlight w:val="none"/>
          <w:lang w:eastAsia="zh-CN"/>
        </w:rPr>
      </w:pPr>
      <w:r>
        <w:rPr>
          <w:rFonts w:hint="eastAsia" w:ascii="宋体" w:hAnsi="宋体" w:eastAsia="宋体" w:cs="等线"/>
          <w:b/>
          <w:snapToGrid/>
          <w:color w:val="auto"/>
          <w:kern w:val="2"/>
          <w:szCs w:val="21"/>
          <w:highlight w:val="none"/>
          <w:lang w:eastAsia="zh-CN"/>
        </w:rPr>
        <w:t>项目名称：</w:t>
      </w:r>
    </w:p>
    <w:p w14:paraId="59A48D62">
      <w:pPr>
        <w:kinsoku/>
        <w:autoSpaceDE/>
        <w:autoSpaceDN/>
        <w:adjustRightInd/>
        <w:snapToGrid/>
        <w:spacing w:line="240" w:lineRule="auto"/>
        <w:jc w:val="both"/>
        <w:textAlignment w:val="auto"/>
        <w:rPr>
          <w:rFonts w:ascii="宋体" w:hAnsi="宋体" w:eastAsia="宋体" w:cs="等线"/>
          <w:b/>
          <w:snapToGrid/>
          <w:color w:val="auto"/>
          <w:kern w:val="2"/>
          <w:szCs w:val="21"/>
          <w:highlight w:val="none"/>
          <w:lang w:eastAsia="zh-CN"/>
        </w:rPr>
      </w:pPr>
      <w:r>
        <w:rPr>
          <w:rFonts w:hint="eastAsia" w:ascii="宋体" w:hAnsi="宋体" w:eastAsia="宋体" w:cs="等线"/>
          <w:b/>
          <w:snapToGrid/>
          <w:color w:val="auto"/>
          <w:kern w:val="2"/>
          <w:szCs w:val="21"/>
          <w:highlight w:val="none"/>
          <w:lang w:eastAsia="zh-CN"/>
        </w:rPr>
        <w:t>项目编号：</w:t>
      </w:r>
    </w:p>
    <w:tbl>
      <w:tblPr>
        <w:tblStyle w:val="12"/>
        <w:tblW w:w="15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40"/>
        <w:gridCol w:w="1460"/>
        <w:gridCol w:w="1080"/>
        <w:gridCol w:w="1419"/>
        <w:gridCol w:w="1581"/>
        <w:gridCol w:w="2160"/>
        <w:gridCol w:w="1080"/>
        <w:gridCol w:w="2040"/>
        <w:gridCol w:w="1503"/>
        <w:gridCol w:w="777"/>
      </w:tblGrid>
      <w:tr w14:paraId="1966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14:paraId="345C3B62">
            <w:pPr>
              <w:kinsoku/>
              <w:autoSpaceDE/>
              <w:autoSpaceDN/>
              <w:adjustRightInd/>
              <w:snapToGrid/>
              <w:spacing w:line="360" w:lineRule="auto"/>
              <w:jc w:val="center"/>
              <w:textAlignment w:val="auto"/>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1440" w:type="dxa"/>
            <w:noWrap w:val="0"/>
            <w:vAlign w:val="center"/>
          </w:tcPr>
          <w:p w14:paraId="0054EA1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产品名称</w:t>
            </w:r>
          </w:p>
        </w:tc>
        <w:tc>
          <w:tcPr>
            <w:tcW w:w="1460" w:type="dxa"/>
            <w:noWrap w:val="0"/>
            <w:vAlign w:val="center"/>
          </w:tcPr>
          <w:p w14:paraId="4ECFE74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品牌</w:t>
            </w:r>
          </w:p>
        </w:tc>
        <w:tc>
          <w:tcPr>
            <w:tcW w:w="1080" w:type="dxa"/>
            <w:noWrap w:val="0"/>
            <w:vAlign w:val="center"/>
          </w:tcPr>
          <w:p w14:paraId="6F830BE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规格型号</w:t>
            </w:r>
          </w:p>
        </w:tc>
        <w:tc>
          <w:tcPr>
            <w:tcW w:w="1419" w:type="dxa"/>
            <w:noWrap w:val="0"/>
            <w:vAlign w:val="center"/>
          </w:tcPr>
          <w:p w14:paraId="608A0F2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生产厂家或产地</w:t>
            </w:r>
          </w:p>
        </w:tc>
        <w:tc>
          <w:tcPr>
            <w:tcW w:w="1581" w:type="dxa"/>
            <w:noWrap w:val="0"/>
            <w:vAlign w:val="center"/>
          </w:tcPr>
          <w:p w14:paraId="36E90D7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产品注册证名称</w:t>
            </w:r>
          </w:p>
        </w:tc>
        <w:tc>
          <w:tcPr>
            <w:tcW w:w="2160" w:type="dxa"/>
            <w:noWrap w:val="0"/>
            <w:vAlign w:val="center"/>
          </w:tcPr>
          <w:p w14:paraId="4D47838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Arial" w:hAnsi="Arial" w:eastAsia="宋体" w:cs="Arial"/>
                <w:snapToGrid/>
                <w:color w:val="auto"/>
                <w:kern w:val="2"/>
                <w:sz w:val="24"/>
                <w:szCs w:val="24"/>
                <w:highlight w:val="none"/>
                <w:lang w:eastAsia="zh-CN"/>
              </w:rPr>
              <w:t>产品注册证号</w:t>
            </w:r>
          </w:p>
        </w:tc>
        <w:tc>
          <w:tcPr>
            <w:tcW w:w="1080" w:type="dxa"/>
            <w:noWrap w:val="0"/>
            <w:vAlign w:val="center"/>
          </w:tcPr>
          <w:p w14:paraId="21178C0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w:t>
            </w:r>
          </w:p>
        </w:tc>
        <w:tc>
          <w:tcPr>
            <w:tcW w:w="2040" w:type="dxa"/>
            <w:noWrap w:val="0"/>
            <w:vAlign w:val="center"/>
          </w:tcPr>
          <w:p w14:paraId="28B64E3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含税单价（元）</w:t>
            </w:r>
          </w:p>
        </w:tc>
        <w:tc>
          <w:tcPr>
            <w:tcW w:w="1503" w:type="dxa"/>
            <w:noWrap w:val="0"/>
            <w:vAlign w:val="center"/>
          </w:tcPr>
          <w:p w14:paraId="62AAABF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Arial" w:hAnsi="Arial" w:eastAsia="宋体" w:cs="Arial"/>
                <w:snapToGrid/>
                <w:color w:val="auto"/>
                <w:kern w:val="2"/>
                <w:sz w:val="24"/>
                <w:szCs w:val="24"/>
                <w:highlight w:val="none"/>
                <w:lang w:eastAsia="zh-CN"/>
              </w:rPr>
              <w:t>包装价（元）</w:t>
            </w:r>
          </w:p>
        </w:tc>
        <w:tc>
          <w:tcPr>
            <w:tcW w:w="777" w:type="dxa"/>
            <w:noWrap w:val="0"/>
            <w:vAlign w:val="center"/>
          </w:tcPr>
          <w:p w14:paraId="0F76606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备注</w:t>
            </w:r>
          </w:p>
        </w:tc>
      </w:tr>
      <w:tr w14:paraId="25EF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3973EEB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p>
        </w:tc>
        <w:tc>
          <w:tcPr>
            <w:tcW w:w="1440" w:type="dxa"/>
            <w:noWrap w:val="0"/>
            <w:vAlign w:val="center"/>
          </w:tcPr>
          <w:p w14:paraId="706AD43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436CB786">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1F6B3BB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165FDAC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694A6C6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37748C3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0ED84E2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2AF79A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6A3D250C">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7308EFCD">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730D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5482DD6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w:t>
            </w:r>
          </w:p>
        </w:tc>
        <w:tc>
          <w:tcPr>
            <w:tcW w:w="1440" w:type="dxa"/>
            <w:noWrap w:val="0"/>
            <w:vAlign w:val="center"/>
          </w:tcPr>
          <w:p w14:paraId="54A5229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41903B10">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01FFBA2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59B6B4E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15B44DF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417D56E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4F7CFA9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57252B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422A7E8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3094232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6F8E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2603FE1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w:t>
            </w:r>
          </w:p>
        </w:tc>
        <w:tc>
          <w:tcPr>
            <w:tcW w:w="1440" w:type="dxa"/>
            <w:noWrap w:val="0"/>
            <w:vAlign w:val="center"/>
          </w:tcPr>
          <w:p w14:paraId="2C7BAD0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17FA99F8">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12E2FF7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6B8943C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671A2D5D">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189FC34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2397905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562DA8A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2D30682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301EA80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261E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0E12EFF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p>
        </w:tc>
        <w:tc>
          <w:tcPr>
            <w:tcW w:w="1440" w:type="dxa"/>
            <w:noWrap w:val="0"/>
            <w:vAlign w:val="center"/>
          </w:tcPr>
          <w:p w14:paraId="351AF46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0FA1B401">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7FA5F3F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3718A37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5583483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45780AD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6168E1D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2C0610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118B9A9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777036D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6A6F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3E8AB21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440" w:type="dxa"/>
            <w:noWrap w:val="0"/>
            <w:vAlign w:val="center"/>
          </w:tcPr>
          <w:p w14:paraId="4B94318C">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71D1E23A">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3697DB0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32B29D8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39361BE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09C6B9C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095F1D9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4CF3C8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3F036B8E">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32C7F52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45CB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20" w:type="dxa"/>
            <w:gridSpan w:val="2"/>
            <w:noWrap w:val="0"/>
            <w:vAlign w:val="center"/>
          </w:tcPr>
          <w:p w14:paraId="253675ED">
            <w:pPr>
              <w:kinsoku/>
              <w:autoSpaceDE/>
              <w:autoSpaceDN/>
              <w:adjustRightInd/>
              <w:snapToGrid/>
              <w:spacing w:line="360" w:lineRule="auto"/>
              <w:jc w:val="both"/>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合计：人民币（大写）</w:t>
            </w:r>
          </w:p>
        </w:tc>
        <w:tc>
          <w:tcPr>
            <w:tcW w:w="7700" w:type="dxa"/>
            <w:gridSpan w:val="5"/>
            <w:noWrap w:val="0"/>
            <w:vAlign w:val="center"/>
          </w:tcPr>
          <w:p w14:paraId="378B691C">
            <w:pPr>
              <w:kinsoku/>
              <w:autoSpaceDE/>
              <w:autoSpaceDN/>
              <w:adjustRightInd/>
              <w:snapToGrid/>
              <w:spacing w:line="360" w:lineRule="auto"/>
              <w:jc w:val="center"/>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　元</w:t>
            </w:r>
          </w:p>
        </w:tc>
        <w:tc>
          <w:tcPr>
            <w:tcW w:w="1080" w:type="dxa"/>
            <w:noWrap w:val="0"/>
            <w:vAlign w:val="center"/>
          </w:tcPr>
          <w:p w14:paraId="2717CEB8">
            <w:pPr>
              <w:kinsoku/>
              <w:autoSpaceDE/>
              <w:autoSpaceDN/>
              <w:adjustRightInd/>
              <w:snapToGrid/>
              <w:spacing w:line="360" w:lineRule="auto"/>
              <w:jc w:val="center"/>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小写：￥</w:t>
            </w:r>
          </w:p>
        </w:tc>
        <w:tc>
          <w:tcPr>
            <w:tcW w:w="4320" w:type="dxa"/>
            <w:gridSpan w:val="3"/>
            <w:noWrap w:val="0"/>
            <w:vAlign w:val="center"/>
          </w:tcPr>
          <w:p w14:paraId="06696AA7">
            <w:pPr>
              <w:kinsoku/>
              <w:autoSpaceDE/>
              <w:autoSpaceDN/>
              <w:adjustRightInd/>
              <w:snapToGrid/>
              <w:spacing w:line="360" w:lineRule="auto"/>
              <w:jc w:val="center"/>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　元</w:t>
            </w:r>
          </w:p>
        </w:tc>
      </w:tr>
      <w:tr w14:paraId="0921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20" w:type="dxa"/>
            <w:gridSpan w:val="11"/>
            <w:noWrap w:val="0"/>
            <w:vAlign w:val="center"/>
          </w:tcPr>
          <w:p w14:paraId="5AE36C0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说明：包括全部设备价、税费、包装费、运输、调试（简单安装）必不可少的部件等费用，以及已支付或将支付的营业税和其它税费等所有费用</w:t>
            </w:r>
          </w:p>
        </w:tc>
      </w:tr>
    </w:tbl>
    <w:p w14:paraId="1C80B53B">
      <w:pPr>
        <w:widowControl w:val="0"/>
        <w:kinsoku/>
        <w:autoSpaceDE/>
        <w:autoSpaceDN/>
        <w:adjustRightInd/>
        <w:snapToGrid/>
        <w:spacing w:line="240" w:lineRule="auto"/>
        <w:jc w:val="both"/>
        <w:textAlignment w:val="auto"/>
        <w:rPr>
          <w:rFonts w:hint="default" w:ascii="宋体" w:hAnsi="宋体" w:eastAsia="宋体" w:cs="Times New Roman"/>
          <w:snapToGrid/>
          <w:color w:val="auto"/>
          <w:kern w:val="2"/>
          <w:szCs w:val="24"/>
          <w:highlight w:val="none"/>
          <w:lang w:val="en-US" w:eastAsia="zh-CN"/>
        </w:rPr>
      </w:pPr>
      <w:r>
        <w:rPr>
          <w:rFonts w:hint="eastAsia" w:ascii="宋体" w:hAnsi="宋体" w:eastAsia="宋体" w:cs="等线"/>
          <w:snapToGrid/>
          <w:color w:val="auto"/>
          <w:kern w:val="2"/>
          <w:szCs w:val="24"/>
          <w:highlight w:val="none"/>
          <w:lang w:eastAsia="zh-CN"/>
        </w:rPr>
        <w:t>注：</w:t>
      </w:r>
      <w:r>
        <w:rPr>
          <w:rFonts w:hint="eastAsia" w:ascii="宋体" w:hAnsi="宋体" w:eastAsia="宋体" w:cs="等线"/>
          <w:snapToGrid/>
          <w:color w:val="auto"/>
          <w:kern w:val="2"/>
          <w:szCs w:val="24"/>
          <w:highlight w:val="none"/>
          <w:lang w:val="en-US" w:eastAsia="zh-CN"/>
        </w:rPr>
        <w:t>1、</w:t>
      </w:r>
      <w:r>
        <w:rPr>
          <w:rFonts w:hint="eastAsia" w:ascii="宋体" w:hAnsi="宋体" w:eastAsia="宋体" w:cs="Times New Roman"/>
          <w:snapToGrid/>
          <w:color w:val="auto"/>
          <w:kern w:val="2"/>
          <w:szCs w:val="24"/>
          <w:highlight w:val="none"/>
          <w:lang w:eastAsia="zh-CN"/>
        </w:rPr>
        <w:t>投标人报价应为货到采购人用户指定地点含税全包价，金额包含但不限于</w:t>
      </w:r>
      <w:r>
        <w:rPr>
          <w:rFonts w:hint="eastAsia" w:ascii="宋体" w:hAnsi="宋体" w:eastAsia="宋体" w:cs="Times New Roman"/>
          <w:snapToGrid/>
          <w:color w:val="auto"/>
          <w:kern w:val="2"/>
          <w:szCs w:val="24"/>
          <w:highlight w:val="none"/>
          <w:lang w:val="zh-TW" w:eastAsia="zh-CN"/>
        </w:rPr>
        <w:t>税费、运输费、各种线材辅材配件、保险费及培训、安装、调试等所有相关费用，最终达到甲方使用要求</w:t>
      </w:r>
      <w:r>
        <w:rPr>
          <w:rFonts w:hint="eastAsia" w:ascii="宋体" w:hAnsi="宋体" w:eastAsia="宋体" w:cs="Times New Roman"/>
          <w:snapToGrid/>
          <w:color w:val="auto"/>
          <w:kern w:val="2"/>
          <w:szCs w:val="24"/>
          <w:highlight w:val="none"/>
          <w:lang w:val="en-US" w:eastAsia="zh-CN"/>
        </w:rPr>
        <w:t>。</w:t>
      </w:r>
    </w:p>
    <w:p w14:paraId="26B79D50">
      <w:pPr>
        <w:widowControl w:val="0"/>
        <w:kinsoku/>
        <w:autoSpaceDE/>
        <w:autoSpaceDN/>
        <w:adjustRightInd/>
        <w:snapToGrid/>
        <w:spacing w:line="240" w:lineRule="auto"/>
        <w:jc w:val="both"/>
        <w:textAlignment w:val="auto"/>
        <w:rPr>
          <w:rFonts w:hint="eastAsia" w:ascii="Calibri" w:hAnsi="Calibri" w:eastAsia="宋体" w:cs="Times New Roman"/>
          <w:snapToGrid/>
          <w:color w:val="auto"/>
          <w:kern w:val="2"/>
          <w:szCs w:val="22"/>
          <w:highlight w:val="none"/>
          <w:lang w:eastAsia="zh-CN"/>
        </w:rPr>
      </w:pPr>
    </w:p>
    <w:p w14:paraId="6E17A854">
      <w:pPr>
        <w:widowControl w:val="0"/>
        <w:kinsoku/>
        <w:autoSpaceDE/>
        <w:autoSpaceDN/>
        <w:adjustRightInd w:val="0"/>
        <w:snapToGrid w:val="0"/>
        <w:spacing w:line="240" w:lineRule="auto"/>
        <w:jc w:val="both"/>
        <w:textAlignment w:val="auto"/>
        <w:rPr>
          <w:rFonts w:ascii="宋体" w:hAnsi="宋体" w:eastAsia="宋体" w:cs="等线"/>
          <w:snapToGrid/>
          <w:color w:val="auto"/>
          <w:kern w:val="2"/>
          <w:szCs w:val="21"/>
          <w:highlight w:val="none"/>
          <w:lang w:eastAsia="zh-CN"/>
        </w:rPr>
      </w:pPr>
      <w:r>
        <w:rPr>
          <w:rFonts w:hint="eastAsia" w:ascii="宋体" w:hAnsi="宋体" w:eastAsia="宋体" w:cs="等线"/>
          <w:snapToGrid/>
          <w:color w:val="auto"/>
          <w:kern w:val="2"/>
          <w:szCs w:val="21"/>
          <w:highlight w:val="none"/>
          <w:lang w:eastAsia="zh-CN"/>
        </w:rPr>
        <w:t>投标人法定代表人（或法定代表人授权代表）签字（或签章）：</w:t>
      </w:r>
    </w:p>
    <w:p w14:paraId="22E5DC95">
      <w:pPr>
        <w:widowControl w:val="0"/>
        <w:tabs>
          <w:tab w:val="left" w:pos="4410"/>
        </w:tabs>
        <w:kinsoku/>
        <w:autoSpaceDE/>
        <w:autoSpaceDN/>
        <w:adjustRightInd w:val="0"/>
        <w:snapToGrid w:val="0"/>
        <w:spacing w:line="240" w:lineRule="auto"/>
        <w:jc w:val="both"/>
        <w:textAlignment w:val="auto"/>
        <w:rPr>
          <w:rFonts w:ascii="宋体" w:hAnsi="宋体" w:eastAsia="宋体" w:cs="等线"/>
          <w:snapToGrid/>
          <w:color w:val="auto"/>
          <w:kern w:val="2"/>
          <w:szCs w:val="21"/>
          <w:highlight w:val="none"/>
          <w:u w:val="single"/>
          <w:lang w:eastAsia="zh-CN"/>
        </w:rPr>
      </w:pPr>
      <w:r>
        <w:rPr>
          <w:rFonts w:hint="eastAsia" w:ascii="宋体" w:hAnsi="宋体" w:eastAsia="宋体" w:cs="等线"/>
          <w:snapToGrid/>
          <w:color w:val="auto"/>
          <w:kern w:val="2"/>
          <w:szCs w:val="21"/>
          <w:highlight w:val="none"/>
          <w:lang w:eastAsia="zh-CN"/>
        </w:rPr>
        <w:t>投标人名称（加盖公章）：</w:t>
      </w:r>
      <w:r>
        <w:rPr>
          <w:rFonts w:ascii="宋体" w:hAnsi="宋体" w:eastAsia="宋体" w:cs="等线"/>
          <w:snapToGrid/>
          <w:color w:val="auto"/>
          <w:kern w:val="2"/>
          <w:szCs w:val="21"/>
          <w:highlight w:val="none"/>
          <w:lang w:eastAsia="zh-CN"/>
        </w:rPr>
        <w:tab/>
      </w:r>
    </w:p>
    <w:p w14:paraId="51089F82">
      <w:pPr>
        <w:widowControl w:val="0"/>
        <w:adjustRightInd w:val="0"/>
        <w:snapToGrid w:val="0"/>
        <w:jc w:val="both"/>
        <w:rPr>
          <w:rFonts w:hint="eastAsia" w:ascii="宋体" w:hAnsi="宋体" w:cs="等线"/>
          <w:color w:val="auto"/>
          <w:szCs w:val="21"/>
          <w:highlight w:val="none"/>
        </w:rPr>
        <w:sectPr>
          <w:footerReference r:id="rId35" w:type="default"/>
          <w:pgSz w:w="16838" w:h="11906" w:orient="landscape"/>
          <w:pgMar w:top="1440" w:right="1800" w:bottom="1440" w:left="1800" w:header="426" w:footer="992" w:gutter="0"/>
          <w:pgNumType w:fmt="numberInDash"/>
          <w:cols w:space="720" w:num="1"/>
          <w:docGrid w:type="lines" w:linePitch="312" w:charSpace="0"/>
        </w:sectPr>
      </w:pPr>
      <w:r>
        <w:rPr>
          <w:rFonts w:hint="eastAsia" w:ascii="宋体" w:hAnsi="宋体" w:eastAsia="宋体" w:cs="等线"/>
          <w:snapToGrid/>
          <w:color w:val="auto"/>
          <w:kern w:val="2"/>
          <w:szCs w:val="21"/>
          <w:highlight w:val="none"/>
          <w:lang w:eastAsia="zh-CN"/>
        </w:rPr>
        <w:t>日期：   年   月  日</w:t>
      </w:r>
    </w:p>
    <w:p w14:paraId="499A64B2">
      <w:pPr>
        <w:spacing w:before="164" w:line="345" w:lineRule="auto"/>
        <w:ind w:left="6" w:right="2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注：1、投标人不可更改采购清单中的数量，否侧投标将被否决。招标人清标时发现报价数量</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4"/>
          <w:sz w:val="24"/>
          <w:szCs w:val="24"/>
          <w:highlight w:val="none"/>
        </w:rPr>
        <w:t>不一致，可取消投标人中标资格。</w:t>
      </w:r>
    </w:p>
    <w:p w14:paraId="687857F1">
      <w:pPr>
        <w:spacing w:before="36" w:line="314" w:lineRule="auto"/>
        <w:ind w:firstLine="47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2、投标总报价为投标人完成招标范围所述的全部工程内容的体现和完成该项目的成本、</w:t>
      </w:r>
      <w:r>
        <w:rPr>
          <w:rFonts w:ascii="新宋体" w:hAnsi="新宋体" w:eastAsia="新宋体" w:cs="新宋体"/>
          <w:color w:val="auto"/>
          <w:spacing w:val="-3"/>
          <w:sz w:val="24"/>
          <w:szCs w:val="24"/>
          <w:highlight w:val="none"/>
        </w:rPr>
        <w:t>管理费、技术措施费、利润、风险费及政策性文件规定的不可竞争费用、规费和税金等所有费</w:t>
      </w:r>
      <w:r>
        <w:rPr>
          <w:rFonts w:ascii="新宋体" w:hAnsi="新宋体" w:eastAsia="新宋体" w:cs="新宋体"/>
          <w:color w:val="auto"/>
          <w:spacing w:val="-1"/>
          <w:sz w:val="24"/>
          <w:szCs w:val="24"/>
          <w:highlight w:val="none"/>
        </w:rPr>
        <w:t>用，以及所有根据合同或其它原因由投标人支</w:t>
      </w:r>
      <w:r>
        <w:rPr>
          <w:rFonts w:ascii="新宋体" w:hAnsi="新宋体" w:eastAsia="新宋体" w:cs="新宋体"/>
          <w:color w:val="auto"/>
          <w:spacing w:val="-2"/>
          <w:sz w:val="24"/>
          <w:szCs w:val="24"/>
          <w:highlight w:val="none"/>
        </w:rPr>
        <w:t>付的税金和其它应缴纳的费用。</w:t>
      </w:r>
    </w:p>
    <w:p w14:paraId="21CC58A7">
      <w:pPr>
        <w:spacing w:before="177" w:line="291" w:lineRule="auto"/>
        <w:ind w:right="38" w:firstLine="478"/>
        <w:rPr>
          <w:rFonts w:ascii="Arial"/>
          <w:color w:val="auto"/>
          <w:sz w:val="21"/>
          <w:highlight w:val="none"/>
        </w:rPr>
        <w:sectPr>
          <w:footerReference r:id="rId36" w:type="default"/>
          <w:pgSz w:w="11905" w:h="16839"/>
          <w:pgMar w:top="1440" w:right="1800" w:bottom="1440" w:left="1800" w:header="0" w:footer="850" w:gutter="0"/>
          <w:pgNumType w:fmt="numberInDash"/>
          <w:cols w:space="720" w:num="1"/>
        </w:sectPr>
      </w:pPr>
      <w:r>
        <w:rPr>
          <w:rFonts w:ascii="新宋体" w:hAnsi="新宋体" w:eastAsia="新宋体" w:cs="新宋体"/>
          <w:color w:val="auto"/>
          <w:spacing w:val="-1"/>
          <w:sz w:val="24"/>
          <w:szCs w:val="24"/>
          <w:highlight w:val="none"/>
        </w:rPr>
        <w:t>3、采购清单中的设备及货物报价均需包含人工、供货、运输费、装卸费、售后服务费、</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
          <w:sz w:val="24"/>
          <w:szCs w:val="24"/>
          <w:highlight w:val="none"/>
        </w:rPr>
        <w:t>验收费用、安装调试费、运费及税金等相关伴随服务以及售后服务</w:t>
      </w:r>
      <w:r>
        <w:rPr>
          <w:rFonts w:ascii="新宋体" w:hAnsi="新宋体" w:eastAsia="新宋体" w:cs="新宋体"/>
          <w:color w:val="auto"/>
          <w:spacing w:val="-2"/>
          <w:sz w:val="24"/>
          <w:szCs w:val="24"/>
          <w:highlight w:val="none"/>
        </w:rPr>
        <w:t>等一切费用。</w:t>
      </w:r>
    </w:p>
    <w:p w14:paraId="7663DE09">
      <w:pPr>
        <w:pStyle w:val="4"/>
        <w:spacing w:before="120" w:line="188" w:lineRule="auto"/>
        <w:rPr>
          <w:color w:val="auto"/>
          <w:sz w:val="28"/>
          <w:szCs w:val="28"/>
          <w:highlight w:val="none"/>
        </w:rPr>
      </w:pPr>
      <w:r>
        <w:rPr>
          <w:b/>
          <w:bCs/>
          <w:color w:val="auto"/>
          <w:spacing w:val="-5"/>
          <w:sz w:val="28"/>
          <w:szCs w:val="28"/>
          <w:highlight w:val="none"/>
        </w:rPr>
        <w:t>4、诚信投标承诺书</w:t>
      </w:r>
    </w:p>
    <w:p w14:paraId="18949A31">
      <w:pPr>
        <w:spacing w:line="262" w:lineRule="auto"/>
        <w:rPr>
          <w:rFonts w:ascii="Arial"/>
          <w:color w:val="auto"/>
          <w:sz w:val="21"/>
          <w:highlight w:val="none"/>
        </w:rPr>
      </w:pPr>
    </w:p>
    <w:p w14:paraId="16834FBB">
      <w:pPr>
        <w:spacing w:line="262" w:lineRule="auto"/>
        <w:rPr>
          <w:rFonts w:ascii="Arial"/>
          <w:color w:val="auto"/>
          <w:sz w:val="21"/>
          <w:highlight w:val="none"/>
        </w:rPr>
      </w:pPr>
    </w:p>
    <w:p w14:paraId="67ECD85E">
      <w:pPr>
        <w:spacing w:line="262" w:lineRule="auto"/>
        <w:rPr>
          <w:rFonts w:ascii="Arial"/>
          <w:color w:val="auto"/>
          <w:sz w:val="21"/>
          <w:highlight w:val="none"/>
        </w:rPr>
      </w:pPr>
    </w:p>
    <w:p w14:paraId="42F11F25">
      <w:pPr>
        <w:spacing w:before="78" w:line="223"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本人以企业法定代表人的身份郑重承诺：</w:t>
      </w:r>
    </w:p>
    <w:p w14:paraId="70BF5C52">
      <w:pPr>
        <w:numPr>
          <w:ilvl w:val="0"/>
          <w:numId w:val="3"/>
        </w:numPr>
        <w:spacing w:before="176" w:line="345" w:lineRule="auto"/>
        <w:ind w:left="489" w:right="374" w:hanging="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将遵循公开、公正和诚实信用的原则自愿参加</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4"/>
          <w:sz w:val="24"/>
          <w:szCs w:val="24"/>
          <w:highlight w:val="none"/>
        </w:rPr>
        <w:t>项目的</w:t>
      </w:r>
      <w:r>
        <w:rPr>
          <w:rFonts w:ascii="新宋体" w:hAnsi="新宋体" w:eastAsia="新宋体" w:cs="新宋体"/>
          <w:color w:val="auto"/>
          <w:spacing w:val="-5"/>
          <w:sz w:val="24"/>
          <w:szCs w:val="24"/>
          <w:highlight w:val="none"/>
        </w:rPr>
        <w:t>投标；</w:t>
      </w:r>
      <w:r>
        <w:rPr>
          <w:rFonts w:ascii="新宋体" w:hAnsi="新宋体" w:eastAsia="新宋体" w:cs="新宋体"/>
          <w:color w:val="auto"/>
          <w:sz w:val="24"/>
          <w:szCs w:val="24"/>
          <w:highlight w:val="none"/>
        </w:rPr>
        <w:t xml:space="preserve"> </w:t>
      </w:r>
    </w:p>
    <w:p w14:paraId="2007438A">
      <w:pPr>
        <w:numPr>
          <w:numId w:val="0"/>
        </w:numPr>
        <w:spacing w:before="176" w:line="345" w:lineRule="auto"/>
        <w:ind w:left="486" w:leftChars="0" w:right="374" w:rightChars="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二、所提供的一切材料都是真实、有效、合法的；</w:t>
      </w:r>
    </w:p>
    <w:p w14:paraId="07813B2E">
      <w:pPr>
        <w:spacing w:before="37" w:line="291" w:lineRule="auto"/>
        <w:ind w:left="6" w:right="62" w:firstLine="482"/>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三、不出借、转让资质证书， 不让他人挂靠投标，不以他人名义投标或者以其</w:t>
      </w:r>
      <w:r>
        <w:rPr>
          <w:rFonts w:ascii="新宋体" w:hAnsi="新宋体" w:eastAsia="新宋体" w:cs="新宋体"/>
          <w:color w:val="auto"/>
          <w:spacing w:val="-7"/>
          <w:sz w:val="24"/>
          <w:szCs w:val="24"/>
          <w:highlight w:val="none"/>
        </w:rPr>
        <w:t>他方式弄虚</w:t>
      </w:r>
      <w:r>
        <w:rPr>
          <w:rFonts w:ascii="新宋体" w:hAnsi="新宋体" w:eastAsia="新宋体" w:cs="新宋体"/>
          <w:color w:val="auto"/>
          <w:spacing w:val="-8"/>
          <w:sz w:val="24"/>
          <w:szCs w:val="24"/>
          <w:highlight w:val="none"/>
        </w:rPr>
        <w:t>作假，骗取中标；</w:t>
      </w:r>
    </w:p>
    <w:p w14:paraId="04241FC4">
      <w:pPr>
        <w:spacing w:before="178" w:line="291" w:lineRule="auto"/>
        <w:ind w:left="10" w:right="62" w:firstLine="500"/>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四、不与其他投标人相互串通投标报价， 不排挤其他投标人的公平竞争、损害招标人的合</w:t>
      </w:r>
      <w:r>
        <w:rPr>
          <w:rFonts w:ascii="新宋体" w:hAnsi="新宋体" w:eastAsia="新宋体" w:cs="新宋体"/>
          <w:color w:val="auto"/>
          <w:spacing w:val="-15"/>
          <w:sz w:val="24"/>
          <w:szCs w:val="24"/>
          <w:highlight w:val="none"/>
        </w:rPr>
        <w:t>法权益；</w:t>
      </w:r>
    </w:p>
    <w:p w14:paraId="20D5A01A">
      <w:pPr>
        <w:spacing w:before="177" w:line="291" w:lineRule="auto"/>
        <w:ind w:left="6" w:right="62" w:firstLine="480"/>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五、不与招标人、招标代理机构或其他投标人串通投标， 损害国家利益、社会公共利</w:t>
      </w:r>
      <w:r>
        <w:rPr>
          <w:rFonts w:ascii="新宋体" w:hAnsi="新宋体" w:eastAsia="新宋体" w:cs="新宋体"/>
          <w:color w:val="auto"/>
          <w:spacing w:val="-7"/>
          <w:sz w:val="24"/>
          <w:szCs w:val="24"/>
          <w:highlight w:val="none"/>
        </w:rPr>
        <w:t>益或</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者他人的合法权益；</w:t>
      </w:r>
    </w:p>
    <w:p w14:paraId="09E88B74">
      <w:pPr>
        <w:spacing w:before="175" w:line="224" w:lineRule="auto"/>
        <w:ind w:left="484"/>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六、严格遵守开标现场纪律，服从监管人员</w:t>
      </w:r>
      <w:r>
        <w:rPr>
          <w:rFonts w:ascii="新宋体" w:hAnsi="新宋体" w:eastAsia="新宋体" w:cs="新宋体"/>
          <w:color w:val="auto"/>
          <w:spacing w:val="-4"/>
          <w:sz w:val="24"/>
          <w:szCs w:val="24"/>
          <w:highlight w:val="none"/>
        </w:rPr>
        <w:t>管理；</w:t>
      </w:r>
    </w:p>
    <w:p w14:paraId="62B2EBCF">
      <w:pPr>
        <w:spacing w:before="176" w:line="224" w:lineRule="auto"/>
        <w:ind w:left="487"/>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七、保证中标后不转包，若有分包征得招标人</w:t>
      </w:r>
      <w:r>
        <w:rPr>
          <w:rFonts w:ascii="新宋体" w:hAnsi="新宋体" w:eastAsia="新宋体" w:cs="新宋体"/>
          <w:color w:val="auto"/>
          <w:spacing w:val="-4"/>
          <w:sz w:val="24"/>
          <w:szCs w:val="24"/>
          <w:highlight w:val="none"/>
        </w:rPr>
        <w:t>同意；</w:t>
      </w:r>
    </w:p>
    <w:p w14:paraId="66057FD7">
      <w:pPr>
        <w:spacing w:before="176"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八、保证中标之后，按照投标文件要求提供相关后续服务；</w:t>
      </w:r>
    </w:p>
    <w:p w14:paraId="58743801">
      <w:pPr>
        <w:spacing w:before="177" w:line="223" w:lineRule="auto"/>
        <w:ind w:left="49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九、保证企业及所属相关人员在本次投标中无行贿等犯罪行为；</w:t>
      </w:r>
    </w:p>
    <w:p w14:paraId="36A3169C">
      <w:pPr>
        <w:spacing w:before="178" w:line="325" w:lineRule="auto"/>
        <w:ind w:left="3" w:right="62" w:firstLine="485"/>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十、如在投标过程和公示期间发生投诉行为， 保证按照《伊犁州招标采购活动投诉处理暂</w:t>
      </w:r>
      <w:r>
        <w:rPr>
          <w:rFonts w:ascii="新宋体" w:hAnsi="新宋体" w:eastAsia="新宋体" w:cs="新宋体"/>
          <w:color w:val="auto"/>
          <w:spacing w:val="17"/>
          <w:sz w:val="24"/>
          <w:szCs w:val="24"/>
          <w:highlight w:val="none"/>
        </w:rPr>
        <w:t xml:space="preserve"> </w:t>
      </w:r>
      <w:r>
        <w:rPr>
          <w:rFonts w:ascii="新宋体" w:hAnsi="新宋体" w:eastAsia="新宋体" w:cs="新宋体"/>
          <w:color w:val="auto"/>
          <w:spacing w:val="-6"/>
          <w:sz w:val="24"/>
          <w:szCs w:val="24"/>
          <w:highlight w:val="none"/>
        </w:rPr>
        <w:t>行办法》要求进行。投诉内容符合要求， 投诉材料加盖企业公章或由法定代表人授权委托人签字，并附有关身份证明复印件。不恶意投诉， 对本公司提供的投诉线索的真实性负责，否则愿</w:t>
      </w:r>
      <w:r>
        <w:rPr>
          <w:rFonts w:ascii="新宋体" w:hAnsi="新宋体" w:eastAsia="新宋体" w:cs="新宋体"/>
          <w:color w:val="auto"/>
          <w:spacing w:val="-5"/>
          <w:sz w:val="24"/>
          <w:szCs w:val="24"/>
          <w:highlight w:val="none"/>
        </w:rPr>
        <w:t>接受有关部门的处罚。</w:t>
      </w:r>
    </w:p>
    <w:p w14:paraId="7A8016BA">
      <w:pPr>
        <w:spacing w:before="174" w:line="350" w:lineRule="auto"/>
        <w:ind w:firstLine="507"/>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以上内容我已仔细阅读，本公司若有违反承诺内容的行为，自愿依法接受取消投标资</w:t>
      </w:r>
      <w:r>
        <w:rPr>
          <w:rFonts w:ascii="新宋体" w:hAnsi="新宋体" w:eastAsia="新宋体" w:cs="新宋体"/>
          <w:color w:val="auto"/>
          <w:spacing w:val="-3"/>
          <w:sz w:val="24"/>
          <w:szCs w:val="24"/>
          <w:highlight w:val="none"/>
        </w:rPr>
        <w:t>格、</w:t>
      </w:r>
      <w:r>
        <w:rPr>
          <w:rFonts w:ascii="新宋体" w:hAnsi="新宋体" w:eastAsia="新宋体" w:cs="新宋体"/>
          <w:color w:val="auto"/>
          <w:spacing w:val="-6"/>
          <w:sz w:val="24"/>
          <w:szCs w:val="24"/>
          <w:highlight w:val="none"/>
        </w:rPr>
        <w:t>记入不良信用档案、取消中标资格、没收投标保证金等有关处理， 愿意承担法律责任，给招标</w:t>
      </w:r>
      <w:r>
        <w:rPr>
          <w:rFonts w:ascii="新宋体" w:hAnsi="新宋体" w:eastAsia="新宋体" w:cs="新宋体"/>
          <w:color w:val="auto"/>
          <w:spacing w:val="-3"/>
          <w:sz w:val="24"/>
          <w:szCs w:val="24"/>
          <w:highlight w:val="none"/>
        </w:rPr>
        <w:t>人造成损失的，依法承担赔偿责任。</w:t>
      </w:r>
    </w:p>
    <w:p w14:paraId="57B5CCEE">
      <w:pPr>
        <w:spacing w:line="295" w:lineRule="auto"/>
        <w:rPr>
          <w:rFonts w:ascii="Arial"/>
          <w:color w:val="auto"/>
          <w:sz w:val="21"/>
          <w:highlight w:val="none"/>
        </w:rPr>
      </w:pPr>
    </w:p>
    <w:p w14:paraId="5E52240A">
      <w:pPr>
        <w:spacing w:line="296" w:lineRule="auto"/>
        <w:rPr>
          <w:rFonts w:ascii="Arial"/>
          <w:color w:val="auto"/>
          <w:sz w:val="21"/>
          <w:highlight w:val="none"/>
        </w:rPr>
      </w:pPr>
    </w:p>
    <w:p w14:paraId="08B9DA09">
      <w:pPr>
        <w:spacing w:line="296" w:lineRule="auto"/>
        <w:rPr>
          <w:rFonts w:ascii="Arial"/>
          <w:color w:val="auto"/>
          <w:sz w:val="21"/>
          <w:highlight w:val="none"/>
        </w:rPr>
      </w:pPr>
    </w:p>
    <w:p w14:paraId="23062DB7">
      <w:pPr>
        <w:spacing w:before="79"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1A472188">
      <w:pPr>
        <w:spacing w:before="177" w:line="345" w:lineRule="auto"/>
        <w:ind w:left="52" w:right="2121"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16D6DDA">
      <w:pPr>
        <w:spacing w:line="345" w:lineRule="auto"/>
        <w:rPr>
          <w:rFonts w:ascii="新宋体" w:hAnsi="新宋体" w:eastAsia="新宋体" w:cs="新宋体"/>
          <w:color w:val="auto"/>
          <w:sz w:val="24"/>
          <w:szCs w:val="24"/>
          <w:highlight w:val="none"/>
        </w:rPr>
        <w:sectPr>
          <w:pgSz w:w="11905" w:h="16839"/>
          <w:pgMar w:top="1440" w:right="1800" w:bottom="1440" w:left="1800" w:header="0" w:footer="850" w:gutter="0"/>
          <w:pgNumType w:fmt="numberInDash"/>
          <w:cols w:space="720" w:num="1"/>
        </w:sectPr>
      </w:pPr>
    </w:p>
    <w:p w14:paraId="7FE9F83E">
      <w:pPr>
        <w:spacing w:line="319" w:lineRule="auto"/>
        <w:rPr>
          <w:rFonts w:ascii="Arial"/>
          <w:color w:val="auto"/>
          <w:sz w:val="21"/>
          <w:highlight w:val="none"/>
        </w:rPr>
      </w:pPr>
    </w:p>
    <w:p w14:paraId="1F341B23">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74" w:firstLineChars="100"/>
        <w:textAlignment w:val="baseline"/>
        <w:rPr>
          <w:b/>
          <w:bCs/>
          <w:color w:val="auto"/>
          <w:spacing w:val="-3"/>
          <w:sz w:val="28"/>
          <w:szCs w:val="28"/>
          <w:highlight w:val="none"/>
        </w:rPr>
      </w:pPr>
    </w:p>
    <w:p w14:paraId="7E2DA01A">
      <w:pPr>
        <w:pStyle w:val="4"/>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274" w:firstLineChars="100"/>
        <w:jc w:val="center"/>
        <w:textAlignment w:val="baseline"/>
        <w:rPr>
          <w:color w:val="auto"/>
          <w:sz w:val="28"/>
          <w:szCs w:val="28"/>
          <w:highlight w:val="none"/>
        </w:rPr>
      </w:pPr>
      <w:r>
        <w:rPr>
          <w:b/>
          <w:bCs/>
          <w:color w:val="auto"/>
          <w:spacing w:val="-3"/>
          <w:sz w:val="28"/>
          <w:szCs w:val="28"/>
          <w:highlight w:val="none"/>
        </w:rPr>
        <w:t>5、投标人认为需要提供的其他材料</w:t>
      </w:r>
    </w:p>
    <w:p w14:paraId="2D7E76E2">
      <w:pPr>
        <w:pStyle w:val="4"/>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b/>
          <w:bCs/>
          <w:color w:val="auto"/>
          <w:spacing w:val="-7"/>
          <w:sz w:val="28"/>
          <w:szCs w:val="28"/>
          <w:highlight w:val="none"/>
        </w:rPr>
      </w:pPr>
      <w:r>
        <w:rPr>
          <w:b/>
          <w:bCs/>
          <w:color w:val="auto"/>
          <w:spacing w:val="-7"/>
          <w:sz w:val="28"/>
          <w:szCs w:val="28"/>
          <w:highlight w:val="none"/>
        </w:rPr>
        <w:t>附件 1</w:t>
      </w:r>
    </w:p>
    <w:p w14:paraId="7CD4D7FB">
      <w:pPr>
        <w:pStyle w:val="4"/>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color w:val="auto"/>
          <w:sz w:val="28"/>
          <w:szCs w:val="28"/>
          <w:highlight w:val="none"/>
        </w:rPr>
      </w:pPr>
      <w:r>
        <w:rPr>
          <w:b/>
          <w:bCs/>
          <w:color w:val="auto"/>
          <w:spacing w:val="-7"/>
          <w:sz w:val="28"/>
          <w:szCs w:val="28"/>
          <w:highlight w:val="none"/>
        </w:rPr>
        <w:t>中小企业声明函（货物）</w:t>
      </w:r>
    </w:p>
    <w:p w14:paraId="4FF545C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ascii="Arial"/>
          <w:color w:val="auto"/>
          <w:sz w:val="21"/>
          <w:highlight w:val="none"/>
        </w:rPr>
      </w:pPr>
    </w:p>
    <w:p w14:paraId="7713AA6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714" w:firstLineChars="3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本公司（联合体）郑重声明，根据《政府采购促进中小企业发展管理办法》（财库〔2020〕[2020]46</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号）的规定</w:t>
      </w:r>
      <w:r>
        <w:rPr>
          <w:rFonts w:ascii="新宋体" w:hAnsi="新宋体" w:eastAsia="新宋体" w:cs="新宋体"/>
          <w:color w:val="auto"/>
          <w:spacing w:val="-2"/>
          <w:sz w:val="24"/>
          <w:szCs w:val="24"/>
          <w:highlight w:val="none"/>
        </w:rPr>
        <w:t>，本公司（联合体）参加（单位名称）的（项目名称）采购活</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动，提供的货物全部由符合政策要求的中小企业制造。相关企业（含联合体中的中小企业、签</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4"/>
          <w:sz w:val="24"/>
          <w:szCs w:val="24"/>
          <w:highlight w:val="none"/>
        </w:rPr>
        <w:t>订分包意向协议的中小企业）的具体情况如下：</w:t>
      </w:r>
    </w:p>
    <w:p w14:paraId="4F3E1B1F">
      <w:pPr>
        <w:keepNext w:val="0"/>
        <w:keepLines w:val="0"/>
        <w:pageBreakBefore w:val="0"/>
        <w:widowControl/>
        <w:tabs>
          <w:tab w:val="left" w:pos="9824"/>
        </w:tabs>
        <w:kinsoku w:val="0"/>
        <w:wordWrap/>
        <w:overflowPunct/>
        <w:topLinePunct w:val="0"/>
        <w:autoSpaceDE w:val="0"/>
        <w:autoSpaceDN w:val="0"/>
        <w:bidi w:val="0"/>
        <w:adjustRightInd w:val="0"/>
        <w:snapToGrid w:val="0"/>
        <w:spacing w:line="460" w:lineRule="exact"/>
        <w:ind w:left="0" w:right="0" w:firstLine="491"/>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w:t>
      </w:r>
      <w:r>
        <w:rPr>
          <w:rFonts w:ascii="新宋体" w:hAnsi="新宋体" w:eastAsia="新宋体" w:cs="新宋体"/>
          <w:color w:val="auto"/>
          <w:spacing w:val="-4"/>
          <w:sz w:val="24"/>
          <w:szCs w:val="24"/>
          <w:highlight w:val="none"/>
          <w:u w:val="single" w:color="auto"/>
        </w:rPr>
        <w:t>（标的名称</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4"/>
          <w:sz w:val="24"/>
          <w:szCs w:val="24"/>
          <w:highlight w:val="none"/>
        </w:rPr>
        <w:t>属于</w:t>
      </w:r>
      <w:r>
        <w:rPr>
          <w:rFonts w:ascii="新宋体" w:hAnsi="新宋体" w:eastAsia="新宋体" w:cs="新宋体"/>
          <w:color w:val="auto"/>
          <w:spacing w:val="-4"/>
          <w:sz w:val="24"/>
          <w:szCs w:val="24"/>
          <w:highlight w:val="none"/>
          <w:u w:val="single" w:color="auto"/>
        </w:rPr>
        <w:t>（采购文件中明确的所属行业</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4"/>
          <w:sz w:val="24"/>
          <w:szCs w:val="24"/>
          <w:highlight w:val="none"/>
        </w:rPr>
        <w:t>制造商为</w:t>
      </w:r>
      <w:r>
        <w:rPr>
          <w:rFonts w:ascii="新宋体" w:hAnsi="新宋体" w:eastAsia="新宋体" w:cs="新宋体"/>
          <w:color w:val="auto"/>
          <w:spacing w:val="-4"/>
          <w:sz w:val="24"/>
          <w:szCs w:val="24"/>
          <w:highlight w:val="none"/>
          <w:u w:val="single" w:color="auto"/>
        </w:rPr>
        <w:t>（企业名称</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4"/>
          <w:sz w:val="24"/>
          <w:szCs w:val="24"/>
          <w:highlight w:val="none"/>
        </w:rPr>
        <w:t>从业人员</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1"/>
          <w:sz w:val="24"/>
          <w:szCs w:val="24"/>
          <w:highlight w:val="none"/>
        </w:rPr>
        <w:t xml:space="preserve"> </w:t>
      </w:r>
      <w:r>
        <w:rPr>
          <w:rFonts w:ascii="新宋体" w:hAnsi="新宋体" w:eastAsia="新宋体" w:cs="新宋体"/>
          <w:color w:val="auto"/>
          <w:spacing w:val="-4"/>
          <w:sz w:val="24"/>
          <w:szCs w:val="24"/>
          <w:highlight w:val="none"/>
        </w:rPr>
        <w:t>人，营业收入为</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万元，资产总额为</w:t>
      </w:r>
      <w:r>
        <w:rPr>
          <w:rFonts w:ascii="新宋体" w:hAnsi="新宋体" w:eastAsia="新宋体" w:cs="新宋体"/>
          <w:color w:val="auto"/>
          <w:spacing w:val="-5"/>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万元，属于</w:t>
      </w:r>
      <w:r>
        <w:rPr>
          <w:rFonts w:ascii="新宋体" w:hAnsi="新宋体" w:eastAsia="新宋体" w:cs="新宋体"/>
          <w:color w:val="auto"/>
          <w:spacing w:val="-5"/>
          <w:sz w:val="24"/>
          <w:szCs w:val="24"/>
          <w:highlight w:val="none"/>
          <w:u w:val="single" w:color="auto"/>
        </w:rPr>
        <w:t>（中型企业、小型企业、</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u w:val="single" w:color="auto"/>
        </w:rPr>
        <w:t>微型企业</w:t>
      </w:r>
      <w:r>
        <w:rPr>
          <w:rFonts w:ascii="新宋体" w:hAnsi="新宋体" w:eastAsia="新宋体" w:cs="新宋体"/>
          <w:color w:val="auto"/>
          <w:spacing w:val="-1"/>
          <w:sz w:val="24"/>
          <w:szCs w:val="24"/>
          <w:highlight w:val="none"/>
          <w:u w:val="single" w:color="auto"/>
        </w:rPr>
        <w:t>）</w:t>
      </w:r>
      <w:r>
        <w:rPr>
          <w:rFonts w:ascii="新宋体" w:hAnsi="新宋体" w:eastAsia="新宋体" w:cs="新宋体"/>
          <w:color w:val="auto"/>
          <w:spacing w:val="-1"/>
          <w:sz w:val="24"/>
          <w:szCs w:val="24"/>
          <w:highlight w:val="none"/>
        </w:rPr>
        <w:t>；</w:t>
      </w:r>
    </w:p>
    <w:p w14:paraId="40F0B8DF">
      <w:pPr>
        <w:keepNext w:val="0"/>
        <w:keepLines w:val="0"/>
        <w:pageBreakBefore w:val="0"/>
        <w:widowControl/>
        <w:tabs>
          <w:tab w:val="left" w:pos="9824"/>
        </w:tabs>
        <w:kinsoku w:val="0"/>
        <w:wordWrap/>
        <w:overflowPunct/>
        <w:topLinePunct w:val="0"/>
        <w:autoSpaceDE w:val="0"/>
        <w:autoSpaceDN w:val="0"/>
        <w:bidi w:val="0"/>
        <w:adjustRightInd w:val="0"/>
        <w:snapToGrid w:val="0"/>
        <w:spacing w:line="460" w:lineRule="exact"/>
        <w:ind w:left="0" w:right="0" w:firstLine="476"/>
        <w:jc w:val="both"/>
        <w:textAlignment w:val="baseline"/>
        <w:rPr>
          <w:rFonts w:ascii="新宋体" w:hAnsi="新宋体" w:eastAsia="新宋体" w:cs="新宋体"/>
          <w:color w:val="auto"/>
          <w:spacing w:val="-1"/>
          <w:sz w:val="24"/>
          <w:szCs w:val="24"/>
          <w:highlight w:val="none"/>
        </w:rPr>
      </w:pPr>
      <w:r>
        <w:rPr>
          <w:rFonts w:ascii="新宋体" w:hAnsi="新宋体" w:eastAsia="新宋体" w:cs="新宋体"/>
          <w:color w:val="auto"/>
          <w:spacing w:val="-3"/>
          <w:sz w:val="24"/>
          <w:szCs w:val="24"/>
          <w:highlight w:val="none"/>
        </w:rPr>
        <w:t>2.</w:t>
      </w:r>
      <w:r>
        <w:rPr>
          <w:rFonts w:ascii="新宋体" w:hAnsi="新宋体" w:eastAsia="新宋体" w:cs="新宋体"/>
          <w:color w:val="auto"/>
          <w:spacing w:val="-3"/>
          <w:sz w:val="24"/>
          <w:szCs w:val="24"/>
          <w:highlight w:val="none"/>
          <w:u w:val="single" w:color="auto"/>
        </w:rPr>
        <w:t>（标的名称</w:t>
      </w:r>
      <w:r>
        <w:rPr>
          <w:rFonts w:ascii="新宋体" w:hAnsi="新宋体" w:eastAsia="新宋体" w:cs="新宋体"/>
          <w:color w:val="auto"/>
          <w:spacing w:val="-4"/>
          <w:sz w:val="24"/>
          <w:szCs w:val="24"/>
          <w:highlight w:val="none"/>
          <w:u w:val="single" w:color="auto"/>
        </w:rPr>
        <w:t>）</w:t>
      </w:r>
      <w:r>
        <w:rPr>
          <w:rFonts w:ascii="新宋体" w:hAnsi="新宋体" w:eastAsia="新宋体" w:cs="新宋体"/>
          <w:color w:val="auto"/>
          <w:spacing w:val="-4"/>
          <w:sz w:val="24"/>
          <w:szCs w:val="24"/>
          <w:highlight w:val="none"/>
        </w:rPr>
        <w:t>，</w:t>
      </w:r>
      <w:r>
        <w:rPr>
          <w:rFonts w:ascii="新宋体" w:hAnsi="新宋体" w:eastAsia="新宋体" w:cs="新宋体"/>
          <w:color w:val="auto"/>
          <w:spacing w:val="-3"/>
          <w:sz w:val="24"/>
          <w:szCs w:val="24"/>
          <w:highlight w:val="none"/>
        </w:rPr>
        <w:t>属于</w:t>
      </w:r>
      <w:r>
        <w:rPr>
          <w:rFonts w:ascii="新宋体" w:hAnsi="新宋体" w:eastAsia="新宋体" w:cs="新宋体"/>
          <w:color w:val="auto"/>
          <w:spacing w:val="-3"/>
          <w:sz w:val="24"/>
          <w:szCs w:val="24"/>
          <w:highlight w:val="none"/>
          <w:u w:val="single" w:color="auto"/>
        </w:rPr>
        <w:t>（采购文件中明确的所属行业</w:t>
      </w:r>
      <w:r>
        <w:rPr>
          <w:rFonts w:ascii="新宋体" w:hAnsi="新宋体" w:eastAsia="新宋体" w:cs="新宋体"/>
          <w:color w:val="auto"/>
          <w:spacing w:val="-4"/>
          <w:sz w:val="24"/>
          <w:szCs w:val="24"/>
          <w:highlight w:val="none"/>
          <w:u w:val="single" w:color="auto"/>
        </w:rPr>
        <w:t>）</w:t>
      </w:r>
      <w:r>
        <w:rPr>
          <w:rFonts w:ascii="新宋体" w:hAnsi="新宋体" w:eastAsia="新宋体" w:cs="新宋体"/>
          <w:color w:val="auto"/>
          <w:spacing w:val="-4"/>
          <w:sz w:val="24"/>
          <w:szCs w:val="24"/>
          <w:highlight w:val="none"/>
        </w:rPr>
        <w:t>；</w:t>
      </w:r>
      <w:r>
        <w:rPr>
          <w:rFonts w:ascii="新宋体" w:hAnsi="新宋体" w:eastAsia="新宋体" w:cs="新宋体"/>
          <w:color w:val="auto"/>
          <w:spacing w:val="-3"/>
          <w:sz w:val="24"/>
          <w:szCs w:val="24"/>
          <w:highlight w:val="none"/>
        </w:rPr>
        <w:t>制造商为</w:t>
      </w:r>
      <w:r>
        <w:rPr>
          <w:rFonts w:ascii="新宋体" w:hAnsi="新宋体" w:eastAsia="新宋体" w:cs="新宋体"/>
          <w:color w:val="auto"/>
          <w:spacing w:val="-3"/>
          <w:sz w:val="24"/>
          <w:szCs w:val="24"/>
          <w:highlight w:val="none"/>
          <w:u w:val="single" w:color="auto"/>
        </w:rPr>
        <w:t>（企</w:t>
      </w:r>
      <w:r>
        <w:rPr>
          <w:rFonts w:ascii="新宋体" w:hAnsi="新宋体" w:eastAsia="新宋体" w:cs="新宋体"/>
          <w:color w:val="auto"/>
          <w:spacing w:val="-4"/>
          <w:sz w:val="24"/>
          <w:szCs w:val="24"/>
          <w:highlight w:val="none"/>
          <w:u w:val="single" w:color="auto"/>
        </w:rPr>
        <w:t>业名称）</w:t>
      </w:r>
      <w:r>
        <w:rPr>
          <w:rFonts w:ascii="新宋体" w:hAnsi="新宋体" w:eastAsia="新宋体" w:cs="新宋体"/>
          <w:color w:val="auto"/>
          <w:spacing w:val="-4"/>
          <w:sz w:val="24"/>
          <w:szCs w:val="24"/>
          <w:highlight w:val="none"/>
        </w:rPr>
        <w:t>，从业人员</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1"/>
          <w:sz w:val="24"/>
          <w:szCs w:val="24"/>
          <w:highlight w:val="none"/>
        </w:rPr>
        <w:t xml:space="preserve"> </w:t>
      </w:r>
      <w:r>
        <w:rPr>
          <w:rFonts w:ascii="新宋体" w:hAnsi="新宋体" w:eastAsia="新宋体" w:cs="新宋体"/>
          <w:color w:val="auto"/>
          <w:spacing w:val="-4"/>
          <w:sz w:val="24"/>
          <w:szCs w:val="24"/>
          <w:highlight w:val="none"/>
        </w:rPr>
        <w:t>人，营业收入为</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万元，资产总额为</w:t>
      </w:r>
      <w:r>
        <w:rPr>
          <w:rFonts w:ascii="新宋体" w:hAnsi="新宋体" w:eastAsia="新宋体" w:cs="新宋体"/>
          <w:color w:val="auto"/>
          <w:spacing w:val="-5"/>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万元，属于</w:t>
      </w:r>
      <w:r>
        <w:rPr>
          <w:rFonts w:ascii="新宋体" w:hAnsi="新宋体" w:eastAsia="新宋体" w:cs="新宋体"/>
          <w:color w:val="auto"/>
          <w:spacing w:val="-5"/>
          <w:sz w:val="24"/>
          <w:szCs w:val="24"/>
          <w:highlight w:val="none"/>
          <w:u w:val="single" w:color="auto"/>
        </w:rPr>
        <w:t>（中型企业、小型企业、</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u w:val="single" w:color="auto"/>
        </w:rPr>
        <w:t>微型企业</w:t>
      </w:r>
      <w:r>
        <w:rPr>
          <w:rFonts w:ascii="新宋体" w:hAnsi="新宋体" w:eastAsia="新宋体" w:cs="新宋体"/>
          <w:color w:val="auto"/>
          <w:spacing w:val="-1"/>
          <w:sz w:val="24"/>
          <w:szCs w:val="24"/>
          <w:highlight w:val="none"/>
          <w:u w:val="single" w:color="auto"/>
        </w:rPr>
        <w:t>）</w:t>
      </w:r>
      <w:r>
        <w:rPr>
          <w:rFonts w:ascii="新宋体" w:hAnsi="新宋体" w:eastAsia="新宋体" w:cs="新宋体"/>
          <w:color w:val="auto"/>
          <w:spacing w:val="-1"/>
          <w:sz w:val="24"/>
          <w:szCs w:val="24"/>
          <w:highlight w:val="none"/>
        </w:rPr>
        <w:t>；</w:t>
      </w:r>
    </w:p>
    <w:p w14:paraId="57C448BE">
      <w:pPr>
        <w:keepNext w:val="0"/>
        <w:keepLines w:val="0"/>
        <w:pageBreakBefore w:val="0"/>
        <w:widowControl/>
        <w:tabs>
          <w:tab w:val="left" w:pos="9824"/>
        </w:tabs>
        <w:kinsoku w:val="0"/>
        <w:wordWrap/>
        <w:overflowPunct/>
        <w:topLinePunct w:val="0"/>
        <w:autoSpaceDE w:val="0"/>
        <w:autoSpaceDN w:val="0"/>
        <w:bidi w:val="0"/>
        <w:adjustRightInd w:val="0"/>
        <w:snapToGrid w:val="0"/>
        <w:spacing w:line="460" w:lineRule="exact"/>
        <w:ind w:left="0" w:right="0" w:firstLine="476"/>
        <w:jc w:val="both"/>
        <w:textAlignment w:val="baseline"/>
        <w:rPr>
          <w:rFonts w:ascii="Arial"/>
          <w:color w:val="auto"/>
          <w:sz w:val="21"/>
          <w:highlight w:val="none"/>
        </w:rPr>
      </w:pPr>
      <w:r>
        <w:rPr>
          <w:rFonts w:ascii="新宋体" w:hAnsi="新宋体" w:eastAsia="新宋体" w:cs="新宋体"/>
          <w:color w:val="auto"/>
          <w:spacing w:val="-7"/>
          <w:position w:val="3"/>
          <w:sz w:val="24"/>
          <w:szCs w:val="24"/>
          <w:highlight w:val="none"/>
        </w:rPr>
        <w:t>……</w:t>
      </w:r>
    </w:p>
    <w:p w14:paraId="27F3982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0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以上企业，不属于大企业的分支机构，不存在控股股东为大企业的情形，也不存在与大企</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4"/>
          <w:sz w:val="24"/>
          <w:szCs w:val="24"/>
          <w:highlight w:val="none"/>
        </w:rPr>
        <w:t>业的负责人为同一人的情形。</w:t>
      </w:r>
    </w:p>
    <w:p w14:paraId="329D60D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ascii="Arial"/>
          <w:color w:val="auto"/>
          <w:sz w:val="21"/>
          <w:highlight w:val="none"/>
        </w:rPr>
      </w:pPr>
      <w:r>
        <w:rPr>
          <w:rFonts w:ascii="新宋体" w:hAnsi="新宋体" w:eastAsia="新宋体" w:cs="新宋体"/>
          <w:color w:val="auto"/>
          <w:spacing w:val="-2"/>
          <w:sz w:val="24"/>
          <w:szCs w:val="24"/>
          <w:highlight w:val="none"/>
        </w:rPr>
        <w:t>本企业对上述声明内容的真实性负责。如有虚假，将依法承担相应责任。</w:t>
      </w:r>
    </w:p>
    <w:p w14:paraId="617BF87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ascii="Arial"/>
          <w:color w:val="auto"/>
          <w:sz w:val="21"/>
          <w:highlight w:val="none"/>
        </w:rPr>
      </w:pPr>
    </w:p>
    <w:p w14:paraId="0BE3C18F">
      <w:pPr>
        <w:keepNext w:val="0"/>
        <w:keepLines w:val="0"/>
        <w:pageBreakBefore w:val="0"/>
        <w:widowControl/>
        <w:kinsoku w:val="0"/>
        <w:wordWrap/>
        <w:overflowPunct/>
        <w:topLinePunct w:val="0"/>
        <w:autoSpaceDE w:val="0"/>
        <w:autoSpaceDN w:val="0"/>
        <w:bidi w:val="0"/>
        <w:adjustRightInd w:val="0"/>
        <w:snapToGrid w:val="0"/>
        <w:spacing w:line="460" w:lineRule="exact"/>
        <w:ind w:left="239" w:leftChars="114" w:right="0" w:firstLine="4162" w:firstLineChars="1875"/>
        <w:textAlignment w:val="baseline"/>
        <w:rPr>
          <w:rFonts w:hint="eastAsia" w:ascii="新宋体" w:hAnsi="新宋体" w:eastAsia="新宋体" w:cs="新宋体"/>
          <w:color w:val="auto"/>
          <w:spacing w:val="1"/>
          <w:sz w:val="24"/>
          <w:szCs w:val="24"/>
          <w:highlight w:val="none"/>
          <w:lang w:val="en-US" w:eastAsia="zh-CN"/>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r>
        <w:rPr>
          <w:rFonts w:ascii="新宋体" w:hAnsi="新宋体" w:eastAsia="新宋体" w:cs="新宋体"/>
          <w:color w:val="auto"/>
          <w:spacing w:val="1"/>
          <w:sz w:val="24"/>
          <w:szCs w:val="24"/>
          <w:highlight w:val="none"/>
        </w:rPr>
        <w:t xml:space="preserve"> </w:t>
      </w:r>
      <w:r>
        <w:rPr>
          <w:rFonts w:hint="eastAsia" w:ascii="新宋体" w:hAnsi="新宋体" w:eastAsia="新宋体" w:cs="新宋体"/>
          <w:color w:val="auto"/>
          <w:spacing w:val="1"/>
          <w:sz w:val="24"/>
          <w:szCs w:val="24"/>
          <w:highlight w:val="none"/>
          <w:lang w:val="en-US" w:eastAsia="zh-CN"/>
        </w:rPr>
        <w:t xml:space="preserve"> </w:t>
      </w:r>
    </w:p>
    <w:p w14:paraId="2838ED76">
      <w:pPr>
        <w:keepNext w:val="0"/>
        <w:keepLines w:val="0"/>
        <w:pageBreakBefore w:val="0"/>
        <w:widowControl/>
        <w:kinsoku w:val="0"/>
        <w:wordWrap/>
        <w:overflowPunct/>
        <w:topLinePunct w:val="0"/>
        <w:autoSpaceDE w:val="0"/>
        <w:autoSpaceDN w:val="0"/>
        <w:bidi w:val="0"/>
        <w:adjustRightInd w:val="0"/>
        <w:snapToGrid w:val="0"/>
        <w:spacing w:line="460" w:lineRule="exact"/>
        <w:ind w:left="239" w:leftChars="114" w:right="0" w:firstLine="4257" w:firstLineChars="247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hint="eastAsia" w:ascii="新宋体" w:hAnsi="新宋体" w:eastAsia="新宋体" w:cs="新宋体"/>
          <w:color w:val="auto"/>
          <w:spacing w:val="7"/>
          <w:sz w:val="24"/>
          <w:szCs w:val="24"/>
          <w:highlight w:val="none"/>
          <w:lang w:val="en-US" w:eastAsia="zh-CN"/>
        </w:rPr>
        <w:t xml:space="preserve">       </w:t>
      </w:r>
      <w:r>
        <w:rPr>
          <w:rFonts w:ascii="新宋体" w:hAnsi="新宋体" w:eastAsia="新宋体" w:cs="新宋体"/>
          <w:color w:val="auto"/>
          <w:spacing w:val="-34"/>
          <w:sz w:val="24"/>
          <w:szCs w:val="24"/>
          <w:highlight w:val="none"/>
        </w:rPr>
        <w:t>期：</w:t>
      </w:r>
    </w:p>
    <w:p w14:paraId="20B430FA">
      <w:pPr>
        <w:keepNext w:val="0"/>
        <w:keepLines w:val="0"/>
        <w:pageBreakBefore w:val="0"/>
        <w:widowControl/>
        <w:kinsoku w:val="0"/>
        <w:wordWrap/>
        <w:overflowPunct/>
        <w:topLinePunct w:val="0"/>
        <w:autoSpaceDE w:val="0"/>
        <w:autoSpaceDN w:val="0"/>
        <w:bidi w:val="0"/>
        <w:adjustRightInd w:val="0"/>
        <w:snapToGrid w:val="0"/>
        <w:spacing w:before="36" w:line="460" w:lineRule="exact"/>
        <w:ind w:left="4" w:right="101" w:firstLine="482"/>
        <w:textAlignment w:val="baseline"/>
        <w:rPr>
          <w:rFonts w:ascii="新宋体" w:hAnsi="新宋体" w:eastAsia="新宋体" w:cs="新宋体"/>
          <w:color w:val="auto"/>
          <w:spacing w:val="-9"/>
          <w:sz w:val="21"/>
          <w:szCs w:val="21"/>
          <w:highlight w:val="none"/>
        </w:rPr>
      </w:pPr>
      <w:r>
        <w:rPr>
          <w:rFonts w:ascii="新宋体" w:hAnsi="新宋体" w:eastAsia="新宋体" w:cs="新宋体"/>
          <w:color w:val="auto"/>
          <w:spacing w:val="-2"/>
          <w:sz w:val="21"/>
          <w:szCs w:val="21"/>
          <w:highlight w:val="none"/>
        </w:rPr>
        <w:t>注</w:t>
      </w:r>
      <w:r>
        <w:rPr>
          <w:rFonts w:ascii="新宋体" w:hAnsi="新宋体" w:eastAsia="新宋体" w:cs="新宋体"/>
          <w:color w:val="auto"/>
          <w:spacing w:val="-34"/>
          <w:sz w:val="21"/>
          <w:szCs w:val="21"/>
          <w:highlight w:val="none"/>
        </w:rPr>
        <w:t xml:space="preserve"> </w:t>
      </w:r>
      <w:r>
        <w:rPr>
          <w:rFonts w:ascii="新宋体" w:hAnsi="新宋体" w:eastAsia="新宋体" w:cs="新宋体"/>
          <w:color w:val="auto"/>
          <w:spacing w:val="-2"/>
          <w:sz w:val="21"/>
          <w:szCs w:val="21"/>
          <w:highlight w:val="none"/>
        </w:rPr>
        <w:t>1：从业人员、营业收入、资产总额填报上一年度数据，</w:t>
      </w:r>
      <w:r>
        <w:rPr>
          <w:rFonts w:ascii="新宋体" w:hAnsi="新宋体" w:eastAsia="新宋体" w:cs="新宋体"/>
          <w:color w:val="auto"/>
          <w:spacing w:val="-3"/>
          <w:sz w:val="21"/>
          <w:szCs w:val="21"/>
          <w:highlight w:val="none"/>
        </w:rPr>
        <w:t>无上一年度数据的新成立企业</w:t>
      </w:r>
      <w:r>
        <w:rPr>
          <w:rFonts w:ascii="新宋体" w:hAnsi="新宋体" w:eastAsia="新宋体" w:cs="新宋体"/>
          <w:color w:val="auto"/>
          <w:sz w:val="21"/>
          <w:szCs w:val="21"/>
          <w:highlight w:val="none"/>
        </w:rPr>
        <w:t xml:space="preserve"> </w:t>
      </w:r>
      <w:r>
        <w:rPr>
          <w:rFonts w:ascii="新宋体" w:hAnsi="新宋体" w:eastAsia="新宋体" w:cs="新宋体"/>
          <w:color w:val="auto"/>
          <w:spacing w:val="-9"/>
          <w:sz w:val="21"/>
          <w:szCs w:val="21"/>
          <w:highlight w:val="none"/>
        </w:rPr>
        <w:t>可不填报。</w:t>
      </w:r>
    </w:p>
    <w:p w14:paraId="6BDD771D">
      <w:pPr>
        <w:keepNext w:val="0"/>
        <w:keepLines w:val="0"/>
        <w:pageBreakBefore w:val="0"/>
        <w:widowControl/>
        <w:kinsoku w:val="0"/>
        <w:wordWrap/>
        <w:overflowPunct/>
        <w:topLinePunct w:val="0"/>
        <w:autoSpaceDE w:val="0"/>
        <w:autoSpaceDN w:val="0"/>
        <w:bidi w:val="0"/>
        <w:adjustRightInd w:val="0"/>
        <w:snapToGrid w:val="0"/>
        <w:spacing w:before="36" w:line="460" w:lineRule="exact"/>
        <w:ind w:left="4" w:right="101" w:firstLine="482"/>
        <w:textAlignment w:val="baseline"/>
        <w:rPr>
          <w:rFonts w:ascii="新宋体" w:hAnsi="新宋体" w:eastAsia="新宋体" w:cs="新宋体"/>
          <w:color w:val="auto"/>
          <w:sz w:val="21"/>
          <w:szCs w:val="21"/>
          <w:highlight w:val="none"/>
        </w:rPr>
      </w:pPr>
      <w:r>
        <w:rPr>
          <w:rFonts w:ascii="新宋体" w:hAnsi="新宋体" w:eastAsia="新宋体" w:cs="新宋体"/>
          <w:color w:val="auto"/>
          <w:spacing w:val="-3"/>
          <w:sz w:val="21"/>
          <w:szCs w:val="21"/>
          <w:highlight w:val="none"/>
        </w:rPr>
        <w:t>2：请在本表中填写前附表中写明的中小企业行业类别。</w:t>
      </w:r>
      <w:r>
        <w:rPr>
          <w:rFonts w:hint="eastAsia" w:ascii="新宋体" w:hAnsi="新宋体" w:eastAsia="新宋体" w:cs="新宋体"/>
          <w:color w:val="auto"/>
          <w:spacing w:val="-3"/>
          <w:sz w:val="21"/>
          <w:szCs w:val="21"/>
          <w:highlight w:val="none"/>
        </w:rPr>
        <w:t>中小企业声明函中，标的名称为所投产品的名称，采购文件中明确的所属行业为必填项（详见招标文件第二章须知表），各位投标人请仔细阅读清楚，不得有遗漏。如有遗漏以不满足实质性要求废标。中、小、微企业投标的请正确填写中小企业声明函，如填写错误或未填报或缺项、漏项则不享受《政府采购促进中小企业发展管理办法》规定的企业扶持政策，评审时造成的资格审查不通过或价格评审时的价格扣除不予认定等后果，由投标人自行承担。提交中小企业声明函并中标的，随中标（成交）结果公告一同公示。供应商按照《政府采购促进中小企业发展管理办法》规定提供声明函内容不实的，属于提供虚假材料谋取中标、成交，依照《中华人民共和国政府采购法》等国家有关规定追究相应责任。</w:t>
      </w:r>
    </w:p>
    <w:p w14:paraId="79AC57F0">
      <w:pPr>
        <w:spacing w:line="223" w:lineRule="auto"/>
        <w:rPr>
          <w:rFonts w:ascii="新宋体" w:hAnsi="新宋体" w:eastAsia="新宋体" w:cs="新宋体"/>
          <w:color w:val="auto"/>
          <w:sz w:val="24"/>
          <w:szCs w:val="24"/>
          <w:highlight w:val="none"/>
        </w:rPr>
        <w:sectPr>
          <w:footerReference r:id="rId37" w:type="default"/>
          <w:pgSz w:w="11905" w:h="16839"/>
          <w:pgMar w:top="1440" w:right="1800" w:bottom="1440" w:left="1800" w:header="0" w:footer="850" w:gutter="0"/>
          <w:pgNumType w:fmt="numberInDash"/>
          <w:cols w:space="720" w:num="1"/>
        </w:sectPr>
      </w:pPr>
    </w:p>
    <w:p w14:paraId="011B361B">
      <w:pPr>
        <w:spacing w:line="242" w:lineRule="auto"/>
        <w:rPr>
          <w:rFonts w:ascii="Arial"/>
          <w:color w:val="auto"/>
          <w:sz w:val="21"/>
          <w:highlight w:val="none"/>
        </w:rPr>
      </w:pPr>
    </w:p>
    <w:p w14:paraId="74357999">
      <w:pPr>
        <w:spacing w:line="242" w:lineRule="auto"/>
        <w:rPr>
          <w:rFonts w:ascii="Arial"/>
          <w:color w:val="auto"/>
          <w:sz w:val="21"/>
          <w:highlight w:val="none"/>
        </w:rPr>
      </w:pPr>
    </w:p>
    <w:p w14:paraId="78674869">
      <w:pPr>
        <w:spacing w:line="242" w:lineRule="auto"/>
        <w:rPr>
          <w:rFonts w:ascii="Arial"/>
          <w:color w:val="auto"/>
          <w:sz w:val="21"/>
          <w:highlight w:val="none"/>
        </w:rPr>
      </w:pPr>
    </w:p>
    <w:p w14:paraId="6A9FC4F6">
      <w:pPr>
        <w:spacing w:line="242" w:lineRule="auto"/>
        <w:rPr>
          <w:rFonts w:ascii="Arial"/>
          <w:color w:val="auto"/>
          <w:sz w:val="21"/>
          <w:highlight w:val="none"/>
        </w:rPr>
      </w:pPr>
    </w:p>
    <w:p w14:paraId="75D4BE66">
      <w:pPr>
        <w:pStyle w:val="4"/>
        <w:spacing w:before="103" w:line="189" w:lineRule="auto"/>
        <w:ind w:left="11"/>
        <w:rPr>
          <w:color w:val="auto"/>
          <w:sz w:val="24"/>
          <w:szCs w:val="24"/>
          <w:highlight w:val="none"/>
        </w:rPr>
      </w:pPr>
      <w:r>
        <w:rPr>
          <w:b/>
          <w:bCs/>
          <w:color w:val="auto"/>
          <w:spacing w:val="-7"/>
          <w:sz w:val="24"/>
          <w:szCs w:val="24"/>
          <w:highlight w:val="none"/>
        </w:rPr>
        <w:t>附件 2</w:t>
      </w:r>
    </w:p>
    <w:p w14:paraId="3BA3779C">
      <w:pPr>
        <w:pStyle w:val="4"/>
        <w:spacing w:before="148" w:line="184" w:lineRule="auto"/>
        <w:ind w:left="3340"/>
        <w:rPr>
          <w:color w:val="auto"/>
          <w:sz w:val="28"/>
          <w:szCs w:val="28"/>
          <w:highlight w:val="none"/>
        </w:rPr>
      </w:pPr>
      <w:r>
        <w:rPr>
          <w:b/>
          <w:bCs/>
          <w:color w:val="auto"/>
          <w:spacing w:val="-4"/>
          <w:sz w:val="28"/>
          <w:szCs w:val="28"/>
          <w:highlight w:val="none"/>
        </w:rPr>
        <w:t>监狱企业声明函（如有）</w:t>
      </w:r>
    </w:p>
    <w:p w14:paraId="23D24A48">
      <w:pPr>
        <w:spacing w:line="369" w:lineRule="auto"/>
        <w:rPr>
          <w:rFonts w:ascii="Arial"/>
          <w:color w:val="auto"/>
          <w:sz w:val="21"/>
          <w:highlight w:val="none"/>
        </w:rPr>
      </w:pPr>
    </w:p>
    <w:p w14:paraId="383C3155">
      <w:pPr>
        <w:spacing w:before="78" w:line="350" w:lineRule="auto"/>
        <w:ind w:firstLine="48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本单位郑重声明，本单位在参加</w:t>
      </w:r>
      <w:r>
        <w:rPr>
          <w:rFonts w:ascii="新宋体" w:hAnsi="新宋体" w:eastAsia="新宋体" w:cs="新宋体"/>
          <w:color w:val="auto"/>
          <w:spacing w:val="-3"/>
          <w:sz w:val="24"/>
          <w:szCs w:val="24"/>
          <w:highlight w:val="none"/>
          <w:u w:val="single" w:color="auto"/>
        </w:rPr>
        <w:t>（采购人名称）</w:t>
      </w:r>
      <w:r>
        <w:rPr>
          <w:rFonts w:ascii="新宋体" w:hAnsi="新宋体" w:eastAsia="新宋体" w:cs="新宋体"/>
          <w:color w:val="auto"/>
          <w:spacing w:val="-3"/>
          <w:sz w:val="24"/>
          <w:szCs w:val="24"/>
          <w:highlight w:val="none"/>
        </w:rPr>
        <w:t>的</w:t>
      </w:r>
      <w:r>
        <w:rPr>
          <w:rFonts w:ascii="新宋体" w:hAnsi="新宋体" w:eastAsia="新宋体" w:cs="新宋体"/>
          <w:color w:val="auto"/>
          <w:spacing w:val="-3"/>
          <w:sz w:val="24"/>
          <w:szCs w:val="24"/>
          <w:highlight w:val="none"/>
          <w:u w:val="single" w:color="auto"/>
        </w:rPr>
        <w:t>（招标项目名称）</w:t>
      </w:r>
      <w:r>
        <w:rPr>
          <w:rFonts w:ascii="新宋体" w:hAnsi="新宋体" w:eastAsia="新宋体" w:cs="新宋体"/>
          <w:color w:val="auto"/>
          <w:spacing w:val="-3"/>
          <w:sz w:val="24"/>
          <w:szCs w:val="24"/>
          <w:highlight w:val="none"/>
        </w:rPr>
        <w:t>项目采购活动提</w:t>
      </w:r>
      <w:r>
        <w:rPr>
          <w:rFonts w:ascii="新宋体" w:hAnsi="新宋体" w:eastAsia="新宋体" w:cs="新宋体"/>
          <w:color w:val="auto"/>
          <w:spacing w:val="-4"/>
          <w:sz w:val="24"/>
          <w:szCs w:val="24"/>
          <w:highlight w:val="none"/>
        </w:rPr>
        <w:t>供以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下监狱企业制造的货物（或监狱企业承担的工程、或监狱企业承接的服务</w:t>
      </w:r>
      <w:r>
        <w:rPr>
          <w:rFonts w:ascii="新宋体" w:hAnsi="新宋体" w:eastAsia="新宋体" w:cs="新宋体"/>
          <w:color w:val="auto"/>
          <w:spacing w:val="-1"/>
          <w:sz w:val="24"/>
          <w:szCs w:val="24"/>
          <w:highlight w:val="none"/>
        </w:rPr>
        <w:t>），</w:t>
      </w:r>
      <w:r>
        <w:rPr>
          <w:rFonts w:ascii="新宋体" w:hAnsi="新宋体" w:eastAsia="新宋体" w:cs="新宋体"/>
          <w:color w:val="auto"/>
          <w:spacing w:val="-3"/>
          <w:sz w:val="24"/>
          <w:szCs w:val="24"/>
          <w:highlight w:val="none"/>
        </w:rPr>
        <w:t>具体情况如下：（按照实际情况勾选或填空）</w:t>
      </w:r>
    </w:p>
    <w:p w14:paraId="0EA05486">
      <w:pPr>
        <w:spacing w:before="317" w:line="291" w:lineRule="auto"/>
        <w:ind w:left="2" w:firstLine="35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w:t>
      </w:r>
      <w:r>
        <w:rPr>
          <w:rFonts w:ascii="新宋体" w:hAnsi="新宋体" w:eastAsia="新宋体" w:cs="新宋体"/>
          <w:color w:val="auto"/>
          <w:spacing w:val="-3"/>
          <w:sz w:val="24"/>
          <w:szCs w:val="24"/>
          <w:highlight w:val="none"/>
          <w:u w:val="single" w:color="auto"/>
        </w:rPr>
        <w:t>（制造商名称）</w:t>
      </w:r>
      <w:r>
        <w:rPr>
          <w:rFonts w:ascii="新宋体" w:hAnsi="新宋体" w:eastAsia="新宋体" w:cs="新宋体"/>
          <w:color w:val="auto"/>
          <w:spacing w:val="-3"/>
          <w:sz w:val="24"/>
          <w:szCs w:val="24"/>
          <w:highlight w:val="none"/>
        </w:rPr>
        <w:t>属于监狱企业，后附省级以上监狱管理局、戒毒管理局（含新疆生</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3"/>
          <w:sz w:val="24"/>
          <w:szCs w:val="24"/>
          <w:highlight w:val="none"/>
        </w:rPr>
        <w:t>产建设兵团）出具的属于监狱企业的证明文件。</w:t>
      </w:r>
    </w:p>
    <w:p w14:paraId="49763A64">
      <w:pPr>
        <w:spacing w:line="374" w:lineRule="auto"/>
        <w:rPr>
          <w:rFonts w:ascii="Arial"/>
          <w:color w:val="auto"/>
          <w:sz w:val="21"/>
          <w:highlight w:val="none"/>
        </w:rPr>
      </w:pPr>
    </w:p>
    <w:p w14:paraId="0634AA3F">
      <w:pPr>
        <w:spacing w:before="78" w:line="350" w:lineRule="auto"/>
        <w:ind w:right="44" w:firstLine="420"/>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w:t>
      </w:r>
      <w:r>
        <w:rPr>
          <w:rFonts w:ascii="新宋体" w:hAnsi="新宋体" w:eastAsia="新宋体" w:cs="新宋体"/>
          <w:color w:val="auto"/>
          <w:spacing w:val="-85"/>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（制造商名称）</w:t>
      </w:r>
      <w:r>
        <w:rPr>
          <w:rFonts w:ascii="新宋体" w:hAnsi="新宋体" w:eastAsia="新宋体" w:cs="新宋体"/>
          <w:color w:val="auto"/>
          <w:spacing w:val="-1"/>
          <w:sz w:val="24"/>
          <w:szCs w:val="24"/>
          <w:highlight w:val="none"/>
        </w:rPr>
        <w:t>属于监狱企业并作为联合体一方，</w:t>
      </w:r>
      <w:r>
        <w:rPr>
          <w:rFonts w:ascii="新宋体" w:hAnsi="新宋体" w:eastAsia="新宋体" w:cs="新宋体"/>
          <w:color w:val="auto"/>
          <w:spacing w:val="-2"/>
          <w:sz w:val="24"/>
          <w:szCs w:val="24"/>
          <w:highlight w:val="none"/>
        </w:rPr>
        <w:t>其提供协议合同金额占到共同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投标协议合同总金额的比例为</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
          <w:sz w:val="24"/>
          <w:szCs w:val="24"/>
          <w:highlight w:val="none"/>
        </w:rPr>
        <w:t>。后附省级以上监狱管理局、戒毒管理局（含新疆生产</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3"/>
          <w:sz w:val="24"/>
          <w:szCs w:val="24"/>
          <w:highlight w:val="none"/>
        </w:rPr>
        <w:t>建设兵团）出具的属于监狱企业的证明文件。</w:t>
      </w:r>
    </w:p>
    <w:p w14:paraId="2E33201C">
      <w:pPr>
        <w:spacing w:before="316" w:line="350" w:lineRule="auto"/>
        <w:ind w:left="1" w:right="35" w:firstLine="419"/>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w:t>
      </w:r>
      <w:r>
        <w:rPr>
          <w:rFonts w:ascii="新宋体" w:hAnsi="新宋体" w:eastAsia="新宋体" w:cs="新宋体"/>
          <w:color w:val="auto"/>
          <w:spacing w:val="-85"/>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（制造商名称）</w:t>
      </w:r>
      <w:r>
        <w:rPr>
          <w:rFonts w:ascii="新宋体" w:hAnsi="新宋体" w:eastAsia="新宋体" w:cs="新宋体"/>
          <w:color w:val="auto"/>
          <w:spacing w:val="-1"/>
          <w:sz w:val="24"/>
          <w:szCs w:val="24"/>
          <w:highlight w:val="none"/>
        </w:rPr>
        <w:t>属于监狱企业并作为分包方，其提</w:t>
      </w:r>
      <w:r>
        <w:rPr>
          <w:rFonts w:ascii="新宋体" w:hAnsi="新宋体" w:eastAsia="新宋体" w:cs="新宋体"/>
          <w:color w:val="auto"/>
          <w:spacing w:val="-2"/>
          <w:sz w:val="24"/>
          <w:szCs w:val="24"/>
          <w:highlight w:val="none"/>
        </w:rPr>
        <w:t>供协议合同金额占到分包意向</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协议合同总金额的比例为</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
          <w:sz w:val="24"/>
          <w:szCs w:val="24"/>
          <w:highlight w:val="none"/>
        </w:rPr>
        <w:t>。后附省级以上监狱管理局、戒毒管理局（含新疆生产建设</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3"/>
          <w:sz w:val="24"/>
          <w:szCs w:val="24"/>
          <w:highlight w:val="none"/>
        </w:rPr>
        <w:t>兵团）出具的属于监狱企业的证明文件。</w:t>
      </w:r>
    </w:p>
    <w:p w14:paraId="76B0E78F">
      <w:pPr>
        <w:spacing w:before="316"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本单位对上述声明的真实性负责。如有虚假，将依法承担相应责任。</w:t>
      </w:r>
    </w:p>
    <w:p w14:paraId="4052EEBD">
      <w:pPr>
        <w:spacing w:line="263" w:lineRule="auto"/>
        <w:rPr>
          <w:rFonts w:ascii="Arial"/>
          <w:color w:val="auto"/>
          <w:sz w:val="21"/>
          <w:highlight w:val="none"/>
        </w:rPr>
      </w:pPr>
    </w:p>
    <w:p w14:paraId="47D52566">
      <w:pPr>
        <w:spacing w:line="263" w:lineRule="auto"/>
        <w:rPr>
          <w:rFonts w:ascii="Arial"/>
          <w:color w:val="auto"/>
          <w:sz w:val="21"/>
          <w:highlight w:val="none"/>
        </w:rPr>
      </w:pPr>
    </w:p>
    <w:p w14:paraId="540C5107">
      <w:pPr>
        <w:spacing w:line="264" w:lineRule="auto"/>
        <w:rPr>
          <w:rFonts w:ascii="Arial"/>
          <w:color w:val="auto"/>
          <w:sz w:val="21"/>
          <w:highlight w:val="none"/>
        </w:rPr>
      </w:pPr>
    </w:p>
    <w:p w14:paraId="0E467DF0">
      <w:pPr>
        <w:spacing w:line="264" w:lineRule="auto"/>
        <w:rPr>
          <w:rFonts w:ascii="Arial"/>
          <w:color w:val="auto"/>
          <w:sz w:val="21"/>
          <w:highlight w:val="none"/>
        </w:rPr>
      </w:pPr>
    </w:p>
    <w:p w14:paraId="7D8D4EE6">
      <w:pPr>
        <w:spacing w:line="264" w:lineRule="auto"/>
        <w:rPr>
          <w:rFonts w:ascii="Arial"/>
          <w:color w:val="auto"/>
          <w:sz w:val="21"/>
          <w:highlight w:val="none"/>
        </w:rPr>
      </w:pPr>
    </w:p>
    <w:p w14:paraId="6FCF51F6">
      <w:pPr>
        <w:spacing w:line="264" w:lineRule="auto"/>
        <w:rPr>
          <w:rFonts w:ascii="Arial"/>
          <w:color w:val="auto"/>
          <w:sz w:val="21"/>
          <w:highlight w:val="none"/>
        </w:rPr>
      </w:pPr>
    </w:p>
    <w:p w14:paraId="096A8915">
      <w:pPr>
        <w:spacing w:line="240" w:lineRule="auto"/>
        <w:ind w:left="0" w:right="0" w:firstLine="0"/>
        <w:rPr>
          <w:rFonts w:ascii="新宋体" w:hAnsi="新宋体" w:eastAsia="新宋体" w:cs="新宋体"/>
          <w:color w:val="auto"/>
          <w:spacing w:val="-7"/>
          <w:sz w:val="24"/>
          <w:szCs w:val="24"/>
          <w:highlight w:val="none"/>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p>
    <w:p w14:paraId="2A6E5723">
      <w:pPr>
        <w:spacing w:line="240" w:lineRule="auto"/>
        <w:ind w:left="0" w:right="0" w:firstLine="0"/>
        <w:rPr>
          <w:rFonts w:ascii="新宋体" w:hAnsi="新宋体" w:eastAsia="新宋体" w:cs="新宋体"/>
          <w:color w:val="auto"/>
          <w:sz w:val="24"/>
          <w:szCs w:val="24"/>
          <w:highlight w:val="none"/>
        </w:rPr>
      </w:pP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4"/>
          <w:sz w:val="24"/>
          <w:szCs w:val="24"/>
          <w:highlight w:val="none"/>
        </w:rPr>
        <w:t>期：</w:t>
      </w:r>
    </w:p>
    <w:p w14:paraId="20FB0BFE">
      <w:pPr>
        <w:spacing w:line="240" w:lineRule="auto"/>
        <w:ind w:left="0" w:right="0" w:firstLine="0"/>
        <w:rPr>
          <w:rFonts w:ascii="新宋体" w:hAnsi="新宋体" w:eastAsia="新宋体" w:cs="新宋体"/>
          <w:color w:val="auto"/>
          <w:sz w:val="24"/>
          <w:szCs w:val="24"/>
          <w:highlight w:val="none"/>
        </w:rPr>
        <w:sectPr>
          <w:footerReference r:id="rId38" w:type="default"/>
          <w:pgSz w:w="11905" w:h="16839"/>
          <w:pgMar w:top="1440" w:right="1800" w:bottom="1440" w:left="1800" w:header="0" w:footer="850" w:gutter="0"/>
          <w:pgNumType w:fmt="numberInDash"/>
          <w:cols w:space="720" w:num="1"/>
        </w:sectPr>
      </w:pPr>
    </w:p>
    <w:p w14:paraId="6DB1A1AF">
      <w:pPr>
        <w:spacing w:line="242" w:lineRule="auto"/>
        <w:rPr>
          <w:rFonts w:ascii="Arial"/>
          <w:color w:val="auto"/>
          <w:sz w:val="21"/>
          <w:highlight w:val="none"/>
        </w:rPr>
      </w:pPr>
    </w:p>
    <w:p w14:paraId="68AD74D3">
      <w:pPr>
        <w:spacing w:line="242" w:lineRule="auto"/>
        <w:rPr>
          <w:rFonts w:ascii="Arial"/>
          <w:color w:val="auto"/>
          <w:sz w:val="21"/>
          <w:highlight w:val="none"/>
        </w:rPr>
      </w:pPr>
    </w:p>
    <w:p w14:paraId="42A711F6">
      <w:pPr>
        <w:spacing w:line="242" w:lineRule="auto"/>
        <w:rPr>
          <w:rFonts w:ascii="Arial"/>
          <w:color w:val="auto"/>
          <w:sz w:val="21"/>
          <w:highlight w:val="none"/>
        </w:rPr>
      </w:pPr>
    </w:p>
    <w:p w14:paraId="433FC114">
      <w:pPr>
        <w:spacing w:line="242" w:lineRule="auto"/>
        <w:rPr>
          <w:rFonts w:ascii="Arial"/>
          <w:color w:val="auto"/>
          <w:sz w:val="21"/>
          <w:highlight w:val="none"/>
        </w:rPr>
      </w:pPr>
    </w:p>
    <w:p w14:paraId="085CDE9B">
      <w:pPr>
        <w:pStyle w:val="4"/>
        <w:spacing w:before="103" w:line="189" w:lineRule="auto"/>
        <w:ind w:left="11"/>
        <w:rPr>
          <w:color w:val="auto"/>
          <w:sz w:val="24"/>
          <w:szCs w:val="24"/>
          <w:highlight w:val="none"/>
        </w:rPr>
      </w:pPr>
      <w:r>
        <w:rPr>
          <w:b/>
          <w:bCs/>
          <w:color w:val="auto"/>
          <w:spacing w:val="-7"/>
          <w:sz w:val="24"/>
          <w:szCs w:val="24"/>
          <w:highlight w:val="none"/>
        </w:rPr>
        <w:t>附件 3</w:t>
      </w:r>
    </w:p>
    <w:p w14:paraId="2A53F5C5">
      <w:pPr>
        <w:pStyle w:val="4"/>
        <w:spacing w:before="148" w:line="184" w:lineRule="auto"/>
        <w:ind w:left="2916"/>
        <w:rPr>
          <w:color w:val="auto"/>
          <w:sz w:val="28"/>
          <w:szCs w:val="28"/>
          <w:highlight w:val="none"/>
        </w:rPr>
      </w:pPr>
      <w:r>
        <w:rPr>
          <w:b/>
          <w:bCs/>
          <w:color w:val="auto"/>
          <w:spacing w:val="-3"/>
          <w:sz w:val="28"/>
          <w:szCs w:val="28"/>
          <w:highlight w:val="none"/>
        </w:rPr>
        <w:t>疾人福利性单位声明函（如有）</w:t>
      </w:r>
    </w:p>
    <w:p w14:paraId="23F4FEB4">
      <w:pPr>
        <w:spacing w:line="256" w:lineRule="auto"/>
        <w:rPr>
          <w:rFonts w:ascii="Arial"/>
          <w:color w:val="auto"/>
          <w:sz w:val="21"/>
          <w:highlight w:val="none"/>
        </w:rPr>
      </w:pPr>
    </w:p>
    <w:p w14:paraId="29429E85">
      <w:pPr>
        <w:spacing w:line="256" w:lineRule="auto"/>
        <w:rPr>
          <w:rFonts w:ascii="Arial"/>
          <w:color w:val="auto"/>
          <w:sz w:val="21"/>
          <w:highlight w:val="none"/>
        </w:rPr>
      </w:pPr>
    </w:p>
    <w:p w14:paraId="17DFC109">
      <w:pPr>
        <w:spacing w:line="256" w:lineRule="auto"/>
        <w:rPr>
          <w:rFonts w:ascii="Arial"/>
          <w:color w:val="auto"/>
          <w:sz w:val="21"/>
          <w:highlight w:val="none"/>
        </w:rPr>
      </w:pPr>
    </w:p>
    <w:p w14:paraId="2FD61A75">
      <w:pPr>
        <w:spacing w:line="256" w:lineRule="auto"/>
        <w:rPr>
          <w:rFonts w:ascii="Arial"/>
          <w:color w:val="auto"/>
          <w:sz w:val="21"/>
          <w:highlight w:val="none"/>
        </w:rPr>
      </w:pPr>
    </w:p>
    <w:p w14:paraId="5FDAD9D5">
      <w:pPr>
        <w:spacing w:before="78" w:line="353" w:lineRule="auto"/>
        <w:ind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本单位郑重声明，根据《财政部</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3"/>
          <w:sz w:val="24"/>
          <w:szCs w:val="24"/>
          <w:highlight w:val="none"/>
        </w:rPr>
        <w:t>民政部</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中国残疾人联合会关于促进残疾人就业政府采购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政策的通知》（财库〔2017〕 141</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4"/>
          <w:sz w:val="24"/>
          <w:szCs w:val="24"/>
          <w:highlight w:val="none"/>
        </w:rPr>
        <w:t>号）的规定，本</w:t>
      </w:r>
      <w:r>
        <w:rPr>
          <w:rFonts w:ascii="新宋体" w:hAnsi="新宋体" w:eastAsia="新宋体" w:cs="新宋体"/>
          <w:color w:val="auto"/>
          <w:spacing w:val="-5"/>
          <w:sz w:val="24"/>
          <w:szCs w:val="24"/>
          <w:highlight w:val="none"/>
        </w:rPr>
        <w:t>单位为符合条件的残疾人福利性单位，且本</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单位参加</w:t>
      </w:r>
      <w:r>
        <w:rPr>
          <w:rFonts w:ascii="新宋体" w:hAnsi="新宋体" w:eastAsia="新宋体" w:cs="新宋体"/>
          <w:color w:val="auto"/>
          <w:spacing w:val="-120"/>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1"/>
          <w:sz w:val="24"/>
          <w:szCs w:val="24"/>
          <w:highlight w:val="none"/>
        </w:rPr>
        <w:t>单位的</w:t>
      </w:r>
      <w:r>
        <w:rPr>
          <w:rFonts w:ascii="新宋体" w:hAnsi="新宋体" w:eastAsia="新宋体" w:cs="新宋体"/>
          <w:color w:val="auto"/>
          <w:spacing w:val="-119"/>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1"/>
          <w:sz w:val="24"/>
          <w:szCs w:val="24"/>
          <w:highlight w:val="none"/>
        </w:rPr>
        <w:t>项目采购活动提供本单位制造的货物（由本单位承担工程/</w:t>
      </w:r>
      <w:r>
        <w:rPr>
          <w:rFonts w:ascii="新宋体" w:hAnsi="新宋体" w:eastAsia="新宋体" w:cs="新宋体"/>
          <w:color w:val="auto"/>
          <w:spacing w:val="-2"/>
          <w:sz w:val="24"/>
          <w:szCs w:val="24"/>
          <w:highlight w:val="none"/>
        </w:rPr>
        <w:t>提供</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服务</w:t>
      </w:r>
      <w:r>
        <w:rPr>
          <w:rFonts w:ascii="新宋体" w:hAnsi="新宋体" w:eastAsia="新宋体" w:cs="新宋体"/>
          <w:color w:val="auto"/>
          <w:spacing w:val="-24"/>
          <w:sz w:val="24"/>
          <w:szCs w:val="24"/>
          <w:highlight w:val="none"/>
        </w:rPr>
        <w:t>），</w:t>
      </w:r>
      <w:r>
        <w:rPr>
          <w:rFonts w:ascii="新宋体" w:hAnsi="新宋体" w:eastAsia="新宋体" w:cs="新宋体"/>
          <w:color w:val="auto"/>
          <w:spacing w:val="-2"/>
          <w:sz w:val="24"/>
          <w:szCs w:val="24"/>
          <w:highlight w:val="none"/>
        </w:rPr>
        <w:t>或者提供其他残疾人福利性单位制造的货物（不包括使用非</w:t>
      </w:r>
      <w:r>
        <w:rPr>
          <w:rFonts w:ascii="新宋体" w:hAnsi="新宋体" w:eastAsia="新宋体" w:cs="新宋体"/>
          <w:color w:val="auto"/>
          <w:spacing w:val="-3"/>
          <w:sz w:val="24"/>
          <w:szCs w:val="24"/>
          <w:highlight w:val="none"/>
        </w:rPr>
        <w:t>残疾人福利性单位注册商</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标的货物）。</w:t>
      </w:r>
    </w:p>
    <w:p w14:paraId="065C9F47">
      <w:pPr>
        <w:spacing w:before="37"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本单位对上述声明的真实性负责。如有虚假，将依法承担相应责任。</w:t>
      </w:r>
    </w:p>
    <w:p w14:paraId="16327C20">
      <w:pPr>
        <w:pStyle w:val="3"/>
        <w:ind w:left="0" w:leftChars="0" w:firstLine="0" w:firstLineChars="0"/>
        <w:rPr>
          <w:color w:val="auto"/>
          <w:highlight w:val="none"/>
        </w:rPr>
      </w:pPr>
    </w:p>
    <w:p w14:paraId="1591BBC2">
      <w:pPr>
        <w:spacing w:line="286" w:lineRule="auto"/>
        <w:rPr>
          <w:rFonts w:ascii="Arial"/>
          <w:color w:val="auto"/>
          <w:sz w:val="21"/>
          <w:highlight w:val="none"/>
        </w:rPr>
      </w:pPr>
    </w:p>
    <w:p w14:paraId="185F581D">
      <w:pPr>
        <w:spacing w:line="286" w:lineRule="auto"/>
        <w:rPr>
          <w:rFonts w:ascii="Arial"/>
          <w:color w:val="auto"/>
          <w:sz w:val="21"/>
          <w:highlight w:val="none"/>
        </w:rPr>
      </w:pPr>
    </w:p>
    <w:p w14:paraId="2E545561">
      <w:pPr>
        <w:spacing w:line="286" w:lineRule="auto"/>
        <w:rPr>
          <w:rFonts w:ascii="Arial"/>
          <w:color w:val="auto"/>
          <w:sz w:val="21"/>
          <w:highlight w:val="none"/>
        </w:rPr>
      </w:pPr>
    </w:p>
    <w:p w14:paraId="1E1FD1C4">
      <w:pPr>
        <w:spacing w:line="240" w:lineRule="auto"/>
        <w:ind w:left="0" w:right="0" w:firstLine="0"/>
        <w:rPr>
          <w:rFonts w:ascii="新宋体" w:hAnsi="新宋体" w:eastAsia="新宋体" w:cs="新宋体"/>
          <w:color w:val="auto"/>
          <w:spacing w:val="1"/>
          <w:sz w:val="24"/>
          <w:szCs w:val="24"/>
          <w:highlight w:val="none"/>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r>
        <w:rPr>
          <w:rFonts w:ascii="新宋体" w:hAnsi="新宋体" w:eastAsia="新宋体" w:cs="新宋体"/>
          <w:color w:val="auto"/>
          <w:spacing w:val="1"/>
          <w:sz w:val="24"/>
          <w:szCs w:val="24"/>
          <w:highlight w:val="none"/>
        </w:rPr>
        <w:t xml:space="preserve"> </w:t>
      </w:r>
    </w:p>
    <w:p w14:paraId="501E21DB">
      <w:pPr>
        <w:spacing w:line="240" w:lineRule="auto"/>
        <w:ind w:left="0" w:right="0" w:firstLine="0"/>
        <w:rPr>
          <w:rFonts w:ascii="新宋体" w:hAnsi="新宋体" w:eastAsia="新宋体" w:cs="新宋体"/>
          <w:color w:val="auto"/>
          <w:spacing w:val="-34"/>
          <w:sz w:val="24"/>
          <w:szCs w:val="24"/>
          <w:highlight w:val="none"/>
        </w:rPr>
      </w:pP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4"/>
          <w:sz w:val="24"/>
          <w:szCs w:val="24"/>
          <w:highlight w:val="none"/>
        </w:rPr>
        <w:t>期：</w:t>
      </w:r>
    </w:p>
    <w:p w14:paraId="2408BEB5">
      <w:pPr>
        <w:spacing w:line="440" w:lineRule="exact"/>
        <w:rPr>
          <w:rFonts w:hAnsi="宋体"/>
          <w:color w:val="auto"/>
          <w:sz w:val="24"/>
          <w:szCs w:val="24"/>
          <w:highlight w:val="none"/>
        </w:rPr>
      </w:pPr>
      <w:r>
        <w:rPr>
          <w:rFonts w:hint="eastAsia" w:hAnsi="宋体"/>
          <w:color w:val="auto"/>
          <w:sz w:val="24"/>
          <w:szCs w:val="24"/>
          <w:highlight w:val="none"/>
        </w:rPr>
        <w:t>注</w:t>
      </w:r>
      <w:r>
        <w:rPr>
          <w:rFonts w:hAnsi="宋体"/>
          <w:color w:val="auto"/>
          <w:sz w:val="24"/>
          <w:szCs w:val="24"/>
          <w:highlight w:val="none"/>
        </w:rPr>
        <w:t>：</w:t>
      </w:r>
    </w:p>
    <w:p w14:paraId="34C044C7">
      <w:pPr>
        <w:spacing w:line="440" w:lineRule="exact"/>
        <w:ind w:firstLine="240" w:firstLineChars="100"/>
        <w:jc w:val="left"/>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此声明</w:t>
      </w:r>
      <w:r>
        <w:rPr>
          <w:rFonts w:hint="eastAsia" w:hAnsi="宋体"/>
          <w:color w:val="auto"/>
          <w:sz w:val="24"/>
          <w:szCs w:val="24"/>
          <w:highlight w:val="none"/>
        </w:rPr>
        <w:t>函根据</w:t>
      </w:r>
      <w:r>
        <w:rPr>
          <w:rFonts w:hAnsi="宋体"/>
          <w:color w:val="auto"/>
          <w:sz w:val="24"/>
          <w:szCs w:val="24"/>
          <w:highlight w:val="none"/>
        </w:rPr>
        <w:t>供应商自身情况填写</w:t>
      </w:r>
      <w:r>
        <w:rPr>
          <w:rFonts w:hint="eastAsia" w:hAnsi="宋体"/>
          <w:color w:val="auto"/>
          <w:sz w:val="24"/>
          <w:szCs w:val="24"/>
          <w:highlight w:val="none"/>
        </w:rPr>
        <w:t>，</w:t>
      </w:r>
      <w:r>
        <w:rPr>
          <w:rFonts w:hAnsi="宋体"/>
          <w:color w:val="auto"/>
          <w:sz w:val="24"/>
          <w:szCs w:val="24"/>
          <w:highlight w:val="none"/>
        </w:rPr>
        <w:t>自行选择是否提供，</w:t>
      </w:r>
      <w:r>
        <w:rPr>
          <w:rFonts w:hint="eastAsia" w:hAnsi="宋体"/>
          <w:color w:val="auto"/>
          <w:sz w:val="24"/>
          <w:szCs w:val="24"/>
          <w:highlight w:val="none"/>
        </w:rPr>
        <w:t>未提供</w:t>
      </w:r>
      <w:r>
        <w:rPr>
          <w:rFonts w:hAnsi="宋体"/>
          <w:color w:val="auto"/>
          <w:sz w:val="24"/>
          <w:szCs w:val="24"/>
          <w:highlight w:val="none"/>
        </w:rPr>
        <w:t>则不享受</w:t>
      </w:r>
      <w:r>
        <w:rPr>
          <w:rFonts w:hint="eastAsia" w:hAnsi="宋体"/>
          <w:color w:val="auto"/>
          <w:sz w:val="24"/>
          <w:szCs w:val="24"/>
          <w:highlight w:val="none"/>
        </w:rPr>
        <w:t>价格</w:t>
      </w:r>
      <w:r>
        <w:rPr>
          <w:rFonts w:hAnsi="宋体"/>
          <w:color w:val="auto"/>
          <w:sz w:val="24"/>
          <w:szCs w:val="24"/>
          <w:highlight w:val="none"/>
        </w:rPr>
        <w:t>优惠。</w:t>
      </w:r>
    </w:p>
    <w:p w14:paraId="20F3FDD9">
      <w:pPr>
        <w:spacing w:line="440" w:lineRule="exact"/>
        <w:ind w:firstLine="240" w:firstLineChars="100"/>
        <w:jc w:val="left"/>
        <w:rPr>
          <w:rFonts w:hint="eastAsia"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、残疾人福利性单位视同小型、微型企业，享受预留份额、评审中价格扣除等促进中小企业发展的政府采购政策。残疾人福利性单位属于小型、微型企业的，不重复享受政策。</w:t>
      </w:r>
    </w:p>
    <w:p w14:paraId="01359BE4">
      <w:pPr>
        <w:pStyle w:val="3"/>
        <w:rPr>
          <w:color w:val="auto"/>
          <w:highlight w:val="none"/>
        </w:rPr>
      </w:pPr>
    </w:p>
    <w:p w14:paraId="5B5BCE6E">
      <w:pPr>
        <w:pStyle w:val="10"/>
        <w:rPr>
          <w:rFonts w:ascii="新宋体" w:hAnsi="新宋体" w:eastAsia="新宋体" w:cs="新宋体"/>
          <w:color w:val="auto"/>
          <w:spacing w:val="-34"/>
          <w:sz w:val="24"/>
          <w:szCs w:val="24"/>
          <w:highlight w:val="none"/>
        </w:rPr>
      </w:pPr>
    </w:p>
    <w:p w14:paraId="7DF186C2">
      <w:pPr>
        <w:pStyle w:val="11"/>
        <w:rPr>
          <w:rFonts w:ascii="新宋体" w:hAnsi="新宋体" w:eastAsia="新宋体" w:cs="新宋体"/>
          <w:color w:val="auto"/>
          <w:spacing w:val="-34"/>
          <w:sz w:val="24"/>
          <w:szCs w:val="24"/>
          <w:highlight w:val="none"/>
        </w:rPr>
      </w:pPr>
    </w:p>
    <w:p w14:paraId="2BEC9D13">
      <w:pPr>
        <w:rPr>
          <w:rFonts w:ascii="新宋体" w:hAnsi="新宋体" w:eastAsia="新宋体" w:cs="新宋体"/>
          <w:color w:val="auto"/>
          <w:spacing w:val="-34"/>
          <w:sz w:val="24"/>
          <w:szCs w:val="24"/>
          <w:highlight w:val="none"/>
        </w:rPr>
      </w:pPr>
    </w:p>
    <w:p w14:paraId="1DA536CD">
      <w:pPr>
        <w:pStyle w:val="10"/>
        <w:rPr>
          <w:rFonts w:ascii="新宋体" w:hAnsi="新宋体" w:eastAsia="新宋体" w:cs="新宋体"/>
          <w:color w:val="auto"/>
          <w:spacing w:val="-34"/>
          <w:sz w:val="24"/>
          <w:szCs w:val="24"/>
          <w:highlight w:val="none"/>
        </w:rPr>
      </w:pPr>
    </w:p>
    <w:p w14:paraId="0B0F7AF5">
      <w:pPr>
        <w:pStyle w:val="11"/>
        <w:rPr>
          <w:rFonts w:ascii="新宋体" w:hAnsi="新宋体" w:eastAsia="新宋体" w:cs="新宋体"/>
          <w:color w:val="auto"/>
          <w:spacing w:val="-34"/>
          <w:sz w:val="24"/>
          <w:szCs w:val="24"/>
          <w:highlight w:val="none"/>
        </w:rPr>
      </w:pPr>
    </w:p>
    <w:p w14:paraId="1ACC3BF1">
      <w:pPr>
        <w:rPr>
          <w:rFonts w:ascii="新宋体" w:hAnsi="新宋体" w:eastAsia="新宋体" w:cs="新宋体"/>
          <w:color w:val="auto"/>
          <w:spacing w:val="-34"/>
          <w:sz w:val="24"/>
          <w:szCs w:val="24"/>
          <w:highlight w:val="none"/>
        </w:rPr>
      </w:pPr>
    </w:p>
    <w:p w14:paraId="2A94DDB1">
      <w:pPr>
        <w:pStyle w:val="10"/>
        <w:rPr>
          <w:rFonts w:ascii="新宋体" w:hAnsi="新宋体" w:eastAsia="新宋体" w:cs="新宋体"/>
          <w:color w:val="auto"/>
          <w:spacing w:val="-34"/>
          <w:sz w:val="24"/>
          <w:szCs w:val="24"/>
          <w:highlight w:val="none"/>
        </w:rPr>
      </w:pPr>
    </w:p>
    <w:p w14:paraId="7D882D08">
      <w:pPr>
        <w:pStyle w:val="10"/>
        <w:ind w:left="0" w:leftChars="0" w:firstLine="0" w:firstLineChars="0"/>
        <w:rPr>
          <w:rFonts w:ascii="新宋体" w:hAnsi="新宋体" w:eastAsia="新宋体" w:cs="新宋体"/>
          <w:color w:val="auto"/>
          <w:spacing w:val="-34"/>
          <w:sz w:val="24"/>
          <w:szCs w:val="24"/>
          <w:highlight w:val="none"/>
        </w:rPr>
      </w:pPr>
    </w:p>
    <w:p w14:paraId="3D65B428">
      <w:pPr>
        <w:widowControl w:val="0"/>
        <w:autoSpaceDE w:val="0"/>
        <w:autoSpaceDN w:val="0"/>
        <w:spacing w:line="400" w:lineRule="exact"/>
        <w:jc w:val="center"/>
        <w:rPr>
          <w:rFonts w:hint="eastAsia" w:ascii="宋体" w:hAnsi="宋体"/>
          <w:b/>
          <w:color w:val="auto"/>
          <w:szCs w:val="21"/>
          <w:highlight w:val="none"/>
        </w:rPr>
      </w:pPr>
    </w:p>
    <w:p w14:paraId="52825B13">
      <w:pPr>
        <w:widowControl w:val="0"/>
        <w:autoSpaceDE w:val="0"/>
        <w:autoSpaceDN w:val="0"/>
        <w:spacing w:line="400" w:lineRule="exact"/>
        <w:jc w:val="center"/>
        <w:rPr>
          <w:rFonts w:ascii="宋体" w:hAnsi="宋体"/>
          <w:b/>
          <w:color w:val="auto"/>
          <w:szCs w:val="21"/>
          <w:highlight w:val="none"/>
        </w:rPr>
      </w:pPr>
      <w:r>
        <w:rPr>
          <w:rFonts w:hint="eastAsia" w:ascii="宋体" w:hAnsi="宋体"/>
          <w:b/>
          <w:color w:val="auto"/>
          <w:szCs w:val="21"/>
          <w:highlight w:val="none"/>
        </w:rPr>
        <w:t>质疑函格式</w:t>
      </w:r>
    </w:p>
    <w:p w14:paraId="2D50C283">
      <w:pPr>
        <w:widowControl w:val="0"/>
        <w:tabs>
          <w:tab w:val="left" w:pos="567"/>
          <w:tab w:val="left" w:pos="993"/>
        </w:tabs>
        <w:spacing w:line="400" w:lineRule="exact"/>
        <w:jc w:val="both"/>
        <w:rPr>
          <w:rFonts w:ascii="宋体" w:hAnsi="宋体"/>
          <w:b/>
          <w:color w:val="auto"/>
          <w:szCs w:val="21"/>
          <w:highlight w:val="none"/>
        </w:rPr>
      </w:pPr>
      <w:r>
        <w:rPr>
          <w:rFonts w:hint="eastAsia" w:ascii="宋体" w:hAnsi="宋体"/>
          <w:b/>
          <w:color w:val="auto"/>
          <w:szCs w:val="21"/>
          <w:highlight w:val="none"/>
        </w:rPr>
        <w:t>说明：本部分格式文件为投标人提交质疑函时使用，不属于投标文件格式的组成部分。</w:t>
      </w:r>
    </w:p>
    <w:p w14:paraId="459C11EA">
      <w:pPr>
        <w:widowControl w:val="0"/>
        <w:spacing w:line="400" w:lineRule="exact"/>
        <w:ind w:right="840"/>
        <w:rPr>
          <w:rFonts w:ascii="宋体" w:hAnsi="宋体"/>
          <w:color w:val="auto"/>
          <w:szCs w:val="21"/>
          <w:highlight w:val="none"/>
        </w:rPr>
      </w:pPr>
    </w:p>
    <w:p w14:paraId="2BC5B992">
      <w:pPr>
        <w:widowControl w:val="0"/>
        <w:spacing w:line="400" w:lineRule="exact"/>
        <w:jc w:val="center"/>
        <w:rPr>
          <w:rFonts w:ascii="宋体" w:hAnsi="宋体" w:cs="仿宋"/>
          <w:b/>
          <w:bCs/>
          <w:color w:val="auto"/>
          <w:szCs w:val="21"/>
          <w:highlight w:val="none"/>
        </w:rPr>
      </w:pPr>
      <w:r>
        <w:rPr>
          <w:rFonts w:hint="eastAsia" w:ascii="宋体" w:hAnsi="宋体" w:cs="仿宋"/>
          <w:b/>
          <w:bCs/>
          <w:color w:val="auto"/>
          <w:szCs w:val="21"/>
          <w:highlight w:val="none"/>
        </w:rPr>
        <w:t>质疑函</w:t>
      </w:r>
    </w:p>
    <w:p w14:paraId="79F6B813">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一、质疑投标人基本信息</w:t>
      </w:r>
    </w:p>
    <w:p w14:paraId="15AFEAE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质疑投标人：</w:t>
      </w:r>
    </w:p>
    <w:p w14:paraId="0D87FFAA">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是否参与所质疑项目的采购活动： □是    □否</w:t>
      </w:r>
    </w:p>
    <w:p w14:paraId="626D9A9F">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地址：邮编：</w:t>
      </w:r>
    </w:p>
    <w:p w14:paraId="09B3911A">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联系人：联系电话：</w:t>
      </w:r>
    </w:p>
    <w:p w14:paraId="7C0EA80C">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授权代表：</w:t>
      </w:r>
    </w:p>
    <w:p w14:paraId="6AB6BD08">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联系电话：</w:t>
      </w:r>
    </w:p>
    <w:p w14:paraId="4D55658A">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地址：邮编：</w:t>
      </w:r>
    </w:p>
    <w:p w14:paraId="24CD35C1">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二、质疑项目基本情况</w:t>
      </w:r>
    </w:p>
    <w:p w14:paraId="326F33C4">
      <w:pPr>
        <w:widowControl w:val="0"/>
        <w:adjustRightInd w:val="0"/>
        <w:snapToGrid w:val="0"/>
        <w:spacing w:line="400" w:lineRule="exact"/>
        <w:jc w:val="both"/>
        <w:rPr>
          <w:rFonts w:hint="eastAsia" w:ascii="宋体" w:hAnsi="宋体" w:cs="仿宋"/>
          <w:color w:val="auto"/>
          <w:szCs w:val="21"/>
          <w:highlight w:val="none"/>
        </w:rPr>
      </w:pPr>
      <w:r>
        <w:rPr>
          <w:rFonts w:hint="eastAsia" w:ascii="宋体" w:hAnsi="宋体" w:cs="仿宋"/>
          <w:color w:val="auto"/>
          <w:szCs w:val="21"/>
          <w:highlight w:val="none"/>
        </w:rPr>
        <w:t xml:space="preserve">质疑项目的名称： </w:t>
      </w:r>
      <w:r>
        <w:rPr>
          <w:rFonts w:ascii="宋体" w:hAnsi="宋体" w:cs="仿宋"/>
          <w:color w:val="auto"/>
          <w:szCs w:val="21"/>
          <w:highlight w:val="none"/>
        </w:rPr>
        <w:t xml:space="preserve">   </w:t>
      </w:r>
      <w:r>
        <w:rPr>
          <w:rFonts w:hint="eastAsia" w:ascii="宋体" w:hAnsi="宋体" w:cs="仿宋"/>
          <w:color w:val="auto"/>
          <w:szCs w:val="21"/>
          <w:highlight w:val="none"/>
        </w:rPr>
        <w:t>包号：</w:t>
      </w:r>
    </w:p>
    <w:p w14:paraId="6DD59317">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质疑项目的编号：</w:t>
      </w:r>
    </w:p>
    <w:p w14:paraId="2CA122F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采购人名称：</w:t>
      </w:r>
    </w:p>
    <w:p w14:paraId="26EAEF41">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采购文件获取日期：</w:t>
      </w:r>
    </w:p>
    <w:p w14:paraId="224CC1A0">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三、质疑事项具体内容</w:t>
      </w:r>
    </w:p>
    <w:p w14:paraId="3011F660">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质疑事项1：</w:t>
      </w:r>
    </w:p>
    <w:p w14:paraId="0F9F3203">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事实依据：</w:t>
      </w:r>
    </w:p>
    <w:p w14:paraId="63DC18C1">
      <w:pPr>
        <w:widowControl w:val="0"/>
        <w:adjustRightInd w:val="0"/>
        <w:snapToGrid w:val="0"/>
        <w:spacing w:line="400" w:lineRule="exact"/>
        <w:jc w:val="both"/>
        <w:rPr>
          <w:rFonts w:ascii="宋体" w:hAnsi="宋体" w:cs="仿宋"/>
          <w:color w:val="auto"/>
          <w:szCs w:val="21"/>
          <w:highlight w:val="none"/>
        </w:rPr>
      </w:pPr>
    </w:p>
    <w:p w14:paraId="39CD811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法律依据：</w:t>
      </w:r>
    </w:p>
    <w:p w14:paraId="25336A49">
      <w:pPr>
        <w:widowControl w:val="0"/>
        <w:adjustRightInd w:val="0"/>
        <w:snapToGrid w:val="0"/>
        <w:spacing w:line="400" w:lineRule="exact"/>
        <w:jc w:val="both"/>
        <w:rPr>
          <w:rFonts w:ascii="宋体" w:hAnsi="宋体" w:cs="仿宋"/>
          <w:color w:val="auto"/>
          <w:szCs w:val="21"/>
          <w:highlight w:val="none"/>
          <w:u w:val="dotted"/>
        </w:rPr>
      </w:pPr>
    </w:p>
    <w:p w14:paraId="1A2E4E6D">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质疑事项2</w:t>
      </w:r>
    </w:p>
    <w:p w14:paraId="15D4CEC3">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w:t>
      </w:r>
    </w:p>
    <w:p w14:paraId="3B003F5A">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四、与质疑事项相关的质疑请求</w:t>
      </w:r>
    </w:p>
    <w:p w14:paraId="75AAE13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请求：</w:t>
      </w:r>
    </w:p>
    <w:p w14:paraId="4DC6F4A5">
      <w:pPr>
        <w:widowControl w:val="0"/>
        <w:spacing w:line="400" w:lineRule="exact"/>
        <w:jc w:val="both"/>
        <w:rPr>
          <w:rFonts w:ascii="宋体" w:hAnsi="宋体"/>
          <w:color w:val="auto"/>
          <w:szCs w:val="21"/>
          <w:highlight w:val="none"/>
        </w:rPr>
      </w:pPr>
      <w:r>
        <w:rPr>
          <w:rFonts w:hint="eastAsia" w:ascii="宋体" w:hAnsi="宋体"/>
          <w:color w:val="auto"/>
          <w:szCs w:val="21"/>
          <w:highlight w:val="none"/>
        </w:rPr>
        <w:t xml:space="preserve">签字(签章)：                   公章：                      </w:t>
      </w:r>
    </w:p>
    <w:p w14:paraId="72B2DBE5">
      <w:pPr>
        <w:widowControl w:val="0"/>
        <w:spacing w:line="400" w:lineRule="exact"/>
        <w:jc w:val="both"/>
        <w:rPr>
          <w:rFonts w:ascii="宋体" w:hAnsi="宋体"/>
          <w:color w:val="auto"/>
          <w:szCs w:val="21"/>
          <w:highlight w:val="none"/>
        </w:rPr>
      </w:pPr>
      <w:r>
        <w:rPr>
          <w:rFonts w:hint="eastAsia" w:ascii="宋体" w:hAnsi="宋体"/>
          <w:color w:val="auto"/>
          <w:szCs w:val="21"/>
          <w:highlight w:val="none"/>
        </w:rPr>
        <w:t xml:space="preserve">日期：    </w:t>
      </w:r>
    </w:p>
    <w:p w14:paraId="4A9C9B29">
      <w:pPr>
        <w:widowControl w:val="0"/>
        <w:spacing w:line="400" w:lineRule="exact"/>
        <w:jc w:val="both"/>
        <w:rPr>
          <w:rFonts w:ascii="宋体" w:hAnsi="宋体"/>
          <w:b/>
          <w:color w:val="auto"/>
          <w:szCs w:val="21"/>
          <w:highlight w:val="none"/>
        </w:rPr>
      </w:pPr>
      <w:r>
        <w:rPr>
          <w:rFonts w:hint="eastAsia" w:ascii="宋体" w:hAnsi="宋体"/>
          <w:b/>
          <w:color w:val="auto"/>
          <w:szCs w:val="21"/>
          <w:highlight w:val="none"/>
        </w:rPr>
        <w:t>说明：</w:t>
      </w:r>
    </w:p>
    <w:p w14:paraId="735FB59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1.投标人提出质疑时，应提交质疑函和必要的证明材料，投标人在法定质疑期内应一次性提出针对同一采购程序环节的质疑。</w:t>
      </w:r>
    </w:p>
    <w:p w14:paraId="0573AC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2.质疑投标人若委托代理人进行质疑的，质疑函应按要求列明“授权代表”的有关内容，并在附件中提交由质疑</w:t>
      </w:r>
      <w:r>
        <w:rPr>
          <w:rFonts w:hint="eastAsia" w:ascii="宋体" w:hAnsi="宋体" w:cs="宋体"/>
          <w:color w:val="auto"/>
          <w:kern w:val="0"/>
          <w:szCs w:val="21"/>
          <w:highlight w:val="none"/>
        </w:rPr>
        <w:t>投标人签署的授权委托书。授权委托书应载明代理人的姓名或者名称、代理事项、具体权限、期限和相关事项。</w:t>
      </w:r>
    </w:p>
    <w:p w14:paraId="6A85BD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3.质疑投标人若对项目的某一分包进行质疑，质疑函中应列明具体分包号。</w:t>
      </w:r>
    </w:p>
    <w:p w14:paraId="1C87869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2877B5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5.质疑函的质疑请求应与质疑事项相关。</w:t>
      </w:r>
    </w:p>
    <w:p w14:paraId="27B4883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6.质疑投标人为自然人的，质疑函应由本人签字；质疑投标人为法人或者其他组织的，需提供加盖公章的营业执照、质疑函应由法定代表人、主要负责人，或者其授权代表签字或者盖章，并加盖公章。</w:t>
      </w:r>
    </w:p>
    <w:p w14:paraId="7F19D718">
      <w:pPr>
        <w:pStyle w:val="11"/>
        <w:rPr>
          <w:color w:val="auto"/>
          <w:highlight w:val="none"/>
        </w:rPr>
      </w:pPr>
    </w:p>
    <w:p w14:paraId="3A5001FC">
      <w:pPr>
        <w:pStyle w:val="11"/>
        <w:ind w:left="0" w:leftChars="0" w:firstLine="0" w:firstLineChars="0"/>
        <w:rPr>
          <w:color w:val="auto"/>
          <w:highlight w:val="none"/>
        </w:rPr>
      </w:pPr>
    </w:p>
    <w:bookmarkEnd w:id="21"/>
    <w:sectPr>
      <w:footerReference r:id="rId39" w:type="default"/>
      <w:pgSz w:w="11905" w:h="16839"/>
      <w:pgMar w:top="1440" w:right="1800" w:bottom="1440" w:left="1800" w:header="0" w:footer="85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F69E">
    <w:pPr>
      <w:spacing w:line="174" w:lineRule="auto"/>
      <w:ind w:left="48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DAE08">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0DAE08">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2992">
    <w:pPr>
      <w:spacing w:line="174"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B3702">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67B3702">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3926">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33EA3">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2E33EA3">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1593">
    <w:pPr>
      <w:spacing w:line="174"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3BA05">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6E3BA05">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1BEF">
    <w:pPr>
      <w:spacing w:line="174" w:lineRule="auto"/>
      <w:ind w:left="47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90A12">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2690A12">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A702">
    <w:pPr>
      <w:spacing w:line="174" w:lineRule="auto"/>
      <w:ind w:left="42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756C">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BCF756C">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E99A5">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1CB5A">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31CB5A">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D270">
    <w:pPr>
      <w:spacing w:line="174" w:lineRule="auto"/>
      <w:ind w:left="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9CF98">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929CF98">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46D2">
    <w:pPr>
      <w:spacing w:line="174" w:lineRule="auto"/>
      <w:ind w:left="47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51008">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3E51008">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6644">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68CB5">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EC68CB5">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8397">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A348F">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63A348F">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FEA1">
    <w:pPr>
      <w:spacing w:line="174" w:lineRule="auto"/>
      <w:ind w:left="5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733E0">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7733E0">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A723">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2CCF6">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652CCF6">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D558">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43F89">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8543F89">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1D26">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973FB">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51973FB">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DE55">
    <w:pPr>
      <w:spacing w:line="174" w:lineRule="auto"/>
      <w:ind w:left="50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546B8">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F546B8">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9023">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D761E">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9FD761E">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3D8F">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99F6A">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5899F6A">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A371">
    <w:pPr>
      <w:spacing w:line="174" w:lineRule="auto"/>
      <w:ind w:left="4775"/>
      <w:rPr>
        <w:rFonts w:hint="default" w:ascii="Times New Roman" w:hAnsi="Times New Roman" w:eastAsia="Times New Roman" w:cs="Times New Roman"/>
        <w:sz w:val="18"/>
        <w:szCs w:val="18"/>
        <w:lang w:val="en-US"/>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48E5C">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0848E5C">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C85B">
    <w:pPr>
      <w:pStyle w:val="8"/>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ABE30">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6BABE30">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1B72">
    <w:pPr>
      <w:pStyle w:val="8"/>
      <w:ind w:right="360"/>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0EF3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E50EF3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FAF8">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C0BBE">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99C0BBE">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A90A">
    <w:pPr>
      <w:spacing w:line="174" w:lineRule="auto"/>
      <w:ind w:left="47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77D59">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B77D59">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DFBF">
    <w:pPr>
      <w:spacing w:line="174" w:lineRule="auto"/>
      <w:ind w:left="47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3D4F">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FD93D4F">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6605">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8EB53">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AC8EB53">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E4EC4">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B6F55">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3FB6F55">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83C3">
    <w:pPr>
      <w:spacing w:line="174"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8FDC0">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4E8FDC0">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F24B">
    <w:pPr>
      <w:spacing w:line="174"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A51D8">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A51D8">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02F8">
    <w:pPr>
      <w:spacing w:line="174" w:lineRule="auto"/>
      <w:ind w:left="48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A3A46">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FA3A46">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1254">
    <w:pPr>
      <w:spacing w:line="174" w:lineRule="auto"/>
      <w:ind w:left="47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B400E">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D5B400E">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8E0D">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4504E">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CD4504E">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8CAFA">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38CAFA">
                    <w:pPr>
                      <w:pStyle w:val="8"/>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E9C6D">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8E9C6D">
                    <w:pPr>
                      <w:pStyle w:val="8"/>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468C">
    <w:pPr>
      <w:tabs>
        <w:tab w:val="center" w:pos="4167"/>
      </w:tabs>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posOffset>2700020</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7F18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2.6pt;margin-top:0pt;height:144pt;width:144pt;mso-position-horizontal-relative:margin;mso-wrap-style:none;z-index:251672576;mso-width-relative:page;mso-height-relative:page;" filled="f" stroked="f" coordsize="21600,21600" o:gfxdata="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0lom3VAAAACAEAAA8AAAAAAAAAAQAgAAAAIgAAAGRycy9kb3ducmV2LnhtbFBL&#10;AQIUABQAAAAIAIdO4kD/W0FrMgIAAGMEAAAOAAAAAAAAAAEAIAAAACQBAABkcnMvZTJvRG9jLnht&#10;bFBLBQYAAAAABgAGAFkBAADIBQAAAAA=&#10;">
              <v:fill on="f" focussize="0,0"/>
              <v:stroke on="f" weight="0.5pt"/>
              <v:imagedata o:title=""/>
              <o:lock v:ext="edit" aspectratio="f"/>
              <v:textbox inset="0mm,0mm,0mm,0mm" style="mso-fit-shape-to-text:t;">
                <w:txbxContent>
                  <w:p w14:paraId="2E67F18D"/>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FF4F1">
                          <w:pPr>
                            <w:pStyle w:val="8"/>
                            <w:rPr>
                              <w:rFonts w:hint="default" w:eastAsia="宋体"/>
                              <w:lang w:val="en-US" w:eastAsia="zh-CN"/>
                            </w:rPr>
                          </w:pPr>
                          <w:r>
                            <w:rPr>
                              <w:rFonts w:hint="eastAsia" w:eastAsia="宋体"/>
                              <w:lang w:val="en-US" w:eastAsia="zh-CN"/>
                            </w:rPr>
                            <w:t>41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3FF4F1">
                    <w:pPr>
                      <w:pStyle w:val="8"/>
                      <w:rPr>
                        <w:rFonts w:hint="default" w:eastAsia="宋体"/>
                        <w:lang w:val="en-US" w:eastAsia="zh-CN"/>
                      </w:rPr>
                    </w:pPr>
                    <w:r>
                      <w:rPr>
                        <w:rFonts w:hint="eastAsia" w:eastAsia="宋体"/>
                        <w:lang w:val="en-US" w:eastAsia="zh-CN"/>
                      </w:rPr>
                      <w:t>41</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5854">
    <w:pPr>
      <w:spacing w:line="174" w:lineRule="auto"/>
      <w:ind w:left="4084"/>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6843D">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36843D">
                    <w:pPr>
                      <w:pStyle w:val="8"/>
                      <w:rPr>
                        <w:rFonts w:hint="default" w:eastAsia="宋体"/>
                        <w:lang w:val="en-US" w:eastAsia="zh-CN"/>
                      </w:rPr>
                    </w:pPr>
                  </w:p>
                </w:txbxContent>
              </v:textbox>
            </v:shape>
          </w:pict>
        </mc:Fallback>
      </mc:AlternateContent>
    </w:r>
    <w:r>
      <w:rPr>
        <w:rFonts w:hint="eastAsia" w:ascii="Times New Roman" w:hAnsi="Times New Roman" w:eastAsia="宋体" w:cs="Times New Roman"/>
        <w:sz w:val="18"/>
        <w:szCs w:val="18"/>
        <w:lang w:val="en-US" w:eastAsia="zh-CN"/>
      </w:rPr>
      <w:t>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F0FE">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FCF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E3B02"/>
    <w:multiLevelType w:val="singleLevel"/>
    <w:tmpl w:val="3B7E3B02"/>
    <w:lvl w:ilvl="0" w:tentative="0">
      <w:start w:val="4"/>
      <w:numFmt w:val="chineseCounting"/>
      <w:suff w:val="space"/>
      <w:lvlText w:val="第%1章"/>
      <w:lvlJc w:val="left"/>
      <w:rPr>
        <w:rFonts w:hint="eastAsia"/>
      </w:rPr>
    </w:lvl>
  </w:abstractNum>
  <w:abstractNum w:abstractNumId="1">
    <w:nsid w:val="3CCD96CF"/>
    <w:multiLevelType w:val="singleLevel"/>
    <w:tmpl w:val="3CCD96CF"/>
    <w:lvl w:ilvl="0" w:tentative="0">
      <w:start w:val="3"/>
      <w:numFmt w:val="decimal"/>
      <w:suff w:val="nothing"/>
      <w:lvlText w:val="（%1）"/>
      <w:lvlJc w:val="left"/>
    </w:lvl>
  </w:abstractNum>
  <w:abstractNum w:abstractNumId="2">
    <w:nsid w:val="65C43E27"/>
    <w:multiLevelType w:val="singleLevel"/>
    <w:tmpl w:val="65C43E27"/>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5E6966"/>
    <w:rsid w:val="00CC2DC8"/>
    <w:rsid w:val="011E6AC0"/>
    <w:rsid w:val="017D43BA"/>
    <w:rsid w:val="01CE1437"/>
    <w:rsid w:val="0270061D"/>
    <w:rsid w:val="027C4D49"/>
    <w:rsid w:val="043A5215"/>
    <w:rsid w:val="04636676"/>
    <w:rsid w:val="0465237E"/>
    <w:rsid w:val="05D3625B"/>
    <w:rsid w:val="05EF2B41"/>
    <w:rsid w:val="06CC18CE"/>
    <w:rsid w:val="076E1F20"/>
    <w:rsid w:val="076F440E"/>
    <w:rsid w:val="077027BF"/>
    <w:rsid w:val="077E1A2E"/>
    <w:rsid w:val="077F1302"/>
    <w:rsid w:val="09A80A7A"/>
    <w:rsid w:val="0A103ACD"/>
    <w:rsid w:val="0D385F1B"/>
    <w:rsid w:val="0D687FEB"/>
    <w:rsid w:val="0DC433D5"/>
    <w:rsid w:val="0E3E3EFD"/>
    <w:rsid w:val="0F801AB6"/>
    <w:rsid w:val="0F9705AA"/>
    <w:rsid w:val="0FBE2758"/>
    <w:rsid w:val="104F6A24"/>
    <w:rsid w:val="10505F32"/>
    <w:rsid w:val="10CF355A"/>
    <w:rsid w:val="12A7345D"/>
    <w:rsid w:val="1303482C"/>
    <w:rsid w:val="132E31F9"/>
    <w:rsid w:val="1353792F"/>
    <w:rsid w:val="1356593D"/>
    <w:rsid w:val="13C46A1B"/>
    <w:rsid w:val="149D2B89"/>
    <w:rsid w:val="14D0319D"/>
    <w:rsid w:val="154257FC"/>
    <w:rsid w:val="15E909BB"/>
    <w:rsid w:val="171639BF"/>
    <w:rsid w:val="17E458DD"/>
    <w:rsid w:val="18536AB6"/>
    <w:rsid w:val="189D662D"/>
    <w:rsid w:val="18D45424"/>
    <w:rsid w:val="19044120"/>
    <w:rsid w:val="1977087A"/>
    <w:rsid w:val="1AFC2F3E"/>
    <w:rsid w:val="1B2F50C2"/>
    <w:rsid w:val="1BFF6654"/>
    <w:rsid w:val="1D516351"/>
    <w:rsid w:val="1D7A45EE"/>
    <w:rsid w:val="1D8E3BF5"/>
    <w:rsid w:val="1E42510C"/>
    <w:rsid w:val="1E927F55"/>
    <w:rsid w:val="1EE00C7E"/>
    <w:rsid w:val="1EE23F43"/>
    <w:rsid w:val="1F5E5F75"/>
    <w:rsid w:val="204E5394"/>
    <w:rsid w:val="20B3627D"/>
    <w:rsid w:val="212B3AAB"/>
    <w:rsid w:val="21350F58"/>
    <w:rsid w:val="229B0D12"/>
    <w:rsid w:val="23103A44"/>
    <w:rsid w:val="239F090A"/>
    <w:rsid w:val="23A73C20"/>
    <w:rsid w:val="24053736"/>
    <w:rsid w:val="240608A2"/>
    <w:rsid w:val="245A180C"/>
    <w:rsid w:val="249935AC"/>
    <w:rsid w:val="250D2793"/>
    <w:rsid w:val="25213E48"/>
    <w:rsid w:val="25EE3F90"/>
    <w:rsid w:val="268A58A2"/>
    <w:rsid w:val="284C26C7"/>
    <w:rsid w:val="287B51A6"/>
    <w:rsid w:val="28C037FD"/>
    <w:rsid w:val="290A4A78"/>
    <w:rsid w:val="29DE519F"/>
    <w:rsid w:val="2AB777F4"/>
    <w:rsid w:val="2C60571E"/>
    <w:rsid w:val="2CD81CED"/>
    <w:rsid w:val="2D542666"/>
    <w:rsid w:val="2EA81C8E"/>
    <w:rsid w:val="2FAF1ED5"/>
    <w:rsid w:val="306F4BA6"/>
    <w:rsid w:val="3150593A"/>
    <w:rsid w:val="32C6070D"/>
    <w:rsid w:val="32FD11AA"/>
    <w:rsid w:val="335557FE"/>
    <w:rsid w:val="33932666"/>
    <w:rsid w:val="345F4AE7"/>
    <w:rsid w:val="34A9783B"/>
    <w:rsid w:val="361E2EBA"/>
    <w:rsid w:val="366E2D82"/>
    <w:rsid w:val="38C5243B"/>
    <w:rsid w:val="38CE2768"/>
    <w:rsid w:val="39E67BB8"/>
    <w:rsid w:val="3A405930"/>
    <w:rsid w:val="3A5F274A"/>
    <w:rsid w:val="3A7834A4"/>
    <w:rsid w:val="3E9C5D1B"/>
    <w:rsid w:val="3F193A6C"/>
    <w:rsid w:val="3F56153C"/>
    <w:rsid w:val="40D82C46"/>
    <w:rsid w:val="416F0EAD"/>
    <w:rsid w:val="42456215"/>
    <w:rsid w:val="42641CF1"/>
    <w:rsid w:val="43677618"/>
    <w:rsid w:val="443D74CE"/>
    <w:rsid w:val="448636F5"/>
    <w:rsid w:val="44A77282"/>
    <w:rsid w:val="45340965"/>
    <w:rsid w:val="46CD1095"/>
    <w:rsid w:val="48DF33D4"/>
    <w:rsid w:val="497C7137"/>
    <w:rsid w:val="4A1672C9"/>
    <w:rsid w:val="4A7F0696"/>
    <w:rsid w:val="4AB42243"/>
    <w:rsid w:val="4C5573A0"/>
    <w:rsid w:val="4CB80042"/>
    <w:rsid w:val="4D465B49"/>
    <w:rsid w:val="4D6B792C"/>
    <w:rsid w:val="4D771AA4"/>
    <w:rsid w:val="4F003E56"/>
    <w:rsid w:val="4F043B94"/>
    <w:rsid w:val="50572CF1"/>
    <w:rsid w:val="51102AA7"/>
    <w:rsid w:val="52D03D8D"/>
    <w:rsid w:val="52F14104"/>
    <w:rsid w:val="53530C46"/>
    <w:rsid w:val="53B17155"/>
    <w:rsid w:val="54FB1595"/>
    <w:rsid w:val="558570B1"/>
    <w:rsid w:val="57BB4B5E"/>
    <w:rsid w:val="583803AB"/>
    <w:rsid w:val="5898277F"/>
    <w:rsid w:val="590E1043"/>
    <w:rsid w:val="59315E28"/>
    <w:rsid w:val="59E763A3"/>
    <w:rsid w:val="5A905912"/>
    <w:rsid w:val="5BB92F72"/>
    <w:rsid w:val="5D537A94"/>
    <w:rsid w:val="5E647215"/>
    <w:rsid w:val="5F3758C0"/>
    <w:rsid w:val="5FDB0F3A"/>
    <w:rsid w:val="5FE60FEE"/>
    <w:rsid w:val="60412140"/>
    <w:rsid w:val="61A22D98"/>
    <w:rsid w:val="62F52CC0"/>
    <w:rsid w:val="66336760"/>
    <w:rsid w:val="663A283E"/>
    <w:rsid w:val="66DB10C0"/>
    <w:rsid w:val="684E6973"/>
    <w:rsid w:val="6AFE1987"/>
    <w:rsid w:val="6B2D2B4B"/>
    <w:rsid w:val="6B3E3B32"/>
    <w:rsid w:val="6C473645"/>
    <w:rsid w:val="6CDF23A1"/>
    <w:rsid w:val="6CE80B2B"/>
    <w:rsid w:val="6D105A96"/>
    <w:rsid w:val="6E093AB6"/>
    <w:rsid w:val="6E1D7F2C"/>
    <w:rsid w:val="6F36229B"/>
    <w:rsid w:val="715948DA"/>
    <w:rsid w:val="715C7AC9"/>
    <w:rsid w:val="717E170D"/>
    <w:rsid w:val="72473C14"/>
    <w:rsid w:val="727F515C"/>
    <w:rsid w:val="73CF693E"/>
    <w:rsid w:val="74581611"/>
    <w:rsid w:val="75187A07"/>
    <w:rsid w:val="753148A7"/>
    <w:rsid w:val="7568637B"/>
    <w:rsid w:val="76182F11"/>
    <w:rsid w:val="768C6173"/>
    <w:rsid w:val="76A038F3"/>
    <w:rsid w:val="76B02E9F"/>
    <w:rsid w:val="790979A8"/>
    <w:rsid w:val="7962623E"/>
    <w:rsid w:val="79685512"/>
    <w:rsid w:val="7B260D5D"/>
    <w:rsid w:val="7C4A30F3"/>
    <w:rsid w:val="7C5E0B04"/>
    <w:rsid w:val="7CD14475"/>
    <w:rsid w:val="7DAA2A29"/>
    <w:rsid w:val="7DBC39BB"/>
    <w:rsid w:val="7DCD6C66"/>
    <w:rsid w:val="7DD52F80"/>
    <w:rsid w:val="7E5F22E5"/>
    <w:rsid w:val="7FC92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semiHidden/>
    <w:qFormat/>
    <w:uiPriority w:val="99"/>
    <w:pPr>
      <w:ind w:left="200" w:leftChars="200"/>
    </w:pPr>
  </w:style>
  <w:style w:type="paragraph" w:styleId="4">
    <w:name w:val="Body Text"/>
    <w:basedOn w:val="1"/>
    <w:semiHidden/>
    <w:qFormat/>
    <w:uiPriority w:val="0"/>
    <w:rPr>
      <w:rFonts w:ascii="微软雅黑" w:hAnsi="微软雅黑" w:eastAsia="微软雅黑" w:cs="微软雅黑"/>
      <w:sz w:val="32"/>
      <w:szCs w:val="32"/>
      <w:lang w:val="en-US" w:eastAsia="en-US" w:bidi="ar-SA"/>
    </w:rPr>
  </w:style>
  <w:style w:type="paragraph" w:styleId="5">
    <w:name w:val="Body Text Indent"/>
    <w:basedOn w:val="1"/>
    <w:next w:val="6"/>
    <w:qFormat/>
    <w:uiPriority w:val="0"/>
    <w:pPr>
      <w:ind w:firstLine="630"/>
    </w:pPr>
    <w:rPr>
      <w:rFonts w:ascii="Calibri" w:hAnsi="Calibri" w:eastAsia="楷体_GB2312" w:cs="Times New Roman"/>
      <w:kern w:val="0"/>
      <w:sz w:val="30"/>
    </w:rPr>
  </w:style>
  <w:style w:type="paragraph" w:styleId="6">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pacing w:line="360" w:lineRule="auto"/>
    </w:pPr>
    <w:rPr>
      <w:rFonts w:ascii="Arial" w:hAnsi="Arial" w:cs="Arial"/>
    </w:rPr>
  </w:style>
  <w:style w:type="paragraph" w:styleId="10">
    <w:name w:val="Body Text First Indent 2"/>
    <w:basedOn w:val="5"/>
    <w:next w:val="11"/>
    <w:qFormat/>
    <w:uiPriority w:val="0"/>
    <w:pPr>
      <w:spacing w:after="120"/>
      <w:ind w:left="420" w:leftChars="200" w:firstLine="420" w:firstLineChars="200"/>
    </w:pPr>
    <w:rPr>
      <w:rFonts w:ascii="Times New Roman" w:hAnsi="Times New Roman" w:eastAsia="宋体" w:cs="Times New Roman"/>
      <w:sz w:val="21"/>
      <w:lang w:val="en-US" w:eastAsia="zh-CN"/>
    </w:rPr>
  </w:style>
  <w:style w:type="paragraph" w:customStyle="1" w:styleId="11">
    <w:name w:val="样式 正文首行缩进 2 + Arial"/>
    <w:next w:val="1"/>
    <w:qFormat/>
    <w:uiPriority w:val="0"/>
    <w:pPr>
      <w:spacing w:after="120" w:line="320" w:lineRule="atLeast"/>
      <w:ind w:firstLine="200" w:firstLineChars="200"/>
    </w:pPr>
    <w:rPr>
      <w:rFonts w:ascii="Arial" w:hAnsi="Arial" w:eastAsia="宋体" w:cs="Times New Roman"/>
      <w:lang w:val="en-US" w:eastAsia="zh-CN" w:bidi="ar-SA"/>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新宋体" w:hAnsi="新宋体" w:eastAsia="新宋体" w:cs="新宋体"/>
      <w:sz w:val="24"/>
      <w:szCs w:val="24"/>
      <w:lang w:val="en-US" w:eastAsia="en-US" w:bidi="ar-SA"/>
    </w:rPr>
  </w:style>
  <w:style w:type="paragraph" w:customStyle="1" w:styleId="17">
    <w:name w:val="引言二级条标题"/>
    <w:basedOn w:val="18"/>
    <w:next w:val="19"/>
    <w:qFormat/>
    <w:uiPriority w:val="99"/>
    <w:pPr>
      <w:tabs>
        <w:tab w:val="left" w:pos="1140"/>
      </w:tabs>
    </w:pPr>
  </w:style>
  <w:style w:type="paragraph" w:customStyle="1" w:styleId="18">
    <w:name w:val="引言一级条标题"/>
    <w:basedOn w:val="1"/>
    <w:next w:val="19"/>
    <w:qFormat/>
    <w:uiPriority w:val="99"/>
    <w:pPr>
      <w:widowControl/>
      <w:tabs>
        <w:tab w:val="left" w:pos="1140"/>
      </w:tabs>
    </w:pPr>
    <w:rPr>
      <w:rFonts w:eastAsia="黑体"/>
      <w:b/>
      <w:bCs/>
      <w:szCs w:val="21"/>
    </w:rPr>
  </w:style>
  <w:style w:type="paragraph" w:customStyle="1" w:styleId="19">
    <w:name w:val="段"/>
    <w:qFormat/>
    <w:uiPriority w:val="99"/>
    <w:pPr>
      <w:ind w:firstLine="200" w:firstLineChars="200"/>
      <w:jc w:val="both"/>
    </w:pPr>
    <w:rPr>
      <w:rFonts w:ascii="宋体" w:hAnsi="Times New Roman" w:eastAsia="宋体" w:cs="Times New Roman"/>
      <w:kern w:val="2"/>
      <w:sz w:val="21"/>
      <w:szCs w:val="21"/>
      <w:lang w:val="en-US" w:eastAsia="zh-CN" w:bidi="ar-SA"/>
    </w:rPr>
  </w:style>
  <w:style w:type="paragraph" w:customStyle="1" w:styleId="20">
    <w:name w:val="正文缩进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6623</Words>
  <Characters>7253</Characters>
  <TotalTime>27</TotalTime>
  <ScaleCrop>false</ScaleCrop>
  <LinksUpToDate>false</LinksUpToDate>
  <CharactersWithSpaces>7544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2024-11-19T09:08:00Z</dcterms:created>
  <dc:creator>Administrator</dc:creator>
  <cp:lastModifiedBy>猫猫晒太阳哦</cp:lastModifiedBy>
  <dcterms:modified xsi:type="dcterms:W3CDTF">2025-07-15T10:07:11Z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2025-04-16T17:13:02Z</vt:filetime>
  </property>
  <property fmtid="{D5CDD505-2E9C-101B-9397-08002B2CF9AE}" pid="4" name="KSOTemplateDocerSaveRecord">
    <vt:lpwstr>eyJoZGlkIjoiYjdmNDQwOWM2ZWE4NzgxOWVhNjRiYmY0MTQ4Yzk3NTEiLCJ1c2VySWQiOiI1Nzk5ODg4NzYifQ==</vt:lpwstr>
  </property>
  <property fmtid="{D5CDD505-2E9C-101B-9397-08002B2CF9AE}" pid="5" name="KSOProductBuildVer">
    <vt:lpwstr>2052-12.1.0.21915</vt:lpwstr>
  </property>
  <property fmtid="{D5CDD505-2E9C-101B-9397-08002B2CF9AE}" pid="6" name="ICV">
    <vt:lpwstr>157A434CD7314806A5C574CAC2E9549D_12</vt:lpwstr>
  </property>
</Properties>
</file>